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6, 2024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1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3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41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280" w:type="dxa"/>
            <w:vAlign w:val="bottom"/>
            <w:tcBorders>
              <w:bottom w:val="single" w:sz="8" w:color="auto"/>
            </w:tcBorders>
          </w:tcPr>
          <w:p>
            <w:pPr>
              <w:jc w:val="right"/>
              <w:ind w:right="127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40" w:type="dxa"/>
            <w:vAlign w:val="bottom"/>
            <w:tcBorders>
              <w:bottom w:val="single" w:sz="8" w:color="auto"/>
            </w:tcBorders>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34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20" w:type="dxa"/>
            <w:vAlign w:val="bottom"/>
          </w:tcPr>
          <w:p>
            <w:pPr>
              <w:spacing w:after="0"/>
              <w:rPr>
                <w:sz w:val="24"/>
                <w:szCs w:val="24"/>
                <w:color w:val="auto"/>
              </w:rPr>
            </w:pPr>
          </w:p>
        </w:tc>
        <w:tc>
          <w:tcPr>
            <w:tcW w:w="34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4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280" w:type="dxa"/>
            <w:vAlign w:val="bottom"/>
            <w:tcBorders>
              <w:bottom w:val="single" w:sz="8" w:color="auto"/>
            </w:tcBorders>
          </w:tcPr>
          <w:p>
            <w:pPr>
              <w:jc w:val="right"/>
              <w:ind w:right="139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4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(Zip Code)</w:t>
            </w:r>
          </w:p>
        </w:tc>
        <w:tc>
          <w:tcPr>
            <w:tcW w:w="4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140970</wp:posOffset>
            </wp:positionH>
            <wp:positionV relativeFrom="paragraph">
              <wp:posOffset>19050</wp:posOffset>
            </wp:positionV>
            <wp:extent cx="6860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054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855980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2.03 of this Current Report on Form 8-K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0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As previously disclosed, Weatherford International Ltd. (“WIL-Bermuda”), Weatherford International, LLC (“WIL-Delaware”), Weatherford Canada Ltd. (“WIL-Canada”), and WOFS International Finance GmbH, a Swiss limited liability company (“WIL-Switzerland” and, together with WIL-Bermuda, WIL-Delaware and WIL-Canada, the “Borrowers”), as borrowers, and Weatherford International plc (“Weatherford”), as parent, entered into an amended and restated credit agreement (as amended and supplemented to date, the “Credit Agreement”) with the lenders party thereto and Wells Fargo Bank, National Association, as administrative agent (in such capacity, the “Administrative Agent”), on October 17, 2022. Capitalized terms not defined herein shall have the meanings set forth in the Credit Agreement.</w:t>
      </w:r>
    </w:p>
    <w:p>
      <w:pPr>
        <w:spacing w:after="0" w:line="7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On June 6, 2024, the Borrowers, Weatherford, the lenders party thereto and the Administrative Agent entered into the Sixth Amendment to the Credit Agreement (the “Sixth Amendment”), which, among other things, permits, upon satisfaction of certain conditions, future incremental increases in the commitments under the Credit Agreement such that, after giving effect to all such future increases, the Aggregate Commitments shall not exceed $1 billion. As of June 6, 2024, there were approximately $270.5 million of outstanding letters of credit issued in connection with the Performance LC Commitments, $48.2 million of outstanding letters of credit issued in connection with the Revolving Credit Commitments and no outstanding loans in connection with the Revolving Credit Commitments.</w:t>
      </w:r>
    </w:p>
    <w:p>
      <w:pPr>
        <w:spacing w:after="0" w:line="7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The foregoing description of the Sixth Amendment does not purport to be complete and is qualified in its entirety by reference to the full text of the Sixth Amendment, which is filed as Exhibit 10.1 to this Form 8-K.</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On June 6, 2024, the Borrowers and Weatherford exercised a $40 million incremental increase to the Borrowers’ revolving credit facility (resulting in an aggregate credit facility size of $720 million) by entering into an additional lender supplement to the Credit Agreement (the “Additional Lender Supplement”) with a certain additional lender (the “Additional Lender”), the Administrative Agent and the issuing banks party thereto, whereby the Additional Lender (or its affiliates) became a Lender under the Credit Agreement and provided aggregate additional commitments of $40 million comprised of (i) approximately $18 million for the issuance of bid and performance letters of credit for the Borrowers and certain subsidiaries and (ii) approximately $22 million for revolving loans and the issuance of bid, performance and financial letters of credit for the Borrowers and certain subsidiaries.</w:t>
      </w:r>
    </w:p>
    <w:p>
      <w:pPr>
        <w:spacing w:after="0" w:line="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The foregoing description of the Additional Lender Supplement does not purport to be complete and is qualified in its entirety by reference to the full text of the Lender Supplement, which is furnished as Exhibit 10.2 to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817880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80" w:type="dxa"/>
            <w:vAlign w:val="bottom"/>
            <w:gridSpan w:val="13"/>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29"/>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2"/>
        </w:trPr>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40" w:type="dxa"/>
            <w:vAlign w:val="bottom"/>
          </w:tcPr>
          <w:p>
            <w:pPr>
              <w:spacing w:after="0"/>
              <w:rPr>
                <w:sz w:val="24"/>
                <w:szCs w:val="24"/>
                <w:color w:val="auto"/>
              </w:rPr>
            </w:pPr>
          </w:p>
        </w:tc>
        <w:tc>
          <w:tcPr>
            <w:tcW w:w="93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1"/>
        </w:trPr>
        <w:tc>
          <w:tcPr>
            <w:tcW w:w="1460" w:type="dxa"/>
            <w:vAlign w:val="bottom"/>
            <w:tcBorders>
              <w:top w:val="single" w:sz="8" w:color="auto"/>
            </w:tcBorders>
            <w:gridSpan w:val="3"/>
          </w:tcPr>
          <w:p>
            <w:pPr>
              <w:jc w:val="center"/>
              <w:ind w:left="351"/>
              <w:spacing w:after="0" w:line="182"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40" w:type="dxa"/>
            <w:vAlign w:val="bottom"/>
            <w:tcBorders>
              <w:top w:val="single" w:sz="8" w:color="auto"/>
            </w:tcBorders>
          </w:tcPr>
          <w:p>
            <w:pPr>
              <w:spacing w:after="0"/>
              <w:rPr>
                <w:sz w:val="15"/>
                <w:szCs w:val="15"/>
                <w:color w:val="auto"/>
              </w:rPr>
            </w:pPr>
          </w:p>
        </w:tc>
        <w:tc>
          <w:tcPr>
            <w:tcW w:w="8920" w:type="dxa"/>
            <w:vAlign w:val="bottom"/>
            <w:tcBorders>
              <w:top w:val="single" w:sz="8" w:color="auto"/>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Sixth Amendment to Amended and Restated Credit Agreement, dated as of June 6, 2024, by and among Weatherford</w:t>
            </w:r>
          </w:p>
        </w:tc>
        <w:tc>
          <w:tcPr>
            <w:tcW w:w="420" w:type="dxa"/>
            <w:vAlign w:val="bottom"/>
          </w:tcPr>
          <w:p>
            <w:pPr>
              <w:spacing w:after="0"/>
              <w:rPr>
                <w:sz w:val="15"/>
                <w:szCs w:val="15"/>
                <w:color w:val="auto"/>
              </w:rPr>
            </w:pPr>
          </w:p>
        </w:tc>
      </w:tr>
      <w:tr>
        <w:trPr>
          <w:trHeight w:val="154"/>
        </w:trPr>
        <w:tc>
          <w:tcPr>
            <w:tcW w:w="80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380" w:type="dxa"/>
            <w:vAlign w:val="bottom"/>
            <w:tcBorders>
              <w:top w:val="single" w:sz="8" w:color="0000FF"/>
            </w:tcBorders>
            <w:gridSpan w:val="6"/>
          </w:tcPr>
          <w:p>
            <w:pPr>
              <w:spacing w:after="0" w:line="154" w:lineRule="exact"/>
              <w:rPr>
                <w:sz w:val="20"/>
                <w:szCs w:val="20"/>
                <w:color w:val="auto"/>
              </w:rPr>
            </w:pPr>
            <w:r>
              <w:rPr>
                <w:rFonts w:ascii="Times New Roman" w:cs="Times New Roman" w:eastAsia="Times New Roman" w:hAnsi="Times New Roman"/>
                <w:sz w:val="17"/>
                <w:szCs w:val="17"/>
                <w:color w:val="0000FF"/>
              </w:rPr>
              <w:t>International Ltd., Weatherford International, LLC, Weatherford Canada Ltd., WOFS International Finance GmbH,</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r>
      <w:tr>
        <w:trPr>
          <w:trHeight w:val="154"/>
        </w:trPr>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4"/>
          </w:tcPr>
          <w:p>
            <w:pPr>
              <w:spacing w:after="0" w:line="154" w:lineRule="exact"/>
              <w:rPr>
                <w:sz w:val="20"/>
                <w:szCs w:val="20"/>
                <w:color w:val="auto"/>
              </w:rPr>
            </w:pPr>
            <w:r>
              <w:rPr>
                <w:rFonts w:ascii="Times New Roman" w:cs="Times New Roman" w:eastAsia="Times New Roman" w:hAnsi="Times New Roman"/>
                <w:sz w:val="17"/>
                <w:szCs w:val="17"/>
                <w:color w:val="0000FF"/>
              </w:rPr>
              <w:t>Weatherford International plc, the lenders party thereto and Wells Fargo Bank, National Association, as administrative</w:t>
            </w:r>
          </w:p>
        </w:tc>
        <w:tc>
          <w:tcPr>
            <w:tcW w:w="8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r>
      <w:tr>
        <w:trPr>
          <w:trHeight w:val="168"/>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80" w:type="dxa"/>
            <w:vAlign w:val="bottom"/>
            <w:gridSpan w:val="7"/>
          </w:tcPr>
          <w:p>
            <w:pPr>
              <w:spacing w:after="0" w:line="168" w:lineRule="exact"/>
              <w:rPr>
                <w:sz w:val="20"/>
                <w:szCs w:val="20"/>
                <w:color w:val="auto"/>
              </w:rPr>
            </w:pPr>
            <w:r>
              <w:rPr>
                <w:rFonts w:ascii="Times New Roman" w:cs="Times New Roman" w:eastAsia="Times New Roman" w:hAnsi="Times New Roman"/>
                <w:sz w:val="18"/>
                <w:szCs w:val="18"/>
                <w:color w:val="0000FF"/>
              </w:rPr>
              <w:t>agent</w:t>
            </w:r>
            <w:r>
              <w:rPr>
                <w:rFonts w:ascii="Times New Roman" w:cs="Times New Roman" w:eastAsia="Times New Roman" w:hAnsi="Times New Roman"/>
                <w:sz w:val="18"/>
                <w:szCs w:val="18"/>
                <w:color w:val="000000"/>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r>
      <w:tr>
        <w:trPr>
          <w:trHeight w:val="20"/>
        </w:trPr>
        <w:tc>
          <w:tcPr>
            <w:tcW w:w="14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08"/>
        </w:trPr>
        <w:tc>
          <w:tcPr>
            <w:tcW w:w="146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18"/>
                <w:szCs w:val="18"/>
                <w:color w:val="auto"/>
              </w:rPr>
            </w:pPr>
          </w:p>
        </w:tc>
        <w:tc>
          <w:tcPr>
            <w:tcW w:w="9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Additional Lender Supplement, dated as of June 6, 2024, by and among Weatherford International Ltd., Weatherford</w:t>
            </w:r>
          </w:p>
        </w:tc>
      </w:tr>
      <w:tr>
        <w:trPr>
          <w:trHeight w:val="20"/>
        </w:trPr>
        <w:tc>
          <w:tcPr>
            <w:tcW w:w="8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54"/>
        </w:trPr>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80" w:type="dxa"/>
            <w:vAlign w:val="bottom"/>
            <w:tcBorders>
              <w:bottom w:val="single" w:sz="8" w:color="0000FF"/>
            </w:tcBorders>
            <w:gridSpan w:val="8"/>
          </w:tcPr>
          <w:p>
            <w:pPr>
              <w:spacing w:after="0" w:line="154" w:lineRule="exact"/>
              <w:rPr>
                <w:sz w:val="20"/>
                <w:szCs w:val="20"/>
                <w:color w:val="auto"/>
              </w:rPr>
            </w:pPr>
            <w:r>
              <w:rPr>
                <w:rFonts w:ascii="Times New Roman" w:cs="Times New Roman" w:eastAsia="Times New Roman" w:hAnsi="Times New Roman"/>
                <w:sz w:val="17"/>
                <w:szCs w:val="17"/>
                <w:color w:val="0000FF"/>
              </w:rPr>
              <w:t>International, LLC, Weatherford Canada Ltd., WOFS International Finance GmbH, Weatherford International plc, Arab</w:t>
            </w:r>
          </w:p>
        </w:tc>
        <w:tc>
          <w:tcPr>
            <w:tcW w:w="760" w:type="dxa"/>
            <w:vAlign w:val="bottom"/>
            <w:gridSpan w:val="4"/>
          </w:tcPr>
          <w:p>
            <w:pPr>
              <w:spacing w:after="0"/>
              <w:rPr>
                <w:sz w:val="13"/>
                <w:szCs w:val="13"/>
                <w:color w:val="auto"/>
              </w:rPr>
            </w:pPr>
          </w:p>
        </w:tc>
      </w:tr>
      <w:tr>
        <w:trPr>
          <w:trHeight w:val="154"/>
        </w:trPr>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40" w:type="dxa"/>
            <w:vAlign w:val="bottom"/>
            <w:gridSpan w:val="12"/>
          </w:tcPr>
          <w:p>
            <w:pPr>
              <w:spacing w:after="0" w:line="154" w:lineRule="exact"/>
              <w:rPr>
                <w:sz w:val="20"/>
                <w:szCs w:val="20"/>
                <w:color w:val="auto"/>
              </w:rPr>
            </w:pPr>
            <w:r>
              <w:rPr>
                <w:rFonts w:ascii="Times New Roman" w:cs="Times New Roman" w:eastAsia="Times New Roman" w:hAnsi="Times New Roman"/>
                <w:sz w:val="17"/>
                <w:szCs w:val="17"/>
                <w:color w:val="0000FF"/>
              </w:rPr>
              <w:t>Banking Corporation (B.S.C.) New York Branch, as an Additional Lender, the other Issuing Banks party thereto and Wells</w:t>
            </w:r>
          </w:p>
        </w:tc>
      </w:tr>
      <w:tr>
        <w:trPr>
          <w:trHeight w:val="168"/>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780" w:type="dxa"/>
            <w:vAlign w:val="bottom"/>
            <w:tcBorders>
              <w:top w:val="single" w:sz="8" w:color="0000FF"/>
              <w:bottom w:val="single" w:sz="8" w:color="0000FF"/>
            </w:tcBorders>
            <w:gridSpan w:val="9"/>
          </w:tcPr>
          <w:p>
            <w:pPr>
              <w:spacing w:after="0" w:line="168" w:lineRule="exact"/>
              <w:rPr>
                <w:sz w:val="20"/>
                <w:szCs w:val="20"/>
                <w:color w:val="auto"/>
              </w:rPr>
            </w:pPr>
            <w:r>
              <w:rPr>
                <w:rFonts w:ascii="Times New Roman" w:cs="Times New Roman" w:eastAsia="Times New Roman" w:hAnsi="Times New Roman"/>
                <w:sz w:val="18"/>
                <w:szCs w:val="18"/>
                <w:color w:val="0000FF"/>
                <w:w w:val="98"/>
              </w:rPr>
              <w:t>Fargo Bank, National Association, as administrative agent. *Schedules and similar attachments have been omitted pursuant</w:t>
            </w:r>
          </w:p>
        </w:tc>
        <w:tc>
          <w:tcPr>
            <w:tcW w:w="60" w:type="dxa"/>
            <w:vAlign w:val="bottom"/>
            <w:tcBorders>
              <w:bottom w:val="single" w:sz="8" w:color="0000FF"/>
            </w:tcBorders>
          </w:tcPr>
          <w:p>
            <w:pPr>
              <w:spacing w:after="0"/>
              <w:rPr>
                <w:sz w:val="14"/>
                <w:szCs w:val="14"/>
                <w:color w:val="auto"/>
              </w:rPr>
            </w:pPr>
          </w:p>
        </w:tc>
        <w:tc>
          <w:tcPr>
            <w:tcW w:w="500" w:type="dxa"/>
            <w:vAlign w:val="bottom"/>
            <w:gridSpan w:val="2"/>
          </w:tcPr>
          <w:p>
            <w:pPr>
              <w:spacing w:after="0"/>
              <w:rPr>
                <w:sz w:val="14"/>
                <w:szCs w:val="14"/>
                <w:color w:val="auto"/>
              </w:rPr>
            </w:pPr>
          </w:p>
        </w:tc>
      </w:tr>
      <w:tr>
        <w:trPr>
          <w:trHeight w:val="154"/>
        </w:trPr>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40" w:type="dxa"/>
            <w:vAlign w:val="bottom"/>
            <w:gridSpan w:val="10"/>
          </w:tcPr>
          <w:p>
            <w:pPr>
              <w:spacing w:after="0" w:line="154" w:lineRule="exact"/>
              <w:rPr>
                <w:sz w:val="20"/>
                <w:szCs w:val="20"/>
                <w:color w:val="auto"/>
              </w:rPr>
            </w:pPr>
            <w:r>
              <w:rPr>
                <w:rFonts w:ascii="Times New Roman" w:cs="Times New Roman" w:eastAsia="Times New Roman" w:hAnsi="Times New Roman"/>
                <w:sz w:val="17"/>
                <w:szCs w:val="17"/>
                <w:color w:val="0000FF"/>
              </w:rPr>
              <w:t>to Regulation S-K Item 601(a)(5). Weatherford agrees to furnish a supplemental copy of any omitted schedule or</w:t>
            </w:r>
          </w:p>
        </w:tc>
        <w:tc>
          <w:tcPr>
            <w:tcW w:w="500" w:type="dxa"/>
            <w:vAlign w:val="bottom"/>
            <w:gridSpan w:val="2"/>
          </w:tcPr>
          <w:p>
            <w:pPr>
              <w:spacing w:after="0"/>
              <w:rPr>
                <w:sz w:val="13"/>
                <w:szCs w:val="13"/>
                <w:color w:val="auto"/>
              </w:rPr>
            </w:pPr>
          </w:p>
        </w:tc>
      </w:tr>
      <w:tr>
        <w:trPr>
          <w:trHeight w:val="154"/>
        </w:trPr>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80" w:type="dxa"/>
            <w:vAlign w:val="bottom"/>
            <w:tcBorders>
              <w:top w:val="single" w:sz="8" w:color="0000FF"/>
            </w:tcBorders>
            <w:gridSpan w:val="3"/>
          </w:tcPr>
          <w:p>
            <w:pPr>
              <w:spacing w:after="0" w:line="154" w:lineRule="exact"/>
              <w:rPr>
                <w:sz w:val="20"/>
                <w:szCs w:val="20"/>
                <w:color w:val="auto"/>
              </w:rPr>
            </w:pPr>
            <w:r>
              <w:rPr>
                <w:rFonts w:ascii="Times New Roman" w:cs="Times New Roman" w:eastAsia="Times New Roman" w:hAnsi="Times New Roman"/>
                <w:sz w:val="17"/>
                <w:szCs w:val="17"/>
                <w:color w:val="0000FF"/>
              </w:rPr>
              <w:t>attachment to the Securities and Exchange Commission upon request</w:t>
            </w:r>
            <w:r>
              <w:rPr>
                <w:rFonts w:ascii="Times New Roman" w:cs="Times New Roman" w:eastAsia="Times New Roman" w:hAnsi="Times New Roman"/>
                <w:sz w:val="17"/>
                <w:szCs w:val="17"/>
                <w:color w:val="000000"/>
              </w:rPr>
              <w:t>.</w:t>
            </w:r>
          </w:p>
        </w:tc>
        <w:tc>
          <w:tcPr>
            <w:tcW w:w="1260" w:type="dxa"/>
            <w:vAlign w:val="bottom"/>
            <w:gridSpan w:val="9"/>
          </w:tcPr>
          <w:p>
            <w:pPr>
              <w:spacing w:after="0"/>
              <w:rPr>
                <w:sz w:val="13"/>
                <w:szCs w:val="13"/>
                <w:color w:val="auto"/>
              </w:rPr>
            </w:pPr>
          </w:p>
        </w:tc>
      </w:tr>
      <w:tr>
        <w:trPr>
          <w:trHeight w:val="20"/>
        </w:trPr>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4380" w:type="dxa"/>
            <w:vAlign w:val="bottom"/>
            <w:gridSpan w:val="10"/>
          </w:tcPr>
          <w:p>
            <w:pPr>
              <w:spacing w:after="0" w:line="20" w:lineRule="exact"/>
              <w:rPr>
                <w:sz w:val="1"/>
                <w:szCs w:val="1"/>
                <w:color w:val="auto"/>
              </w:rPr>
            </w:pPr>
          </w:p>
        </w:tc>
      </w:tr>
      <w:tr>
        <w:trPr>
          <w:trHeight w:val="262"/>
        </w:trPr>
        <w:tc>
          <w:tcPr>
            <w:tcW w:w="1100" w:type="dxa"/>
            <w:vAlign w:val="bottom"/>
            <w:gridSpan w:val="2"/>
          </w:tcPr>
          <w:p>
            <w:pPr>
              <w:jc w:val="center"/>
              <w:ind w:left="711"/>
              <w:spacing w:after="0"/>
              <w:rPr>
                <w:sz w:val="20"/>
                <w:szCs w:val="20"/>
                <w:color w:val="auto"/>
              </w:rPr>
            </w:pPr>
            <w:r>
              <w:rPr>
                <w:rFonts w:ascii="Times New Roman" w:cs="Times New Roman" w:eastAsia="Times New Roman" w:hAnsi="Times New Roman"/>
                <w:sz w:val="18"/>
                <w:szCs w:val="18"/>
                <w:color w:val="auto"/>
                <w:w w:val="96"/>
              </w:rPr>
              <w:t>104</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308"/>
        </w:trPr>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June 11, 2024</w:t>
      </w:r>
    </w:p>
    <w:p>
      <w:pPr>
        <w:spacing w:after="0" w:line="2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Arunava Mitra</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0540"/>
          </w:cols>
          <w:pgMar w:left="320" w:top="1124" w:right="10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SIXTH AMENDMENT TO</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CREDIT AGREEMENT</w:t>
      </w:r>
    </w:p>
    <w:p>
      <w:pPr>
        <w:spacing w:after="0" w:line="204" w:lineRule="exact"/>
        <w:rPr>
          <w:sz w:val="20"/>
          <w:szCs w:val="20"/>
          <w:color w:val="auto"/>
        </w:rPr>
      </w:pPr>
    </w:p>
    <w:p>
      <w:pPr>
        <w:jc w:val="both"/>
        <w:ind w:firstLine="644"/>
        <w:spacing w:after="0" w:line="264" w:lineRule="auto"/>
        <w:rPr>
          <w:sz w:val="20"/>
          <w:szCs w:val="20"/>
          <w:color w:val="auto"/>
        </w:rPr>
      </w:pPr>
      <w:r>
        <w:rPr>
          <w:rFonts w:ascii="Times New Roman" w:cs="Times New Roman" w:eastAsia="Times New Roman" w:hAnsi="Times New Roman"/>
          <w:sz w:val="21"/>
          <w:szCs w:val="21"/>
          <w:color w:val="auto"/>
        </w:rPr>
        <w:t>This SIXTH AMENDMENT TO AMENDED AND RESTATED CREDIT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 June 6, 2024, is entered into among WEATHERFORD INTERNATIONAL LTD., a Bermuda exempted company (“</w:t>
      </w: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 WEATHERFORD CANADA LTD., an Alberta corporation (“</w:t>
      </w: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 WEATHERFORD INTERNATIONAL, LLC, a Delaware limited liability company (“</w:t>
      </w: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 WOFS INTERNATIONAL FINANCE GMBH, a Swiss limited liability company (“</w:t>
      </w: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 and together with WIL-Bermuda, WIL-Canada and WIL-Delaware,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WEATHERFORD INTERNATIONAL PLC, as Parent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WELLS FARGO BANK, NATIONAL ASSOCIATION, as administrative agent for the Lenders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and the Lenders party hereto.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28" w:lineRule="exact"/>
        <w:rPr>
          <w:sz w:val="20"/>
          <w:szCs w:val="20"/>
          <w:color w:val="auto"/>
        </w:rPr>
      </w:pPr>
    </w:p>
    <w:p>
      <w:pPr>
        <w:jc w:val="both"/>
        <w:ind w:firstLine="644"/>
        <w:spacing w:after="0" w:line="267" w:lineRule="auto"/>
        <w:rPr>
          <w:sz w:val="20"/>
          <w:szCs w:val="20"/>
          <w:color w:val="auto"/>
        </w:rPr>
      </w:pPr>
      <w:r>
        <w:rPr>
          <w:rFonts w:ascii="Times New Roman" w:cs="Times New Roman" w:eastAsia="Times New Roman" w:hAnsi="Times New Roman"/>
          <w:sz w:val="21"/>
          <w:szCs w:val="21"/>
          <w:color w:val="auto"/>
        </w:rPr>
        <w:t>WHEREAS, the Borrowers, Parent, the Administrative Agent, and the Lenders and Issuing Banks party thereto from time to time are party to that certain Amended and Restated Credit Agreement, dated as of October 17, 2022 (as amended, supplemented or otherwise modified prior to the date hereof,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and as amended by this Amendment and as may be further amended, restated, amended and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9"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WHEREAS, Parent and the Borrowers have requested certain amendments and modifications be made to the Existing Credit Agreement; and</w:t>
      </w:r>
    </w:p>
    <w:p>
      <w:pPr>
        <w:spacing w:after="0" w:line="139"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WHEREAS, subject to the terms and conditions contained herein, the Administrative Agent, the Lenders party hereto, Parent and the Borrowers have agreed to amend the Existing Credit Agreement as hereinafter set forth to address the foregoing.</w:t>
      </w:r>
    </w:p>
    <w:p>
      <w:pPr>
        <w:spacing w:after="0" w:line="153"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39" w:lineRule="exact"/>
        <w:rPr>
          <w:sz w:val="20"/>
          <w:szCs w:val="20"/>
          <w:color w:val="auto"/>
        </w:rPr>
      </w:pPr>
    </w:p>
    <w:p>
      <w:pPr>
        <w:ind w:firstLine="652"/>
        <w:spacing w:after="0" w:line="291" w:lineRule="auto"/>
        <w:tabs>
          <w:tab w:leader="none" w:pos="1288"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 Section References</w:t>
      </w:r>
      <w:r>
        <w:rPr>
          <w:rFonts w:ascii="Times New Roman" w:cs="Times New Roman" w:eastAsia="Times New Roman" w:hAnsi="Times New Roman"/>
          <w:sz w:val="21"/>
          <w:szCs w:val="21"/>
          <w:color w:val="auto"/>
        </w:rPr>
        <w:t>. Capitalized terms used herein but not otherwise defined herein shall have the meanings provided to such terms in the Credit Agreement.</w:t>
      </w:r>
    </w:p>
    <w:p>
      <w:pPr>
        <w:spacing w:after="0" w:line="139"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to Existing Credit Agreement</w:t>
      </w:r>
      <w:r>
        <w:rPr>
          <w:rFonts w:ascii="Times New Roman" w:cs="Times New Roman" w:eastAsia="Times New Roman" w:hAnsi="Times New Roman"/>
          <w:sz w:val="21"/>
          <w:szCs w:val="21"/>
          <w:color w:val="auto"/>
        </w:rPr>
        <w:t>.</w:t>
      </w:r>
    </w:p>
    <w:p>
      <w:pPr>
        <w:spacing w:after="0" w:line="241" w:lineRule="exact"/>
        <w:rPr>
          <w:rFonts w:ascii="Times New Roman" w:cs="Times New Roman" w:eastAsia="Times New Roman" w:hAnsi="Times New Roman"/>
          <w:sz w:val="21"/>
          <w:szCs w:val="21"/>
          <w:color w:val="auto"/>
        </w:rPr>
      </w:pPr>
    </w:p>
    <w:p>
      <w:pPr>
        <w:ind w:left="1940" w:right="1700" w:hanging="644"/>
        <w:spacing w:after="0" w:line="485" w:lineRule="auto"/>
        <w:tabs>
          <w:tab w:leader="none" w:pos="1937"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terms are hereby added to Section 1.01 of the Existing Credit Agreement: “</w:t>
      </w:r>
      <w:r>
        <w:rPr>
          <w:rFonts w:ascii="Times New Roman" w:cs="Times New Roman" w:eastAsia="Times New Roman" w:hAnsi="Times New Roman"/>
          <w:sz w:val="21"/>
          <w:szCs w:val="21"/>
          <w:u w:val="single" w:color="auto"/>
          <w:color w:val="auto"/>
        </w:rPr>
        <w:t>Available Incremental Amount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4.13(a)</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4.13(b)</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1" w:right="339" w:bottom="1440" w:gutter="0" w:footer="0" w:header="0"/>
        </w:sectPr>
      </w:pPr>
    </w:p>
    <w:bookmarkStart w:id="5" w:name="page6"/>
    <w:bookmarkEnd w:id="5"/>
    <w:p>
      <w:pPr>
        <w:ind w:left="180" w:firstLine="644"/>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Sixth Amendment</w:t>
      </w:r>
      <w:r>
        <w:rPr>
          <w:rFonts w:ascii="Times New Roman" w:cs="Times New Roman" w:eastAsia="Times New Roman" w:hAnsi="Times New Roman"/>
          <w:sz w:val="21"/>
          <w:szCs w:val="21"/>
          <w:color w:val="auto"/>
        </w:rPr>
        <w:t>” means that certain Sixth Amendment to Amended and Restated Credit Agreement, dated as of June 6, 2024, among the Borrowers, Parent, the Administrative Agent and the Lenders party thereto.</w:t>
      </w:r>
    </w:p>
    <w:p>
      <w:pPr>
        <w:spacing w:after="0" w:line="13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Sixth Amendment Effective Date</w:t>
      </w:r>
      <w:r>
        <w:rPr>
          <w:rFonts w:ascii="Times New Roman" w:cs="Times New Roman" w:eastAsia="Times New Roman" w:hAnsi="Times New Roman"/>
          <w:sz w:val="21"/>
          <w:szCs w:val="21"/>
          <w:color w:val="auto"/>
        </w:rPr>
        <w:t>” has the meaning specified in the Sixth Amendment.</w:t>
      </w:r>
    </w:p>
    <w:p>
      <w:pPr>
        <w:spacing w:after="0" w:line="242" w:lineRule="exact"/>
        <w:rPr>
          <w:sz w:val="20"/>
          <w:szCs w:val="20"/>
          <w:color w:val="auto"/>
        </w:rPr>
      </w:pPr>
    </w:p>
    <w:p>
      <w:pPr>
        <w:jc w:val="both"/>
        <w:ind w:left="-460" w:firstLine="636"/>
        <w:spacing w:after="0" w:line="272" w:lineRule="auto"/>
        <w:tabs>
          <w:tab w:leader="none" w:pos="82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Section 4.13(a) of the Existing Credit Agreement is hereby amended to delete the stricken text (indicated textually in the same manner as the following example: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xml:space="preserve">) and to add the double-underlined text (indicated textually in the same manner as the following example: </w:t>
      </w:r>
      <w:r>
        <w:rPr>
          <w:rFonts w:ascii="Times New Roman" w:cs="Times New Roman" w:eastAsia="Times New Roman" w:hAnsi="Times New Roman"/>
          <w:sz w:val="21"/>
          <w:szCs w:val="21"/>
          <w:u w:val="single" w:color="auto"/>
          <w:color w:val="0000FF"/>
          <w:highlight w:val="lightGray"/>
        </w:rPr>
        <w:t>double-underlined text</w:t>
      </w:r>
      <w:r>
        <w:rPr>
          <w:rFonts w:ascii="Times New Roman" w:cs="Times New Roman" w:eastAsia="Times New Roman" w:hAnsi="Times New Roman"/>
          <w:sz w:val="21"/>
          <w:szCs w:val="21"/>
          <w:color w:val="auto"/>
        </w:rPr>
        <w:t>) as set forth below:</w:t>
      </w:r>
    </w:p>
    <w:p>
      <w:pPr>
        <w:spacing w:after="0" w:line="159" w:lineRule="exact"/>
        <w:rPr>
          <w:sz w:val="20"/>
          <w:szCs w:val="20"/>
          <w:color w:val="auto"/>
        </w:rPr>
      </w:pPr>
    </w:p>
    <w:p>
      <w:pPr>
        <w:jc w:val="both"/>
        <w:ind w:left="-460" w:right="640" w:firstLine="1280"/>
        <w:spacing w:after="0" w:line="257" w:lineRule="auto"/>
        <w:tabs>
          <w:tab w:leader="none" w:pos="1469"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Borrowers’ Request</w:t>
      </w:r>
      <w:r>
        <w:rPr>
          <w:rFonts w:ascii="Times New Roman" w:cs="Times New Roman" w:eastAsia="Times New Roman" w:hAnsi="Times New Roman"/>
          <w:sz w:val="21"/>
          <w:szCs w:val="21"/>
          <w:color w:val="auto"/>
        </w:rPr>
        <w:t>. Subject to the terms and conditions set forth herein, the Borrowers may</w:t>
      </w:r>
      <w:r>
        <w:rPr>
          <w:rFonts w:ascii="Times New Roman" w:cs="Times New Roman" w:eastAsia="Times New Roman" w:hAnsi="Times New Roman"/>
          <w:sz w:val="21"/>
          <w:szCs w:val="21"/>
          <w:u w:val="single" w:color="auto"/>
          <w:color w:val="0000FF"/>
          <w:highlight w:val="lightGray"/>
        </w:rPr>
        <w:t>,</w:t>
      </w:r>
      <w:r>
        <w:rPr>
          <w:rFonts w:ascii="Times New Roman" w:cs="Times New Roman" w:eastAsia="Times New Roman" w:hAnsi="Times New Roman"/>
          <w:sz w:val="21"/>
          <w:szCs w:val="21"/>
          <w:color w:val="auto"/>
        </w:rPr>
        <w:t xml:space="preserve"> by written notice to the Administrative Agent, and, with respect to any Incremental Increase to be provided by an Additional Lender, with the consent of each Issuing Bank, elect to request at any time and from time to time (but not more than three times in any calendar year</w:t>
      </w:r>
      <w:r>
        <w:rPr>
          <w:rFonts w:ascii="Times New Roman" w:cs="Times New Roman" w:eastAsia="Times New Roman" w:hAnsi="Times New Roman"/>
          <w:sz w:val="21"/>
          <w:szCs w:val="21"/>
          <w:u w:val="single" w:color="auto"/>
          <w:color w:val="0000FF"/>
          <w:highlight w:val="lightGray"/>
        </w:rPr>
        <w:t>, or, in the case of the calendar year ending December 31, 2024,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not more than three times following the Sixth Amendment Effective Date</w:t>
      </w:r>
      <w:r>
        <w:rPr>
          <w:rFonts w:ascii="Times New Roman" w:cs="Times New Roman" w:eastAsia="Times New Roman" w:hAnsi="Times New Roman"/>
          <w:sz w:val="21"/>
          <w:szCs w:val="21"/>
          <w:color w:val="000000"/>
          <w:highlight w:val="lightGray"/>
        </w:rPr>
        <w: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on or after the Fourth Amendment</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FF0000"/>
          <w:strike w:val="1"/>
        </w:rPr>
        <w:t>Effective Date but prior to the Maturity Date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 increase to the aggregate Performance LC Commitments and/or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Revolving Credit Commitments (each such increase, an “</w:t>
      </w:r>
      <w:r>
        <w:rPr>
          <w:rFonts w:ascii="Times New Roman" w:cs="Times New Roman" w:eastAsia="Times New Roman" w:hAnsi="Times New Roman"/>
          <w:sz w:val="21"/>
          <w:szCs w:val="21"/>
          <w:u w:val="single" w:color="auto"/>
          <w:color w:val="000000"/>
        </w:rPr>
        <w:t>Incremental Increase</w:t>
      </w:r>
      <w:r>
        <w:rPr>
          <w:rFonts w:ascii="Times New Roman" w:cs="Times New Roman" w:eastAsia="Times New Roman" w:hAnsi="Times New Roman"/>
          <w:sz w:val="21"/>
          <w:szCs w:val="21"/>
          <w:color w:val="000000"/>
        </w:rPr>
        <w:t>”; each additional commitment provided in respect of the Performance LC Commitments pursuant to such Incremental Increase, an “</w:t>
      </w:r>
      <w:r>
        <w:rPr>
          <w:rFonts w:ascii="Times New Roman" w:cs="Times New Roman" w:eastAsia="Times New Roman" w:hAnsi="Times New Roman"/>
          <w:sz w:val="21"/>
          <w:szCs w:val="21"/>
          <w:u w:val="single" w:color="auto"/>
          <w:color w:val="000000"/>
        </w:rPr>
        <w:t>Incremental</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Performance LC Commitment</w:t>
      </w:r>
      <w:r>
        <w:rPr>
          <w:rFonts w:ascii="Times New Roman" w:cs="Times New Roman" w:eastAsia="Times New Roman" w:hAnsi="Times New Roman"/>
          <w:sz w:val="21"/>
          <w:szCs w:val="21"/>
          <w:color w:val="000000"/>
        </w:rPr>
        <w:t>”; and each additional commitment provided in respect of the Revolving Credit Commitments, an “</w:t>
      </w:r>
      <w:r>
        <w:rPr>
          <w:rFonts w:ascii="Times New Roman" w:cs="Times New Roman" w:eastAsia="Times New Roman" w:hAnsi="Times New Roman"/>
          <w:sz w:val="21"/>
          <w:szCs w:val="21"/>
          <w:u w:val="single" w:color="auto"/>
          <w:color w:val="000000"/>
        </w:rPr>
        <w:t>Incremental Revolving Credit Commitment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w:t>
      </w:r>
      <w:r>
        <w:rPr>
          <w:rFonts w:ascii="Times New Roman" w:cs="Times New Roman" w:eastAsia="Times New Roman" w:hAnsi="Times New Roman"/>
          <w:sz w:val="21"/>
          <w:szCs w:val="21"/>
          <w:color w:val="FF0000"/>
          <w:strike w:val="1"/>
        </w:rPr>
        <w:t>(i)</w:t>
      </w:r>
      <w:r>
        <w:rPr>
          <w:rFonts w:ascii="Times New Roman" w:cs="Times New Roman" w:eastAsia="Times New Roman" w:hAnsi="Times New Roman"/>
          <w:sz w:val="21"/>
          <w:szCs w:val="21"/>
          <w:u w:val="single" w:color="auto"/>
          <w:color w:val="0000FF"/>
          <w:highlight w:val="lightGray"/>
        </w:rPr>
        <w:t>after giving effect to all such</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highlight w:val="lightGray"/>
        </w:rPr>
        <w:t>Incremental Increases, the Aggregate Commitments shall not exceed $1,000,000,000 (the incremental availability under this proviso being the “Available Incremental Amount”)</w:t>
      </w:r>
      <w:r>
        <w:rPr>
          <w:rFonts w:ascii="Times New Roman" w:cs="Times New Roman" w:eastAsia="Times New Roman" w:hAnsi="Times New Roman"/>
          <w:sz w:val="21"/>
          <w:szCs w:val="21"/>
          <w:color w:val="FF0000"/>
          <w:strike w:val="1"/>
        </w:rPr>
        <w:t>the aggregate amount of all Incremental Increases</w:t>
      </w:r>
      <w:r>
        <w:rPr>
          <w:rFonts w:ascii="Times New Roman" w:cs="Times New Roman" w:eastAsia="Times New Roman" w:hAnsi="Times New Roman"/>
          <w:sz w:val="21"/>
          <w:szCs w:val="21"/>
          <w:u w:val="single" w:color="auto"/>
          <w:color w:val="0000FF"/>
          <w:highlight w:val="lightGray"/>
        </w:rPr>
        <w:t xml:space="preserve"> </w:t>
      </w:r>
      <w:r>
        <w:rPr>
          <w:rFonts w:ascii="Times New Roman" w:cs="Times New Roman" w:eastAsia="Times New Roman" w:hAnsi="Times New Roman"/>
          <w:sz w:val="21"/>
          <w:szCs w:val="21"/>
          <w:color w:val="FF0000"/>
          <w:strike w:val="1"/>
        </w:rPr>
        <w:t>provided on or after the Fourth Amendment Effective Date under this Agreement shall not exceed $200,000,000 (such amount, the “Incremental Increase Cap”); (ii) the aggregate amount of Incremental Performance LC Commitments that may be requested to be provided on the Fourth Amendment Effective Date shall not exceed $50,000,000; and (iii) no Incremental Revolving Credit Commitments shall be made available to the Borrowers until the aggregate outstanding principal amount of the Senior Secured Notes or any Permitted Refinancing Indebtedness in respect thereof (other than such Permitted Refinancing Indebtedness that is unsecured) is less than or equal to $200,000,000</w:t>
      </w:r>
      <w:r>
        <w:rPr>
          <w:rFonts w:ascii="Times New Roman" w:cs="Times New Roman" w:eastAsia="Times New Roman" w:hAnsi="Times New Roman"/>
          <w:sz w:val="21"/>
          <w:szCs w:val="21"/>
          <w:color w:val="000000"/>
          <w:strike w:val="1"/>
        </w:rPr>
        <w:t>. Each such notice shall specify (A) the date on which the Borrowers propose that the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applicable Incremental Increase shall be effective, which shall be a date not less than ten (10) Business Days (or such shorter period as may be agreed by the Administrative Agent) after the date on which such notice is delivered to the Administrative Agent and (B) the identity of each Person to whom the Borrowers propose any portion of such Incremental Increase be allocated and the amount of the corresponding Incremental Performance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120"/>
          </w:cols>
          <w:pgMar w:left="1440" w:top="1414" w:right="339" w:bottom="1440" w:gutter="0" w:footer="0" w:header="0"/>
        </w:sectPr>
      </w:pPr>
    </w:p>
    <w:bookmarkStart w:id="6" w:name="page7"/>
    <w:bookmarkEnd w:id="6"/>
    <w:p>
      <w:pPr>
        <w:jc w:val="both"/>
        <w:ind w:left="640" w:right="640"/>
        <w:spacing w:after="0" w:line="259" w:lineRule="auto"/>
        <w:rPr>
          <w:sz w:val="20"/>
          <w:szCs w:val="20"/>
          <w:color w:val="auto"/>
        </w:rPr>
      </w:pPr>
      <w:r>
        <w:rPr>
          <w:rFonts w:ascii="Times New Roman" w:cs="Times New Roman" w:eastAsia="Times New Roman" w:hAnsi="Times New Roman"/>
          <w:sz w:val="21"/>
          <w:szCs w:val="21"/>
          <w:color w:val="auto"/>
        </w:rPr>
        <w:t xml:space="preserve">Commitment and/or Incremental Revolving Credit Commitment of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u w:val="single" w:color="auto"/>
          <w:color w:val="0000FF"/>
          <w:highlight w:val="lightGray"/>
        </w:rPr>
        <w:t>, further,</w:t>
      </w:r>
      <w:r>
        <w:rPr>
          <w:rFonts w:ascii="Times New Roman" w:cs="Times New Roman" w:eastAsia="Times New Roman" w:hAnsi="Times New Roman"/>
          <w:sz w:val="21"/>
          <w:szCs w:val="21"/>
          <w:color w:val="auto"/>
        </w:rPr>
        <w:t xml:space="preserve"> that (1) any existing Lender approached to provide an Incremental Increase may elect or decline, in its sole discretion, to provide such Incremental Increase (any existing Lender electing to provide an Incremental Increase, an “</w:t>
      </w:r>
      <w:r>
        <w:rPr>
          <w:rFonts w:ascii="Times New Roman" w:cs="Times New Roman" w:eastAsia="Times New Roman" w:hAnsi="Times New Roman"/>
          <w:sz w:val="21"/>
          <w:szCs w:val="21"/>
          <w:u w:val="single" w:color="auto"/>
          <w:color w:val="auto"/>
        </w:rPr>
        <w:t>Increasing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xml:space="preserve">”), (2) any Person approached to provide an Incremental Increase that is not already a Lender shall meet the requirements to be an assignee under </w:t>
      </w:r>
      <w:r>
        <w:rPr>
          <w:rFonts w:ascii="Times New Roman" w:cs="Times New Roman" w:eastAsia="Times New Roman" w:hAnsi="Times New Roman"/>
          <w:sz w:val="21"/>
          <w:szCs w:val="21"/>
          <w:u w:val="single" w:color="auto"/>
          <w:color w:val="auto"/>
        </w:rPr>
        <w:t>Section 12.05(b)</w:t>
      </w:r>
      <w:r>
        <w:rPr>
          <w:rFonts w:ascii="Times New Roman" w:cs="Times New Roman" w:eastAsia="Times New Roman" w:hAnsi="Times New Roman"/>
          <w:sz w:val="21"/>
          <w:szCs w:val="21"/>
          <w:color w:val="auto"/>
        </w:rPr>
        <w:t xml:space="preserve"> (subject to such consents, if any, as may be required under </w:t>
      </w:r>
      <w:r>
        <w:rPr>
          <w:rFonts w:ascii="Times New Roman" w:cs="Times New Roman" w:eastAsia="Times New Roman" w:hAnsi="Times New Roman"/>
          <w:sz w:val="21"/>
          <w:szCs w:val="21"/>
          <w:u w:val="single" w:color="auto"/>
          <w:color w:val="auto"/>
        </w:rPr>
        <w:t>Section 12.05(b)</w:t>
      </w:r>
      <w:r>
        <w:rPr>
          <w:rFonts w:ascii="Times New Roman" w:cs="Times New Roman" w:eastAsia="Times New Roman" w:hAnsi="Times New Roman"/>
          <w:sz w:val="21"/>
          <w:szCs w:val="21"/>
          <w:color w:val="auto"/>
        </w:rPr>
        <w:t xml:space="preserve">) and shall deliver all applicable forms and documents required by </w:t>
      </w:r>
      <w:r>
        <w:rPr>
          <w:rFonts w:ascii="Times New Roman" w:cs="Times New Roman" w:eastAsia="Times New Roman" w:hAnsi="Times New Roman"/>
          <w:sz w:val="21"/>
          <w:szCs w:val="21"/>
          <w:u w:val="single" w:color="auto"/>
          <w:color w:val="auto"/>
        </w:rPr>
        <w:t>clauses (D)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12.05(b)(ii)</w:t>
      </w:r>
      <w:r>
        <w:rPr>
          <w:rFonts w:ascii="Times New Roman" w:cs="Times New Roman" w:eastAsia="Times New Roman" w:hAnsi="Times New Roman"/>
          <w:sz w:val="21"/>
          <w:szCs w:val="21"/>
          <w:color w:val="auto"/>
        </w:rPr>
        <w:t xml:space="preserve"> (any such Person agreeing to provide all or any portion of an Incremental Increase that is not already a Lender, an “</w:t>
      </w:r>
      <w:r>
        <w:rPr>
          <w:rFonts w:ascii="Times New Roman" w:cs="Times New Roman" w:eastAsia="Times New Roman" w:hAnsi="Times New Roman"/>
          <w:sz w:val="21"/>
          <w:szCs w:val="21"/>
          <w:u w:val="single" w:color="auto"/>
          <w:color w:val="auto"/>
        </w:rPr>
        <w:t>Additional Lender</w:t>
      </w:r>
      <w:r>
        <w:rPr>
          <w:rFonts w:ascii="Times New Roman" w:cs="Times New Roman" w:eastAsia="Times New Roman" w:hAnsi="Times New Roman"/>
          <w:sz w:val="21"/>
          <w:szCs w:val="21"/>
          <w:color w:val="auto"/>
        </w:rPr>
        <w:t xml:space="preserve">”), (3) if any Increasing Lender is providing an Incremental Increase, then the Borrowers and such Increasing Lender shall execute an Increasing Lender Supplement, and (D) if any Additional Lender is providing an Incremental Increase, then the Borrowers and such Additional Lender shall execute an Additional Lender Supplement. Each Incremental Increase shall be in an aggregate amount of $5,000,000 or any whole multiple of $1,000,000 in excess thereof </w:t>
      </w:r>
      <w:r>
        <w:rPr>
          <w:rFonts w:ascii="Times New Roman" w:cs="Times New Roman" w:eastAsia="Times New Roman" w:hAnsi="Times New Roman"/>
          <w:sz w:val="21"/>
          <w:szCs w:val="21"/>
          <w:u w:val="single" w:color="auto"/>
          <w:color w:val="0000FF"/>
          <w:highlight w:val="lightGray"/>
        </w:rPr>
        <w:t>unless otherwise agreed by the Administrative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highlight w:val="lightGray"/>
        </w:rPr>
        <w:t>Agent and the Borrowers</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that the amount of an Incremental Increase may be less than $5,000,000 if such</w:t>
      </w:r>
      <w:r>
        <w:rPr>
          <w:rFonts w:ascii="Times New Roman" w:cs="Times New Roman" w:eastAsia="Times New Roman" w:hAnsi="Times New Roman"/>
          <w:sz w:val="21"/>
          <w:szCs w:val="21"/>
          <w:color w:val="0000FF"/>
          <w:highlight w:val="lightGray"/>
        </w:rPr>
        <w:t xml:space="preserve"> </w:t>
      </w:r>
      <w:r>
        <w:rPr>
          <w:rFonts w:ascii="Times New Roman" w:cs="Times New Roman" w:eastAsia="Times New Roman" w:hAnsi="Times New Roman"/>
          <w:sz w:val="21"/>
          <w:szCs w:val="21"/>
          <w:color w:val="000000"/>
        </w:rPr>
        <w:t xml:space="preserve">amount represents </w:t>
      </w:r>
      <w:r>
        <w:rPr>
          <w:rFonts w:ascii="Times New Roman" w:cs="Times New Roman" w:eastAsia="Times New Roman" w:hAnsi="Times New Roman"/>
          <w:sz w:val="21"/>
          <w:szCs w:val="21"/>
          <w:u w:val="single" w:color="auto"/>
          <w:color w:val="0000FF"/>
          <w:highlight w:val="lightGray"/>
        </w:rPr>
        <w:t>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all</w:t>
      </w:r>
      <w:r>
        <w:rPr>
          <w:rFonts w:ascii="Times New Roman" w:cs="Times New Roman" w:eastAsia="Times New Roman" w:hAnsi="Times New Roman"/>
          <w:sz w:val="21"/>
          <w:szCs w:val="21"/>
          <w:color w:val="000000"/>
        </w:rPr>
        <w:t xml:space="preserve"> remaining availability under </w:t>
      </w:r>
      <w:r>
        <w:rPr>
          <w:rFonts w:ascii="Times New Roman" w:cs="Times New Roman" w:eastAsia="Times New Roman" w:hAnsi="Times New Roman"/>
          <w:sz w:val="21"/>
          <w:szCs w:val="21"/>
          <w:u w:val="single" w:color="auto"/>
          <w:color w:val="0000FF"/>
          <w:highlight w:val="lightGray"/>
        </w:rPr>
        <w:t>the Available Incremental Amount</w:t>
      </w:r>
      <w:r>
        <w:rPr>
          <w:rFonts w:ascii="Times New Roman" w:cs="Times New Roman" w:eastAsia="Times New Roman" w:hAnsi="Times New Roman"/>
          <w:sz w:val="21"/>
          <w:szCs w:val="21"/>
          <w:color w:val="FF0000"/>
          <w:strike w:val="1"/>
        </w:rPr>
        <w:t>the Incremental Increase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Cap</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32" w:lineRule="exact"/>
        <w:rPr>
          <w:sz w:val="20"/>
          <w:szCs w:val="20"/>
          <w:color w:val="auto"/>
        </w:rPr>
      </w:pPr>
    </w:p>
    <w:p>
      <w:pPr>
        <w:ind w:left="1920" w:hanging="644"/>
        <w:spacing w:after="0"/>
        <w:tabs>
          <w:tab w:leader="none" w:pos="1920"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new section 4.13(d) is hereby added to the Existing Credit Agreement as set forth below:</w:t>
      </w:r>
    </w:p>
    <w:p>
      <w:pPr>
        <w:spacing w:after="0" w:line="228" w:lineRule="exact"/>
        <w:rPr>
          <w:rFonts w:ascii="Times New Roman" w:cs="Times New Roman" w:eastAsia="Times New Roman" w:hAnsi="Times New Roman"/>
          <w:sz w:val="21"/>
          <w:szCs w:val="21"/>
          <w:color w:val="auto"/>
        </w:rPr>
      </w:pPr>
    </w:p>
    <w:p>
      <w:pPr>
        <w:jc w:val="both"/>
        <w:ind w:left="640" w:right="640" w:firstLine="1280"/>
        <w:spacing w:after="0" w:line="259" w:lineRule="auto"/>
        <w:tabs>
          <w:tab w:leader="none" w:pos="2259" w:val="left"/>
        </w:tabs>
        <w:numPr>
          <w:ilvl w:val="2"/>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w:t>
      </w:r>
      <w:r>
        <w:rPr>
          <w:rFonts w:ascii="Times New Roman" w:cs="Times New Roman" w:eastAsia="Times New Roman" w:hAnsi="Times New Roman"/>
          <w:sz w:val="21"/>
          <w:szCs w:val="21"/>
          <w:color w:val="auto"/>
        </w:rPr>
        <w:t xml:space="preserve">. The aggregate outstanding Loans and LC Exposure will be reallocated by the Administrative Agent on the applicable Increase Effective Date among the Lenders (including the Additional Lenders and/or Increasing Lenders providing such Incremental Increase) in accordance with their applicable Commitments (and the Lenders (including the Additional Lenders and/or Increasing Lenders providing such Incremental Increase) agree to make all payments and adjustments necessary to effect such reallocation, provided that, for the avoidance of doubt, the Borrowers shall not be required to pay any costs pursuant to </w:t>
      </w:r>
      <w:r>
        <w:rPr>
          <w:rFonts w:ascii="Times New Roman" w:cs="Times New Roman" w:eastAsia="Times New Roman" w:hAnsi="Times New Roman"/>
          <w:sz w:val="21"/>
          <w:szCs w:val="21"/>
          <w:u w:val="single" w:color="auto"/>
          <w:color w:val="auto"/>
        </w:rPr>
        <w:t>Section 4.07</w:t>
      </w:r>
      <w:r>
        <w:rPr>
          <w:rFonts w:ascii="Times New Roman" w:cs="Times New Roman" w:eastAsia="Times New Roman" w:hAnsi="Times New Roman"/>
          <w:sz w:val="21"/>
          <w:szCs w:val="21"/>
          <w:color w:val="auto"/>
        </w:rPr>
        <w:t xml:space="preserve"> in connection with such reallocation), and the Fronting Commitment, if any, Applicable Percentage (Total), Performance LC Commitment, Applicable Percentage (LCs) – Performance LCs, Revolving Credit Commitment, Applicable Percentage (Loans) and Applicable Percentage (LCs) – Revolving LCs of each Lender after giving effect to such Incremental Increase and reallocation shall be set forth on a revised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which the Administrative Agent agrees to deliver to the Lenders and the Borrowers promptly following the applicable Increase Effective Date.</w:t>
      </w:r>
    </w:p>
    <w:p>
      <w:pPr>
        <w:spacing w:after="0" w:line="200" w:lineRule="exact"/>
        <w:rPr>
          <w:rFonts w:ascii="Times New Roman" w:cs="Times New Roman" w:eastAsia="Times New Roman" w:hAnsi="Times New Roman"/>
          <w:sz w:val="21"/>
          <w:szCs w:val="21"/>
          <w:color w:val="auto"/>
        </w:rPr>
      </w:pPr>
    </w:p>
    <w:p>
      <w:pPr>
        <w:spacing w:after="0" w:line="234" w:lineRule="exact"/>
        <w:rPr>
          <w:rFonts w:ascii="Times New Roman" w:cs="Times New Roman" w:eastAsia="Times New Roman" w:hAnsi="Times New Roman"/>
          <w:sz w:val="21"/>
          <w:szCs w:val="21"/>
          <w:color w:val="auto"/>
        </w:rPr>
      </w:pPr>
    </w:p>
    <w:p>
      <w:pPr>
        <w:ind w:left="-20" w:firstLine="652"/>
        <w:spacing w:after="0" w:line="291" w:lineRule="auto"/>
        <w:tabs>
          <w:tab w:leader="none" w:pos="126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Precedent</w:t>
      </w:r>
      <w:r>
        <w:rPr>
          <w:rFonts w:ascii="Times New Roman" w:cs="Times New Roman" w:eastAsia="Times New Roman" w:hAnsi="Times New Roman"/>
          <w:sz w:val="21"/>
          <w:szCs w:val="21"/>
          <w:color w:val="auto"/>
        </w:rPr>
        <w:t>. The effectiveness of this Amendment is subject to the satisfaction, or waiver, of each of the following conditions (the date of the satisfaction or waiver of all such conditions, the “</w:t>
      </w:r>
      <w:r>
        <w:rPr>
          <w:rFonts w:ascii="Times New Roman" w:cs="Times New Roman" w:eastAsia="Times New Roman" w:hAnsi="Times New Roman"/>
          <w:sz w:val="21"/>
          <w:szCs w:val="21"/>
          <w:u w:val="single" w:color="auto"/>
          <w:color w:val="auto"/>
        </w:rPr>
        <w:t>Sixth Amendment Effective Date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40" w:top="1414" w:right="339" w:bottom="1440" w:gutter="0" w:footer="0" w:header="0"/>
        </w:sectPr>
      </w:pPr>
    </w:p>
    <w:bookmarkStart w:id="7" w:name="page8"/>
    <w:bookmarkEnd w:id="7"/>
    <w:p>
      <w:pPr>
        <w:ind w:left="660" w:firstLine="636"/>
        <w:spacing w:after="0" w:line="291" w:lineRule="auto"/>
        <w:tabs>
          <w:tab w:leader="none" w:pos="194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duly executed counterparts of this Amendment from Parent, each of the Borrowers, the Administrative Agent and Lenders constituting at least the Required Lenders.</w:t>
      </w:r>
    </w:p>
    <w:p>
      <w:pPr>
        <w:spacing w:after="0" w:line="139" w:lineRule="exact"/>
        <w:rPr>
          <w:rFonts w:ascii="Times New Roman" w:cs="Times New Roman" w:eastAsia="Times New Roman" w:hAnsi="Times New Roman"/>
          <w:sz w:val="21"/>
          <w:szCs w:val="21"/>
          <w:color w:val="auto"/>
        </w:rPr>
      </w:pPr>
    </w:p>
    <w:p>
      <w:pPr>
        <w:jc w:val="both"/>
        <w:ind w:left="660" w:firstLine="636"/>
        <w:spacing w:after="0" w:line="278" w:lineRule="auto"/>
        <w:tabs>
          <w:tab w:leader="none" w:pos="1944"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shall have paid to the extent invoiced at or before 1:00 p.m., New York City time, on the Business Day immediately prior to the Sixth Amendment Effective Date, all reasonable and documented out-of-pocket expenses required to be reimbursed or paid by the Borrowers pursuant to Section 12.03 of the Credit Agreement.</w:t>
      </w:r>
    </w:p>
    <w:p>
      <w:pPr>
        <w:spacing w:after="0" w:line="153" w:lineRule="exact"/>
        <w:rPr>
          <w:rFonts w:ascii="Times New Roman" w:cs="Times New Roman" w:eastAsia="Times New Roman" w:hAnsi="Times New Roman"/>
          <w:sz w:val="21"/>
          <w:szCs w:val="21"/>
          <w:color w:val="auto"/>
        </w:rPr>
      </w:pPr>
    </w:p>
    <w:p>
      <w:pPr>
        <w:ind w:left="660" w:firstLine="636"/>
        <w:spacing w:after="0" w:line="291" w:lineRule="auto"/>
        <w:tabs>
          <w:tab w:leader="none" w:pos="194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set forth in Section 4(a) shall be true and correct and no Default or Event of Default shall have occurred and be continuing, in each case, as of the Sixth Amendment Effective Date.</w:t>
      </w:r>
    </w:p>
    <w:p>
      <w:pPr>
        <w:spacing w:after="0" w:line="139" w:lineRule="exact"/>
        <w:rPr>
          <w:rFonts w:ascii="Times New Roman" w:cs="Times New Roman" w:eastAsia="Times New Roman" w:hAnsi="Times New Roman"/>
          <w:sz w:val="21"/>
          <w:szCs w:val="21"/>
          <w:color w:val="auto"/>
        </w:rPr>
      </w:pPr>
    </w:p>
    <w:p>
      <w:pPr>
        <w:ind w:left="660" w:firstLine="636"/>
        <w:spacing w:after="0" w:line="304" w:lineRule="auto"/>
        <w:tabs>
          <w:tab w:leader="none" w:pos="1944"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a certificate of a Responsible Officer of Parent, dated as of the Sixth Amendment Effective Date, certifying as to the matters set forth in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or the waiver of such conditions as permitted hereby. Such declaration shall be final, conclusive and binding upon all parties to the Credit Agreement (including as amended hereby) for all purposes.</w:t>
      </w:r>
    </w:p>
    <w:p>
      <w:pPr>
        <w:spacing w:after="0" w:line="168" w:lineRule="exact"/>
        <w:rPr>
          <w:sz w:val="20"/>
          <w:szCs w:val="20"/>
          <w:color w:val="auto"/>
        </w:rPr>
      </w:pPr>
    </w:p>
    <w:p>
      <w:pPr>
        <w:ind w:firstLine="652"/>
        <w:spacing w:after="0" w:line="304" w:lineRule="auto"/>
        <w:tabs>
          <w:tab w:leader="none" w:pos="128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Parent and each of the Borrowers represents and warrants to the Administrative Agent and the Lenders that, as of the Sixth Amendment Effective Date:</w:t>
      </w:r>
    </w:p>
    <w:p>
      <w:pPr>
        <w:spacing w:after="0" w:line="126" w:lineRule="exact"/>
        <w:rPr>
          <w:rFonts w:ascii="Times New Roman" w:cs="Times New Roman" w:eastAsia="Times New Roman" w:hAnsi="Times New Roman"/>
          <w:sz w:val="21"/>
          <w:szCs w:val="21"/>
          <w:color w:val="auto"/>
        </w:rPr>
      </w:pPr>
    </w:p>
    <w:p>
      <w:pPr>
        <w:jc w:val="both"/>
        <w:ind w:left="660" w:firstLine="636"/>
        <w:spacing w:after="0" w:line="261" w:lineRule="auto"/>
        <w:tabs>
          <w:tab w:leader="none" w:pos="1945"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set forth in Article VII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74"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 as of such date; and</w:t>
      </w:r>
    </w:p>
    <w:p>
      <w:pPr>
        <w:spacing w:after="0" w:line="228" w:lineRule="exact"/>
        <w:rPr>
          <w:rFonts w:ascii="Times New Roman" w:cs="Times New Roman" w:eastAsia="Times New Roman" w:hAnsi="Times New Roman"/>
          <w:sz w:val="21"/>
          <w:szCs w:val="21"/>
          <w:color w:val="auto"/>
        </w:rPr>
      </w:pPr>
    </w:p>
    <w:p>
      <w:pPr>
        <w:jc w:val="both"/>
        <w:ind w:left="660" w:firstLine="636"/>
        <w:spacing w:after="0" w:line="278" w:lineRule="auto"/>
        <w:tabs>
          <w:tab w:leader="none" w:pos="1945"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constitutes the legal, valid and binding obligation of each of the Obligors party hereto, enforceable against each such Obligor in accordance with its terms, except as enforceability may be limited by applicable bankruptcy,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14" w:right="339" w:bottom="1440" w:gutter="0" w:footer="0" w:header="0"/>
        </w:sectPr>
      </w:pPr>
    </w:p>
    <w:bookmarkStart w:id="8" w:name="page9"/>
    <w:bookmarkEnd w:id="8"/>
    <w:p>
      <w:pPr>
        <w:ind w:left="8" w:right="20"/>
        <w:spacing w:after="0" w:line="291" w:lineRule="auto"/>
        <w:rPr>
          <w:sz w:val="20"/>
          <w:szCs w:val="20"/>
          <w:color w:val="auto"/>
        </w:rPr>
      </w:pPr>
      <w:r>
        <w:rPr>
          <w:rFonts w:ascii="Times New Roman" w:cs="Times New Roman" w:eastAsia="Times New Roman" w:hAnsi="Times New Roman"/>
          <w:sz w:val="21"/>
          <w:szCs w:val="21"/>
          <w:color w:val="auto"/>
        </w:rPr>
        <w:t>rescue process or similar laws affecting the enforcement of creditors’ rights generally or by equitable principles of general applicability.</w:t>
      </w:r>
    </w:p>
    <w:p>
      <w:pPr>
        <w:spacing w:after="0" w:line="139" w:lineRule="exact"/>
        <w:rPr>
          <w:sz w:val="20"/>
          <w:szCs w:val="20"/>
          <w:color w:val="auto"/>
        </w:rPr>
      </w:pPr>
    </w:p>
    <w:p>
      <w:pPr>
        <w:ind w:left="648" w:hanging="648"/>
        <w:spacing w:after="0"/>
        <w:tabs>
          <w:tab w:leader="none" w:pos="64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Reaffirmation; Reference to and Effect on the Loan Documents</w:t>
      </w:r>
      <w:r>
        <w:rPr>
          <w:rFonts w:ascii="Times New Roman" w:cs="Times New Roman" w:eastAsia="Times New Roman" w:hAnsi="Times New Roman"/>
          <w:sz w:val="21"/>
          <w:szCs w:val="21"/>
          <w:color w:val="auto"/>
          <w:highlight w:val="white"/>
        </w:rPr>
        <w:t>.</w:t>
      </w:r>
    </w:p>
    <w:p>
      <w:pPr>
        <w:spacing w:after="0" w:line="241" w:lineRule="exact"/>
        <w:rPr>
          <w:rFonts w:ascii="Times New Roman" w:cs="Times New Roman" w:eastAsia="Times New Roman" w:hAnsi="Times New Roman"/>
          <w:sz w:val="21"/>
          <w:szCs w:val="21"/>
          <w:color w:val="auto"/>
        </w:rPr>
      </w:pPr>
    </w:p>
    <w:p>
      <w:pPr>
        <w:jc w:val="both"/>
        <w:ind w:left="8" w:firstLine="636"/>
        <w:spacing w:after="0" w:line="265" w:lineRule="auto"/>
        <w:tabs>
          <w:tab w:leader="none" w:pos="1293"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Sixth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spacing w:after="0" w:line="168" w:lineRule="exact"/>
        <w:rPr>
          <w:rFonts w:ascii="Times New Roman" w:cs="Times New Roman" w:eastAsia="Times New Roman" w:hAnsi="Times New Roman"/>
          <w:sz w:val="21"/>
          <w:szCs w:val="21"/>
          <w:color w:val="auto"/>
        </w:rPr>
      </w:pPr>
    </w:p>
    <w:p>
      <w:pPr>
        <w:ind w:left="8" w:firstLine="636"/>
        <w:spacing w:after="0" w:line="304" w:lineRule="auto"/>
        <w:tabs>
          <w:tab w:leader="none" w:pos="1292"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Documents, and the obligations of the Borrowers and the Obligors under the Loan Documents, are hereby ratified and confirmed and shall remain in full force and effect according to their terms.</w:t>
      </w:r>
    </w:p>
    <w:p>
      <w:pPr>
        <w:spacing w:after="0" w:line="126" w:lineRule="exact"/>
        <w:rPr>
          <w:rFonts w:ascii="Times New Roman" w:cs="Times New Roman" w:eastAsia="Times New Roman" w:hAnsi="Times New Roman"/>
          <w:sz w:val="21"/>
          <w:szCs w:val="21"/>
          <w:color w:val="auto"/>
        </w:rPr>
      </w:pPr>
    </w:p>
    <w:p>
      <w:pPr>
        <w:jc w:val="both"/>
        <w:ind w:left="8" w:firstLine="636"/>
        <w:spacing w:after="0" w:line="259" w:lineRule="auto"/>
        <w:tabs>
          <w:tab w:leader="none" w:pos="1293"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and the Borrowers, on their own behalf and on behalf of each other Obligor that is a Subsidiary thereof, (i) acknowledges and consents to all of the terms and conditions of this Amendment, (ii) affirms all of its obligations under the Loan Documents, including the Guaranty Agreements,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 (v) confirms its grant of security interests pursuant to the Collateral Documents to which it is a party as Collateral for the Secured Obligations and (vi) acknowledges that all Liens granted (or purported to be granted) by it pursuant to the Loan Documents remain and continue in full force and effect in respect of, and to secure, the Secured Obligations.</w:t>
      </w:r>
    </w:p>
    <w:p>
      <w:pPr>
        <w:spacing w:after="0" w:line="177" w:lineRule="exact"/>
        <w:rPr>
          <w:rFonts w:ascii="Times New Roman" w:cs="Times New Roman" w:eastAsia="Times New Roman" w:hAnsi="Times New Roman"/>
          <w:sz w:val="21"/>
          <w:szCs w:val="21"/>
          <w:color w:val="auto"/>
        </w:rPr>
      </w:pPr>
    </w:p>
    <w:p>
      <w:pPr>
        <w:jc w:val="both"/>
        <w:ind w:left="8" w:firstLine="636"/>
        <w:spacing w:after="0" w:line="278" w:lineRule="auto"/>
        <w:tabs>
          <w:tab w:leader="none" w:pos="1292"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53" w:lineRule="exact"/>
        <w:rPr>
          <w:rFonts w:ascii="Times New Roman" w:cs="Times New Roman" w:eastAsia="Times New Roman" w:hAnsi="Times New Roman"/>
          <w:sz w:val="21"/>
          <w:szCs w:val="21"/>
          <w:color w:val="auto"/>
        </w:rPr>
      </w:pPr>
    </w:p>
    <w:p>
      <w:pPr>
        <w:ind w:left="8" w:firstLine="636"/>
        <w:spacing w:after="0" w:line="291" w:lineRule="auto"/>
        <w:tabs>
          <w:tab w:leader="none" w:pos="1293"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conflict between the terms of this Amendment and the terms of the Credit Agreement or the other Loan Documents, the terms hereof shall control.</w:t>
      </w:r>
    </w:p>
    <w:p>
      <w:pPr>
        <w:spacing w:after="0" w:line="139" w:lineRule="exact"/>
        <w:rPr>
          <w:rFonts w:ascii="Times New Roman" w:cs="Times New Roman" w:eastAsia="Times New Roman" w:hAnsi="Times New Roman"/>
          <w:sz w:val="21"/>
          <w:szCs w:val="21"/>
          <w:color w:val="auto"/>
        </w:rPr>
      </w:pPr>
    </w:p>
    <w:p>
      <w:pPr>
        <w:ind w:left="648" w:hanging="648"/>
        <w:spacing w:after="0"/>
        <w:tabs>
          <w:tab w:leader="none" w:pos="64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Jurisdiction; Consent to Service of Process; Waiver of Jury Trial, Etc</w:t>
      </w:r>
      <w:r>
        <w:rPr>
          <w:rFonts w:ascii="Times New Roman" w:cs="Times New Roman" w:eastAsia="Times New Roman" w:hAnsi="Times New Roman"/>
          <w:sz w:val="21"/>
          <w:szCs w:val="21"/>
          <w:color w:val="auto"/>
        </w:rPr>
        <w:t>.</w:t>
      </w:r>
    </w:p>
    <w:p>
      <w:pPr>
        <w:spacing w:after="0" w:line="241" w:lineRule="exact"/>
        <w:rPr>
          <w:rFonts w:ascii="Times New Roman" w:cs="Times New Roman" w:eastAsia="Times New Roman" w:hAnsi="Times New Roman"/>
          <w:sz w:val="21"/>
          <w:szCs w:val="21"/>
          <w:color w:val="auto"/>
        </w:rPr>
      </w:pPr>
    </w:p>
    <w:p>
      <w:pPr>
        <w:jc w:val="both"/>
        <w:ind w:left="8" w:firstLine="636"/>
        <w:spacing w:after="0" w:line="272" w:lineRule="auto"/>
        <w:tabs>
          <w:tab w:leader="none" w:pos="1293"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construed in accordance with and governed by the law of the State of New York (whether based on contract, tort or otherwise and in law or equity), without regard to conflict of laws principles thereof to the extent such principles would cause the application of the law of another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928"/>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588"/>
          </w:cols>
          <w:pgMar w:left="972" w:top="1414" w:right="339" w:bottom="1440" w:gutter="0" w:footer="0" w:header="0"/>
        </w:sectPr>
      </w:pPr>
    </w:p>
    <w:bookmarkStart w:id="9" w:name="page10"/>
    <w:bookmarkEnd w:id="9"/>
    <w:p>
      <w:pPr>
        <w:jc w:val="both"/>
        <w:ind w:left="660" w:firstLine="636"/>
        <w:spacing w:after="0" w:line="272" w:lineRule="auto"/>
        <w:tabs>
          <w:tab w:leader="none" w:pos="1944"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AGREES AS SET FORTH IN SECTION 12.15 (SUBMISSION TO JURISDICTION; CONSENT TO SERVICE OF PROCESS) AND SECTION 12.16 (WAIVER OF JURY TRIAL) OF THE CREDIT AGREEMENT AS IF SUCH SECTIONS WERE SET FORTH IN FULL HEREIN.</w:t>
      </w:r>
    </w:p>
    <w:p>
      <w:pPr>
        <w:spacing w:after="0" w:line="172" w:lineRule="exact"/>
        <w:rPr>
          <w:rFonts w:ascii="Times New Roman" w:cs="Times New Roman" w:eastAsia="Times New Roman" w:hAnsi="Times New Roman"/>
          <w:sz w:val="21"/>
          <w:szCs w:val="21"/>
          <w:color w:val="auto"/>
        </w:rPr>
      </w:pPr>
    </w:p>
    <w:p>
      <w:pPr>
        <w:jc w:val="both"/>
        <w:ind w:firstLine="652"/>
        <w:spacing w:after="0" w:line="261" w:lineRule="auto"/>
        <w:tabs>
          <w:tab w:leader="none" w:pos="128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Headings; Severability</w:t>
      </w:r>
      <w:r>
        <w:rPr>
          <w:rFonts w:ascii="Times New Roman" w:cs="Times New Roman" w:eastAsia="Times New Roman" w:hAnsi="Times New Roman"/>
          <w:sz w:val="21"/>
          <w:szCs w:val="21"/>
          <w:color w:val="auto"/>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74" w:lineRule="exact"/>
        <w:rPr>
          <w:rFonts w:ascii="Times New Roman" w:cs="Times New Roman" w:eastAsia="Times New Roman" w:hAnsi="Times New Roman"/>
          <w:sz w:val="21"/>
          <w:szCs w:val="21"/>
          <w:color w:val="auto"/>
        </w:rPr>
      </w:pPr>
    </w:p>
    <w:p>
      <w:pPr>
        <w:jc w:val="both"/>
        <w:ind w:firstLine="652"/>
        <w:spacing w:after="0" w:line="258" w:lineRule="auto"/>
        <w:tabs>
          <w:tab w:leader="none" w:pos="128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Execution in Counterparts</w:t>
      </w:r>
      <w:r>
        <w:rPr>
          <w:rFonts w:ascii="Times New Roman" w:cs="Times New Roman" w:eastAsia="Times New Roman" w:hAnsi="Times New Roman"/>
          <w:sz w:val="21"/>
          <w:szCs w:val="21"/>
          <w:color w:val="auto"/>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 .pdf format) shall be effective for all purposes as delivery of a manually executed counterpart of this Amendment to the extent permitted by applicable law. The words “execution”, “signed”, “signature”, “delivery”, and words of like import in or relating to any document to be signed in connection with this Amendment and the Transactions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14" w:right="339" w:bottom="1440" w:gutter="0" w:footer="0" w:header="0"/>
        </w:sectPr>
      </w:pPr>
    </w:p>
    <w:bookmarkStart w:id="10" w:name="page11"/>
    <w:bookmarkEnd w:id="10"/>
    <w:p>
      <w:pPr>
        <w:ind w:firstLine="644"/>
        <w:spacing w:after="0" w:line="277" w:lineRule="auto"/>
        <w:rPr>
          <w:sz w:val="20"/>
          <w:szCs w:val="20"/>
          <w:color w:val="auto"/>
        </w:rPr>
      </w:pPr>
      <w:r>
        <w:rPr>
          <w:rFonts w:ascii="Times New Roman" w:cs="Times New Roman" w:eastAsia="Times New Roman" w:hAnsi="Times New Roman"/>
          <w:sz w:val="21"/>
          <w:szCs w:val="21"/>
          <w:color w:val="auto"/>
        </w:rPr>
        <w:t>Each of the parties hereto has caused a counterpart of this Amendment to be duly executed and delivered as of the date first above written.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LTD.,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Bermuda exempted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726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LLC,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726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CANADA LTD,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Alberta corporation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238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Pamela M. Webb</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WOFS INTERNATIONAL FINANCE GMBH,</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Swiss limited liability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711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13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Mathias Neuenschwander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Officer</w:t>
      </w:r>
    </w:p>
    <w:p>
      <w:pPr>
        <w:sectPr>
          <w:pgSz w:w="11900" w:h="16838" w:orient="portrait"/>
          <w:cols w:equalWidth="0" w:num="1">
            <w:col w:w="11220"/>
          </w:cols>
          <w:pgMar w:left="320" w:top="14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[Signature Page – Sixth Amendment to Amended and Restated Credit Agreement]</w:t>
      </w:r>
    </w:p>
    <w:p>
      <w:pPr>
        <w:sectPr>
          <w:pgSz w:w="11900" w:h="16838" w:orient="portrait"/>
          <w:cols w:equalWidth="0" w:num="1">
            <w:col w:w="11220"/>
          </w:cols>
          <w:pgMar w:left="320" w:top="1400"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726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41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Administrative Agent and a Lender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Kevin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939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Kevin Pang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41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DEUTSCHE BANK AG NEW YORK BRANCH, as a Lender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417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Philip Tancorra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Lauren Danbury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96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Lauren Danbury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DEUTSCHE BANK AG NEW YORK BRANCH, as a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Chandan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969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Chandan Kumar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Anthony Reyna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58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Anthony Reyna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41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BARCLAYS BANK PLC, as a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295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Sydney G. Dennis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387"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CITIBANK, N.A., as a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Derrick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0223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Derrick Lenz</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38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JPMORGAN CHASE BANK, N.A., as a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Sofia Barrera Jaime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381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Sofia Barrera Jaime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387"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Morgan Stanley Senior Funding, Inc., as a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Karina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2725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Karina Rodriguez</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387"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STANDARD CHARTERED BANK, as a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Roy Kuruvilla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083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Roy Kuruvilla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 Leveraged &amp; Acquisition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38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DNB Capital LLC, as a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Andrew J. Shohet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2725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Andrew J. Shohet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SVP &amp; Head of Ocean Industries, North America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Sybille Andaur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28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Sybille Andaur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38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color w:val="auto"/>
        </w:rPr>
        <w:t>ATB FINANCIAL,</w:t>
      </w:r>
    </w:p>
    <w:p>
      <w:pPr>
        <w:spacing w:after="0"/>
        <w:rPr>
          <w:sz w:val="20"/>
          <w:szCs w:val="20"/>
          <w:color w:val="auto"/>
        </w:rPr>
      </w:pPr>
      <w:r>
        <w:rPr>
          <w:rFonts w:ascii="Times New Roman" w:cs="Times New Roman" w:eastAsia="Times New Roman" w:hAnsi="Times New Roman"/>
          <w:sz w:val="21"/>
          <w:szCs w:val="21"/>
          <w:color w:val="auto"/>
        </w:rPr>
        <w:t>as a Lender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Kevin Kynoch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098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Kevin Kynoch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Davinder Jhutty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74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Davinder Jhutty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38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color w:val="auto"/>
        </w:rPr>
        <w:t>WOODFOREST NATIONAL BANK, as a Lender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Wesley Gerren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09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Wesley Gerren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[Signature Page – Sixth Amendment to Amended and Restated Credit Agreement]</w:t>
      </w:r>
    </w:p>
    <w:p>
      <w:pPr>
        <w:sectPr>
          <w:pgSz w:w="11900" w:h="16838" w:orient="portrait"/>
          <w:cols w:equalWidth="0" w:num="1">
            <w:col w:w="10139"/>
          </w:cols>
          <w:pgMar w:left="320" w:top="1387"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LENDER SUPPLEMENT</w:t>
      </w:r>
    </w:p>
    <w:p>
      <w:pPr>
        <w:spacing w:after="0" w:line="232" w:lineRule="exact"/>
        <w:rPr>
          <w:sz w:val="20"/>
          <w:szCs w:val="20"/>
          <w:color w:val="auto"/>
        </w:rPr>
      </w:pPr>
    </w:p>
    <w:p>
      <w:pPr>
        <w:jc w:val="both"/>
        <w:ind w:firstLine="644"/>
        <w:spacing w:after="0" w:line="260" w:lineRule="auto"/>
        <w:rPr>
          <w:sz w:val="20"/>
          <w:szCs w:val="20"/>
          <w:color w:val="auto"/>
        </w:rPr>
      </w:pPr>
      <w:r>
        <w:rPr>
          <w:rFonts w:ascii="Times New Roman" w:cs="Times New Roman" w:eastAsia="Times New Roman" w:hAnsi="Times New Roman"/>
          <w:sz w:val="21"/>
          <w:szCs w:val="21"/>
          <w:color w:val="auto"/>
        </w:rPr>
        <w:t>ADDITIONAL LENDER SUPPLEMENT, dated as of June 6, 2024 (this “</w:t>
      </w:r>
      <w:r>
        <w:rPr>
          <w:rFonts w:ascii="Times New Roman" w:cs="Times New Roman" w:eastAsia="Times New Roman" w:hAnsi="Times New Roman"/>
          <w:sz w:val="21"/>
          <w:szCs w:val="21"/>
          <w:u w:val="single" w:color="auto"/>
          <w:color w:val="auto"/>
        </w:rPr>
        <w:t>Supplement</w:t>
      </w:r>
      <w:r>
        <w:rPr>
          <w:rFonts w:ascii="Times New Roman" w:cs="Times New Roman" w:eastAsia="Times New Roman" w:hAnsi="Times New Roman"/>
          <w:sz w:val="21"/>
          <w:szCs w:val="21"/>
          <w:color w:val="auto"/>
        </w:rPr>
        <w:t>”), by and among each of the signatories hereto, to the Amended and Restated Credit Agreement, dated as of October 17, 2022 (as amended, restated, amended and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among Weatherford International Ltd., a Bermuda exempted company (“</w:t>
      </w: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 Weatherford Canada Ltd., an Alberta corporation (“</w:t>
      </w: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 Weatherford International, LLC, a Delaware limited liability company (“</w:t>
      </w: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 WOFS International Finance GmbH, a Swiss limited liability company (“</w:t>
      </w: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 and, together with WIL-Bermuda, WIL-Canada and WIL-Delaware,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Weatherford International plc, an Irish public limited company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the Lenders from time to time party thereto, Wells Fargo Bank, National Association, as administrative agent for the Lenders, and the Issuing Banks from time to time party thereto. Capitalized terms used but not otherwise defined herein shall have the respective meanings specified therefor in the Credit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 I T N E S S E T H</w:t>
      </w:r>
    </w:p>
    <w:p>
      <w:pPr>
        <w:spacing w:after="0" w:line="228"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 xml:space="preserve">WHEREAS, pursuant to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of the Credit Agreement, the Borrowers have the right, subject to the terms and conditions thereof, to effectuate from time to time an increase in the aggregate Commitments under the Credit Agreement by requesting one or more Persons meeting the qualifications set forth in such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to provide an Incremental Increase;</w:t>
      </w:r>
    </w:p>
    <w:p>
      <w:pPr>
        <w:spacing w:after="0" w:line="154"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 xml:space="preserve">WHEREAS, the Credit Agreement provides in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thereof that any Person providing an Incremental Increase must meet the requirements set forth in such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firstLine="644"/>
        <w:spacing w:after="0" w:line="285" w:lineRule="auto"/>
        <w:rPr>
          <w:sz w:val="20"/>
          <w:szCs w:val="20"/>
          <w:color w:val="auto"/>
        </w:rPr>
      </w:pPr>
      <w:r>
        <w:rPr>
          <w:rFonts w:ascii="Times New Roman" w:cs="Times New Roman" w:eastAsia="Times New Roman" w:hAnsi="Times New Roman"/>
          <w:sz w:val="21"/>
          <w:szCs w:val="21"/>
          <w:color w:val="auto"/>
        </w:rPr>
        <w:t>WHEREAS, immediately prior to giving effect to this Supplement, Arab Banking Corporation (B.S.C.) (“</w:t>
      </w:r>
      <w:r>
        <w:rPr>
          <w:rFonts w:ascii="Times New Roman" w:cs="Times New Roman" w:eastAsia="Times New Roman" w:hAnsi="Times New Roman"/>
          <w:sz w:val="21"/>
          <w:szCs w:val="21"/>
          <w:u w:val="single" w:color="auto"/>
          <w:color w:val="auto"/>
        </w:rPr>
        <w:t>ABC</w:t>
      </w:r>
      <w:r>
        <w:rPr>
          <w:rFonts w:ascii="Times New Roman" w:cs="Times New Roman" w:eastAsia="Times New Roman" w:hAnsi="Times New Roman"/>
          <w:sz w:val="21"/>
          <w:szCs w:val="21"/>
          <w:color w:val="auto"/>
        </w:rPr>
        <w:t>” and the “</w:t>
      </w:r>
      <w:r>
        <w:rPr>
          <w:rFonts w:ascii="Times New Roman" w:cs="Times New Roman" w:eastAsia="Times New Roman" w:hAnsi="Times New Roman"/>
          <w:sz w:val="21"/>
          <w:szCs w:val="21"/>
          <w:u w:val="single" w:color="auto"/>
          <w:color w:val="auto"/>
        </w:rPr>
        <w:t>Additional Lender</w:t>
      </w:r>
      <w:r>
        <w:rPr>
          <w:rFonts w:ascii="Times New Roman" w:cs="Times New Roman" w:eastAsia="Times New Roman" w:hAnsi="Times New Roman"/>
          <w:sz w:val="21"/>
          <w:szCs w:val="21"/>
          <w:color w:val="auto"/>
        </w:rPr>
        <w:t>”) was not a Lender under the Credit Agreement, but now desires to become a party thereto as a Lender thereunder;</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NOW, THEREFORE, each of the parties hereto hereby agrees as follows:</w:t>
      </w:r>
    </w:p>
    <w:p>
      <w:pPr>
        <w:spacing w:after="0" w:line="228" w:lineRule="exact"/>
        <w:rPr>
          <w:sz w:val="20"/>
          <w:szCs w:val="20"/>
          <w:color w:val="auto"/>
        </w:rPr>
      </w:pPr>
    </w:p>
    <w:p>
      <w:pPr>
        <w:jc w:val="both"/>
        <w:ind w:left="1300" w:firstLine="640"/>
        <w:spacing w:after="0" w:line="272" w:lineRule="auto"/>
        <w:tabs>
          <w:tab w:leader="none" w:pos="258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Additional Lender agrees to be bound by the provisions of the Credit Agreement as a Lender thereunder and agrees that it shall, as of the date of this Supplement, become a Lender for all purposes of the Credit Agreement to the same extent as if originally a party thereto, with an aggregate Commitment equal to $40,000,000.</w:t>
      </w:r>
    </w:p>
    <w:p>
      <w:pPr>
        <w:spacing w:after="0" w:line="172" w:lineRule="exact"/>
        <w:rPr>
          <w:rFonts w:ascii="Times New Roman" w:cs="Times New Roman" w:eastAsia="Times New Roman" w:hAnsi="Times New Roman"/>
          <w:sz w:val="21"/>
          <w:szCs w:val="21"/>
          <w:color w:val="auto"/>
        </w:rPr>
      </w:pPr>
    </w:p>
    <w:p>
      <w:pPr>
        <w:jc w:val="both"/>
        <w:ind w:left="1300" w:firstLine="640"/>
        <w:spacing w:after="0" w:line="263" w:lineRule="auto"/>
        <w:tabs>
          <w:tab w:leader="none" w:pos="258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Additional Lender (a) represents and warrants that (i) it has full power and authority, and has taken all action necessary, to execute and deliver this Supplement and to consummate the transactions contemplated hereby and to become a Lender under the Credit Agreement, (ii) it has delivered to Parent and/or the Administrative Agent, as applicable, an Administrative Questionnaire, the forms required under </w:t>
      </w:r>
      <w:r>
        <w:rPr>
          <w:rFonts w:ascii="Times New Roman" w:cs="Times New Roman" w:eastAsia="Times New Roman" w:hAnsi="Times New Roman"/>
          <w:sz w:val="21"/>
          <w:szCs w:val="21"/>
          <w:u w:val="single" w:color="auto"/>
          <w:color w:val="auto"/>
        </w:rPr>
        <w:t>Sections 5.02(c)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5.02(e)</w:t>
      </w:r>
      <w:r>
        <w:rPr>
          <w:rFonts w:ascii="Times New Roman" w:cs="Times New Roman" w:eastAsia="Times New Roman" w:hAnsi="Times New Roman"/>
          <w:sz w:val="21"/>
          <w:szCs w:val="21"/>
          <w:color w:val="auto"/>
        </w:rPr>
        <w:t xml:space="preserve"> of the Credit Agreement and an Assignee Certificate, in each case duly completed and executed by the Additional Lender and (iii) it is not subject under current law to any withholding tax on</w:t>
      </w:r>
    </w:p>
    <w:p>
      <w:pPr>
        <w:sectPr>
          <w:pgSz w:w="11900" w:h="16838" w:orient="portrait"/>
          <w:cols w:equalWidth="0" w:num="1">
            <w:col w:w="11240"/>
          </w:cols>
          <w:pgMar w:left="320" w:top="121" w:right="339" w:bottom="1440" w:gutter="0" w:footer="0" w:header="0"/>
        </w:sectPr>
      </w:pPr>
    </w:p>
    <w:bookmarkStart w:id="23" w:name="page24"/>
    <w:bookmarkEnd w:id="23"/>
    <w:p>
      <w:pPr>
        <w:jc w:val="both"/>
        <w:ind w:left="180"/>
        <w:spacing w:after="0" w:line="258" w:lineRule="auto"/>
        <w:rPr>
          <w:sz w:val="20"/>
          <w:szCs w:val="20"/>
          <w:color w:val="auto"/>
        </w:rPr>
      </w:pPr>
      <w:r>
        <w:rPr>
          <w:rFonts w:ascii="Times New Roman" w:cs="Times New Roman" w:eastAsia="Times New Roman" w:hAnsi="Times New Roman"/>
          <w:sz w:val="21"/>
          <w:szCs w:val="21"/>
          <w:color w:val="auto"/>
        </w:rPr>
        <w:t xml:space="preserve">amounts payable to it under the Credit Agreement; (b) confirms that it has received a copy of the Credit Agreement, together with copies of the most recent financial statements delivered pursuant to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thereof,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irrevocably designates, appoints and authorizes the Administrative Agent as the agent of such Lender under the Credit Agreement and the other Loan Documents; (e) irrevocably authorizes the Administrative Agent to take such actions on its behalf under the provisions of the Credit Agreement and the other Loan Documents, including execution of the other Loan Documents, and to exercise such powers and perform such duties as are expressly delegated to the Administrative Agent by the terms of the Credit Agreement and of the other Loan Documents, together with such actions and powers as are reasonably incidental thereto; and (f) agrees that it will be bound by the provisions of the Credit Agreement and will perform in accordance with its terms all the obligations which by the terms of the Credit Agreement are required to be performed by it as a Lender.</w:t>
      </w:r>
    </w:p>
    <w:p>
      <w:pPr>
        <w:spacing w:after="0" w:line="186" w:lineRule="exact"/>
        <w:rPr>
          <w:sz w:val="20"/>
          <w:szCs w:val="20"/>
          <w:color w:val="auto"/>
        </w:rPr>
      </w:pPr>
    </w:p>
    <w:p>
      <w:pPr>
        <w:ind w:left="1460" w:hanging="640"/>
        <w:spacing w:after="0"/>
        <w:tabs>
          <w:tab w:leader="none" w:pos="14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undersigned’s address for notices for the purposes of the Credit Agreement is as follows:</w:t>
      </w:r>
    </w:p>
    <w:p>
      <w:pPr>
        <w:spacing w:after="0" w:line="232" w:lineRule="exact"/>
        <w:rPr>
          <w:rFonts w:ascii="Times New Roman" w:cs="Times New Roman" w:eastAsia="Times New Roman" w:hAnsi="Times New Roman"/>
          <w:sz w:val="21"/>
          <w:szCs w:val="21"/>
          <w:color w:val="auto"/>
        </w:rPr>
      </w:pPr>
    </w:p>
    <w:p>
      <w:pPr>
        <w:ind w:left="1460" w:right="432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Arab Banking Corporation (B.S.C.), New York Branch 140 East 45th Street, 38th Floor</w:t>
      </w:r>
    </w:p>
    <w:p>
      <w:pPr>
        <w:ind w:left="1460" w:right="642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New York, NY, 10017, USA Tel: 212-583-4791</w:t>
      </w:r>
    </w:p>
    <w:p>
      <w:pPr>
        <w:ind w:left="14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Fax: 212-583-0921</w:t>
      </w:r>
    </w:p>
    <w:p>
      <w:pPr>
        <w:spacing w:after="0" w:line="11" w:lineRule="exact"/>
        <w:rPr>
          <w:rFonts w:ascii="Times New Roman" w:cs="Times New Roman" w:eastAsia="Times New Roman" w:hAnsi="Times New Roman"/>
          <w:sz w:val="21"/>
          <w:szCs w:val="21"/>
          <w:color w:val="auto"/>
        </w:rPr>
      </w:pPr>
    </w:p>
    <w:p>
      <w:pPr>
        <w:ind w:left="14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Email: NYLoans@bank-abc.com</w:t>
      </w:r>
    </w:p>
    <w:p>
      <w:pPr>
        <w:spacing w:after="0" w:line="200" w:lineRule="exact"/>
        <w:rPr>
          <w:rFonts w:ascii="Times New Roman" w:cs="Times New Roman" w:eastAsia="Times New Roman" w:hAnsi="Times New Roman"/>
          <w:sz w:val="21"/>
          <w:szCs w:val="21"/>
          <w:color w:val="auto"/>
        </w:rPr>
      </w:pPr>
    </w:p>
    <w:p>
      <w:pPr>
        <w:spacing w:after="0" w:line="260" w:lineRule="exact"/>
        <w:rPr>
          <w:rFonts w:ascii="Times New Roman" w:cs="Times New Roman" w:eastAsia="Times New Roman" w:hAnsi="Times New Roman"/>
          <w:sz w:val="21"/>
          <w:szCs w:val="21"/>
          <w:color w:val="auto"/>
        </w:rPr>
      </w:pPr>
    </w:p>
    <w:p>
      <w:pPr>
        <w:jc w:val="both"/>
        <w:ind w:left="180" w:firstLine="640"/>
        <w:spacing w:after="0" w:line="272" w:lineRule="auto"/>
        <w:tabs>
          <w:tab w:leader="none" w:pos="146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hereby represent and warrant that no Default or Event of Default has occurred and is continuing on and as of the date hereof both immediately before and after giving effect to the increase in Commitments contemplated herein.</w:t>
      </w:r>
    </w:p>
    <w:p>
      <w:pPr>
        <w:spacing w:after="0" w:line="172" w:lineRule="exact"/>
        <w:rPr>
          <w:rFonts w:ascii="Times New Roman" w:cs="Times New Roman" w:eastAsia="Times New Roman" w:hAnsi="Times New Roman"/>
          <w:sz w:val="21"/>
          <w:szCs w:val="21"/>
          <w:color w:val="auto"/>
        </w:rPr>
      </w:pPr>
    </w:p>
    <w:p>
      <w:pPr>
        <w:ind w:left="1460" w:hanging="640"/>
        <w:spacing w:after="0"/>
        <w:tabs>
          <w:tab w:leader="none" w:pos="146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Terms defined in the Credit Agreement shall have their respective defined meanings when used</w:t>
      </w:r>
    </w:p>
    <w:p>
      <w:pPr>
        <w:spacing w:after="0" w:line="37" w:lineRule="exact"/>
        <w:rPr>
          <w:rFonts w:ascii="Times New Roman" w:cs="Times New Roman" w:eastAsia="Times New Roman" w:hAnsi="Times New Roman"/>
          <w:sz w:val="21"/>
          <w:szCs w:val="21"/>
          <w:color w:val="auto"/>
        </w:rPr>
      </w:pPr>
    </w:p>
    <w:p>
      <w:pPr>
        <w:ind w:left="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herein.</w:t>
      </w:r>
    </w:p>
    <w:p>
      <w:pPr>
        <w:spacing w:after="0" w:line="204" w:lineRule="exact"/>
        <w:rPr>
          <w:rFonts w:ascii="Times New Roman" w:cs="Times New Roman" w:eastAsia="Times New Roman" w:hAnsi="Times New Roman"/>
          <w:sz w:val="21"/>
          <w:szCs w:val="21"/>
          <w:color w:val="auto"/>
        </w:rPr>
      </w:pPr>
    </w:p>
    <w:p>
      <w:pPr>
        <w:jc w:val="both"/>
        <w:ind w:left="180" w:firstLine="640"/>
        <w:spacing w:after="0" w:line="272" w:lineRule="auto"/>
        <w:tabs>
          <w:tab w:leader="none" w:pos="146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Supplement and all other documents executed in connection herewith and the rights and obligations of the parties hereto and thereto shall be construed in accordance with and governed by the law of the State of New York (whether based on tort, contract or otherwise and in law or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20"/>
          </w:cols>
          <w:pgMar w:left="1440" w:top="1414" w:right="339" w:bottom="1440" w:gutter="0" w:footer="0" w:header="0"/>
        </w:sectPr>
      </w:pPr>
    </w:p>
    <w:bookmarkStart w:id="24" w:name="page25"/>
    <w:bookmarkEnd w:id="24"/>
    <w:p>
      <w:pPr>
        <w:jc w:val="both"/>
        <w:ind w:left="180" w:firstLine="640"/>
        <w:spacing w:after="0" w:line="258" w:lineRule="auto"/>
        <w:tabs>
          <w:tab w:leader="none" w:pos="146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 This Supplement,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Delivery of an executed counterpart of a signature page to this Supplement by facsimile transmission or electronic transmission (in .pdf format) shall be effective for all purposes as delivery of a manually executed counterpart of this Supplement. The words “execution”, “signed”, “signature”, “delivery”, and words of like import in or relating to any document to be signed in connection with this Supplement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180" w:firstLine="640"/>
        <w:spacing w:after="0" w:line="263" w:lineRule="auto"/>
        <w:tabs>
          <w:tab w:leader="none" w:pos="146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Administrative Agent, the Borrowers and the Additional Lender hereby agrees that, on and after the date of this Supplement, the Applicable Percentage (LCs) (including as related to both Performance Letters of Credit and Revolving Letters of Credit), Applicable Percentage (Loans), Applicable Percentage (Total), Revolving Credit Commitment, Performance LC Commitment and Fronting Commitment of the Additional Lender shall be as set forth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attached hereto, which Schedule 2.01 supersedes and replaces Schedule 2.01 to the Credit Agreement.</w:t>
      </w:r>
    </w:p>
    <w:p>
      <w:pPr>
        <w:spacing w:after="0" w:line="170" w:lineRule="exact"/>
        <w:rPr>
          <w:rFonts w:ascii="Times New Roman" w:cs="Times New Roman" w:eastAsia="Times New Roman" w:hAnsi="Times New Roman"/>
          <w:sz w:val="21"/>
          <w:szCs w:val="21"/>
          <w:color w:val="auto"/>
        </w:rPr>
      </w:pPr>
    </w:p>
    <w:p>
      <w:pPr>
        <w:ind w:left="180" w:firstLine="640"/>
        <w:spacing w:after="0" w:line="304" w:lineRule="auto"/>
        <w:tabs>
          <w:tab w:leader="none" w:pos="146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Issuing Banks hereby consents to the joinder of the Additional Lender as a Lender under the Credit Agreement.</w:t>
      </w:r>
    </w:p>
    <w:p>
      <w:pPr>
        <w:spacing w:after="0" w:line="126" w:lineRule="exact"/>
        <w:rPr>
          <w:rFonts w:ascii="Times New Roman" w:cs="Times New Roman" w:eastAsia="Times New Roman" w:hAnsi="Times New Roman"/>
          <w:sz w:val="21"/>
          <w:szCs w:val="21"/>
          <w:color w:val="auto"/>
        </w:rPr>
      </w:pPr>
    </w:p>
    <w:p>
      <w:pPr>
        <w:ind w:left="180" w:firstLine="640"/>
        <w:spacing w:after="0" w:line="291" w:lineRule="auto"/>
        <w:tabs>
          <w:tab w:leader="none" w:pos="146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Supplement is a Loan Document. Sections 12.06, 12.15 and 12.16 of the Credit Agreement are hereby incorporated herein, </w:t>
      </w:r>
      <w:r>
        <w:rPr>
          <w:rFonts w:ascii="Times New Roman" w:cs="Times New Roman" w:eastAsia="Times New Roman" w:hAnsi="Times New Roman"/>
          <w:sz w:val="21"/>
          <w:szCs w:val="21"/>
          <w:i w:val="1"/>
          <w:iCs w:val="1"/>
          <w:color w:val="auto"/>
        </w:rPr>
        <w:t>mutatis mutandis.</w:t>
      </w:r>
    </w:p>
    <w:p>
      <w:pPr>
        <w:spacing w:after="0" w:line="1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this page intentionally left blank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20"/>
          </w:cols>
          <w:pgMar w:left="1440" w:top="1414" w:right="339" w:bottom="1440" w:gutter="0" w:footer="0" w:header="0"/>
        </w:sectPr>
      </w:pPr>
    </w:p>
    <w:bookmarkStart w:id="25" w:name="page26"/>
    <w:bookmarkEnd w:id="25"/>
    <w:p>
      <w:pPr>
        <w:ind w:firstLine="644"/>
        <w:spacing w:after="0" w:line="291" w:lineRule="auto"/>
        <w:rPr>
          <w:sz w:val="20"/>
          <w:szCs w:val="20"/>
          <w:color w:val="auto"/>
        </w:rPr>
      </w:pPr>
      <w:r>
        <w:rPr>
          <w:rFonts w:ascii="Times New Roman" w:cs="Times New Roman" w:eastAsia="Times New Roman" w:hAnsi="Times New Roman"/>
          <w:sz w:val="21"/>
          <w:szCs w:val="21"/>
          <w:color w:val="auto"/>
        </w:rPr>
        <w:t>IN WITNESS WHEREOF, each of the undersigned has caused this Supplement to be executed and delivered by a duly authorized officer on the date first above written.</w:t>
      </w:r>
    </w:p>
    <w:p>
      <w:pPr>
        <w:spacing w:after="0" w:line="3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Arab Banking Corporation (B.S.C.) New York Branch, as an Additional Lender</w:t>
      </w:r>
    </w:p>
    <w:p>
      <w:pPr>
        <w:spacing w:after="0" w:line="24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By: /s/ Gautier Strub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-7620</wp:posOffset>
            </wp:positionV>
            <wp:extent cx="1037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Name: Gautier Strub</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Title: Senior Relationship Manager</w:t>
      </w:r>
    </w:p>
    <w:p>
      <w:pPr>
        <w:spacing w:after="0" w:line="200" w:lineRule="exact"/>
        <w:rPr>
          <w:sz w:val="20"/>
          <w:szCs w:val="20"/>
          <w:color w:val="auto"/>
        </w:rPr>
      </w:pPr>
    </w:p>
    <w:p>
      <w:pPr>
        <w:spacing w:after="0" w:line="3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By: /s/ David Giacalone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-7620</wp:posOffset>
            </wp:positionV>
            <wp:extent cx="12192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Name: David Giacalone</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Title: Chief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1240"/>
          </w:cols>
          <w:pgMar w:left="320" w:top="14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color w:val="auto"/>
        </w:rPr>
        <w:t>Accepted and agreed to as of the date first written above: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LTD.,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Bermuda exempted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726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LLC,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726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CANADA LTD.,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Alberta corporation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2388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Pamela M. Webb</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WOFS INTERNATIONAL FINANCE GMBH,</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Swiss limited liability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711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132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Mathias Neuenschwander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Officer</w:t>
      </w:r>
    </w:p>
    <w:p>
      <w:pPr>
        <w:sectPr>
          <w:pgSz w:w="11900" w:h="16838" w:orient="portrait"/>
          <w:cols w:equalWidth="0" w:num="1">
            <w:col w:w="10139"/>
          </w:cols>
          <w:pgMar w:left="320" w:top="14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color w:val="auto"/>
        </w:rPr>
        <w:t>[Signature Page – Additional Lender Supplement]</w:t>
      </w:r>
    </w:p>
    <w:p>
      <w:pPr>
        <w:sectPr>
          <w:pgSz w:w="11900" w:h="16838" w:orient="portrait"/>
          <w:cols w:equalWidth="0" w:num="1">
            <w:col w:w="10139"/>
          </w:cols>
          <w:pgMar w:left="320" w:top="1414"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726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1"/>
          <w:szCs w:val="21"/>
          <w:color w:val="auto"/>
        </w:rPr>
        <w:t>Consented to and acknowledged as of the date first written above: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Administrative Agent and an Issuing Bank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Kevin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9391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Kevin Pang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1"/>
          <w:szCs w:val="21"/>
          <w:color w:val="auto"/>
        </w:rPr>
        <w:t>DEUTSCHE BANK AG NEW YORK BRANCH,</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an Issuing Bank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417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Philip Tancorra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Lauren Danbury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96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Lauren Danbury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DEUTSCHE BANK AG NEW YORK BRANCH,</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an Issuing Bank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Chandan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96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Chandan Kumar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Anthony Reyna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588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Anthony Reyna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color w:val="auto"/>
        </w:rPr>
        <w:t>BARCLAYS BANK PLC,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an Issuing Bank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295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Sydney G. Dennis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1"/>
          <w:szCs w:val="21"/>
          <w:color w:val="auto"/>
        </w:rPr>
        <w:t>CITIBANK N.A.,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an Issuing Bank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Derrick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0223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Derrick Lenz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1"/>
          <w:szCs w:val="21"/>
          <w:color w:val="auto"/>
        </w:rPr>
        <w:t>JPMORGAN CHASE BANK, N.A, as an Issuing Bank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Sofia Barrera Jaime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3817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Sofia Barrera Jaime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1"/>
          <w:szCs w:val="21"/>
          <w:color w:val="auto"/>
        </w:rPr>
        <w:t>MORGAN STANLEY SENIOR FUNDING,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an Issuing Bank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Karina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2725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Karina Rodriquez</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1"/>
          <w:szCs w:val="21"/>
          <w:color w:val="auto"/>
        </w:rPr>
        <w:t>STANDARD CHARTERED BANK,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an Issuing Bank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Roy Kuruvilla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083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Roy Kuruvilla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 Leveraged &amp; Acquisition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color w:val="auto"/>
        </w:rPr>
        <w:t>DNB BANK ASA, NEW YORK BRANCH, as an Issuing Bank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Sybille Andaur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283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Sybille Andaur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Mita Zalavadia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283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Mita Zalavadia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p>
      <w:pPr>
        <w:sectPr>
          <w:pgSz w:w="11900" w:h="16838" w:orient="portrait"/>
          <w:cols w:equalWidth="0" w:num="1">
            <w:col w:w="10139"/>
          </w:cols>
          <w:pgMar w:left="320" w:top="141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color w:val="auto"/>
        </w:rPr>
        <w:t>ATB FINANCIAL,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an Issuing Bank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Kevin Kynoch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098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Kevin Kynoch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Davinder Jhutty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1174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Davinder Jhutty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0"/>
          <w:szCs w:val="20"/>
          <w:color w:val="auto"/>
        </w:rPr>
        <w:t>[Signature Page – Additional Lender Supplement]</w:t>
      </w:r>
    </w:p>
    <w:sectPr>
      <w:pgSz w:w="11900" w:h="16838" w:orient="portrait"/>
      <w:cols w:equalWidth="0" w:num="1">
        <w:col w:w="10139"/>
      </w:cols>
      <w:pgMar w:left="320" w:top="14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5">
    <w:nsid w:val="4DB127F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4"/>
    </w:lvl>
    <w:lvl w:ilvl="1">
      <w:lvlJc w:val="left"/>
      <w:lvlText w:val="(%2)"/>
      <w:numFmt w:val="lowerLetter"/>
      <w:start w:val="1"/>
    </w:lvl>
  </w:abstractNum>
  <w:abstractNum w:abstractNumId="8">
    <w:nsid w:val="1190CDE7"/>
    <w:multiLevelType w:val="hybridMultilevel"/>
    <w:lvl w:ilvl="0">
      <w:lvlJc w:val="left"/>
      <w:lvlText w:val="%1."/>
      <w:numFmt w:val="decimal"/>
      <w:start w:val="5"/>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2"/>
    </w:lvl>
  </w:abstractNum>
  <w:abstractNum w:abstractNumId="10">
    <w:nsid w:val="140E0F76"/>
    <w:multiLevelType w:val="hybridMultilevel"/>
    <w:lvl w:ilvl="0">
      <w:lvlJc w:val="left"/>
      <w:lvlText w:val="%1."/>
      <w:numFmt w:val="decimal"/>
      <w:start w:val="7"/>
    </w:lvl>
    <w:lvl w:ilvl="1">
      <w:lvlJc w:val="left"/>
      <w:lvlText w:val="%2"/>
      <w:numFmt w:val="lowerLetter"/>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3"/>
    </w:lvl>
  </w:abstractNum>
  <w:abstractNum w:abstractNumId="13">
    <w:nsid w:val="DED726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2024-06-11T15:37:01Z</dcterms:created>
  <dcterms:modified xsi:type="dcterms:W3CDTF">2024-06-11T15:37:01Z</dcterms:modified>
</cp:coreProperties>
</file>