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2026</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8"/>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5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On February 3, 2026, Weatherford International plc (“Weatherford” and together with its subsidiaries, “we” or the “Company”) issued a news release announcing results for the fourth quarter ended December 31, 2025. A copy of the news release is furnished as Exhibit 99.1 and incorporated into this Item 2.02.</w:t>
      </w:r>
    </w:p>
    <w:p>
      <w:pPr>
        <w:spacing w:after="0" w:line="24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Weatherford will host a conference call on Wednesday, February 4, 2026, to discuss the Company’s results for the fourth quarter ended December 31, 2025. The conference call will begin at 8:30 a.m. Eastern Time (7:30 a.m. Central Time).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Listeners are encouraged to download the accompanying presentation slides which will be available in the investor relations section of the Company’s website.</w:t>
      </w:r>
    </w:p>
    <w:p>
      <w:pPr>
        <w:spacing w:after="0" w:line="203"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204" w:lineRule="exact"/>
        <w:rPr>
          <w:sz w:val="20"/>
          <w:szCs w:val="20"/>
          <w:color w:val="auto"/>
        </w:rPr>
      </w:pPr>
    </w:p>
    <w:p>
      <w:pPr>
        <w:ind w:right="180" w:firstLine="486"/>
        <w:spacing w:after="0" w:line="242"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February 18, 2026, at 5:00 p.m. Eastern Time. To access the replay, please dial +1 855-669-9658 (within the U.S.) or +1 412-317-0088 (outside of the U.S.) and reference conference number 9725775. A replay and transcript of the earnings call will also be available in the investor relations section of the Company’s website.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7" w:lineRule="exact"/>
        <w:rPr>
          <w:sz w:val="20"/>
          <w:szCs w:val="20"/>
          <w:color w:val="auto"/>
        </w:rPr>
      </w:pPr>
    </w:p>
    <w:p>
      <w:pPr>
        <w:ind w:left="1660" w:hanging="913"/>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3"/>
        </w:trPr>
        <w:tc>
          <w:tcPr>
            <w:tcW w:w="152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News Release dated February 3, 2026 announcing results for the fourth quarter ended December 31, 2025.</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February 3, 2026</w:t>
      </w:r>
    </w:p>
    <w:p>
      <w:pPr>
        <w:spacing w:after="0" w:line="2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Anuj Dhruv</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62865</wp:posOffset>
            </wp:positionV>
            <wp:extent cx="190309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Weatherford Announces Fourth Quarter and Full Year 2025 Results</w:t>
      </w:r>
    </w:p>
    <w:p>
      <w:pPr>
        <w:spacing w:after="0" w:line="235" w:lineRule="exact"/>
        <w:rPr>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revenue of $1,289 million increased 5% sequentially and decreased 4% year-over-year; full year revenue of $4,918 million decreased 11% from prior year</w:t>
      </w:r>
    </w:p>
    <w:p>
      <w:pPr>
        <w:ind w:left="660" w:right="20" w:hanging="328"/>
        <w:spacing w:after="0" w:line="36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operating income of $199 million increased 12% sequentially and increased 1% year-over-year; full year operating income of $756 million decreased 19% from prior year</w:t>
      </w: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net income of $138 million, a 10.7% margin, increased 70% sequentially and increased 23% year-over-year; full year net income of $431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an 8.8% margin</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decreased 15% from prior year</w:t>
      </w:r>
    </w:p>
    <w:p>
      <w:pPr>
        <w:jc w:val="both"/>
        <w:ind w:left="660" w:hanging="328"/>
        <w:spacing w:after="0" w:line="35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adjusted EBITDA* of $291 million, a 22.6% margin*, increased 8%, or 74 basis points sequentially and decreased 11%</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or 173 basis points, year-over-year; full year adjusted EBITDA* of $1,067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 21.7% margin*, decreased 23% or 337 basis points from prior year</w:t>
      </w:r>
    </w:p>
    <w:p>
      <w:pPr>
        <w:spacing w:after="0" w:line="2" w:lineRule="exact"/>
        <w:rPr>
          <w:rFonts w:ascii="Times New Roman" w:cs="Times New Roman" w:eastAsia="Times New Roman" w:hAnsi="Times New Roman"/>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cash provided by operating activities of $268 million and adjusted free cash flow* of $222 million; full year cash provided by operating activities of $676 million and adjusted free cash flow* of $466 million</w:t>
      </w:r>
    </w:p>
    <w:p>
      <w:pPr>
        <w:jc w:val="both"/>
        <w:ind w:left="660" w:hanging="328"/>
        <w:spacing w:after="0" w:line="3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return of $25 million for the quarter, which included dividend payments of $18 million and share repurchases of $7 million; full year shareholder return of $173 million, which included dividend payments of $72 million and share repurchases of $101 million</w:t>
      </w:r>
    </w:p>
    <w:p>
      <w:pPr>
        <w:spacing w:after="0" w:line="1" w:lineRule="exact"/>
        <w:rPr>
          <w:rFonts w:ascii="Times New Roman" w:cs="Times New Roman" w:eastAsia="Times New Roman" w:hAnsi="Times New Roman"/>
          <w:sz w:val="20"/>
          <w:szCs w:val="20"/>
          <w:color w:val="auto"/>
        </w:rPr>
      </w:pPr>
    </w:p>
    <w:p>
      <w:pPr>
        <w:ind w:left="660" w:hanging="328"/>
        <w:spacing w:after="0" w:line="364"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approved a 10% increase in quarterly cash dividend to $0.275 per share, payable on March 5, 2026, to shareholders of record as of February 6, 2026</w:t>
      </w:r>
    </w:p>
    <w:p>
      <w:pPr>
        <w:spacing w:after="0" w:line="17" w:lineRule="exact"/>
        <w:rPr>
          <w:rFonts w:ascii="Times New Roman" w:cs="Times New Roman" w:eastAsia="Times New Roman" w:hAnsi="Times New Roman"/>
          <w:sz w:val="20"/>
          <w:szCs w:val="20"/>
          <w:color w:val="auto"/>
        </w:rPr>
      </w:pPr>
    </w:p>
    <w:p>
      <w:pPr>
        <w:ind w:left="660" w:hanging="328"/>
        <w:spacing w:after="0" w:line="335"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In Kuwait, Weatherford completed the country’s first deployment of the Xpress XT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liner hanger system with pressure balance technology, demonstrating safe, high-quality execution in high pressure high temperature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ectPr>
          <w:pgSz w:w="11900" w:h="16838" w:orient="portrait"/>
          <w:cols w:equalWidth="0" w:num="1">
            <w:col w:w="11240"/>
          </w:cols>
          <w:pgMar w:left="320" w:top="1049" w:right="339" w:bottom="1440" w:gutter="0" w:footer="0" w:header="0"/>
        </w:sectPr>
      </w:pPr>
    </w:p>
    <w:bookmarkStart w:id="4" w:name="page5"/>
    <w:bookmarkEnd w:id="4"/>
    <w:p>
      <w:pPr>
        <w:ind w:right="280"/>
        <w:spacing w:after="0" w:line="400" w:lineRule="auto"/>
        <w:rPr>
          <w:sz w:val="20"/>
          <w:szCs w:val="20"/>
          <w:color w:val="auto"/>
        </w:rPr>
      </w:pPr>
      <w:r>
        <w:rPr>
          <w:rFonts w:ascii="Times New Roman" w:cs="Times New Roman" w:eastAsia="Times New Roman" w:hAnsi="Times New Roman"/>
          <w:sz w:val="20"/>
          <w:szCs w:val="20"/>
          <w:b w:val="1"/>
          <w:bCs w:val="1"/>
          <w:color w:val="auto"/>
        </w:rPr>
        <w:t xml:space="preserve">Houston, February 3, 2026 – </w:t>
      </w:r>
      <w:r>
        <w:rPr>
          <w:rFonts w:ascii="Times New Roman" w:cs="Times New Roman" w:eastAsia="Times New Roman" w:hAnsi="Times New Roman"/>
          <w:sz w:val="20"/>
          <w:szCs w:val="20"/>
          <w:color w:val="auto"/>
        </w:rPr>
        <w:t>Weatherford International plc (NASDAQ: WFRD) (“Weatherford” or the “Company”) announced today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fourth quarter of 2025 and full year 2025.</w:t>
      </w:r>
    </w:p>
    <w:p>
      <w:pPr>
        <w:spacing w:after="0" w:line="88"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Revenues for the fourth quarter of 2025 were $1,289 million, an increase of 5% sequentially and a decrease of 4% year-over-year. Operating income in the fourth quarter of 2025 was $199 million, an increase of 12% sequentially and an increase of 1% year-over-year. Net income in the fourth quarter of 2025 was $138 million, with a 10.7% margin, an increase of 70%, or 413 basis points, sequentially, and an increase of 23%, or 235 basis points, year-over-year. Adjusted EBITDA* was $291 million, with a 22.6% margin*, an increase of 8% or 74 basis points, sequentially, and a decrease of 11% or 173 basis points, year-over-year. Basic income per share in the fourth quarter of 2025 was $1.92, an increase of 70% sequentially and an increase of 24% year-over-year. Diluted income per share in the fourth quarter of 2025 was $1.91, an increase of 70% sequentially and an increase of 27% year-over-year.</w:t>
      </w:r>
    </w:p>
    <w:p>
      <w:pPr>
        <w:spacing w:after="0" w:line="13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Fourth quarter 2025 cash flows provided by operating activities were $268 million, an increase of 94% sequentially and 8% year-over-year. Adjusted free cash flow* was $222 million, an increase of 124% sequentially and 37% year-over-year. Capital expenditures were $51 million in the fourth quarter of 2025, an increase of 16% sequentially and a decrease of 49% year-over-year.</w:t>
      </w:r>
    </w:p>
    <w:p>
      <w:pPr>
        <w:spacing w:after="0" w:line="113"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 xml:space="preserve">Revenue for the full year 2025 </w:t>
      </w:r>
      <w:r>
        <w:rPr>
          <w:rFonts w:ascii="Times New Roman" w:cs="Times New Roman" w:eastAsia="Times New Roman" w:hAnsi="Times New Roman"/>
          <w:sz w:val="17"/>
          <w:szCs w:val="17"/>
          <w:color w:val="auto"/>
        </w:rPr>
        <w:t>was</w:t>
      </w:r>
      <w:r>
        <w:rPr>
          <w:rFonts w:ascii="Times New Roman" w:cs="Times New Roman" w:eastAsia="Times New Roman" w:hAnsi="Times New Roman"/>
          <w:sz w:val="20"/>
          <w:szCs w:val="20"/>
          <w:color w:val="auto"/>
        </w:rPr>
        <w:t xml:space="preserve"> $4,918 million, a decrease of 11% from prior year</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Operating income for the full year was $756 million, a decrease of 19% from prior year</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Net income for the full year was $431 million, a decrease of 15% from prior year</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Full year cash flows provided by operations were $676 million, a decrease of 15% from prior year</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Adjusted free cash flow* for the full year was $466 million, a decrease of 11% from the prior year</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Capital expenditures for the full year 2025 were $226 million, a decrease of 24% from prior year</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“I would like to thank our One Weatherford team for delivering a strong fourth quarter performance across the board. Activity upticks in some regions, customer pull forwards on some deliveries, strong collections and excellent execution drove results that exceeded expectations. With a solid balance sheet, comprehensive technology portfolio, a lean business model, continued investments in our workforce and proven customer successes, the new Weatherford continued to deliver on all of its strategic priorities this year successfully. These tangible results clearly demonstrate the organization’s ability to operate effectively in different cycles to deliver sustained value for all the stakeholders. The 10% increase in the quarterly dividend, despite a challenging operating environment, underscores our conviction in our business fundamentals and disciplined execution.</w:t>
      </w:r>
    </w:p>
    <w:p>
      <w:pPr>
        <w:spacing w:after="0" w:line="13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While the overall activity outlook in 2026, particularly in the first half, is expected to remain soft, we see several pockets of growth opportunities across multiple geographies materializing in the second-half. In parallel, our internal initiatives that are focused on optimizing costs and improving productivity will position us well to deliver strong performance despite these subdued market conditions. As activity levels improve in 2027, these initiatives will become a clear driver of value creation through visibly improved financial performance.”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u w:val="single" w:color="auto"/>
          <w:color w:val="auto"/>
        </w:rPr>
        <w:t>Operational &amp; Commercial Highlights</w:t>
      </w:r>
    </w:p>
    <w:p>
      <w:pPr>
        <w:spacing w:after="0" w:line="13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PDO Oman awarded Weatherford a five-year contract to provide Well Services for the Qarn Alam and South fields in Oman.</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Oxy awarded Weatherford a seven-year contract to provide gas-lift Completions and flow-control accessories in Oman.</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Kuwait Oil Company awarded Weatherford a five-year contract to provide Completion services in Kuwait.</w:t>
      </w:r>
    </w:p>
    <w:p>
      <w:pPr>
        <w:spacing w:after="0" w:line="107" w:lineRule="exact"/>
        <w:rPr>
          <w:rFonts w:ascii="Times New Roman" w:cs="Times New Roman" w:eastAsia="Times New Roman" w:hAnsi="Times New Roman"/>
          <w:sz w:val="20"/>
          <w:szCs w:val="20"/>
          <w:color w:val="auto"/>
        </w:rPr>
      </w:pPr>
    </w:p>
    <w:p>
      <w:pPr>
        <w:ind w:left="34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Turnwell Industries LLC awarded Weatherford a three-year contract to provide Managed Pressure Drilling (“MPD”) services for the unconventional gas Lump Sum Turnkey project in the United Arab Emirates (“UAE”).</w:t>
      </w:r>
    </w:p>
    <w:p>
      <w:pPr>
        <w:ind w:left="340" w:right="20" w:hanging="332"/>
        <w:spacing w:after="0" w:line="35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BAPCO Upstream awarded Weatherford a five-year contract to deliver Directional Drilling and Logging While Drilling Services in Bahrain.</w:t>
      </w: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SNGN Romgaz S.A. awarded Weatherford a four-year contract to provide Wireline services in Romania.</w:t>
      </w:r>
    </w:p>
    <w:p>
      <w:pPr>
        <w:spacing w:after="0" w:line="121" w:lineRule="exact"/>
        <w:rPr>
          <w:rFonts w:ascii="Times New Roman" w:cs="Times New Roman" w:eastAsia="Times New Roman" w:hAnsi="Times New Roman"/>
          <w:sz w:val="20"/>
          <w:szCs w:val="20"/>
          <w:color w:val="auto"/>
        </w:rPr>
      </w:pPr>
    </w:p>
    <w:p>
      <w:pPr>
        <w:ind w:left="340" w:hanging="332"/>
        <w:spacing w:after="0" w:line="35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awarded Weatherford a four-year contract to provide Wireline Perforation and Mechanical Services and a five-year contract to provide Completions services in Romania.</w:t>
      </w: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PTTEP Thailand awarded Weatherford a three-year contract to provide Tubular Running Services (“TRS”) for all onshore operations.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in Argentina awarded Weatherford a five-year contract to provide MPD services.</w:t>
      </w:r>
    </w:p>
    <w:p>
      <w:pPr>
        <w:spacing w:after="0" w:line="107" w:lineRule="exact"/>
        <w:rPr>
          <w:rFonts w:ascii="Times New Roman" w:cs="Times New Roman" w:eastAsia="Times New Roman" w:hAnsi="Times New Roman"/>
          <w:sz w:val="20"/>
          <w:szCs w:val="20"/>
          <w:color w:val="auto"/>
        </w:rPr>
      </w:pPr>
    </w:p>
    <w:p>
      <w:pPr>
        <w:ind w:left="34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Petrobras awarded Weatherford a four-year contract to provide Intervention Services &amp; Drilling Tools (“ISDT”) in onshore and offshore Brazil.</w:t>
      </w: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awarded Weatherford two contracts to provide TRS and Completions in deepwater Nigeria.</w:t>
      </w:r>
    </w:p>
    <w:p>
      <w:pPr>
        <w:spacing w:after="0" w:line="107" w:lineRule="exact"/>
        <w:rPr>
          <w:rFonts w:ascii="Times New Roman" w:cs="Times New Roman" w:eastAsia="Times New Roman" w:hAnsi="Times New Roman"/>
          <w:sz w:val="20"/>
          <w:szCs w:val="20"/>
          <w:color w:val="auto"/>
        </w:rPr>
      </w:pPr>
    </w:p>
    <w:p>
      <w:pPr>
        <w:ind w:left="340" w:hanging="332"/>
        <w:spacing w:after="0" w:line="395"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awarded Weatherford a 52-month contract to provide Fishing packages for Drilling and Completion stages, onshore operations support and Fishing field supervision services for Trion Deepwater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Technology Highlights</w:t>
      </w:r>
    </w:p>
    <w:p>
      <w:pPr>
        <w:spacing w:after="0" w:line="15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Drilling &amp; Evaluation (“DRE”)</w:t>
      </w:r>
    </w:p>
    <w:p>
      <w:pPr>
        <w:spacing w:after="0" w:line="161" w:lineRule="exact"/>
        <w:rPr>
          <w:rFonts w:ascii="Times New Roman" w:cs="Times New Roman" w:eastAsia="Times New Roman" w:hAnsi="Times New Roman"/>
          <w:sz w:val="20"/>
          <w:szCs w:val="20"/>
          <w:color w:val="auto"/>
        </w:rPr>
      </w:pPr>
    </w:p>
    <w:p>
      <w:pPr>
        <w:jc w:val="both"/>
        <w:ind w:left="980" w:hanging="324"/>
        <w:spacing w:after="0" w:line="333" w:lineRule="auto"/>
        <w:tabs>
          <w:tab w:leader="none" w:pos="98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Suriname, Weatherford deployed its Modus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Managed Pressure Well Solution for a major operator on remote exploration wells. The solution mitigated drilling hazards and supported safe, efficient well construction by managing challenging pressure conditions in a complex operating environment.</w:t>
      </w:r>
    </w:p>
    <w:p>
      <w:pPr>
        <w:spacing w:after="0" w:line="2" w:lineRule="exact"/>
        <w:rPr>
          <w:rFonts w:ascii="Times New Roman" w:cs="Times New Roman" w:eastAsia="Times New Roman" w:hAnsi="Times New Roman"/>
          <w:sz w:val="20"/>
          <w:szCs w:val="20"/>
          <w:color w:val="auto"/>
        </w:rPr>
      </w:pPr>
    </w:p>
    <w:p>
      <w:pPr>
        <w:jc w:val="both"/>
        <w:ind w:left="980" w:hanging="324"/>
        <w:spacing w:after="0" w:line="333" w:lineRule="auto"/>
        <w:tabs>
          <w:tab w:leader="none" w:pos="98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UAE, Weatherford deployed the SineWave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Image Tool with a competitor’s Bottom Hole Assembly for the first time, delivering high-quality imaging in challenging conditions and securing follow-on work that increased market share in a new field.</w:t>
      </w:r>
    </w:p>
    <w:p>
      <w:pPr>
        <w:spacing w:after="0" w:line="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Construction and Completions (“WCC”)</w:t>
      </w:r>
    </w:p>
    <w:p>
      <w:pPr>
        <w:spacing w:after="0" w:line="202" w:lineRule="exact"/>
        <w:rPr>
          <w:rFonts w:ascii="Times New Roman" w:cs="Times New Roman" w:eastAsia="Times New Roman" w:hAnsi="Times New Roman"/>
          <w:sz w:val="20"/>
          <w:szCs w:val="20"/>
          <w:color w:val="auto"/>
        </w:rPr>
      </w:pPr>
    </w:p>
    <w:p>
      <w:pPr>
        <w:jc w:val="both"/>
        <w:ind w:left="980" w:hanging="324"/>
        <w:spacing w:after="0" w:line="333" w:lineRule="auto"/>
        <w:tabs>
          <w:tab w:leader="none" w:pos="976" w:val="left"/>
        </w:tabs>
        <w:numPr>
          <w:ilvl w:val="1"/>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In Colombia, Weatherford deployed its MSS1500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Lift Solution to support a deepwater project by handling loads of up to 1,500 tons with no operational delays. The approach minimized downtime, reduced operational risks, preserved scheduled certainty, and delivered meaningful cost savings on a complex offshore project.</w:t>
      </w:r>
    </w:p>
    <w:p>
      <w:pPr>
        <w:spacing w:after="0" w:line="2" w:lineRule="exact"/>
        <w:rPr>
          <w:rFonts w:ascii="Arial" w:cs="Arial" w:eastAsia="Arial" w:hAnsi="Arial"/>
          <w:sz w:val="22"/>
          <w:szCs w:val="22"/>
          <w:color w:val="auto"/>
        </w:rPr>
      </w:pPr>
    </w:p>
    <w:p>
      <w:pPr>
        <w:jc w:val="both"/>
        <w:ind w:left="980" w:hanging="324"/>
        <w:spacing w:after="0" w:line="361"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Norway, Weatherford completed more than 25 installations of its Plug &amp; Play Liner System with significantly faster execution in challenging well conditions, improving safety and operational efficiency while lowering installation costs and increasing predictability of well delivery.</w:t>
      </w:r>
    </w:p>
    <w:p>
      <w:pPr>
        <w:spacing w:after="0" w:line="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and Intervention (“PRI”)</w:t>
      </w:r>
    </w:p>
    <w:p>
      <w:pPr>
        <w:spacing w:after="0" w:line="175" w:lineRule="exact"/>
        <w:rPr>
          <w:rFonts w:ascii="Times New Roman" w:cs="Times New Roman" w:eastAsia="Times New Roman" w:hAnsi="Times New Roman"/>
          <w:sz w:val="20"/>
          <w:szCs w:val="20"/>
          <w:color w:val="auto"/>
        </w:rPr>
      </w:pPr>
    </w:p>
    <w:p>
      <w:pPr>
        <w:jc w:val="both"/>
        <w:ind w:left="980" w:hanging="324"/>
        <w:spacing w:after="0" w:line="359"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Egypt, Weatherford completed the first-ever installation of Permanent Magnet Motor for Petroshahd Petroleum Company on the Shahd SE-57 SR Well. This is the first deployment of its kind in both Egypt and the Middle East region, replacing a conventional induction motor to significantly enhance energy efficiency, reduce fuel consumption and operating costs and lower carbon emissions while improving performance and reliability.</w:t>
      </w:r>
    </w:p>
    <w:p>
      <w:pPr>
        <w:jc w:val="both"/>
        <w:ind w:left="980" w:right="20" w:hanging="324"/>
        <w:spacing w:after="0" w:line="381" w:lineRule="auto"/>
        <w:tabs>
          <w:tab w:leader="none" w:pos="98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Romania, Weatherford deployed an integrated chemical injection and digital asset management solution for gas production. This system safeguarded pipeline integrity, optimized well performance, reduced deferred production and extended the life of mature gas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u w:val="single" w:color="auto"/>
          <w:color w:val="auto"/>
        </w:rPr>
        <w:t>Shareholder Return</w:t>
      </w:r>
    </w:p>
    <w:p>
      <w:pPr>
        <w:spacing w:after="0" w:line="218"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During the fourth quarter of 2025, Weatherford paid dividends of $18 million and repurchased shares for approximately $7 million, resulting in a total shareholder return of $25 million. For the full year 2025, Weatherford paid dividends of $72 million and repurchased shares for approximately $101 million, resulting in a total shareholder return of $173 million.</w:t>
      </w:r>
    </w:p>
    <w:p>
      <w:pPr>
        <w:spacing w:after="0" w:line="18" w:lineRule="exact"/>
        <w:rPr>
          <w:sz w:val="20"/>
          <w:szCs w:val="20"/>
          <w:color w:val="auto"/>
        </w:rPr>
      </w:pPr>
    </w:p>
    <w:p>
      <w:pPr>
        <w:jc w:val="both"/>
        <w:spacing w:after="0" w:line="429" w:lineRule="auto"/>
        <w:rPr>
          <w:sz w:val="20"/>
          <w:szCs w:val="20"/>
          <w:color w:val="auto"/>
        </w:rPr>
      </w:pPr>
      <w:r>
        <w:rPr>
          <w:rFonts w:ascii="Times New Roman" w:cs="Times New Roman" w:eastAsia="Times New Roman" w:hAnsi="Times New Roman"/>
          <w:sz w:val="19"/>
          <w:szCs w:val="19"/>
          <w:color w:val="auto"/>
        </w:rPr>
        <w:t>On January 26, 2026, our Board declared a cash dividend of $0.275 per share of the Company’s ordinary shares, representing a 10% increase compared to the prior quarterly dividend. The dividend is payable on March 5, 2026, to shareholders of record as of February 6,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Drilling and Evaluation (“DRE”)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Variance</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20" w:type="dxa"/>
            <w:vAlign w:val="bottom"/>
            <w:tcBorders>
              <w:top w:val="single" w:sz="8" w:color="auto"/>
            </w:tcBorders>
            <w:gridSpan w:val="2"/>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80" w:type="dxa"/>
            <w:vAlign w:val="bottom"/>
          </w:tcPr>
          <w:p>
            <w:pPr>
              <w:spacing w:after="0"/>
              <w:rPr>
                <w:sz w:val="14"/>
                <w:szCs w:val="14"/>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Seq.</w:t>
            </w:r>
          </w:p>
        </w:tc>
        <w:tc>
          <w:tcPr>
            <w:tcW w:w="7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YoY</w:t>
            </w: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2"/>
                <w:szCs w:val="12"/>
                <w:color w:val="auto"/>
              </w:rPr>
            </w:pPr>
          </w:p>
        </w:tc>
        <w:tc>
          <w:tcPr>
            <w:tcW w:w="8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2"/>
                <w:szCs w:val="12"/>
                <w:color w:val="auto"/>
              </w:rPr>
            </w:pPr>
          </w:p>
        </w:tc>
        <w:tc>
          <w:tcPr>
            <w:tcW w:w="7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1,371</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Adj EBITDA</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42 bps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bps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2025 DRE revenue of $340 million decreased by $6 million, or 2% sequentially, primarily from lower Drilling Services activity in Latin America and Middle East/North Africa/Asia and lower Wireline activity in Europe/Sub-Sahara Africa/Russia, partly offset by higher MPD activity in Latin America and Middle East/North Africa/Asia. Year-over-year DRE revenue decreased by $58 million, or 15%, primarily from lower activity in Latin America, North America and Europe/Sub-Sahara Africa/Russia, partly offset by higher MPD activity in Middle East/North Africa/Asia.</w:t>
      </w:r>
    </w:p>
    <w:p>
      <w:pPr>
        <w:spacing w:after="0" w:line="9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2025 DRE segment adjusted EBITDA of $83 million was largely flat sequentially, primarily from higher Wireline activity and fall through in Middle East/North Africa/ Asia, partly offset by lower Drilling-related Services activity. Year-over-year DRE segment adjusted EBITDA decreased by $13 million, or 14%, primarily from lower activity in Latin America, partly offset by higher MPD activity in Middle East/North Africa/Asia.</w:t>
      </w:r>
    </w:p>
    <w:p>
      <w:pPr>
        <w:spacing w:after="0" w:line="96"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Full year 2025 DRE revenues of $1,371 million decreased by $311 million, or 18% compared to 2024, primarily due to lower activity in Latin America.</w:t>
      </w:r>
    </w:p>
    <w:p>
      <w:pPr>
        <w:spacing w:after="0" w:line="66"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color w:val="auto"/>
        </w:rPr>
        <w:t>Full year 2025 DRE segment adjusted EBITDA of $309 million decreased by $158 million, or 34% compared to 2024, primarily due to lower activity in Latin America.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9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Well Construction and Completions (“WCC”)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20" w:type="dxa"/>
            <w:vAlign w:val="bottom"/>
            <w:tcBorders>
              <w:top w:val="single" w:sz="8" w:color="auto"/>
            </w:tcBorders>
            <w:gridSpan w:val="2"/>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Seq.</w:t>
            </w:r>
          </w:p>
        </w:tc>
        <w:tc>
          <w:tcPr>
            <w:tcW w:w="7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2"/>
                <w:szCs w:val="12"/>
                <w:color w:val="auto"/>
              </w:rPr>
            </w:pPr>
          </w:p>
        </w:tc>
        <w:tc>
          <w:tcPr>
            <w:tcW w:w="8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Pr>
          <w:p>
            <w:pPr>
              <w:spacing w:after="0"/>
              <w:rPr>
                <w:sz w:val="12"/>
                <w:szCs w:val="12"/>
                <w:color w:val="auto"/>
              </w:rPr>
            </w:pPr>
          </w:p>
        </w:tc>
        <w:tc>
          <w:tcPr>
            <w:tcW w:w="6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1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9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1,875</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Adj EBITDA</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7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bps</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(107)bps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bps</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2025 WCC revenue of $510 million increased by $42 million, or 9% sequentially, primarily from higher Completions activity, partly offset by lower TRS activity in Middle East/North Africa/Asia. Year-over-year WCC revenues increased by $5 million, or 1%, primarily from higher Completions activity in North America, Latin America and Middle East/North Africa/Asia, partly offset by lower Cementation Products activity in Middle East/North Africa/Asia and North America.</w:t>
      </w:r>
    </w:p>
    <w:p>
      <w:pPr>
        <w:spacing w:after="0" w:line="11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2025 WCC segment adjusted EBITDA of $144 million increased by $19 million, or 15% sequentially, primarily from higher activity in Latin America and Middle East/North Africa/Asia, partly offset by lower TRS activity in Middle East/North Africa/Asia. Year-over-year WCC segment adjusted EBITDA decreased by $4 million, or 3%, primarily from lower Cementation Products activity in Middle East/North Africa/Asia and North America.</w:t>
      </w:r>
    </w:p>
    <w:p>
      <w:pPr>
        <w:spacing w:after="0" w:line="117"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Full year 2025 WCC revenues of $1,875 million decreased by $101 million, or 5% compared to 2024, primarily from lower Cementation Products and Completions activity, partly offset by higher Liner Hangers and Well Services activity.</w:t>
      </w:r>
    </w:p>
    <w:p>
      <w:pPr>
        <w:spacing w:after="0" w:line="66"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Full year 2025 WCC segment adjusted EBITDA of $515 million decreased by $49 million, or 9% compared to 2024, primarily due to lower Cementation Products and Completions activity partly offset by higher Liner Hangers activity and fall through.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Production and Intervention (“PRI”)</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Variance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Sep 30,</w:t>
            </w:r>
          </w:p>
        </w:tc>
        <w:tc>
          <w:tcPr>
            <w:tcW w:w="1020" w:type="dxa"/>
            <w:vAlign w:val="bottom"/>
            <w:tcBorders>
              <w:top w:val="single" w:sz="8" w:color="auto"/>
            </w:tcBorders>
            <w:gridSpan w:val="2"/>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Seq.</w:t>
            </w:r>
          </w:p>
        </w:tc>
        <w:tc>
          <w:tcPr>
            <w:tcW w:w="7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1"/>
              </w:rPr>
              <w:t>YoY</w:t>
            </w: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2"/>
                <w:szCs w:val="12"/>
                <w:color w:val="auto"/>
              </w:rPr>
            </w:pPr>
          </w:p>
        </w:tc>
        <w:tc>
          <w:tcPr>
            <w:tcW w:w="8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2"/>
                <w:szCs w:val="12"/>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1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326</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1,340</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Adj EBITDA</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7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bps</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(75)bps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bps</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2025 PRI revenue of $353 million increased by $27 million or 8% sequentially, primarily from higher international activity, partly offset by lower ISDT activity in North America. Year-over-year PRI revenue decreased by $11 million, or 3%, primarily from lower Pressure Pumping activity in Latin America due to the sale of our Pressure Pumping business in Argentina, partly offset by higher Artificial Lift and Digital Solutions activity in Middle East/North Africa/Asia.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92" w:right="339" w:bottom="1440" w:gutter="0" w:footer="0" w:header="0"/>
        </w:sectPr>
      </w:pPr>
    </w:p>
    <w:bookmarkStart w:id="9" w:name="page10"/>
    <w:bookmarkEnd w:id="9"/>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2025 PRI segment adjusted EBITDA of $73 million increased by $14 million, or 24% sequentially, primarily from higher Artificial Lift activity and Digital Solutions activity and fall through partly offset by lower ISDT activity and fall through in Middle East/North Africa/Asia. Year-over-year PRI segment adjusted EBITDA decreased by $5 million, or 6%, primarily from lower ISDT activity in Middle East/North Africa/Asia and Europe/Sub-Sahara Africa/Russia and lower Pressure Pumping activity in Latin America due to the sale of our Pressure Pumping business in Argentina, partly offset by higher Digital Solutions fall through in North America.</w:t>
      </w:r>
    </w:p>
    <w:p>
      <w:pPr>
        <w:spacing w:after="0" w:line="13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Full year 2025 PRI revenues of $1,340 million decreased by $112 million, or 8% compared to 2024, primarily due to lower ISDT activity and lower Pressure Pumping activity due to the sale of our Pressure Pumping business in Argentina, partly offset by higher Sub-sea Intervention activity in Latin America.</w:t>
      </w:r>
    </w:p>
    <w:p>
      <w:pPr>
        <w:spacing w:after="0" w:line="72"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Full year 2025 PRI segment adjusted EBITDA of $257 million decreased by $62 million, or 19% compared to 2024, primarily due to lower ISDT activity and lower Pressure Pumping activity due to the sale of our Pressure Pumping business in Argentina, partly offset by higher Sub-sea Intervention activity in Latin America.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Revenue by Geography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220" w:type="dxa"/>
            <w:vAlign w:val="bottom"/>
          </w:tcPr>
          <w:p>
            <w:pPr>
              <w:spacing w:after="0"/>
              <w:rPr>
                <w:sz w:val="14"/>
                <w:szCs w:val="14"/>
                <w:color w:val="auto"/>
              </w:rPr>
            </w:pPr>
          </w:p>
        </w:tc>
        <w:tc>
          <w:tcPr>
            <w:tcW w:w="7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 30,</w:t>
            </w:r>
          </w:p>
        </w:tc>
        <w:tc>
          <w:tcPr>
            <w:tcW w:w="220" w:type="dxa"/>
            <w:vAlign w:val="bottom"/>
          </w:tcPr>
          <w:p>
            <w:pPr>
              <w:spacing w:after="0"/>
              <w:rPr>
                <w:sz w:val="14"/>
                <w:szCs w:val="14"/>
                <w:color w:val="auto"/>
              </w:rPr>
            </w:pPr>
          </w:p>
        </w:tc>
        <w:tc>
          <w:tcPr>
            <w:tcW w:w="7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80" w:type="dxa"/>
            <w:vAlign w:val="bottom"/>
          </w:tcPr>
          <w:p>
            <w:pPr>
              <w:spacing w:after="0"/>
              <w:rPr>
                <w:sz w:val="14"/>
                <w:szCs w:val="14"/>
                <w:color w:val="auto"/>
              </w:rPr>
            </w:pPr>
          </w:p>
        </w:tc>
        <w:tc>
          <w:tcPr>
            <w:tcW w:w="13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Seq.</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YoY</w:t>
            </w:r>
          </w:p>
        </w:tc>
        <w:tc>
          <w:tcPr>
            <w:tcW w:w="140" w:type="dxa"/>
            <w:vAlign w:val="bottom"/>
          </w:tcPr>
          <w:p>
            <w:pPr>
              <w:spacing w:after="0"/>
              <w:rPr>
                <w:sz w:val="14"/>
                <w:szCs w:val="14"/>
                <w:color w:val="auto"/>
              </w:rPr>
            </w:pPr>
          </w:p>
        </w:tc>
        <w:tc>
          <w:tcPr>
            <w:tcW w:w="88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220" w:type="dxa"/>
            <w:vAlign w:val="bottom"/>
          </w:tcPr>
          <w:p>
            <w:pPr>
              <w:spacing w:after="0"/>
              <w:rPr>
                <w:sz w:val="14"/>
                <w:szCs w:val="14"/>
                <w:color w:val="auto"/>
              </w:rPr>
            </w:pPr>
          </w:p>
        </w:tc>
        <w:tc>
          <w:tcPr>
            <w:tcW w:w="84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vMerge w:val="restart"/>
          </w:tcPr>
          <w:p>
            <w:pPr>
              <w:jc w:val="center"/>
              <w:ind w:right="179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40" w:type="dxa"/>
            <w:vAlign w:val="bottom"/>
          </w:tcPr>
          <w:p>
            <w:pPr>
              <w:spacing w:after="0"/>
              <w:rPr>
                <w:sz w:val="12"/>
                <w:szCs w:val="12"/>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2"/>
                <w:szCs w:val="12"/>
                <w:color w:val="auto"/>
              </w:rPr>
            </w:pPr>
          </w:p>
        </w:tc>
        <w:tc>
          <w:tcPr>
            <w:tcW w:w="7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2"/>
                <w:szCs w:val="12"/>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2"/>
                <w:szCs w:val="12"/>
                <w:color w:val="auto"/>
              </w:rPr>
            </w:pPr>
          </w:p>
        </w:tc>
        <w:tc>
          <w:tcPr>
            <w:tcW w:w="8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2"/>
                <w:szCs w:val="12"/>
                <w:color w:val="auto"/>
              </w:rPr>
            </w:pPr>
          </w:p>
        </w:tc>
        <w:tc>
          <w:tcPr>
            <w:tcW w:w="10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94"/>
        </w:trPr>
        <w:tc>
          <w:tcPr>
            <w:tcW w:w="300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jc w:val="center"/>
              <w:ind w:right="17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auto"/>
            </w:tcBorders>
            <w:shd w:val="clear" w:color="auto" w:fill="CCEEFF"/>
          </w:tcPr>
          <w:p>
            <w:pPr>
              <w:jc w:val="center"/>
              <w:ind w:right="1830"/>
              <w:spacing w:after="0"/>
              <w:rPr>
                <w:sz w:val="20"/>
                <w:szCs w:val="20"/>
                <w:color w:val="auto"/>
              </w:rPr>
            </w:pPr>
            <w:r>
              <w:rPr>
                <w:rFonts w:ascii="Times New Roman" w:cs="Times New Roman" w:eastAsia="Times New Roman" w:hAnsi="Times New Roman"/>
                <w:sz w:val="18"/>
                <w:szCs w:val="18"/>
                <w:color w:val="auto"/>
                <w:w w:val="98"/>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North America</w:t>
      </w:r>
    </w:p>
    <w:p>
      <w:pPr>
        <w:spacing w:after="0" w:line="21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2025 North America revenue of $249 million increased by $6 million, or 2% sequentially, primarily from higher Completions and Wireline activity in Canada, partly offset by lower Liner Hangers activity in U.S. Land and ISDT activity in U.S. offshore. Year-over-year, North America revenue decreased by $12 million, or 5%, primarily from lower MPD activity in U.S. offshore and Cementation Products and ISDT activity in U.S. land, partly offset by higher Completions activity in Canada.</w:t>
      </w:r>
    </w:p>
    <w:p>
      <w:pPr>
        <w:spacing w:after="0" w:line="13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Full year 2025 North America revenue of $983 million decreased by $63 million, or 6%, compared to 2024, primarily due to lower Cementation Products and ISDT activity in U.S. Land and MPD activity in U.S. offshore, partly offset by higher Completions activity in Canada.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8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International</w:t>
      </w:r>
    </w:p>
    <w:p>
      <w:pPr>
        <w:spacing w:after="0" w:line="20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Fourth quarter 2025 international revenue of $1,040 million increased by $51 million, or 5% sequentially and decreased by $40 million, or 4% year-over-year, and full year 2025 international revenue of $3,935 million decreased by $532 million or 12%, compared to 2024.</w:t>
      </w:r>
    </w:p>
    <w:p>
      <w:pPr>
        <w:spacing w:after="0" w:line="10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2025 Latin America revenue of $248 million increased by $34 million, or 16% sequentially, primarily from higher WCC segment activity in Brazil and Mexico, partly offset by lower Drilling Services activity in Mexico. Year-over-year, Latin America revenue decreased by $64 million, or 21%, primarily from lower activity in Mexico and the sale of our Pressure Pumping business in Argentina, partly offset by higher TRS activity in Brazil.</w:t>
      </w:r>
    </w:p>
    <w:p>
      <w:pPr>
        <w:spacing w:after="0" w:line="136"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Full year 2025 revenue of $898 million in Latin America decreased by $495 million, or 36%, compared to 2024, primarily due to lower activity in Mexico and the sale of our Pressure Pumping business in Argentina.</w:t>
      </w:r>
    </w:p>
    <w:p>
      <w:pPr>
        <w:spacing w:after="0" w:line="120"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2025 Middle East/North Africa/Asia revenue of $556 million increased by $23 million, or 4% sequentially, primarily from higher Completions and Artificial Lift activity partly offset by lower Integrated Services &amp; Projects (“ISP”) activity. Year-over-year, the Middle East/North Africa/Asia revenue increased by $14 million, or 3%, primarily from higher MPD, Liner Hangers and ISP activity partly offset by lower Cementation Products activity.</w:t>
      </w:r>
    </w:p>
    <w:p>
      <w:pPr>
        <w:spacing w:after="0" w:line="136"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Full year 2025 revenue of $2,116 million in Middle East/North Africa/Asia decreased by $7 million, or largely flat, compared to 2024, mainly due to lower Cementation Products activity, partly offset by higher Liner Hangers activity.</w:t>
      </w:r>
    </w:p>
    <w:p>
      <w:pPr>
        <w:spacing w:after="0" w:line="120" w:lineRule="exact"/>
        <w:rPr>
          <w:sz w:val="20"/>
          <w:szCs w:val="20"/>
          <w:color w:val="auto"/>
        </w:rPr>
      </w:pPr>
    </w:p>
    <w:p>
      <w:pPr>
        <w:jc w:val="both"/>
        <w:spacing w:after="0" w:line="400" w:lineRule="auto"/>
        <w:rPr>
          <w:sz w:val="20"/>
          <w:szCs w:val="20"/>
          <w:color w:val="auto"/>
        </w:rPr>
      </w:pPr>
      <w:r>
        <w:rPr>
          <w:rFonts w:ascii="Times New Roman" w:cs="Times New Roman" w:eastAsia="Times New Roman" w:hAnsi="Times New Roman"/>
          <w:sz w:val="19"/>
          <w:szCs w:val="19"/>
          <w:color w:val="auto"/>
        </w:rPr>
        <w:t>Fourth quarter 2025 Europe/Sub-Sahara Africa/Russia revenue of $236 million decreased by $6 million, or 2% sequentially, primarily from lower Wireline activity in Europe, partly offset by higher ISDT activity in Europe. Year-over-year, Europe/Sub-Sahara Africa/Russia revenue increased by $10 million, or 4%, primarily from higher ISP and Pressure Pumping activity, partly offset by lower MPD activity in Europe.</w:t>
      </w:r>
    </w:p>
    <w:p>
      <w:pPr>
        <w:spacing w:after="0" w:line="96"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Full year 2025 Europe/Sub-Sahara Africa/Russia revenue of $921 million decreased by $30 million, or 3% compared to 2024, due to lower activity across all the segments, partly offset by higher Pressure Pumping and Wireline activity.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137" w:lineRule="exact"/>
        <w:rPr>
          <w:sz w:val="20"/>
          <w:szCs w:val="20"/>
          <w:color w:val="auto"/>
        </w:rPr>
      </w:pPr>
    </w:p>
    <w:p>
      <w:pPr>
        <w:jc w:val="both"/>
        <w:ind w:right="40"/>
        <w:spacing w:after="0" w:line="366" w:lineRule="auto"/>
        <w:rPr>
          <w:sz w:val="20"/>
          <w:szCs w:val="20"/>
          <w:color w:val="auto"/>
        </w:rPr>
      </w:pPr>
      <w:r>
        <w:rPr>
          <w:rFonts w:ascii="Times New Roman" w:cs="Times New Roman" w:eastAsia="Times New Roman" w:hAnsi="Times New Roman"/>
          <w:sz w:val="20"/>
          <w:szCs w:val="20"/>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16,700 team members representing approximately 105 nationalities and approximately 305 operating locations. Visit </w:t>
      </w:r>
      <w:r>
        <w:rPr>
          <w:rFonts w:ascii="Times New Roman" w:cs="Times New Roman" w:eastAsia="Times New Roman" w:hAnsi="Times New Roman"/>
          <w:sz w:val="20"/>
          <w:szCs w:val="20"/>
          <w:u w:val="single" w:color="auto"/>
          <w:color w:val="3051F2"/>
        </w:rPr>
        <w:t>weatherford.com</w:t>
      </w:r>
      <w:r>
        <w:rPr>
          <w:rFonts w:ascii="Times New Roman" w:cs="Times New Roman" w:eastAsia="Times New Roman" w:hAnsi="Times New Roman"/>
          <w:sz w:val="20"/>
          <w:szCs w:val="20"/>
          <w:color w:val="auto"/>
        </w:rPr>
        <w:t xml:space="preserve"> for more information and connect with us on social media.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299"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Weatherford will host a conference call on Wednesday, February 4, 2026, to discuss the Company’s results for the fourth quarter and full year ended December 31, 2025. The conference call will begin at 8:30 a.m. Eastern Time (7:30 a.m. Central Time).</w:t>
      </w:r>
    </w:p>
    <w:p>
      <w:pPr>
        <w:spacing w:after="0" w:line="26"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39"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59"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February 18, 2026, at 5:00 p.m. Eastern Time. To access the replay, please dial +1 855-669-9658 (within the U.S.) or +1 412-317-0088 (outside of the U.S.) and reference conference number 9725775. A replay and transcript of the earnings call will also be available in the investor relations section of the Company’s website.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Luke Lemoine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Corporate Development &amp; Investor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Communications, Marketing &amp; Sustainability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29" w:lineRule="exact"/>
        <w:rPr>
          <w:sz w:val="20"/>
          <w:szCs w:val="20"/>
          <w:color w:val="auto"/>
        </w:rPr>
      </w:pPr>
    </w:p>
    <w:p>
      <w:pPr>
        <w:jc w:val="both"/>
        <w:spacing w:after="0" w:line="343" w:lineRule="auto"/>
        <w:rPr>
          <w:sz w:val="20"/>
          <w:szCs w:val="20"/>
          <w:color w:val="auto"/>
        </w:rPr>
      </w:pPr>
      <w:r>
        <w:rPr>
          <w:rFonts w:ascii="Times New Roman" w:cs="Times New Roman" w:eastAsia="Times New Roman" w:hAnsi="Times New Roman"/>
          <w:sz w:val="19"/>
          <w:szCs w:val="19"/>
          <w:color w:val="auto"/>
        </w:rPr>
        <w:t>This news release contains projections and forward-looking statements concerning, among other things, the Company’s adjusted EBITDA*, adjusted EBITDA margin*, adjusted free cash flow*,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various effects from the Russia Ukraine conflict, conflicts in the Middle East or instability in Latin America,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and our incorporation of artificial intelligence tools, increases in the prices and lead times, and the lack of availability of our procured products and services, including due to macroeconomic and geopolitical conditions such as tariffs and changes in trade policies, our ability to timely collect from customers; our ability to manage our workforce and systems, including the impact of our enterprise resource planning system implementation and business enhancements;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spacing w:after="0" w:line="63"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9"/>
          <w:szCs w:val="19"/>
          <w:color w:val="auto"/>
        </w:rPr>
        <w:t>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Pr>
          <w:p>
            <w:pPr>
              <w:spacing w:after="0"/>
              <w:rPr>
                <w:sz w:val="20"/>
                <w:szCs w:val="20"/>
                <w:color w:val="auto"/>
              </w:rPr>
            </w:pPr>
          </w:p>
        </w:tc>
        <w:tc>
          <w:tcPr>
            <w:tcW w:w="19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69"/>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December</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WCC Revenues</w:t>
            </w: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 Revenues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4,918</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DRE Segment Adjusted EBITDA</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WCC Segment Adjusted EBITDA</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PRI Segment Adjusted EBITDA</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Credits, Net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 of $10, $11, $12, $46 and $56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60" w:right="560" w:hanging="252"/>
        <w:spacing w:after="0" w:line="221" w:lineRule="auto"/>
        <w:tabs>
          <w:tab w:leader="none" w:pos="256" w:val="left"/>
        </w:tabs>
        <w:numPr>
          <w:ilvl w:val="0"/>
          <w:numId w:val="6"/>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Segment adjusted EBITDA is our primary measure of segment profitability under U.S. GAAP ASC 280 “Segment Reporting” and represents segment earnings before interest, taxes, depreciation, amortization, share-based compensation, restructuring charges and other adjustments. Research and development expenses are included in segment adjusted EBITDA.</w:t>
      </w:r>
    </w:p>
    <w:p>
      <w:pPr>
        <w:ind w:left="260" w:right="180" w:hanging="252"/>
        <w:spacing w:after="0" w:line="221" w:lineRule="auto"/>
        <w:tabs>
          <w:tab w:leader="none" w:pos="256" w:val="left"/>
        </w:tabs>
        <w:numPr>
          <w:ilvl w:val="0"/>
          <w:numId w:val="6"/>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2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1,124</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0"/>
        </w:trPr>
        <w:tc>
          <w:tcPr>
            <w:tcW w:w="48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70"/>
        </w:trPr>
        <w:tc>
          <w:tcPr>
            <w:tcW w:w="48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7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Cash Flows Information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1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4"/>
                <w:szCs w:val="14"/>
                <w:color w:val="auto"/>
              </w:rPr>
            </w:pPr>
          </w:p>
        </w:tc>
        <w:tc>
          <w:tcPr>
            <w:tcW w:w="12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4"/>
                <w:szCs w:val="14"/>
                <w:color w:val="auto"/>
              </w:rPr>
            </w:pPr>
          </w:p>
        </w:tc>
        <w:tc>
          <w:tcPr>
            <w:tcW w:w="11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Losses (Gain)</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6"/>
        </w:trPr>
        <w:tc>
          <w:tcPr>
            <w:tcW w:w="5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Changes in Accounts Receivable, Inventory, Accounts Payable and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Blue Chip Swap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Blue Chip Swap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Remittance on Equity Awards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5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Defined (Unaudited)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Leverage* - Net Leverage* is a non-GAAP measure which is calculated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defined above and reconciled to the GAAP measures in the section titled GAAP to Non-GAAP Financial Measures Reconciled</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57" w:right="339" w:bottom="1440" w:gutter="0" w:footer="0" w:header="0"/>
          <w:type w:val="continuous"/>
        </w:sectPr>
      </w:pPr>
    </w:p>
    <w:bookmarkStart w:id="17" w:name="page18"/>
    <w:bookmarkEnd w:id="1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(Unaudited)</w:t>
      </w:r>
    </w:p>
    <w:p>
      <w:pPr>
        <w:spacing w:after="0" w:line="200" w:lineRule="exact"/>
        <w:rPr>
          <w:sz w:val="20"/>
          <w:szCs w:val="20"/>
          <w:color w:val="auto"/>
        </w:rPr>
      </w:pPr>
    </w:p>
    <w:p>
      <w:pPr>
        <w:spacing w:after="0" w:line="327"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Margin in Percentages)</w:t>
            </w:r>
          </w:p>
        </w:tc>
        <w:tc>
          <w:tcPr>
            <w:tcW w:w="100" w:type="dxa"/>
            <w:vAlign w:val="bottom"/>
          </w:tcPr>
          <w:p>
            <w:pPr>
              <w:spacing w:after="0"/>
              <w:rPr>
                <w:sz w:val="14"/>
                <w:szCs w:val="14"/>
                <w:color w:val="auto"/>
              </w:rPr>
            </w:pPr>
          </w:p>
        </w:tc>
        <w:tc>
          <w:tcPr>
            <w:tcW w:w="12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4"/>
                <w:szCs w:val="14"/>
                <w:color w:val="auto"/>
              </w:rPr>
            </w:pPr>
          </w:p>
        </w:tc>
        <w:tc>
          <w:tcPr>
            <w:tcW w:w="130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4"/>
                <w:szCs w:val="14"/>
                <w:color w:val="auto"/>
              </w:rPr>
            </w:pPr>
          </w:p>
        </w:tc>
        <w:tc>
          <w:tcPr>
            <w:tcW w:w="120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4"/>
                <w:szCs w:val="14"/>
                <w:color w:val="auto"/>
              </w:rPr>
            </w:pPr>
          </w:p>
        </w:tc>
        <w:tc>
          <w:tcPr>
            <w:tcW w:w="1240" w:type="dxa"/>
            <w:vAlign w:val="bottom"/>
            <w:gridSpan w:val="2"/>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4,918</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431</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1,067</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431</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76"/>
        </w:trPr>
        <w:tc>
          <w:tcPr>
            <w:tcW w:w="43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$10, $11,</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 $46 and $56</w:t>
            </w:r>
          </w:p>
        </w:tc>
        <w:tc>
          <w:tcPr>
            <w:tcW w:w="10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Loss on Extinguishment of Debt and Bond</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Redemption Premium</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756</w:t>
            </w:r>
          </w:p>
        </w:tc>
        <w:tc>
          <w:tcPr>
            <w:tcW w:w="4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267</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Charges (Credits), Net</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1,067</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676</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Capital Expenditures for Property, Plant and</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52" w:hanging="252"/>
        <w:spacing w:after="0" w:line="180" w:lineRule="auto"/>
        <w:tabs>
          <w:tab w:leader="none" w:pos="246" w:val="left"/>
        </w:tabs>
        <w:numPr>
          <w:ilvl w:val="0"/>
          <w:numId w:val="7"/>
        </w:numPr>
        <w:rPr>
          <w:rFonts w:ascii="Arial" w:cs="Arial" w:eastAsia="Arial" w:hAnsi="Arial"/>
          <w:sz w:val="25"/>
          <w:szCs w:val="25"/>
          <w:color w:val="auto"/>
          <w:vertAlign w:val="superscript"/>
        </w:rPr>
      </w:pPr>
      <w:r>
        <w:rPr>
          <w:rFonts w:ascii="Times New Roman" w:cs="Times New Roman" w:eastAsia="Times New Roman" w:hAnsi="Times New Roman"/>
          <w:sz w:val="14"/>
          <w:szCs w:val="14"/>
          <w:color w:val="auto"/>
        </w:rPr>
        <w:t>Other Charges (Credits), Net in the twelve months ended December 31, 2025 and 2024 primarily includes fees to third-party financial institutions related to collections of certain receivables from our largest customer in Mexico and other miscellaneous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1232"/>
          </w:cols>
          <w:pgMar w:left="328" w:top="1035"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32"/>
          </w:cols>
          <w:pgMar w:left="328" w:top="1035" w:right="339" w:bottom="1440" w:gutter="0" w:footer="0" w:header="0"/>
          <w:type w:val="continuous"/>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Continued (Unaudited)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1,455</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Debt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3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Cash</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for trailing 12 months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for trailing 12 months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 (Net Debt*/Adjusted EBITDA*)</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x</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0260"/>
          </w:cols>
          <w:pgMar w:left="820" w:top="1035" w:right="81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0260"/>
      </w:cols>
      <w:pgMar w:left="820" w:top="1035" w:right="8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2026-02-03T15:34:37Z</dcterms:created>
  <dcterms:modified xsi:type="dcterms:W3CDTF">2026-02-03T15:34:37Z</dcterms:modified>
</cp:coreProperties>
</file>