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gif" ContentType="image/gif"/>
  <Override PartName="/word/media/image6.jpeg" ContentType="image/jpeg"/>
  <Override PartName="/word/media/image5.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101-3_s4a.htm"/>
        <w:bookmarkStart w:id="1" w:name="kstm26191013_s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17">
                <wp:simplePos x="0" y="0"/>
                <wp:positionH relativeFrom="page">
                  <wp:posOffset>617855</wp:posOffset>
                </wp:positionH>
                <wp:positionV relativeFrom="page">
                  <wp:posOffset>9383395</wp:posOffset>
                </wp:positionV>
                <wp:extent cx="7560310" cy="603250"/>
                <wp:effectExtent l="0" t="0" r="0" b="0"/>
                <wp:wrapNone/>
                <wp:docPr id="1" name="Frame6"/>
                <a:graphic xmlns:a="http://schemas.openxmlformats.org/drawingml/2006/main">
                  <a:graphicData uri="http://schemas.microsoft.com/office/word/2010/wordprocessingShape">
                    <wps:wsp>
                      <wps:cNvSpPr txBox="1"/>
                      <wps:spPr>
                        <a:xfrm>
                          <a:off x="0" y="0"/>
                          <a:ext cx="7560310" cy="60325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3"/>
                              </w:rPr>
                            </w:pPr>
                            <w:r>
                              <w:rPr>
                                <w:rFonts w:ascii="Helvetica;Arial;sans-serif" w:hAnsi="Helvetica;Arial;sans-serif"/>
                                <w:b/>
                                <w:color w:val="FC0014"/>
                                <w:spacing w:val="-1"/>
                                <w:sz w:val="16"/>
                              </w:rPr>
                              <w:t>The information in this information statement/prospectus is subject to completion and amendment. A registration statement relating to the securities described in this information statement/prospectus has been filed with the U.S. Securities and Exchange Commission. These securities may not be sold nor may offers to buy these securities be accepted prior to the time the registration statement becomes effective. This information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r>
                              <w:rPr>
                                <w:rFonts w:ascii="Helvetica;Arial;sans-serif" w:hAnsi="Helvetica;Arial;sans-serif"/>
                                <w:b/>
                                <w:color w:val="FC0014"/>
                                <w:sz w:val="13"/>
                              </w:rPr>
                              <w:t>​</w:t>
                            </w:r>
                            <w:r>
                              <w:rPr>
                                <w:rFonts w:ascii="Helvetica;Arial;sans-serif" w:hAnsi="Helvetica;Arial;sans-serif"/>
                                <w:b/>
                                <w:color w:val="FC0014"/>
                                <w:spacing w:val="-2"/>
                                <w:sz w:val="13"/>
                              </w:rPr>
                              <w:t xml:space="preserve"> </w:t>
                            </w:r>
                          </w:p>
                        </w:txbxContent>
                      </wps:txbx>
                      <wps:bodyPr anchor="t" lIns="0" tIns="0" rIns="0" bIns="0">
                        <a:noAutofit/>
                      </wps:bodyPr>
                    </wps:wsp>
                  </a:graphicData>
                </a:graphic>
              </wp:anchor>
            </w:drawing>
          </mc:Choice>
          <mc:Fallback>
            <w:pict>
              <v:rect style="position:absolute;rotation:-0;width:595.3pt;height:47.5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3"/>
                        </w:rPr>
                      </w:pPr>
                      <w:r>
                        <w:rPr>
                          <w:rFonts w:ascii="Helvetica;Arial;sans-serif" w:hAnsi="Helvetica;Arial;sans-serif"/>
                          <w:b/>
                          <w:color w:val="FC0014"/>
                          <w:spacing w:val="-1"/>
                          <w:sz w:val="16"/>
                        </w:rPr>
                        <w:t>The information in this information statement/prospectus is subject to completion and amendment. A registration statement relating to the securities described in this information statement/prospectus has been filed with the U.S. Securities and Exchange Commission. These securities may not be sold nor may offers to buy these securities be accepted prior to the time the registration statement becomes effective. This information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r>
                        <w:rPr>
                          <w:rFonts w:ascii="Helvetica;Arial;sans-serif" w:hAnsi="Helvetica;Arial;sans-serif"/>
                          <w:b/>
                          <w:color w:val="FC0014"/>
                          <w:sz w:val="13"/>
                        </w:rPr>
                        <w:t>​</w:t>
                      </w:r>
                      <w:r>
                        <w:rPr>
                          <w:rFonts w:ascii="Helvetica;Arial;sans-serif" w:hAnsi="Helvetica;Arial;sans-serif"/>
                          <w:b/>
                          <w:color w:val="FC0014"/>
                          <w:spacing w:val="-2"/>
                          <w:sz w:val="13"/>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U.S. Securities and Exchange Commission on July 17,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333-297275</w:t>
      </w:r>
      <w:r>
        <w:rPr>
          <w:rFonts w:ascii="Times New Roman;Times;serif" w:hAnsi="Times New Roman;Times;serif"/>
          <w:b/>
          <w:i w:val="false"/>
          <w:caps w:val="false"/>
          <w:smallCaps w:val="false"/>
          <w:color w:val="000000"/>
          <w:sz w:val="18"/>
        </w:rPr>
        <w:t>​</w:t>
      </w:r>
    </w:p>
    <w:p>
      <w:pPr>
        <w:pStyle w:val="TextBody"/>
        <w:bidi w:val="0"/>
        <w:spacing w:before="5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1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2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AMENDMENT NO. 1</w:t>
      </w:r>
      <w:r>
        <w:rPr>
          <w:rFonts w:ascii="Times New Roman;Times;serif" w:hAnsi="Times New Roman;Times;serif"/>
          <w:b/>
          <w:i w:val="false"/>
          <w:caps w:val="false"/>
          <w:smallCaps w:val="false"/>
          <w:color w:val="000000"/>
          <w:sz w:val="18"/>
        </w:rPr>
        <w:t xml:space="preserve"> </w:t>
      </w:r>
    </w:p>
    <w:p>
      <w:pPr>
        <w:pStyle w:val="TextBody"/>
        <w:bidi w:val="0"/>
        <w:spacing w:lineRule="atLeast" w:line="19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z w:val="18"/>
        </w:rPr>
        <w:t xml:space="preserve"> </w:t>
      </w:r>
    </w:p>
    <w:p>
      <w:pPr>
        <w:pStyle w:val="TextBody"/>
        <w:bidi w:val="0"/>
        <w:spacing w:lineRule="atLeast" w:line="29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S-4 </w:t>
      </w:r>
    </w:p>
    <w:p>
      <w:pPr>
        <w:pStyle w:val="TextBody"/>
        <w:bidi w:val="0"/>
        <w:spacing w:lineRule="atLeast" w:line="230" w:before="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z w:val="18"/>
        </w:rPr>
        <w:t>​</w:t>
      </w:r>
      <w:r>
        <w:rPr>
          <w:rFonts w:ascii="Times New Roman;Times;serif" w:hAnsi="Times New Roman;Times;serif"/>
          <w:b/>
          <w:i w:val="false"/>
          <w:caps w:val="false"/>
          <w:smallCaps w:val="false"/>
          <w:color w:val="000000"/>
          <w:spacing w:val="6"/>
          <w:sz w:val="18"/>
        </w:rPr>
        <w:t xml:space="preserve"> </w:t>
      </w:r>
    </w:p>
    <w:p>
      <w:pPr>
        <w:pStyle w:val="TextBody"/>
        <w:bidi w:val="0"/>
        <w:spacing w:before="8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Weatherford International plc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50" w:before="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116"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Ireland</w:t>
            </w:r>
            <w:r>
              <w:rPr>
                <w:b/>
                <w:sz w:val="18"/>
              </w:rPr>
              <w:t xml:space="preserve"> </w:t>
            </w:r>
          </w:p>
          <w:p>
            <w:pPr>
              <w:pStyle w:val="TableContents"/>
              <w:bidi w:val="0"/>
              <w:spacing w:lineRule="atLeast" w:line="160" w:before="14"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3533</w:t>
            </w:r>
            <w:r>
              <w:rPr>
                <w:b/>
                <w:sz w:val="18"/>
              </w:rPr>
              <w:t xml:space="preserve"> </w:t>
            </w:r>
          </w:p>
          <w:p>
            <w:pPr>
              <w:pStyle w:val="TableContents"/>
              <w:bidi w:val="0"/>
              <w:spacing w:lineRule="atLeast" w:line="160" w:before="14"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98-0606750</w:t>
            </w:r>
            <w:r>
              <w:rPr>
                <w:b/>
                <w:sz w:val="18"/>
              </w:rPr>
              <w:t xml:space="preserve"> </w:t>
            </w:r>
          </w:p>
          <w:p>
            <w:pPr>
              <w:pStyle w:val="TableContents"/>
              <w:bidi w:val="0"/>
              <w:spacing w:lineRule="atLeast" w:line="160" w:before="14"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3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2000 St. James Place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Houston, Texas 77056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(713) 836-4000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6"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Scott C. Weatherholt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Executive Vice President, General Counsel and Chief Compliance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Weatherford International plc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2000 St. James Place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Houston, Texas 77056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(713) 836-4000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6"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06"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of all communications, including communications sent to agent for service, should be sent to:</w:t>
      </w:r>
      <w:r>
        <w:rPr>
          <w:rFonts w:ascii="Times New Roman;Times;serif" w:hAnsi="Times New Roman;Times;serif"/>
          <w:b/>
          <w:i/>
          <w:caps w:val="false"/>
          <w:smallCaps w:val="false"/>
          <w:color w:val="000000"/>
          <w:spacing w:val="4"/>
          <w:sz w:val="18"/>
        </w:rPr>
        <w:t xml:space="preserve"> </w:t>
      </w:r>
    </w:p>
    <w:tbl>
      <w:tblPr>
        <w:tblW w:w="9571" w:type="dxa"/>
        <w:jc w:val="left"/>
        <w:tblInd w:w="540" w:type="dxa"/>
        <w:tblLayout w:type="fixed"/>
        <w:tblCellMar>
          <w:top w:w="0" w:type="dxa"/>
          <w:left w:w="0" w:type="dxa"/>
          <w:bottom w:w="0" w:type="dxa"/>
          <w:right w:w="0" w:type="dxa"/>
        </w:tblCellMar>
      </w:tblPr>
      <w:tblGrid>
        <w:gridCol w:w="124"/>
        <w:gridCol w:w="3007"/>
        <w:gridCol w:w="109"/>
        <w:gridCol w:w="109"/>
        <w:gridCol w:w="3584"/>
        <w:gridCol w:w="109"/>
        <w:gridCol w:w="109"/>
        <w:gridCol w:w="2266"/>
        <w:gridCol w:w="154"/>
      </w:tblGrid>
      <w:tr>
        <w:trPr/>
        <w:tc>
          <w:tcPr>
            <w:tcW w:w="124" w:type="dxa"/>
            <w:tcBorders/>
            <w:vAlign w:val="center"/>
          </w:tcPr>
          <w:p>
            <w:pPr>
              <w:pStyle w:val="TableContents"/>
              <w:bidi w:val="0"/>
              <w:spacing w:before="0" w:after="283"/>
              <w:jc w:val="left"/>
              <w:rPr/>
            </w:pPr>
            <w:r>
              <w:rPr/>
              <w:t>​</w:t>
            </w:r>
          </w:p>
        </w:tc>
        <w:tc>
          <w:tcPr>
            <w:tcW w:w="3007" w:type="dxa"/>
            <w:tcBorders/>
            <w:vAlign w:val="center"/>
          </w:tcPr>
          <w:p>
            <w:pPr>
              <w:pStyle w:val="TableContents"/>
              <w:bidi w:val="0"/>
              <w:spacing w:before="0" w:after="0"/>
              <w:jc w:val="center"/>
              <w:rPr/>
            </w:pPr>
            <w:r>
              <w:rPr>
                <w:spacing w:val="-4"/>
              </w:rPr>
              <w:t>Jonathan B. Newton</w:t>
            </w:r>
            <w:r>
              <w:rPr/>
              <w:t xml:space="preserve"> </w:t>
              <w:br/>
            </w:r>
            <w:r>
              <w:rPr>
                <w:spacing w:val="-4"/>
              </w:rPr>
              <w:t>Heath C. Trisdale</w:t>
            </w:r>
            <w:r>
              <w:rPr/>
              <w:t xml:space="preserve"> </w:t>
              <w:br/>
            </w:r>
            <w:r>
              <w:rPr>
                <w:spacing w:val="-4"/>
              </w:rPr>
              <w:t>Allison C. Bell</w:t>
            </w:r>
            <w:r>
              <w:rPr/>
              <w:t xml:space="preserve"> </w:t>
              <w:br/>
            </w:r>
            <w:r>
              <w:rPr>
                <w:spacing w:val="-4"/>
              </w:rPr>
              <w:t>King &amp; Spalding LLP</w:t>
            </w:r>
            <w:r>
              <w:rPr/>
              <w:t xml:space="preserve"> </w:t>
              <w:br/>
            </w:r>
            <w:r>
              <w:rPr>
                <w:spacing w:val="-4"/>
              </w:rPr>
              <w:t>1100 Louisiana St., Suite 4100</w:t>
            </w:r>
            <w:r>
              <w:rPr/>
              <w:t xml:space="preserve"> </w:t>
              <w:br/>
            </w:r>
            <w:r>
              <w:rPr>
                <w:spacing w:val="-4"/>
              </w:rPr>
              <w:t>Houston, Texas 77002</w:t>
            </w:r>
            <w:r>
              <w:rPr/>
              <w:t xml:space="preserve"> </w:t>
              <w:br/>
            </w:r>
            <w:r>
              <w:rPr>
                <w:spacing w:val="-4"/>
              </w:rPr>
              <w:t>(713) 751-3200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Ori Lev</w:t>
            </w:r>
            <w:r>
              <w:rPr/>
              <w:t xml:space="preserve"> </w:t>
              <w:br/>
            </w:r>
            <w:r>
              <w:rPr>
                <w:spacing w:val="-4"/>
              </w:rPr>
              <w:t xml:space="preserve">Executive Vice President, </w:t>
            </w:r>
            <w:r>
              <w:rPr/>
              <w:br/>
            </w:r>
            <w:r>
              <w:rPr>
                <w:spacing w:val="-4"/>
              </w:rPr>
              <w:t>General Counsel and Secretary</w:t>
            </w:r>
            <w:r>
              <w:rPr/>
              <w:t xml:space="preserve"> </w:t>
              <w:br/>
            </w:r>
            <w:r>
              <w:rPr>
                <w:spacing w:val="-4"/>
              </w:rPr>
              <w:t>NCS Multistage Holdings, Inc.</w:t>
            </w:r>
            <w:r>
              <w:rPr/>
              <w:t xml:space="preserve"> </w:t>
              <w:br/>
            </w:r>
            <w:r>
              <w:rPr>
                <w:spacing w:val="-4"/>
              </w:rPr>
              <w:t xml:space="preserve">19350 State Highway 249, Suite 600 </w:t>
            </w:r>
            <w:r>
              <w:rPr/>
              <w:br/>
            </w:r>
            <w:r>
              <w:rPr>
                <w:spacing w:val="-4"/>
              </w:rPr>
              <w:t>Houston, Texas 77070</w:t>
            </w:r>
            <w:r>
              <w:rPr/>
              <w:t xml:space="preserve"> </w:t>
              <w:br/>
            </w:r>
            <w:r>
              <w:rPr>
                <w:spacing w:val="-4"/>
              </w:rPr>
              <w:t>(281) 453-2222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center"/>
              <w:rPr/>
            </w:pPr>
            <w:r>
              <w:rPr>
                <w:spacing w:val="-4"/>
              </w:rPr>
              <w:t>James Marshall</w:t>
            </w:r>
            <w:r>
              <w:rPr/>
              <w:t xml:space="preserve"> </w:t>
              <w:br/>
            </w:r>
            <w:r>
              <w:rPr>
                <w:spacing w:val="-4"/>
              </w:rPr>
              <w:t>Jamie L. Yarbrough</w:t>
            </w:r>
            <w:r>
              <w:rPr/>
              <w:t xml:space="preserve"> </w:t>
              <w:br/>
            </w:r>
            <w:r>
              <w:rPr>
                <w:spacing w:val="-4"/>
              </w:rPr>
              <w:t>Baker Botts L.L.P.</w:t>
            </w:r>
            <w:r>
              <w:rPr/>
              <w:t xml:space="preserve"> </w:t>
              <w:br/>
            </w:r>
            <w:r>
              <w:rPr>
                <w:spacing w:val="-4"/>
              </w:rPr>
              <w:t>910 Louisiana St.</w:t>
            </w:r>
            <w:r>
              <w:rPr/>
              <w:t xml:space="preserve"> </w:t>
              <w:br/>
            </w:r>
            <w:r>
              <w:rPr>
                <w:spacing w:val="-4"/>
              </w:rPr>
              <w:t>Houston, Texas 77002</w:t>
            </w:r>
            <w:r>
              <w:rPr/>
              <w:t xml:space="preserve"> </w:t>
              <w:br/>
            </w:r>
            <w:r>
              <w:rPr>
                <w:spacing w:val="-4"/>
              </w:rPr>
              <w:t>(713) 229-1234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of the securities to the public:</w:t>
      </w:r>
      <w:r>
        <w:rPr>
          <w:rFonts w:ascii="Times New Roman;Times;serif" w:hAnsi="Times New Roman;Times;serif"/>
          <w:b w:val="false"/>
          <w:i w:val="false"/>
          <w:caps w:val="false"/>
          <w:smallCaps w:val="false"/>
          <w:color w:val="000000"/>
          <w:spacing w:val="4"/>
          <w:sz w:val="18"/>
        </w:rPr>
        <w:t xml:space="preserve"> As soon as practicable after this Registration Statement is declared effective and all other conditions to the proposed transactions described herein have been satisfied or waived, as applicable.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528" w:type="dxa"/>
        <w:jc w:val="left"/>
        <w:tblInd w:w="540" w:type="dxa"/>
        <w:tblLayout w:type="fixed"/>
        <w:tblCellMar>
          <w:top w:w="0" w:type="dxa"/>
          <w:left w:w="0" w:type="dxa"/>
          <w:bottom w:w="0" w:type="dxa"/>
          <w:right w:w="0" w:type="dxa"/>
        </w:tblCellMar>
      </w:tblPr>
      <w:tblGrid>
        <w:gridCol w:w="124"/>
        <w:gridCol w:w="2776"/>
        <w:gridCol w:w="109"/>
        <w:gridCol w:w="109"/>
        <w:gridCol w:w="325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8288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pPr>
            <w:r>
              <w:rPr>
                <w:spacing w:val="4"/>
              </w:rPr>
              <w:t>☐</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8288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1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applicable, place an X in the box to designate the appropriate rule provision relied upon in conducting this transaction: </w:t>
      </w:r>
    </w:p>
    <w:p>
      <w:pPr>
        <w:pStyle w:val="TextBody"/>
        <w:bidi w:val="0"/>
        <w:spacing w:lineRule="atLeast" w:line="190" w:before="6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13e-4(i) (Cross-Border Issuer Tender Offer) ☐ </w:t>
      </w:r>
    </w:p>
    <w:p>
      <w:pPr>
        <w:pStyle w:val="TextBody"/>
        <w:bidi w:val="0"/>
        <w:spacing w:lineRule="atLeast" w:line="190" w:before="6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14d-1(d) (Cross-Border Third-Party Tender Offer) ☐ </w:t>
      </w:r>
    </w:p>
    <w:p>
      <w:pPr>
        <w:pStyle w:val="TextBody"/>
        <w:bidi w:val="0"/>
        <w:spacing w:before="11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8"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9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DATED JULY 17,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371600" cy="7715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371600" cy="771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INFORMATION STATEMENT/PROSPECTUS AND NOTICE OF ACTION BY WRITTEN CONSENT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SEND A PROXY, AND YOU ARE REQUESTED NOT TO SEND A PROXY TO NCS, WEATHERFORD, NOR ANY OTHER PERSON IN CONNECTION WITH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NCS Multistage Holdings, Inc. Stockholder: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information statement/prospectus.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The respective boards of directors of NCS and Weatherford have unanimously approved the Merger Agreement and the Transaction.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and subject to the conditions of the Merger Agreement, at the Effective Time, each share of common stock, par value $0.01 per share, of NCS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that you own immediately prior to the Effective Time will automatically be cancelled and converted into the right to receive, at your election: </w:t>
      </w:r>
    </w:p>
    <w:p>
      <w:pPr>
        <w:pStyle w:val="TextBody"/>
        <w:bidi w:val="0"/>
        <w:spacing w:lineRule="atLeast" w:line="240" w:before="156" w:after="0"/>
        <w:ind w:left="2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who make a Share Election or who do not timely make a valid election before the election deadline will receive the Share Consideration, which is not subject to proration. </w:t>
      </w:r>
    </w:p>
    <w:p>
      <w:pPr>
        <w:pStyle w:val="TextBody"/>
        <w:bidi w:val="0"/>
        <w:spacing w:lineRule="atLeast" w:line="240" w:before="100" w:after="283"/>
        <w:ind w:left="1393" w:right="0" w:firstLine="400"/>
        <w:jc w:val="left"/>
        <w:rPr/>
      </w:pPr>
      <w:r>
        <w:rPr>
          <w:rFonts w:ascii="Times New Roman;Times;serif" w:hAnsi="Times New Roman;Times;serif"/>
          <w:b w:val="false"/>
          <w:i w:val="false"/>
          <w:caps w:val="false"/>
          <w:smallCaps w:val="false"/>
          <w:color w:val="000000"/>
          <w:spacing w:val="4"/>
          <w:sz w:val="20"/>
        </w:rPr>
        <w:t>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which on May 31, 2026, beneficially owned 1,478,426 shares of NCS Common Stock, representing approximately 56.33% of the aggregate voting power of the issued and outstanding shares of NCS Common Stock, has made an irrevocable election, except to the extent of a valid termination of the Support Agreement (as defined below),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The Support Agreement may be terminated in certain limited circumstances as set forth in the Support Agreement.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Questions and Answers — What will I receive for my shares if the Transaction is completed?</w:t>
      </w:r>
      <w:r>
        <w:rPr>
          <w:rFonts w:ascii="Times New Roman;Times;serif" w:hAnsi="Times New Roman;Times;serif"/>
          <w:b w:val="false"/>
          <w:i w:val="false"/>
          <w:caps w:val="false"/>
          <w:smallCaps w:val="false"/>
          <w:color w:val="000000"/>
          <w:spacing w:val="4"/>
          <w:sz w:val="20"/>
        </w:rPr>
        <w:t xml:space="preserve">” beginning on page </w:t>
      </w:r>
      <w:hyperlink w:anchor="tWIRT">
        <w:r>
          <w:rPr>
            <w:rStyle w:val="InternetLink"/>
          </w:rPr>
          <w:t>2</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the accompanying information statement/prospectus.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of $103.64,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Ordinary Shares trade on the Nasdaq Global Select Market under the symbol “WFRD” and NCS Common Stock trades on the Nasdaq Capital Market under the symbol “NCSM.”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meeting of the board of directors of NCS (the “</w:t>
      </w:r>
      <w:r>
        <w:rPr>
          <w:rFonts w:ascii="Times New Roman;Times;serif" w:hAnsi="Times New Roman;Times;serif"/>
          <w:b/>
          <w:i w:val="false"/>
          <w:caps w:val="false"/>
          <w:smallCaps w:val="false"/>
          <w:color w:val="000000"/>
          <w:spacing w:val="-4"/>
          <w:sz w:val="20"/>
        </w:rPr>
        <w:t>NCS Board</w:t>
      </w:r>
      <w:r>
        <w:rPr>
          <w:rFonts w:ascii="Times New Roman;Times;serif" w:hAnsi="Times New Roman;Times;serif"/>
          <w:b w:val="false"/>
          <w:i w:val="false"/>
          <w:caps w:val="false"/>
          <w:smallCaps w:val="false"/>
          <w:color w:val="000000"/>
          <w:spacing w:val="4"/>
          <w:sz w:val="20"/>
        </w:rPr>
        <w:t xml:space="preserve">”) held on May 31, 2026,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adoption of the Merger Agreement, and the transactions contemplated thereby, including the Transaction, required the affirmative vote or written consent by holders of at least a majority of the outstanding shares of the NCS Common Stock entitled to vote thereon. Contemporaneously and in connection with the execution of the Merger Agreement, on May 31, 2026, Weatherford and NCS entered into a support agreement, a copy of which is attached to this information statement/prospectus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with the Specified Stockholder. Immediately following the execution of the Merger Agreement, on May 31, 2026, the Specified Stockholder, pursuant to the Support Agreement, delivered a written consent adopting and approving in all respects the Merger Agreement and the transactions contemplated thereby, including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Accordingly, the execution and delivery of the Specified Stockholder Written Consent was sufficient to adopt the Merger Agreement and approve the Transaction on behalf of NCS stockholders and no further action by any NCS stockholder is required under applicable law or the Merger Agreement (or otherwise) to adopt the Merger Agreement, and NCS has not solicited and will not be soliciting your vote for or consent to the adoption of the Merger Agreement and the approval of the Transaction and will not call a stockholders’ meeting for purposes of voting on the adoption of the Merger Agreement and the approval of the Transaction. </w:t>
      </w:r>
      <w:r>
        <w:rPr>
          <w:rFonts w:ascii="Times New Roman;Times;serif" w:hAnsi="Times New Roman;Times;serif"/>
          <w:b/>
          <w:i w:val="false"/>
          <w:caps w:val="false"/>
          <w:smallCaps w:val="false"/>
          <w:color w:val="000000"/>
          <w:spacing w:val="-4"/>
          <w:sz w:val="20"/>
        </w:rPr>
        <w:t>This notice and the accompanying information statement shall constitute notice to you from NCS of the Specified Stockholder Written Consent contemplated by Section 228(e) of the General Corporation Law of the State of Delaware and are being provided to you for informational purposes only. NCS has not solicited and is not soliciting your adoption of the Merger Agreement or a proxy, and you are requested not to send us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Please carefully read the entirety of the accompanying information statement/prospectus, including the risk factors set forth in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24</w:t>
        </w:r>
      </w:hyperlink>
      <w:r>
        <w:rPr>
          <w:rFonts w:ascii="Times New Roman;Times;serif" w:hAnsi="Times New Roman;Times;serif"/>
          <w:b/>
          <w:i w:val="false"/>
          <w:caps w:val="false"/>
          <w:smallCaps w:val="false"/>
          <w:color w:val="000000"/>
          <w:spacing w:val="-4"/>
          <w:sz w:val="20"/>
        </w:rPr>
        <w:t>, for a discussion of the risks relating to the Transaction, and the annexes and documents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NCS Board, thank you for your continued support.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 TRANSACTION OR OTHER TRANSACTIONS DESCRIBED IN THE ACCOMPANYING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OR THE SECURITIES TO BE ISSUED PURSUANT TO THE MERGER AGREEMENT UNDER THE ACCOMPANYING INFORMATION STATEMENT/PROSPECTUS NOR HAVE THEY DETERMINED IF THE ACCOMPANYING INFORMATION STATEMENT/PROSPECTUS IS ACCURATE OR ADEQUATE.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information statement/prospectus is dated [•], 2026 and is first being mailed to NCS stockholders on or about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incorporates by reference certain important information about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from other documents that Weatherford and NCS, respectively, have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and that are contained in or incorporated by reference into this information statement/prospectus. For a listing of documents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These documents are available for you to review on the SEC’s website at www.sec.gov.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can obtain copies of this information statement/prospectus and the documents incorporated by reference into this information statement/prospectus without charge upon your written or oral request at the following addresses and telephone numbers:</w:t>
      </w:r>
      <w:r>
        <w:rPr>
          <w:rFonts w:ascii="Times New Roman;Times;serif" w:hAnsi="Times New Roman;Times;serif"/>
          <w:b/>
          <w:i w:val="false"/>
          <w:caps w:val="false"/>
          <w:smallCaps w:val="false"/>
          <w:color w:val="000000"/>
          <w:spacing w:val="4"/>
          <w:sz w:val="20"/>
        </w:rPr>
        <w:t xml:space="preserve">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request any such documents, Weatherford or NCS, as applicable, will mail them to you by first class mail or another equally prompt means, after receipt of your request. </w:t>
      </w:r>
      <w:r>
        <w:rPr>
          <w:rFonts w:ascii="Times New Roman;Times;serif" w:hAnsi="Times New Roman;Times;serif"/>
          <w:b/>
          <w:i w:val="false"/>
          <w:caps w:val="false"/>
          <w:smallCaps w:val="false"/>
          <w:color w:val="000000"/>
          <w:spacing w:val="-4"/>
          <w:sz w:val="20"/>
        </w:rPr>
        <w:t>To receive timely delivery of the documents, your request must be received by no later than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you may obtain copies of documents filed by Weatherford with the SEC by accessing Weatherford’s website at https://www.weatherford.com/investor-relations. You may also obtain copies of documents filed by NCS with the SEC by accessing NCS’s website at https://ir.ncsmultistage.com. Weatherford and NCS are not incorporating the contents of the websites of the SEC, Weatherford, NCS, or of any other entity into this information statement/prospectus. Weatherford and NCS are providing the information about how you can obtain certain documents that are incorporated by reference into this information statement/prospectus at these websites only for your convenience.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ATI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which forms part of a registration statement on Form S-4 (Registration No. 333-297275) filed with the SEC by Weatherford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constitutes a prospectus of Weatherford under Section 5 of the Securities Act of 1933, as amended (the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with respect to the Weatherford Ordinary Shares to be issued to stockholders of NCS pursuant to the Merger Agreement referred to in this information statement/prospectus (other than such Weatherford Ordinary Shares that are expected to be beneficially owned by the Specified Stockholder). This information statement/prospectus also constitutes an information statement for NCS under Rule 14c-2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to provide NCS stockholders with notice of the Specified Stockholder Written Consent and material information concerning the actions taken in connection with the Specified Stockholder Written Consent as contemplated by Section 228(e) of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sections titled “</w:t>
      </w:r>
      <w:r>
        <w:rPr>
          <w:rFonts w:ascii="Times New Roman;Times;serif" w:hAnsi="Times New Roman;Times;serif"/>
          <w:b w:val="false"/>
          <w:i/>
          <w:caps w:val="false"/>
          <w:smallCaps w:val="false"/>
          <w:color w:val="000000"/>
          <w:spacing w:val="4"/>
          <w:sz w:val="20"/>
        </w:rPr>
        <w:t>Questions and Answers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Summary</w:t>
      </w:r>
      <w:r>
        <w:rPr>
          <w:rFonts w:ascii="Times New Roman;Times;serif" w:hAnsi="Times New Roman;Times;serif"/>
          <w:b w:val="false"/>
          <w:i w:val="false"/>
          <w:caps w:val="false"/>
          <w:smallCaps w:val="false"/>
          <w:color w:val="000000"/>
          <w:spacing w:val="4"/>
          <w:sz w:val="20"/>
        </w:rPr>
        <w:t>” below highlight select information from this information statement/prospectus, but they do not include all of the information that may be important to you. To better understand the Transaction and the Merger Agreement, and for a more complete description of the legal terms thereof, you should carefully read this entire information statement/prospectus, including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the Merger Agreement, a copy of which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hereto, as well as the documents that are incorporated by reference into this information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information statement/prospectus does not constitute an offer to sell, or a solicitation of an offer to buy, any securities in any jurisdiction to or from any person to whom it is unlawful to make any such offer or solicitation in such jurisdiction.</w:t>
      </w:r>
      <w:r>
        <w:rPr>
          <w:rFonts w:ascii="Times New Roman;Times;serif" w:hAnsi="Times New Roman;Times;serif"/>
          <w:b w:val="false"/>
          <w:i w:val="false"/>
          <w:caps w:val="false"/>
          <w:smallCaps w:val="false"/>
          <w:color w:val="000000"/>
          <w:spacing w:val="4"/>
          <w:sz w:val="20"/>
        </w:rPr>
        <w:t xml:space="preserve"> Information contained in this information statement/prospectus regarding Weatherford and its business, operations, management, and other matters has been provided by Weatherford, and information contained in this information statement/prospectus regarding NCS and its business, operations, management, and other matters has been provided by NCS.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w:t>
      </w:r>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6"/>
        <w:gridCol w:w="109"/>
        <w:gridCol w:w="109"/>
        <w:gridCol w:w="109"/>
        <w:gridCol w:w="109"/>
        <w:gridCol w:w="5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ATIS">
              <w:r>
                <w:rPr>
                  <w:rStyle w:val="InternetLink"/>
                  <w:spacing w:val="4"/>
                </w:rPr>
                <w:t xml:space="preserve">ABOUT THIS INFORMATION STATEMENT/PROSPECTUS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ATIS">
              <w:r>
                <w:rPr>
                  <w:rStyle w:val="InternetLink"/>
                  <w:spacing w:val="4"/>
                </w:rPr>
                <w:t>ii</w:t>
              </w:r>
            </w:hyperlink>
            <w:hyperlink w:anchor="tAT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SUM">
              <w:r>
                <w:rPr>
                  <w:rStyle w:val="InternetLink"/>
                  <w:spacing w:val="4"/>
                </w:rPr>
                <w:t>12</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RIFA">
              <w:r>
                <w:rPr>
                  <w:rStyle w:val="InternetLink"/>
                  <w:spacing w:val="4"/>
                </w:rPr>
                <w:t>24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NRF">
              <w:r>
                <w:rPr>
                  <w:rStyle w:val="InternetLink"/>
                  <w:spacing w:val="4"/>
                </w:rPr>
                <w:t>33</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N">
              <w:r>
                <w:rPr>
                  <w:rStyle w:val="InternetLink"/>
                  <w:spacing w:val="4"/>
                </w:rPr>
                <w:t xml:space="preserve">INFORMATION ABOUT NCS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N">
              <w:r>
                <w:rPr>
                  <w:rStyle w:val="InternetLink"/>
                  <w:spacing w:val="4"/>
                </w:rPr>
                <w:t>35</w:t>
              </w:r>
            </w:hyperlink>
            <w:hyperlink w:anchor="tI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IAWA">
              <w:r>
                <w:rPr>
                  <w:rStyle w:val="InternetLink"/>
                  <w:spacing w:val="4"/>
                </w:rPr>
                <w:t xml:space="preserve">INFORMATION ABOUT WEATHERFORD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IAWA">
              <w:r>
                <w:rPr>
                  <w:rStyle w:val="InternetLink"/>
                  <w:spacing w:val="4"/>
                </w:rPr>
                <w:t>36</w:t>
              </w:r>
            </w:hyperlink>
            <w:hyperlink w:anchor="tIA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THTR">
              <w:r>
                <w:rPr>
                  <w:rStyle w:val="InternetLink"/>
                  <w:spacing w:val="4"/>
                </w:rPr>
                <w:t xml:space="preserve">THE TRANSACTION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THTR">
              <w:r>
                <w:rPr>
                  <w:rStyle w:val="InternetLink"/>
                  <w:spacing w:val="4"/>
                </w:rPr>
                <w:t>37</w:t>
              </w:r>
            </w:hyperlink>
            <w:hyperlink w:anchor="tTH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TMA">
              <w:r>
                <w:rPr>
                  <w:rStyle w:val="InternetLink"/>
                  <w:spacing w:val="4"/>
                </w:rPr>
                <w:t>79</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UPFC">
              <w:r>
                <w:rPr>
                  <w:rStyle w:val="InternetLink"/>
                  <w:spacing w:val="4"/>
                </w:rPr>
                <w:t>103</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RIGHTS OF HOLDERS OF NCS COMMON STOCK AND WEATHERFORD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OTR">
              <w:r>
                <w:rPr>
                  <w:rStyle w:val="InternetLink"/>
                  <w:spacing w:val="4"/>
                </w:rPr>
                <w:t>104</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CN">
              <w:r>
                <w:rPr>
                  <w:rStyle w:val="InternetLink"/>
                  <w:spacing w:val="4"/>
                </w:rPr>
                <w:t xml:space="preserve">INFORMATION ABOUT CERTAIN NCS BENEFICIAL OWNERS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CN">
              <w:r>
                <w:rPr>
                  <w:rStyle w:val="InternetLink"/>
                  <w:spacing w:val="4"/>
                </w:rPr>
                <w:t>135</w:t>
              </w:r>
            </w:hyperlink>
            <w:hyperlink w:anchor="tIAC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NAR">
              <w:r>
                <w:rPr>
                  <w:rStyle w:val="InternetLink"/>
                  <w:spacing w:val="4"/>
                </w:rPr>
                <w:t xml:space="preserve">NO APPRAISAL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NAR">
              <w:r>
                <w:rPr>
                  <w:rStyle w:val="InternetLink"/>
                  <w:spacing w:val="4"/>
                </w:rPr>
                <w:t>137</w:t>
              </w:r>
            </w:hyperlink>
            <w:hyperlink w:anchor="tN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LEMA">
              <w:r>
                <w:rPr>
                  <w:rStyle w:val="InternetLink"/>
                  <w:spacing w:val="4"/>
                </w:rPr>
                <w:t>138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EXP">
              <w:r>
                <w:rPr>
                  <w:rStyle w:val="InternetLink"/>
                  <w:spacing w:val="4"/>
                </w:rPr>
                <w:t>139</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HOIS">
              <w:r>
                <w:rPr>
                  <w:rStyle w:val="InternetLink"/>
                  <w:spacing w:val="4"/>
                </w:rPr>
                <w:t xml:space="preserve">HOUSEHOLDING OF INFORMATION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HOIS">
              <w:r>
                <w:rPr>
                  <w:rStyle w:val="InternetLink"/>
                  <w:spacing w:val="4"/>
                </w:rPr>
                <w:t>140</w:t>
              </w:r>
            </w:hyperlink>
            <w:hyperlink w:anchor="tHO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WYCF">
              <w:r>
                <w:rPr>
                  <w:rStyle w:val="InternetLink"/>
                  <w:spacing w:val="4"/>
                </w:rPr>
                <w:t>141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2"/>
        <w:gridCol w:w="109"/>
        <w:gridCol w:w="109"/>
        <w:gridCol w:w="109"/>
        <w:gridCol w:w="109"/>
        <w:gridCol w:w="50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B">
              <w:r>
                <w:rPr>
                  <w:rStyle w:val="InternetLink"/>
                  <w:spacing w:val="4"/>
                </w:rPr>
                <w:t xml:space="preserve">Annex B   Specified Stockholder Support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C">
              <w:r>
                <w:rPr>
                  <w:rStyle w:val="InternetLink"/>
                  <w:spacing w:val="4"/>
                </w:rPr>
                <w:t xml:space="preserve">Annex C   Specified Stockholder Election Letter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D">
              <w:r>
                <w:rPr>
                  <w:rStyle w:val="InternetLink"/>
                  <w:spacing w:val="4"/>
                </w:rPr>
                <w:t xml:space="preserve">Annex D   Specified Stockholder Written Consent, dated as of May 31,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E">
              <w:r>
                <w:rPr>
                  <w:rStyle w:val="InternetLink"/>
                  <w:spacing w:val="4"/>
                </w:rPr>
                <w:t xml:space="preserve">Annex E  Opinion of NCS’s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F">
              <w:r>
                <w:rPr>
                  <w:rStyle w:val="InternetLink"/>
                  <w:spacing w:val="4"/>
                </w:rPr>
                <w:t xml:space="preserve">Annex F  Form of Election for Holders of NCS Multistage Holdings, Inc.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following questions and answers are intended to briefly address what are expected to be commonly asked questions regarding the Transaction and the Merger Agreement. These questions and answers may not address all questions that may be important to you as an NCS stockholder. For additional information, please see the section titled “Summary” and the more detailed information contained elsewhere in this information statement/prospectus, the annexes to this information statement/prospectus, and the documents referred to or incorporated by reference in this information statement/prospectus, which you should read carefully and in their entirety. You may obtain the information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without charge by following the instructions under the section titled “Where You Can Find More Information.”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information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Weatherford, NCS,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NCS has agreed to be acquired by Weatherford. If the closing conditions under the Merger Agreement are satisfied or waived, Merger Sub will merge with and into NCS, with NCS surviving the merger with Merger Sub, becoming a wholly owned subsidiary of Weatherford and ceasing to be an independent publicly traded company. The transactions contemplated by the Merger Agreement are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Applicable laws and securities regulations require NCS to provide you with notice that, on May 31, 2026, 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xml:space="preserve">”) duly executed and validly delivered to NCS a written consent to adopt the Merger Agreement and approve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as well as other information regarding the Transaction, even though your vote or consent is neither required nor requested to adopt the Merger Agreement or complete the Transaction. This document constitutes both an information statement of NCS and a prospectus of Weatherford. It is an information statement because NCS is required to provide its stockholders with notice of the Specified Stockholder Written Consent and material information concerning the actions taken in connection with the Specified Stockholder Written Consent as contemplated by Section 228(e) of the DGCL. It is a prospectus because Weatherford will issue Weatherford Ordinary Shares to stockholders of NCS (other than the Specified Stockholder) in exchange for shares of NCS Common Stock in the Transaction if the Transaction is completed.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note that the delivery of the Specified Stockholder Written Consent was sufficient to adopt the Merger Agreement and approve the Transaction on behalf of stockholders of NCS.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Transaction and what effects will it have on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 has agreed to be acquired by Weatherford under the terms of the Merger Agreement, a copy of which is attached to this information statement/prospectus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If the closing conditions under the Merger Agreement are satisfied or waived, Merger Sub will merge with and into NCS, with NCS surviving the merger with Merger Sub, becoming a wholly owned subsidiary of Weatherford and ceasing to be an independent publicly traded company.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Did the NCS Board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After careful consideration,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For a discussion of the factors the NCS Board considered in determining to approve and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IR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recommend the Merger Agreement, please see the section titled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not being asked to vote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and NCS’s organizational documents, adoption of the Merger Agreement by NCS’s stockholders required the affirmative vote of the holders of a majority of the outstanding shares of NCS Common Stock entitled to vote thereon. The NCS organizational documents permit, at any time when Advent International, L.P. (formerly Advent International Corporation) (“</w:t>
      </w:r>
      <w:r>
        <w:rPr>
          <w:rFonts w:ascii="Times New Roman;Times;serif" w:hAnsi="Times New Roman;Times;serif"/>
          <w:b/>
          <w:i w:val="false"/>
          <w:caps w:val="false"/>
          <w:smallCaps w:val="false"/>
          <w:color w:val="000000"/>
          <w:spacing w:val="-4"/>
          <w:sz w:val="20"/>
        </w:rPr>
        <w:t>Advent</w:t>
      </w:r>
      <w:r>
        <w:rPr>
          <w:rFonts w:ascii="Times New Roman;Times;serif" w:hAnsi="Times New Roman;Times;serif"/>
          <w:b w:val="false"/>
          <w:i w:val="false"/>
          <w:caps w:val="false"/>
          <w:smallCaps w:val="false"/>
          <w:color w:val="000000"/>
          <w:spacing w:val="4"/>
          <w:sz w:val="20"/>
        </w:rPr>
        <w:t xml:space="preserve">”) and its affiliates collectively beneficially own at least 50.01% of the outstanding NCS Common Stock, any action that is required or permitted to be taken at any annual meeting or special meeting of NCS’s stockholders may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beneficially owned 1,478,426 shares of NCS Common Stock, representing approximately 56.33% of the issued and outstanding shares of NCS Common Stock on that date. Therefore, your vote is not required and is not being sought. You are not being asked to submit a proxy, and you are requested not to send a proxy to Weatherford, NCS, or any other person in connection with the Transaction.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shares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Effective Time of the Transaction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you will be entitled to receive, at your election, for each share of NCS Common Stock that you hold: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of NCS Common Stock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subject to proration. You will receive cash in lieu of any fractional Weatherford Ordinary Shares that you would otherwise be entitled to receive.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last full trading day before the public announcement of the Transaction), the closing stock price per share of Weatherford Ordinary Shares was $103.64, which, when multiplied by the Share Consideration Exchange Ratio of 0.5537, has an implied value of approximately $57.39 per share of NCS Common Stock for the Share Consideration. On July 14, 2026 (the latest practicable trading date before the date of this information statement/prospectus), the closing stock price per share of Weatherford Ordinary Shares was $82.01, which, when multiplied by the Share Consideration Exchange Ratio of 0.5537, has an implied value of approximately $45.41 per share of NCS Common Stock for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examples illustrate the prorated replacement mechanism in the case of an oversubscription in Mixed Elections: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60% of the outstanding shares of NCS Common Stock also make a Mixed Election (including the Irrevocable Mixed Election made by the Specified Stockholder), then at the Effective Time (i) approximately 145,590 shares of NCS Common Stock that would otherwise have been Mixed Election Shares will automatically be cancelled and converted into the right to receive the Share Consideration and (ii) you will receive Mixed Consideration in exchange for approximately 91 of your shares of NCS Common Stock and Share Consideration for the remaining 9 of your shares.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80% of the outstanding shares of NCS Common Stock also make a Mixed Election (including the Irrevocable Mixed Election made by the Specified Stockholder), then at the Effective Time (i) approximately 686,793 shares of NCS Common Stock that would otherwise have been Mixed Election Shares will automatically be cancelled and converted into the right to receive the Share Consideration and (ii) you will receive Mixed Consideration in exchange for approximately 68 of your shares of NCS Common Stock and Share Consideration for the remaining 32 of your shares.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100% of the outstanding shares of NCS Common Stock also make a Mixed Election (including the Irrevocable Mixed Election made by the Specified Stockholder), then at the Effective Time (i) approximately 1,227,996 shares of NCS Common Stock that would otherwise have been Mixed Election Shares will automatically be cancelled and converted into the right to receive the Share Consideration and (ii) you will receive Mixed Consideration in exchange for approximately 55 of your shares of NCS Common Stock and Share Consideration for the remaining 45 of your shares.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receive upon completion of the Transaction could be greater than, less than, or the same as the value of the Merger Consideration on the date of this information statement/prospectus. Accordingly, you should obtain current stock price quotations for Weatherford Ordinary Shares and NCS Common Stock before making your election.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For additional information regarding the consideration to be received in the Transaction, please see the sections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R">
        <w:r>
          <w:rPr>
            <w:rStyle w:val="InternetLink"/>
          </w:rPr>
          <w:t>37</w:t>
        </w:r>
      </w:hyperlink>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am eligible to receive a fraction of a share of Weatherford Ordinary Shares as part of the Merger Consideration?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aggregate number of Weatherford Ordinary Shares that you are entitled to receive as part of the Merger Consideration otherwise would include a fraction of a Weatherford Ordinary Share, you will receive cash in lieu of that fractional share. For additional information regarding the consideration to be received in respect of fractional shares,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the directors or executive officers of NCS have interests in the Transaction that may differ from or be in addition to the interests of NCS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Some of the directors and executive officers of NCS may have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consummation of the Transaction, and in recommending that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For additional information about the interests of NCS’s directors and executive officers in the Transaction, please see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and when do I make my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mailing of this information statement/prospectus, each holder of record of shares of NCS Common Stock as of [•], 2026 has received an election form, a form of which is attached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to this information statement/prospectus. Such holders will make their Share Election and/or Mixed Election by properly completing, signing, and returning the election form. If such holders hold stock certificates representing NCS Common Stock, they must return their stock certificates (or guaranty of delivery of such certificates) to the exchange agent in connection with the Transaction. If such holders do not send in the election form (with such stock certificates, if applicable) by the election deadline, they will be treated as though they had not made an election, and will thus receive the Share Consideration. Carefully review and follow the instructions accompanying the election form. If you own NCS Common Stock in “street name” through a bank, brokerage firm, or other nominee and you wish to make an election, you should follow the instructions provided by your bank, brokerage firm, or other nominee when making your election.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period during which holders of NCS Common Stock can make an election will end at the election deadline, which is expected to be 5:00 p.m., New York City time, on the Business Day that is five Business Days prior to the closing date of the Transaction, or such other date as Weatherford and NCS may mutually agree. Weatherford and NCS will publicly announce the anticipated election deadline at least five Business Days prior to the anticipated closing date of the Transaction. For additional information regarding the election procedures,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if I want to revoke my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change or revoke your election at any time during the election period, by written notice to the exchange agent prior to the election deadline or by withdrawal of your NCS stock certificates (or of the guarantee of delivery of such stock certificates), if applicable, previously deposited with the exchange agent prior to the election deadline. The Specified Stockholder has agreed that its election made on June 5, 2026, in connection with delivering the Election Letter Agreement to NCS, to receive the Mixed Consideration with respect to all of the shares of NCS Common Stock beneficially owned by it, is an irrevocable election that cannot be changed, with the exception that, such election will be revoked if the Support Agreement is validly terminated.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make a valid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If you do not properly complete, sign, and return the election form by the election deadline, your shares of NCS Common Stock will be considered “Default Stock” and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make a valid Merger Consideration election, could I receive a form of Merger Consideration that I did not elect to receive?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Mixed Consideration is subject to prorated replacement with Share Consideration in the event the Mixed Elections are oversubscribed such that the Elected Cash Consideration exceeds the Maximum Cash Election Amount.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receive the Merger Consideration to which I am entitled?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receiving the proper documentation from you, following the completion of the Transaction, the exchange agent will provide to you the Merger Consideration to which you are entitled. For additional information regarding the documentation you are required to deliver to the exchange agent,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shares before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transfer your shares of NCS Common Stock before completion of the Transaction, you will have transferred the right to receive the Merger Consideration. In order to receive the Merger Consideration, you must hold (or beneficially own, as the case may be) your shares of NCS Common Stock through the Effective Time.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surrender my non-certificated shares of NCS Common Stock held by NCS’s transfer agent, Computershare?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book-entry shares whose shares of NCS Common Stock are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(or another agent appointed by Weatherford) in compliance with the instructions for surrender, such holders will be entitled to receive the Merger Consideration and any fractional share cash amounts. The time that any individual NCS stockholder receives its, his, or her Merger Consideration will vary depending on the underlying arrangements through which such NCS stockholder holds its, his, or her shares of NCS Common Stock.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NCS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If you hold NCS stock certificates, you will be sent materials after the Transaction closes to effect the exchange of your NCS stock certificates for the Merger Consideration. For additional information regarding how to submit your NCS stock certificates,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Weatherford Ordinary Shares received at the time of completion of the Transaction be traded on an exchange?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It is a condition to completion of the Transaction that the Weatherford Ordinary Shares to be issued to NCS stockholders in the Transaction be approved for listing on the Nasdaq Global Select Market, subject to official notice of issuance.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stock options, restricted stock units, or performance stock units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restricted stock unit awards (“</w:t>
      </w:r>
      <w:r>
        <w:rPr>
          <w:rFonts w:ascii="Times New Roman;Times;serif" w:hAnsi="Times New Roman;Times;serif"/>
          <w:b/>
          <w:i w:val="false"/>
          <w:caps w:val="false"/>
          <w:smallCaps w:val="false"/>
          <w:color w:val="000000"/>
          <w:spacing w:val="-4"/>
          <w:sz w:val="20"/>
        </w:rPr>
        <w:t>NCS RSUs</w:t>
      </w:r>
      <w:r>
        <w:rPr>
          <w:rFonts w:ascii="Times New Roman;Times;serif" w:hAnsi="Times New Roman;Times;serif"/>
          <w:b w:val="false"/>
          <w:i w:val="false"/>
          <w:caps w:val="false"/>
          <w:smallCaps w:val="false"/>
          <w:color w:val="000000"/>
          <w:spacing w:val="4"/>
          <w:sz w:val="20"/>
        </w:rPr>
        <w:t>”), other than NCS RSUs granted to non-employee directors (“</w:t>
      </w:r>
      <w:r>
        <w:rPr>
          <w:rFonts w:ascii="Times New Roman;Times;serif" w:hAnsi="Times New Roman;Times;serif"/>
          <w:b/>
          <w:i w:val="false"/>
          <w:caps w:val="false"/>
          <w:smallCaps w:val="false"/>
          <w:color w:val="000000"/>
          <w:spacing w:val="-4"/>
          <w:sz w:val="20"/>
        </w:rPr>
        <w:t>NCS DSUs</w:t>
      </w:r>
      <w:r>
        <w:rPr>
          <w:rFonts w:ascii="Times New Roman;Times;serif" w:hAnsi="Times New Roman;Times;serif"/>
          <w:b w:val="false"/>
          <w:i w:val="false"/>
          <w:caps w:val="false"/>
          <w:smallCaps w:val="false"/>
          <w:color w:val="000000"/>
          <w:spacing w:val="4"/>
          <w:sz w:val="20"/>
        </w:rPr>
        <w:t>”), or NCS equivalent stock units (“</w:t>
      </w:r>
      <w:r>
        <w:rPr>
          <w:rFonts w:ascii="Times New Roman;Times;serif" w:hAnsi="Times New Roman;Times;serif"/>
          <w:b/>
          <w:i w:val="false"/>
          <w:caps w:val="false"/>
          <w:smallCaps w:val="false"/>
          <w:color w:val="000000"/>
          <w:spacing w:val="-4"/>
          <w:sz w:val="20"/>
        </w:rPr>
        <w:t>NCS ESUs</w:t>
      </w:r>
      <w:r>
        <w:rPr>
          <w:rFonts w:ascii="Times New Roman;Times;serif" w:hAnsi="Times New Roman;Times;serif"/>
          <w:b w:val="false"/>
          <w:i w:val="false"/>
          <w:caps w:val="false"/>
          <w:smallCaps w:val="false"/>
          <w:color w:val="000000"/>
          <w:spacing w:val="4"/>
          <w:sz w:val="20"/>
        </w:rPr>
        <w:t>”), at the Effective Time, each of your outstanding NCS RSUs and NCS ESUs, whether or not vested, will be assumed by Weatherford (the “</w:t>
      </w:r>
      <w:r>
        <w:rPr>
          <w:rFonts w:ascii="Times New Roman;Times;serif" w:hAnsi="Times New Roman;Times;serif"/>
          <w:b/>
          <w:i w:val="false"/>
          <w:caps w:val="false"/>
          <w:smallCaps w:val="false"/>
          <w:color w:val="000000"/>
          <w:spacing w:val="-4"/>
          <w:sz w:val="20"/>
        </w:rPr>
        <w:t>Assumed RSUs</w:t>
      </w:r>
      <w:r>
        <w:rPr>
          <w:rFonts w:ascii="Times New Roman;Times;serif" w:hAnsi="Times New Roman;Times;serif"/>
          <w:b w:val="false"/>
          <w:i w:val="false"/>
          <w:caps w:val="false"/>
          <w:smallCaps w:val="false"/>
          <w:color w:val="000000"/>
          <w:spacing w:val="4"/>
          <w:sz w:val="20"/>
        </w:rPr>
        <w:t xml:space="preserve">”). Each Assumed RSU will be converted into an award covering Weatherford Ordinary Shares based on the Share Consideration Exchange Ratio rounded down to the nearest whole share and will continue to be subject to the same vesting and forfeiture restrictions, provided that with respect to each NCS ESU, the Max Value Cap (as defined in the applicable award agreement) will cease to apply to such NCS ESU. NCS DSUs will automatically vest and settle in shares of NCS Common Stock immediately prior to the Effective Time.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performance stock units (“</w:t>
      </w:r>
      <w:r>
        <w:rPr>
          <w:rFonts w:ascii="Times New Roman;Times;serif" w:hAnsi="Times New Roman;Times;serif"/>
          <w:b/>
          <w:i w:val="false"/>
          <w:caps w:val="false"/>
          <w:smallCaps w:val="false"/>
          <w:color w:val="000000"/>
          <w:spacing w:val="-4"/>
          <w:sz w:val="20"/>
        </w:rPr>
        <w:t>NCS PSUs</w:t>
      </w:r>
      <w:r>
        <w:rPr>
          <w:rFonts w:ascii="Times New Roman;Times;serif" w:hAnsi="Times New Roman;Times;serif"/>
          <w:b w:val="false"/>
          <w:i w:val="false"/>
          <w:caps w:val="false"/>
          <w:smallCaps w:val="false"/>
          <w:color w:val="000000"/>
          <w:spacing w:val="4"/>
          <w:sz w:val="20"/>
        </w:rPr>
        <w:t>”), at the Effective Time, each of your outstanding NCS PSUs, whether or not vested, will be assumed by Weatherford (the “</w:t>
      </w:r>
      <w:r>
        <w:rPr>
          <w:rFonts w:ascii="Times New Roman;Times;serif" w:hAnsi="Times New Roman;Times;serif"/>
          <w:b/>
          <w:i w:val="false"/>
          <w:caps w:val="false"/>
          <w:smallCaps w:val="false"/>
          <w:color w:val="000000"/>
          <w:spacing w:val="-4"/>
          <w:sz w:val="20"/>
        </w:rPr>
        <w:t>Assumed PSUs</w:t>
      </w:r>
      <w:r>
        <w:rPr>
          <w:rFonts w:ascii="Times New Roman;Times;serif" w:hAnsi="Times New Roman;Times;serif"/>
          <w:b w:val="false"/>
          <w:i w:val="false"/>
          <w:caps w:val="false"/>
          <w:smallCaps w:val="false"/>
          <w:color w:val="000000"/>
          <w:spacing w:val="4"/>
          <w:sz w:val="20"/>
        </w:rPr>
        <w:t xml:space="preserve">”). Each Assumed PSU will be converted into an award covering Weatherford Ordinary Shares based on the Share Consideration Exchange Ratio rounded down to the nearest whole share and will continue to be subject to the same vesting and forfeiture restrictions, provided that the performance goals applicable to your NCS PSUs will be deemed satisfied at the greater of target or actual level of achievement as of the date of the Merger Agreement, as determined by the NCS Board. If you hold any Assumed PSUs that vested prior to, or that vest at, the Effective Time, the Weatherford Ordinary Shares subject to such Assumed PSUs will be delivered to you promptly (and in any event, within five Business Days (as such term is defined in the Merger Agreement)) following the Effective Time.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options to purchase NCS Common Stock (referred to as “</w:t>
      </w:r>
      <w:r>
        <w:rPr>
          <w:rFonts w:ascii="Times New Roman;Times;serif" w:hAnsi="Times New Roman;Times;serif"/>
          <w:b/>
          <w:i w:val="false"/>
          <w:caps w:val="false"/>
          <w:smallCaps w:val="false"/>
          <w:color w:val="000000"/>
          <w:spacing w:val="-4"/>
          <w:sz w:val="20"/>
        </w:rPr>
        <w:t>NCS Stock Options</w:t>
      </w:r>
      <w:r>
        <w:rPr>
          <w:rFonts w:ascii="Times New Roman;Times;serif" w:hAnsi="Times New Roman;Times;serif"/>
          <w:b w:val="false"/>
          <w:i w:val="false"/>
          <w:caps w:val="false"/>
          <w:smallCaps w:val="false"/>
          <w:color w:val="000000"/>
          <w:spacing w:val="4"/>
          <w:sz w:val="20"/>
        </w:rPr>
        <w:t>”), at the Effective Time, each outstanding NCS Stock Option, whether vested or unvested, that has a per share exercise price less than the value of the Merger Consideration will be assumed by Weatherford (the “</w:t>
      </w:r>
      <w:r>
        <w:rPr>
          <w:rFonts w:ascii="Times New Roman;Times;serif" w:hAnsi="Times New Roman;Times;serif"/>
          <w:b/>
          <w:i w:val="false"/>
          <w:caps w:val="false"/>
          <w:smallCaps w:val="false"/>
          <w:color w:val="000000"/>
          <w:spacing w:val="-4"/>
          <w:sz w:val="20"/>
        </w:rPr>
        <w:t>Assumed Options</w:t>
      </w:r>
      <w:r>
        <w:rPr>
          <w:rFonts w:ascii="Times New Roman;Times;serif" w:hAnsi="Times New Roman;Times;serif"/>
          <w:b w:val="false"/>
          <w:i w:val="false"/>
          <w:caps w:val="false"/>
          <w:smallCaps w:val="false"/>
          <w:color w:val="000000"/>
          <w:spacing w:val="4"/>
          <w:sz w:val="20"/>
        </w:rPr>
        <w:t xml:space="preserve">”). Each Assumed Option will be converted into an option to acquire Weatherford Ordinary Shares based on the Share Consideration Exchange Ratio rounded down to the nearest whole number, with an adjusted exercise price, and will continue to be subject to the same vesting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forfeiture restrictions. Any of your NCS Stock Options, whether vested or unvested, that have a per share exercise price equal to or greater than the value of the Merger Consideration at the Effective Time will be canceled without consideration and will have no further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conditions must be satisfied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respective obligations of Weatherford and NCS to complete the Transaction are subject to the satisfaction or waiver of a number of conditions, including, among others: (i) any waiting period applicable to the Transaction under the Hart-Scott-Rodino Antitrust Improvements Act of 1976, as amended (the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having expired or having been terminated and any other required approvals, consents, or clearances under the antitrust and foreign direct investment laws of certain foreign jurisdictions having been obtained; (ii) the approval for listing on the Nasdaq Global Select Market of the Weatherford Ordinary Shares to be issued in connection with the Transaction; and (iii) the Registration Statement on Form S-4, of which this information statement/prospectus forms a part, becoming effective under the Securities Act and not being the subject of any stop order or any proceedings by the SEC seeking a stop order. For additional information regarding the Merger Agreement and its terms and conditions,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is the Transaction expected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currently expect the Transaction to be completed in approximately the second half of 2026, subject to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For additional information regarding when the Transaction is expected to be completed,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NCS as a result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completed, NCS, as the surviving corporation of the merger with Merger Sub, will become a wholly owned subsidiary of Weatherford as a result of the Transaction. In addition, NCS will no longer be a publicly held company and NCS Common Stock will be delisted from the Nasdaq Capital Market and deregistered under the Exchange Act.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NCS stockholders hold in Weatherford upon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any change to Weatherford’s or NCS’s respective board of directors or management after the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change to Weatherford’s Board or management as a result of the completion of the Transaction. It is expected that the directors and officers of Merger Sub as of immediately prior to the Effective Time will become the directors and officers of NCS, as the surviving corporation of the merger with Merger Sub, upon completion of the Transaction.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Transaction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the Transaction is not completed, NCS stockholders will not receive any payment for their shares of NCS Common Stock in connection with the Transaction. In this event, NCS will remain a publicly traded company, and shares of NCS Common Stock will continue to be traded on the Nasdaq Capital Market.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expected material U.S. federal income tax consequences of the Transaction for U.S. holders of NCS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Transaction is intended to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(as defined below)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regarding the tax treatment of the Transaction, and there can be no assurances that the IRS will agree with the opinion from counsel.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that the Transaction qualifies for such tax treatment and the U.S. holder (as defined in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Ordinary Shares received, over (y) such U.S. holder’s adjusted tax basis in its shares of NCS Common Stock surrendered in exchange therefor, and (B) the amount of cash received.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complete discussion of the material U.S. federal income tax consequences of the Transaction, please read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The tax consequences to a particular holder of NCS Common Stock will depend on such holder’s particular circumstances. All NCS stockholders are urged to consult their tax advisors regarding the U.S. federal income tax consequences of the Transaction to them, as well as tax consequences arising under the laws of any state, local, or non-U.S. taxing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Irish withholding tax on future dividends, if any, by Weatherford before the Redomestication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certain limited circumstances, Irish dividend withholding tax (“</w:t>
      </w:r>
      <w:r>
        <w:rPr>
          <w:rFonts w:ascii="Times New Roman;Times;serif" w:hAnsi="Times New Roman;Times;serif"/>
          <w:b/>
          <w:i w:val="false"/>
          <w:caps w:val="false"/>
          <w:smallCaps w:val="false"/>
          <w:color w:val="000000"/>
          <w:spacing w:val="-4"/>
          <w:sz w:val="20"/>
        </w:rPr>
        <w:t>DWT</w:t>
      </w:r>
      <w:r>
        <w:rPr>
          <w:rFonts w:ascii="Times New Roman;Times;serif" w:hAnsi="Times New Roman;Times;serif"/>
          <w:b w:val="false"/>
          <w:i w:val="false"/>
          <w:caps w:val="false"/>
          <w:smallCaps w:val="false"/>
          <w:color w:val="000000"/>
          <w:spacing w:val="4"/>
          <w:sz w:val="20"/>
        </w:rPr>
        <w:t xml:space="preserve">”)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A more detailed consideration of the DWT consequences on future dividends before the Redomestication is completed can be found in the section titled “</w:t>
      </w:r>
      <w:r>
        <w:rPr>
          <w:rFonts w:ascii="Times New Roman;Times;serif" w:hAnsi="Times New Roman;Times;serif"/>
          <w:b w:val="false"/>
          <w:i/>
          <w:caps w:val="false"/>
          <w:smallCaps w:val="false"/>
          <w:color w:val="000000"/>
          <w:spacing w:val="4"/>
          <w:sz w:val="20"/>
        </w:rPr>
        <w:t>The Transaction — Irish Tax Considerations — Irish Tax Considerations for Holders Owning and Disposing of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NCS stockholders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important risks about the Transaction, or the businesses of Weatherford and NCS of which I should be aware?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there are risks involved. You are encouraged to carefully read in its entirety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Weatherford’s proposed redomestication?</w:t>
      </w:r>
      <w:r>
        <w:rPr>
          <w:rFonts w:ascii="Times New Roman;Times;serif" w:hAnsi="Times New Roman;Times;serif"/>
          <w:b/>
          <w:i w:val="false"/>
          <w:caps w:val="false"/>
          <w:smallCaps w:val="false"/>
          <w:color w:val="000000"/>
          <w:sz w:val="20"/>
        </w:rPr>
        <w:t xml:space="preserve"> </w:t>
      </w:r>
      <w:r>
        <mc:AlternateContent>
          <mc:Choice Requires="wps">
            <w:drawing>
              <wp:anchor behindDoc="0" distT="15113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International plc, a public limited company incorporated under the laws of Ireland (referred to as Weatherford), which is the current ultimate parent of the Weatherford group of companies, filed with the SEC a definitive proxy statement relating to its proposed redomestication from Ireland to the State of Delaware (the “</w:t>
      </w:r>
      <w:r>
        <w:rPr>
          <w:rFonts w:ascii="Times New Roman;Times;serif" w:hAnsi="Times New Roman;Times;serif"/>
          <w:b/>
          <w:i w:val="false"/>
          <w:caps w:val="false"/>
          <w:smallCaps w:val="false"/>
          <w:color w:val="000000"/>
          <w:spacing w:val="-4"/>
          <w:sz w:val="20"/>
        </w:rPr>
        <w:t>Redomestication</w:t>
      </w:r>
      <w:r>
        <w:rPr>
          <w:rFonts w:ascii="Times New Roman;Times;serif" w:hAnsi="Times New Roman;Times;serif"/>
          <w:b w:val="false"/>
          <w:i w:val="false"/>
          <w:caps w:val="false"/>
          <w:smallCaps w:val="false"/>
          <w:color w:val="000000"/>
          <w:spacing w:val="4"/>
          <w:sz w:val="20"/>
        </w:rPr>
        <w:t>”). For purposes of this information statement/prospectus, the term “</w:t>
      </w:r>
      <w:r>
        <w:rPr>
          <w:rFonts w:ascii="Times New Roman;Times;serif" w:hAnsi="Times New Roman;Times;serif"/>
          <w:b/>
          <w:i w:val="false"/>
          <w:caps w:val="false"/>
          <w:smallCaps w:val="false"/>
          <w:color w:val="000000"/>
          <w:spacing w:val="-4"/>
          <w:sz w:val="20"/>
        </w:rPr>
        <w:t>Redomestication Proxy Statement</w:t>
      </w:r>
      <w:r>
        <w:rPr>
          <w:rFonts w:ascii="Times New Roman;Times;serif" w:hAnsi="Times New Roman;Times;serif"/>
          <w:b w:val="false"/>
          <w:i w:val="false"/>
          <w:caps w:val="false"/>
          <w:smallCaps w:val="false"/>
          <w:color w:val="000000"/>
          <w:spacing w:val="4"/>
          <w:sz w:val="20"/>
        </w:rPr>
        <w:t>” refers to Weatherford’s definitive proxy statement relating to its proposed Redomestication filed with the SEC on July 13, 2026, as subsequently amended by any supplements, if and when filed. Upon completion of the Redomestication, the ultimate parent company of the Weatherford group of companies would become Weatherford International Corp, a Delaware corporation (“</w:t>
      </w:r>
      <w:r>
        <w:rPr>
          <w:rFonts w:ascii="Times New Roman;Times;serif" w:hAnsi="Times New Roman;Times;serif"/>
          <w:b/>
          <w:i w:val="false"/>
          <w:caps w:val="false"/>
          <w:smallCaps w:val="false"/>
          <w:color w:val="000000"/>
          <w:spacing w:val="-4"/>
          <w:sz w:val="20"/>
        </w:rPr>
        <w:t>WIC</w:t>
      </w:r>
      <w:r>
        <w:rPr>
          <w:rFonts w:ascii="Times New Roman;Times;serif" w:hAnsi="Times New Roman;Times;serif"/>
          <w:b w:val="false"/>
          <w:i w:val="false"/>
          <w:caps w:val="false"/>
          <w:smallCaps w:val="false"/>
          <w:color w:val="000000"/>
          <w:spacing w:val="4"/>
          <w:sz w:val="20"/>
        </w:rPr>
        <w:t>”), governed by the DGCL. The completion of the Transaction is not conditioned upon the completion of the Redomestication, and the completion of the Redomestication is not conditioned upon the completion of the Transaction.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Redomestication and its potential impact on the Transaction, and on the securities you may receive, are described in greater detail in the section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as well as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after the closing of the Transaction (or not at all)?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closes before the Redomestication is completed, NCS stockholders will receive Weatherford Ordinary Shares as described in this information statement/prospectus, and the rights associated with those shares will be governed by Irish law and Weatherford’s memorandum and articles of association (the “</w:t>
      </w:r>
      <w:r>
        <w:rPr>
          <w:rFonts w:ascii="Times New Roman;Times;serif" w:hAnsi="Times New Roman;Times;serif"/>
          <w:b/>
          <w:i w:val="false"/>
          <w:caps w:val="false"/>
          <w:smallCaps w:val="false"/>
          <w:color w:val="000000"/>
          <w:spacing w:val="-4"/>
          <w:sz w:val="20"/>
        </w:rPr>
        <w:t>Weatherford Articles</w:t>
      </w:r>
      <w:r>
        <w:rPr>
          <w:rFonts w:ascii="Times New Roman;Times;serif" w:hAnsi="Times New Roman;Times;serif"/>
          <w:b w:val="false"/>
          <w:i w:val="false"/>
          <w:caps w:val="false"/>
          <w:smallCaps w:val="false"/>
          <w:color w:val="000000"/>
          <w:spacing w:val="4"/>
          <w:sz w:val="20"/>
        </w:rPr>
        <w:t>”) as described in this information statement/prospectus.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material differences between the rights of NCS stockholders under Delaware law and the rights of Weatherford shareholders under Irish law, you should refer to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in this information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Redomestication is completed after the closing of the Transaction, then immediately prior to the closing of the Transaction, Weatherford will conduct an internal reorganization to cause Merger Sub to be transferred to another subsidiary of Weatherford such that immediately prior to the closing of the Transaction Merger Sub will be wholly owned by Weatherford indirectly solely through one or more entities classified as disregarded entities for U.S. federal income tax purposes, rather than directly by WIC.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before the closing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WIC would be deemed by operation of law to be the successor issuer to Weatherford pursuant to Exchange Act Rule 12g-3 and would succeed to Weatherford’s reporting obligations, Exchange Act file number, and Nasdaq listing. WIC would also formally adopt the Registration Statement pursuant to Securities Act Rule 414 by means of a post-effective amendment to the Registration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in such an event, upon the completion of the Redomestication Weatherford will assign and novate in full the Merger Agreement to WIC and cause WIC to assume the Merger Agreement (the “</w:t>
      </w:r>
      <w:r>
        <w:rPr>
          <w:rFonts w:ascii="Times New Roman;Times;serif" w:hAnsi="Times New Roman;Times;serif"/>
          <w:b/>
          <w:i w:val="false"/>
          <w:caps w:val="false"/>
          <w:smallCaps w:val="false"/>
          <w:color w:val="000000"/>
          <w:spacing w:val="-4"/>
          <w:sz w:val="20"/>
        </w:rPr>
        <w:t>Novation</w:t>
      </w:r>
      <w:r>
        <w:rPr>
          <w:rFonts w:ascii="Times New Roman;Times;serif" w:hAnsi="Times New Roman;Times;serif"/>
          <w:b w:val="false"/>
          <w:i w:val="false"/>
          <w:caps w:val="false"/>
          <w:smallCaps w:val="false"/>
          <w:color w:val="000000"/>
          <w:spacing w:val="4"/>
          <w:sz w:val="20"/>
        </w:rPr>
        <w:t>”) such that WIC, instead of Weatherford, will be a party to the Merger Agreement.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In that event, WIC will be the issuer of the Merger Consideration and NCS stockholders will receive the Share Consideration and stock portion of the Mixed Consideration in the form of shares of WIC common stock rather than Weatherford Ordinary Shares. The rights associated with shares of WIC common stock will be governed by the DGCL and WIC’s certificate of incorporation and bylaws, rather than Irish law and the Weatherford Articles.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more information about Weatherford and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find additional information about Weatherford and NCS from various sources described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Transaction or this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Transaction or this information statement/prospectus or would like additional copies of this information statement/prospectus, you should contact: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19350 State Highway 249, Suite 600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(281) 453-2222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proposed Redomestication and its anticipated impact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Redomestication you should contact: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2000 St. James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836-4000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Attention: U.S.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The following summary highlights selected information described in more detail elsewhere in this information statement/prospectus and the documents incorporated by reference into this information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may not contain all the information that may be important to you. To understand the Transaction more fully and to obtain a more complete description of the legal terms of the Merger Agreement, you should carefully read this entire information statement/prospectus, including the annexes, and the documents to which Weatherford and NCS refer you. Each item in this summary includes a page reference directing you to a more complete description of that topic. For additional information, please see the section titled “Where You Can Find More Information”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(see pages </w:t>
      </w:r>
      <w:hyperlink w:anchor="tIAN">
        <w:r>
          <w:rPr>
            <w:rStyle w:val="InternetLink"/>
          </w:rPr>
          <w:t>35</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IAWA">
        <w:r>
          <w:rPr>
            <w:rStyle w:val="InternetLink"/>
          </w:rPr>
          <w:t>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NCS Multistage Holdings,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Weatherford International plc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Trinity Bell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(see pages </w:t>
      </w:r>
      <w:hyperlink w:anchor="tTMA">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 xml:space="preserve"> and Annex 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Transaction are contained in the Merger Agreement,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NCS encourages you to read the Merger Agreement carefully and in its entirety, as it is the legal document that governs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Weatherford will acquire NCS with NCS becoming a wholly owned subsidiary of Weatherford. Upon the terms and subject to the conditions set forth in the Merger Agreement and in accordance with Delaware law, Merger Sub will merge with and into NCS (referred to as the Transaction), with NCS surviving the merger with Merger Sub, becoming a wholly owned subsidiary of Weatherford and NCS ceasing to be an independent publicly traded company.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At the Effective Time, each share of NCS Common Stock issued and outstanding immediately prior to the Effective Time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The Mixed Consideration is subject to prorated replacement with Share Consideration in the event the Mixed Elections are oversubscribed. For additional information regarding the effects of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EFF">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For additional information regarding the potential prorated replacement of the Mixed Consideration with Share Consideration,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R">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issued and outstanding share of NCS Common Stock (other than shares held in treasury of NCS or owned, directly or indirectly, by Weatherford or Merger Sub immediately prior to the Effective Time (referred to as excluded shares))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Holders of NCS Common Stock may elect to receive either solely the Share Consideration or solely the Mixed Consideration, which election will apply to all of the holder’s shares. The Mixed Consideration is subject to prorated replacement with Share Consideration in the event the Mixed Elections are oversubscribed such that the Elected Cash Consideration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The proration mechanism is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share price of Weatherford Ordinary Shares as of the close of trading on May 29, 2026 (the last full trading day before the public announcement of the Transaction), the terms of the Transaction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NCS’s Reasons for the Transaction; Recommendation of the NCS Board of Directors (see page </w:t>
      </w:r>
      <w:hyperlink w:anchor="tNRT">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its May 31, 2026 meeting held to evaluate the Transaction,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Weatherford’s Reasons for the Transaction (see page </w:t>
      </w:r>
      <w:hyperlink w:anchor="tWRT">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proposed acquisition of NCS and making its determination to approve the Transaction, the Weatherford board of directors (the “</w:t>
      </w:r>
      <w:r>
        <w:rPr>
          <w:rFonts w:ascii="Times New Roman;Times;serif" w:hAnsi="Times New Roman;Times;serif"/>
          <w:b/>
          <w:i w:val="false"/>
          <w:caps w:val="false"/>
          <w:smallCaps w:val="false"/>
          <w:color w:val="000000"/>
          <w:spacing w:val="-4"/>
          <w:sz w:val="20"/>
          <w:bdr w:val="single" w:sz="8" w:space="1" w:color="000000"/>
        </w:rPr>
        <w:t>Weatherford Board</w:t>
      </w:r>
      <w:r>
        <w:rPr>
          <w:rFonts w:ascii="Times New Roman;Times;serif" w:hAnsi="Times New Roman;Times;serif"/>
          <w:b w:val="false"/>
          <w:i w:val="false"/>
          <w:caps w:val="false"/>
          <w:smallCaps w:val="false"/>
          <w:color w:val="000000"/>
          <w:spacing w:val="4"/>
          <w:sz w:val="20"/>
          <w:bdr w:val="single" w:sz="8" w:space="1" w:color="000000"/>
        </w:rPr>
        <w:t xml:space="preserve">”) considered a number of factors, including,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fit of the two businesses and the complementary nature of their respective capabilities;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Required Stockholder Approval for the Transaction; No Further Vote Required (see page </w:t>
      </w:r>
      <w:hyperlink w:anchor="tRSA">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Delaware law and NCS’s organizational documents, the adoption of the Merger Agreement required the affirmative vote or written consent of the holders of a majority of the outstanding shares of NCS Common Stock entitled to vote thereon. As of May 31, 2026, the record date for determining stockholders of NCS entitled to vote on or consent to the adoption of the Merger Agreement, there were 2,624,523 shares of NCS Common Stock outstanding. Holders of NCS Common Stock are entitled to one vote for each share held of record on all matters on which stockholders are entitled to vote generally, including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31, 2026, following the execution of the Merger Agreement, the Specified Stockholder, which beneficially owned 1,478,426 shares of NCS Common Stock, representing approximately 56.33% of the issued and outstanding shares of NCS Common Stock delivered the Specified Stockholder Written Consent to NCS in accordance with Section 228 of the DGCL. No further action by any other holder of NCS Common Stock is required under applicable law or the Merger Agreement (or otherwise) in connection with the adoption of the Merger Agreement. As a result, NCS has not solicited and is not soliciting your vote for the adoption of the Merger Agreement and will not call a stockholders’ meeting for purposes of voting on the adoption of the Merger Agreement. No further action by the NCS stockholders is required to complete the Transaction and all requisite corporate action by and on behalf of Merger Sub required to complete the Transaction has been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actions are taken by written consent of less than all of the stockholders entitled to vote on a matter, such as the Specified Stockholder Written Consent, Delaware law requires prompt notice of the action be given to those stockholders who, as of the record date for the action by written consent, have not consented and who would have been entitled to notice of the meeting if the action had been taken at a meeting and the record date for the notice of the meeting were the record date for the action by written consent, which, in this case, is May 30, 2026. This information statement/prospectus and the notice attached hereto constitute notice to you from NCS of the Specified Stockholder Written Consent as required by Delaware law.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NCS’s Financial Advisor (see page </w:t>
      </w:r>
      <w:hyperlink w:anchor="tONF">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engaged Piper Sandler &amp; Co. (“</w:t>
      </w:r>
      <w:r>
        <w:rPr>
          <w:rFonts w:ascii="Times New Roman;Times;serif" w:hAnsi="Times New Roman;Times;serif"/>
          <w:b/>
          <w:i w:val="false"/>
          <w:caps w:val="false"/>
          <w:smallCaps w:val="false"/>
          <w:color w:val="000000"/>
          <w:spacing w:val="-4"/>
          <w:sz w:val="20"/>
          <w:bdr w:val="single" w:sz="8" w:space="1" w:color="000000"/>
        </w:rPr>
        <w:t>Piper Sandler</w:t>
      </w:r>
      <w:r>
        <w:rPr>
          <w:rFonts w:ascii="Times New Roman;Times;serif" w:hAnsi="Times New Roman;Times;serif"/>
          <w:b w:val="false"/>
          <w:i w:val="false"/>
          <w:caps w:val="false"/>
          <w:smallCaps w:val="false"/>
          <w:color w:val="000000"/>
          <w:spacing w:val="4"/>
          <w:sz w:val="20"/>
          <w:bdr w:val="single" w:sz="8" w:space="1" w:color="000000"/>
        </w:rPr>
        <w:t>”) as a financial advisor in connection with the Transaction.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holders of NCS Common Stock, other than each of the Specified Stockholder, Advent International, L.P. (formerly Advent International Corporation) (referred to as Advent) and Weatherford, and each of their respective affiliates (such other holders, collectively, the “</w:t>
      </w:r>
      <w:r>
        <w:rPr>
          <w:rFonts w:ascii="Times New Roman;Times;serif" w:hAnsi="Times New Roman;Times;serif"/>
          <w:b/>
          <w:i w:val="false"/>
          <w:caps w:val="false"/>
          <w:smallCaps w:val="false"/>
          <w:color w:val="000000"/>
          <w:spacing w:val="-4"/>
          <w:sz w:val="20"/>
          <w:bdr w:val="single" w:sz="8" w:space="1" w:color="000000"/>
        </w:rPr>
        <w:t>Unaffiliated Holders</w:t>
      </w:r>
      <w:r>
        <w:rPr>
          <w:rFonts w:ascii="Times New Roman;Times;serif" w:hAnsi="Times New Roman;Times;serif"/>
          <w:b w:val="false"/>
          <w:i w:val="false"/>
          <w:caps w:val="false"/>
          <w:smallCaps w:val="false"/>
          <w:color w:val="000000"/>
          <w:spacing w:val="4"/>
          <w:sz w:val="20"/>
          <w:bdr w:val="single" w:sz="8" w:space="1" w:color="000000"/>
        </w:rPr>
        <w:t xml:space="preserve">”), that elect to receive only Share Consideration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make no election and therefore receive only Share Consideration, as more fully described below under the section entitled “— </w:t>
      </w:r>
      <w:r>
        <w:rPr>
          <w:rFonts w:ascii="Times New Roman;Times;serif" w:hAnsi="Times New Roman;Times;serif"/>
          <w:b w:val="false"/>
          <w:i/>
          <w:caps w:val="false"/>
          <w:smallCaps w:val="false"/>
          <w:color w:val="000000"/>
          <w:spacing w:val="4"/>
          <w:sz w:val="20"/>
          <w:bdr w:val="single" w:sz="8" w:space="1" w:color="000000"/>
        </w:rPr>
        <w:t>Opinion of NCS’s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the written opinion of Piper Sandler, which describes the various assumptions made, procedures followed, matters considered, and qualifications and limitations on the review undertaken by Piper Sandler in preparing its opinion,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and is incorporated herein by reference. Piper Sandler provided advisory services and the Piper Sandler opinion for the information and assistance of the NCS Board in connection with its consideration of the Transaction and the Merger Agreement. The Piper Sandler opinion is not intended to, and does not, constitute a recommendation as to how any holders of NCS Common Stock should (i) act with respect to the Transaction or any other matter, or (ii) make any election with respect to the Merger Consideration being offered. The Piper Sandler opinion speaks only as of the date of the opinion and does not reflect any developments that may occur or may have occurred after the date of the opinion and prior to the completion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Weatherford’s Directors and Executive Officers in the Transaction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NCS’s Directors and Executive Officers in the Transaction (see page </w:t>
      </w:r>
      <w:hyperlink w:anchor="tIND">
        <w:r>
          <w:rPr>
            <w:rStyle w:val="InternetLink"/>
          </w:rPr>
          <w:t>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NCS’s directors and executive officers may have interests in the Transaction that may be different from, or in addition to, those of NCS stockholders generally. The NCS Board was aware of these interests and considered them, among other matters, in evaluating and negotiating the Merger Agreement, in reaching its decision to approve the Merger Agreement and the consummation of the Transaction, and in recommending that the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ND">
        <w:r>
          <w:rPr>
            <w:rStyle w:val="InternetLink"/>
          </w:rPr>
          <w:t>60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to U.S. Holders (see page </w:t>
      </w:r>
      <w:hyperlink w:anchor="tMUS">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is intended to qualify as a “reorganization” within the meaning of Section 368(a) of the Code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IRS regarding the tax treatment of the Transaction, and there can be no assurances that the IRS will agree with the opinion from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that the Transaction qualifies for such tax treatment and the U.S. holder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received, over (y) such U.S. holder’s adjusted tax basis in its shares of NCS Common Stock surrendered in exchange therefor, and (B) the amount of cash received.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tax consequences of the Transaction to you will depend on your particular circumstances. Each NCS stockholder should read the discussion under the section titled “</w:t>
      </w:r>
      <w:r>
        <w:rPr>
          <w:rFonts w:ascii="Times New Roman;Times;serif" w:hAnsi="Times New Roman;Times;serif"/>
          <w:b/>
          <w:i/>
          <w:caps w:val="false"/>
          <w:smallCaps w:val="false"/>
          <w:color w:val="000000"/>
          <w:spacing w:val="-4"/>
          <w:sz w:val="20"/>
          <w:bdr w:val="single" w:sz="8" w:space="1" w:color="000000"/>
        </w:rPr>
        <w:t>The Transaction — Material U.S. Federal Income Tax Consequences to U.S. Holders</w:t>
      </w:r>
      <w:r>
        <w:rPr>
          <w:rFonts w:ascii="Times New Roman;Times;serif" w:hAnsi="Times New Roman;Times;serif"/>
          <w:b/>
          <w:i w:val="false"/>
          <w:caps w:val="false"/>
          <w:smallCaps w:val="false"/>
          <w:color w:val="000000"/>
          <w:spacing w:val="-4"/>
          <w:sz w:val="20"/>
          <w:bdr w:val="single" w:sz="8" w:space="1" w:color="000000"/>
        </w:rPr>
        <w:t>” and is urged to consult his, her, or its tax advisor regarding the U.S. federal income tax consequences of the Transaction to such holder, as well as tax consequences arising under the laws of any state, local, or non-U.S. tax jurisdiction.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Transaction (see page </w:t>
      </w:r>
      <w:hyperlink w:anchor="tATT">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Clearances and Approvals Required for the Transaction (see page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Transaction is subject to the requirements of the HSR Act, which prevents NCS and Weatherford from completing the Transaction until required information and materials are furnished to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Antitrust Division</w:t>
      </w:r>
      <w:r>
        <w:rPr>
          <w:rFonts w:ascii="Times New Roman;Times;serif" w:hAnsi="Times New Roman;Times;serif"/>
          <w:b w:val="false"/>
          <w:i w:val="false"/>
          <w:caps w:val="false"/>
          <w:smallCaps w:val="false"/>
          <w:color w:val="000000"/>
          <w:spacing w:val="4"/>
          <w:sz w:val="20"/>
          <w:bdr w:val="single" w:sz="8" w:space="1" w:color="000000"/>
        </w:rPr>
        <w:t xml:space="preserve">”) and the HSR Act waiting period is terminated or expires. The parties filed such notifications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Other state or foreign antitrust, competition, and foreign direct investment authorities may take action under the laws of their jurisdictions, which could include seeking to enjoin the completion of the Transaction. 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Expected Timing of the Transaction (see pages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 xml:space="preserv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COWW">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and NCS currently expect the Transaction to be completed in the second half of 2026, subject to the satisfaction or waiver of a number of conditions, including, among others,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expected timing of the Transaction,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Efforts to Obtain Regulatory Approvals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WW">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CA">
        <w:r>
          <w:rPr>
            <w:rStyle w:val="InternetLink"/>
          </w:rPr>
          <w:t>74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NCS Equity Awards and Employee Stock Purchase Plan (see pages </w:t>
      </w:r>
      <w:hyperlink w:anchor="tTRN">
        <w:r>
          <w:rPr>
            <w:rStyle w:val="InternetLink"/>
          </w:rPr>
          <w:t>84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ESP">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separate election for equity award holders with respect to their NCS equity awards. Weatherford will file a registration statement on Form S-8 (or any successor form, or if Form S-8 is not available, other appropriate forms) with respect to the Weatherford Ordinary Shares subject to such Assumed Options, Assumed RSUs and Assumed PSUs as soon as practicable, but in no event later than five Business Days, following the Effective Time, and will maintain the effectiveness of such registration statement or registration statements for so long as such Assumed RSUs, Assumed Options and Assumed PSUs remain outstanding and such Weatherford Ordinary Shares are required to be registered.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Employee Stock Purchase Plan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terms of the Merger Agreement, as of 5:00 p.m. Central Time on May 29, 2026, 86,416 shares of NCS Common Stock were reserved for issuance pursuant to the NCS Multistage Holdings, Inc. Employee Stock Purchase Plan for U.S. Employees and the NCS Multistage Holdings, Inc. Employee Stock Purchase Plan for Non-U.S. Employees (collectively, the “</w:t>
      </w:r>
      <w:r>
        <w:rPr>
          <w:rFonts w:ascii="Times New Roman;Times;serif" w:hAnsi="Times New Roman;Times;serif"/>
          <w:b/>
          <w:i w:val="false"/>
          <w:caps w:val="false"/>
          <w:smallCaps w:val="false"/>
          <w:color w:val="000000"/>
          <w:spacing w:val="-4"/>
          <w:sz w:val="20"/>
          <w:bdr w:val="single" w:sz="8" w:space="1" w:color="000000"/>
        </w:rPr>
        <w:t>NCS ESPP</w:t>
      </w:r>
      <w:r>
        <w:rPr>
          <w:rFonts w:ascii="Times New Roman;Times;serif" w:hAnsi="Times New Roman;Times;serif"/>
          <w:b w:val="false"/>
          <w:i w:val="false"/>
          <w:caps w:val="false"/>
          <w:smallCaps w:val="false"/>
          <w:color w:val="000000"/>
          <w:spacing w:val="4"/>
          <w:sz w:val="20"/>
          <w:bdr w:val="single" w:sz="8" w:space="1" w:color="000000"/>
        </w:rPr>
        <w:t xml:space="preserve">”). The NCS ESPP has been duly suspended since July 1, 2019, and no offering period has commenced thereunder since that date. As of the date of this Registration Statement, there are no outstanding purchase rights under the NCS ESPP, and no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Weatherford Ordinary Shares; Delisting of NCS Common Stock (see page </w:t>
      </w:r>
      <w:hyperlink w:anchor="tLWO">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a condition to the completion of the Transaction that the Weatherford Ordinary Shares to be issued to NCS stockholders in the Transaction be approved for listing on the Nasdaq Global Select Market, subject to official notice of issuance. As a result of the Transaction, shares of NCS Common Stock will cease to be listed on the Nasdaq Capital Market.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of Other Offers by NCS (see page </w:t>
      </w:r>
      <w:hyperlink w:anchor="tNSO">
        <w:r>
          <w:rPr>
            <w:rStyle w:val="InternetLink"/>
          </w:rPr>
          <w:t>91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a detailed provision prohibiting NCS from soliciting or engaging in discussions with any person with respect to a potential alternative transaction, or providing non-public information about NCS, unless the NCS Board determined that an unsolicited “Acquisition Proposal” ​(as defined in the Merger Agreement) received prior to the receipt of the duly executed Specified Stockholder Written Consent (which was delivered on May 31, 2026) is, or would reasonably be expected to lead to, a “Superior Proposal” ​(as defined in the Merger Agreement) and such acquisition proposal was not made or received in violation of the non-solicitation prohibitions.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NCS Board determined that an acquisition proposal is a Superior Proposal and determined that it must change its recommendation to the NCS stockholders with respect to the Transaction or terminate the Merger Agreement in order to accept a Superior Proposal, NCS must have first negotiated in good faith with Weatherford for four Business Days to modify the current transaction such that the alternative transaction would no longer constitute a Superior Proposal (or for two additional Business Days if the Acquisition Proposal is modified by the party making such Acquisition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restrictions on NCS’s ability to actively initiate, solicit, facilitate or knowingly encourage alternative acquisition proposals,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NSO">
        <w:r>
          <w:rPr>
            <w:rStyle w:val="InternetLink"/>
          </w:rPr>
          <w:t>91</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RM">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Transaction (see page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NCS, Weatherford, and Merger Sub to consummate the Transaction are subject to the satisfaction (or waiver, to the extent permitted under the Merger Agreement) at or prior to the Effective Time of the following conditions: (i) the Specified Stockholder Written Consent has been obtained and delivered to NCS and has not been amended, modified, withdrawn, terminated or revoked; (ii) 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(iii) any waiting period (and any extension thereof) applicable to the Transaction under the HSR Act has been terminated or has expired and the approvals or waiting period expirations, as the case may be, specified in the NCS Disclosure Letter have occurred; (iv) the Weatherford Ordinary Shares to be issued in the Transaction or in connection with the Transaction (including in respect of certain assumed NCS equity awards) have been approved for listing on the Nasdaq Global Select Market, subject to official notice of issuance; (v) the Registration Statement has been declared effective by the SEC under the Securities Act and is not the subject of any stop order suspending the effectiveness of the Registration Statement and no action seeking a stop order shall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have been initiated or threatened by the SEC; and (vi) this information statement/prospectus has been mailed to all holders of NCS Common Stock following effectiveness of the Registration Statement and at least 20 Business Days prior to the closing date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obligations of Weatherford and Merger Sub to complete the Transaction are also subject to the satisfaction, or waiver by Weatherford, at or prior to the Effective Time, of the following conditions: (i) certain representations and warranties of NCS set forth in the Merger Agreement are true and correct, subject to certain materiality and other standards as specified in the Merger Agreement; (ii) NCS has performed in all material respects all obligations required to be performed by it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NCS (as defined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Material Adverse Effect</w:t>
      </w:r>
      <w:r>
        <w:rPr>
          <w:rFonts w:ascii="Times New Roman;Times;serif" w:hAnsi="Times New Roman;Times;serif"/>
          <w:b w:val="false"/>
          <w:i w:val="false"/>
          <w:caps w:val="false"/>
          <w:smallCaps w:val="false"/>
          <w:color w:val="000000"/>
          <w:spacing w:val="4"/>
          <w:sz w:val="20"/>
          <w:bdr w:val="single" w:sz="8" w:space="1" w:color="000000"/>
        </w:rPr>
        <w:t xml:space="preserve">”); and (iv) Weatherford has received a certificate signed by an executive officer of NCS certifying as to the matters set forth in clauses (i), (ii), and (iii).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NCS to consummate the Transaction are also subject to the satisfaction, or waiver by NCS, at or prior to the Effective Time, of the following conditions: (i) certain representations and warranties of Weatherford and Merger Sub set forth in the Merger Agreement are true and correct, subject to certain materiality and other standards as specified in the Merger Agreement; (ii) Weatherford and Merger Sub have performed in all material respects all obligations required to be performed by them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Weatherford (as defined in the </w:t>
      </w:r>
      <w:r>
        <w:rPr>
          <w:rFonts w:ascii="Times New Roman;Times;serif" w:hAnsi="Times New Roman;Times;serif"/>
          <w:b w:val="false"/>
          <w:i/>
          <w:caps w:val="false"/>
          <w:smallCaps w:val="false"/>
          <w:color w:val="000000"/>
          <w:spacing w:val="4"/>
          <w:sz w:val="20"/>
          <w:bdr w:val="single" w:sz="8" w:space="1" w:color="000000"/>
        </w:rPr>
        <w:t>Merger Agreement</w:t>
      </w:r>
      <w:r>
        <w:rPr>
          <w:rFonts w:ascii="Times New Roman;Times;serif" w:hAnsi="Times New Roman;Times;serif"/>
          <w:b w:val="false"/>
          <w:i w:val="false"/>
          <w:caps w:val="false"/>
          <w:smallCaps w:val="false"/>
          <w:color w:val="000000"/>
          <w:spacing w:val="4"/>
          <w:sz w:val="20"/>
          <w:bdr w:val="single" w:sz="8" w:space="1" w:color="000000"/>
        </w:rPr>
        <w:t xml:space="preserve">); (iv) NCS has received a certificate signed by an executive officer of Weatherford certifying as to the matters set forth in clauses (i), (ii), and (iii); (v) NCS has received, on the closing date, but before the Effective Time, a tax opinion, in form and substance reasonably satisfactory to NCS, from tax counsel concluding that, on the basis of facts, representations, and assumptions set forth or referred to in such opinion, for U.S. federal income tax purposes, the Transaction will qualify for the Intended Tax Treatment (as defined in the Merger Agreement); and (vi) NCS has timely remitted certain required tax deposits necessary to proceed with its notice of objection related to certain Canadian tax assessments.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does not include a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of the Merger Agreement, the closing of the Transaction must take place on the second Business Day following the satisfaction or waiver of the conditions set forth in the Merger Agreement (other than those conditions that by their terms are to be satisfied at the closing, but subject to the satisfaction or waiver of those conditions); provided, however, the closing will not occur on any date that falls on, or between, the date(s) of the High Court of Ireland (the “</w:t>
      </w:r>
      <w:r>
        <w:rPr>
          <w:rFonts w:ascii="Times New Roman;Times;serif" w:hAnsi="Times New Roman;Times;serif"/>
          <w:b/>
          <w:i w:val="false"/>
          <w:caps w:val="false"/>
          <w:smallCaps w:val="false"/>
          <w:color w:val="000000"/>
          <w:spacing w:val="-4"/>
          <w:sz w:val="20"/>
          <w:bdr w:val="single" w:sz="8" w:space="1" w:color="000000"/>
        </w:rPr>
        <w:t>Irish High Court</w:t>
      </w:r>
      <w:r>
        <w:rPr>
          <w:rFonts w:ascii="Times New Roman;Times;serif" w:hAnsi="Times New Roman;Times;serif"/>
          <w:b w:val="false"/>
          <w:i w:val="false"/>
          <w:caps w:val="false"/>
          <w:smallCaps w:val="false"/>
          <w:color w:val="000000"/>
          <w:spacing w:val="4"/>
          <w:sz w:val="20"/>
          <w:bdr w:val="single" w:sz="8" w:space="1" w:color="000000"/>
        </w:rPr>
        <w:t>”) hearing to sanction the Redomestication and the date of the closing of the transactions contemplated by the Redomestication (inclusive of both dates) (such period, the “</w:t>
      </w:r>
      <w:r>
        <w:rPr>
          <w:rFonts w:ascii="Times New Roman;Times;serif" w:hAnsi="Times New Roman;Times;serif"/>
          <w:b/>
          <w:i w:val="false"/>
          <w:caps w:val="false"/>
          <w:smallCaps w:val="false"/>
          <w:color w:val="000000"/>
          <w:spacing w:val="-4"/>
          <w:sz w:val="20"/>
          <w:bdr w:val="single" w:sz="8" w:space="1" w:color="000000"/>
        </w:rPr>
        <w:t>Tolling Period</w:t>
      </w:r>
      <w:r>
        <w:rPr>
          <w:rFonts w:ascii="Times New Roman;Times;serif" w:hAnsi="Times New Roman;Times;serif"/>
          <w:b w:val="false"/>
          <w:i w:val="false"/>
          <w:caps w:val="false"/>
          <w:smallCaps w:val="false"/>
          <w:color w:val="000000"/>
          <w:spacing w:val="4"/>
          <w:sz w:val="20"/>
          <w:bdr w:val="single" w:sz="8" w:space="1" w:color="000000"/>
        </w:rPr>
        <w:t>”). In the event that the closing would otherwise be required to occur during the Tolling Period and the parties have otherwise satisfied or waived the conditions set forth in the Merger Agreement (other than those conditions that by their terms are to be satisfied at the closing), the Outside Date (as defined below) will be automatically extended on a day-for-day basis for each day during the Tolling Period on which the closing is so delayed, such that the Outside Date will be extended by a number of days equal to the total number of days elapsed during the Tolling Period. As defined in the Merger Agreement, “</w:t>
      </w:r>
      <w:r>
        <w:rPr>
          <w:rFonts w:ascii="Times New Roman;Times;serif" w:hAnsi="Times New Roman;Times;serif"/>
          <w:b/>
          <w:i w:val="false"/>
          <w:caps w:val="false"/>
          <w:smallCaps w:val="false"/>
          <w:color w:val="000000"/>
          <w:spacing w:val="-4"/>
          <w:sz w:val="20"/>
          <w:bdr w:val="single" w:sz="8" w:space="1" w:color="000000"/>
        </w:rPr>
        <w:t>Outside Date</w:t>
      </w:r>
      <w:r>
        <w:rPr>
          <w:rFonts w:ascii="Times New Roman;Times;serif" w:hAnsi="Times New Roman;Times;serif"/>
          <w:b w:val="false"/>
          <w:i w:val="false"/>
          <w:caps w:val="false"/>
          <w:smallCaps w:val="false"/>
          <w:color w:val="000000"/>
          <w:spacing w:val="4"/>
          <w:sz w:val="20"/>
          <w:bdr w:val="single" w:sz="8" w:space="1" w:color="000000"/>
        </w:rPr>
        <w:t xml:space="preserve">” means May 31, 2027, at 5:00 p.m. (Central Time) or such later date as Weatherford and NCS agree in writing.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conditions to the Transaction and the closing,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Closing; Effective Time</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FT">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MAA">
        <w:r>
          <w:rPr>
            <w:rStyle w:val="InternetLink"/>
          </w:rPr>
          <w:t>99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Among other circumstances, Weatherford or NCS may terminate the Merger Agreement if any court of competent jurisdiction or other governmental entity has issued a final, non-appealable order, injunction, decree or ruling permanently restraining, enjoining or otherwise prohibiting the consummation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Transaction; or the Effective Time has not occurred on or before the Outside Date, subject to certain tolling provisions, provided that this right to terminate will not be available to any party whose failure to fulfill any obligation under the Merger Agreement was the primary cause of the failure of the Transaction to be consummated by the Outside Date.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of the Merger Agreement,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A">
        <w:r>
          <w:rPr>
            <w:rStyle w:val="InternetLink"/>
          </w:rPr>
          <w:t>99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and Expenses (see page </w:t>
      </w:r>
      <w:hyperlink w:anchor="tTFE">
        <w:r>
          <w:rPr>
            <w:rStyle w:val="InternetLink"/>
          </w:rPr>
          <w:t>100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would be required to pay (or cause to be paid to) Weatherford, or the appropriate subsidiary of Weatherford, a termination fee of $5.5 million (the “</w:t>
      </w:r>
      <w:r>
        <w:rPr>
          <w:rFonts w:ascii="Times New Roman;Times;serif" w:hAnsi="Times New Roman;Times;serif"/>
          <w:b/>
          <w:i w:val="false"/>
          <w:caps w:val="false"/>
          <w:smallCaps w:val="false"/>
          <w:color w:val="000000"/>
          <w:spacing w:val="-4"/>
          <w:sz w:val="20"/>
          <w:bdr w:val="single" w:sz="8" w:space="1" w:color="000000"/>
        </w:rPr>
        <w:t>NCS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89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terminates the Merger Agreement to enter into a definitive agreement providing for a Superior Proposal prior to its receipt of the Specified Stockholder Written Consent (which was delivered on May 31, 2026),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or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889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Weatherford would be required to pay NCS a termination fee of $9.7 million (the “</w:t>
      </w:r>
      <w:r>
        <w:rPr>
          <w:rFonts w:ascii="Times New Roman;Times;serif" w:hAnsi="Times New Roman;Times;serif"/>
          <w:b/>
          <w:i w:val="false"/>
          <w:caps w:val="false"/>
          <w:smallCaps w:val="false"/>
          <w:color w:val="000000"/>
          <w:spacing w:val="-4"/>
          <w:sz w:val="20"/>
          <w:bdr w:val="single" w:sz="8" w:space="1" w:color="000000"/>
        </w:rPr>
        <w:t>Weatherford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89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89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Fee and Expenses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FE">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Rights of Holders of NCS Common Stock and Weatherford Ordinary Shares (see page </w:t>
      </w:r>
      <w:hyperlink w:anchor="tCOTR">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Upon the completion of the Transaction, NCS stockholders who receive Weatherford Ordinary Shares as Merger Consideration will become stockholders of Weatherford, and their rights will be governed by the laws applicable to Weatherford and the governing corporate documents of Weatherford in effect at the Effective Time, which are different from the laws applicable to NCS and NCS’s governing corporate documents. The differences between the rights of NCS stockholders prior to completion of the Transaction and those of NCS stockholders who receive Weatherford Ordinary Shares as Merger Consideration are further described in the section titled “</w:t>
      </w:r>
      <w:r>
        <w:rPr>
          <w:rFonts w:ascii="Times New Roman;Times;serif" w:hAnsi="Times New Roman;Times;serif"/>
          <w:b w:val="false"/>
          <w:i/>
          <w:caps w:val="false"/>
          <w:smallCaps w:val="false"/>
          <w:color w:val="000000"/>
          <w:spacing w:val="4"/>
          <w:sz w:val="20"/>
          <w:bdr w:val="single" w:sz="8" w:space="1" w:color="00000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R">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Comparative Market Price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Ordinary Shares are listed on the Nasdaq Global Select Market under the symbol “WFRD” and NCS Common Stock is listed on the Nasdaq Capital Market under the symbol “NCSM.” The following table sets forth the closing sale price per share of NCS Common Stock and Weatherford Ordinary Shares as reported on the Nasdaq Capital Market and Nasdaq Global Select Market, respectively, as of (i) May 29, 2026, the last full trading day before the public announcement of the Transaction, and (ii) July 14, 2026, the latest practicable trading date before the date of this information statement/prospectus. The table also shows the estimated implied value of the Share Consideration for each share of NCS Common Stock as of the same dates based on the treatment of NCS Common Stock pursuant to the Merger Agreement. </w:t>
      </w:r>
    </w:p>
    <w:tbl>
      <w:tblPr>
        <w:tblW w:w="7711" w:type="dxa"/>
        <w:jc w:val="left"/>
        <w:tblInd w:w="1393" w:type="dxa"/>
        <w:tblLayout w:type="fixed"/>
        <w:tblCellMar>
          <w:top w:w="0" w:type="dxa"/>
          <w:left w:w="0" w:type="dxa"/>
          <w:bottom w:w="28" w:type="dxa"/>
          <w:right w:w="0" w:type="dxa"/>
        </w:tblCellMar>
      </w:tblPr>
      <w:tblGrid>
        <w:gridCol w:w="1544"/>
        <w:gridCol w:w="109"/>
        <w:gridCol w:w="109"/>
        <w:gridCol w:w="182"/>
        <w:gridCol w:w="378"/>
        <w:gridCol w:w="1181"/>
        <w:gridCol w:w="182"/>
        <w:gridCol w:w="109"/>
        <w:gridCol w:w="109"/>
        <w:gridCol w:w="150"/>
        <w:gridCol w:w="312"/>
        <w:gridCol w:w="1059"/>
        <w:gridCol w:w="152"/>
        <w:gridCol w:w="109"/>
        <w:gridCol w:w="109"/>
        <w:gridCol w:w="176"/>
        <w:gridCol w:w="365"/>
        <w:gridCol w:w="1046"/>
        <w:gridCol w:w="176"/>
        <w:gridCol w:w="154"/>
      </w:tblGrid>
      <w:tr>
        <w:trPr/>
        <w:tc>
          <w:tcPr>
            <w:tcW w:w="1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 Common</w:t>
            </w:r>
            <w:r>
              <w:rPr/>
              <w:t xml:space="preserve"> </w:t>
              <w:br/>
            </w:r>
            <w:r>
              <w:rPr>
                <w:spacing w:val="-3"/>
              </w:rPr>
              <w:t xml:space="preserve">Stock 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Weatherford</w:t>
            </w:r>
            <w:r>
              <w:rPr/>
              <w:t xml:space="preserve"> </w:t>
              <w:br/>
            </w:r>
            <w:r>
              <w:rPr>
                <w:spacing w:val="-3"/>
              </w:rPr>
              <w:t>Ordinary Shares</w:t>
            </w:r>
            <w:r>
              <w:rPr/>
              <w:t xml:space="preserve"> </w:t>
              <w:br/>
            </w:r>
            <w:r>
              <w:rPr>
                <w:spacing w:val="-3"/>
              </w:rPr>
              <w:t xml:space="preserve">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Implied per share</w:t>
            </w:r>
            <w:r>
              <w:rPr/>
              <w:t xml:space="preserve"> </w:t>
              <w:br/>
            </w:r>
            <w:r>
              <w:rPr>
                <w:spacing w:val="-3"/>
              </w:rPr>
              <w:t>value of NCS</w:t>
            </w:r>
            <w:r>
              <w:rPr/>
              <w:t xml:space="preserve"> </w:t>
              <w:br/>
            </w:r>
            <w:r>
              <w:rPr>
                <w:spacing w:val="-3"/>
              </w:rPr>
              <w:t>Common Stock</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4" w:type="dxa"/>
            <w:tcBorders/>
            <w:shd w:fill="CCEEFF" w:val="clear"/>
            <w:tcMar>
              <w:bottom w:w="0" w:type="dxa"/>
            </w:tcMar>
            <w:vAlign w:val="center"/>
          </w:tcPr>
          <w:p>
            <w:pPr>
              <w:pStyle w:val="TableContents"/>
              <w:bidi w:val="0"/>
              <w:spacing w:before="0" w:after="0"/>
              <w:jc w:val="left"/>
              <w:rPr>
                <w:spacing w:val="4"/>
              </w:rPr>
            </w:pPr>
            <w:r>
              <w:rPr>
                <w:spacing w:val="4"/>
              </w:rPr>
              <w:t xml:space="preserve">May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81" w:type="dxa"/>
            <w:tcBorders/>
            <w:shd w:fill="CCEEFF" w:val="clear"/>
            <w:tcMar>
              <w:bottom w:w="0" w:type="dxa"/>
            </w:tcMar>
            <w:vAlign w:val="center"/>
          </w:tcPr>
          <w:p>
            <w:pPr>
              <w:pStyle w:val="TableContents"/>
              <w:bidi w:val="0"/>
              <w:spacing w:before="0" w:after="283"/>
              <w:jc w:val="right"/>
              <w:rPr/>
            </w:pPr>
            <w:r>
              <w:rPr/>
              <w:t>42.38</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103.64</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57.39</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tcBorders/>
            <w:tcMar>
              <w:bottom w:w="0" w:type="dxa"/>
            </w:tcMar>
            <w:vAlign w:val="center"/>
          </w:tcPr>
          <w:p>
            <w:pPr>
              <w:pStyle w:val="TableContents"/>
              <w:bidi w:val="0"/>
              <w:spacing w:before="0" w:after="0"/>
              <w:jc w:val="left"/>
              <w:rPr>
                <w:spacing w:val="4"/>
              </w:rPr>
            </w:pPr>
            <w:r>
              <w:rPr>
                <w:spacing w:val="4"/>
              </w:rPr>
              <w:t xml:space="preserve">July 14,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378" w:type="dxa"/>
            <w:tcBorders/>
            <w:tcMar>
              <w:bottom w:w="0" w:type="dxa"/>
            </w:tcMar>
            <w:vAlign w:val="center"/>
          </w:tcPr>
          <w:p>
            <w:pPr>
              <w:pStyle w:val="TableContents"/>
              <w:bidi w:val="0"/>
              <w:spacing w:before="0" w:after="283"/>
              <w:jc w:val="right"/>
              <w:rPr/>
            </w:pPr>
            <w:r>
              <w:rPr/>
              <w:t>$</w:t>
            </w:r>
          </w:p>
        </w:tc>
        <w:tc>
          <w:tcPr>
            <w:tcW w:w="1181" w:type="dxa"/>
            <w:tcBorders/>
            <w:tcMar>
              <w:bottom w:w="0" w:type="dxa"/>
            </w:tcMar>
            <w:vAlign w:val="center"/>
          </w:tcPr>
          <w:p>
            <w:pPr>
              <w:pStyle w:val="TableContents"/>
              <w:bidi w:val="0"/>
              <w:spacing w:before="0" w:after="283"/>
              <w:jc w:val="right"/>
              <w:rPr/>
            </w:pPr>
            <w:r>
              <w:rPr/>
              <w:t xml:space="preserve">44.67 </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 xml:space="preserve">82.01 </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45.41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“Implied per share value of NCS Common Stock” is equivalent to the Share Consideration. </w:t>
      </w:r>
      <w:r>
        <mc:AlternateContent>
          <mc:Choice Requires="wps">
            <w:drawing>
              <wp:anchor behindDoc="0" distT="10033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prices of Weatherford Ordinary Shares and NCS Common Stock have fluctuated since the date of the announcement of the Transaction and will continue to fluctuate from the date of this information statement/prospectus to the closing date of the Transaction. No assurance can be given concerning the market prices of Weatherford Ordinary Shares or NCS Common Stock before completion of the Transaction or Weatherford Ordinary Shares after completion of the Transaction. The Share Consideration Exchange Ratio is fixed in the Merger Agreement and will only be adjusted as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However, the market price of Weatherford Ordinary Shares (and therefore the value of the Merger Consideration when received by NCS stockholders upon completion of the Transaction) could be greater than, less than, or the same as shown in the table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Dividends are authorized and determined by the Weatherford Board at its sole discretion and depend upon a number of factors, including Weatherford’s financial results, cash requirements, capital management plans, changes in applicable laws, contractual restrictions, such as financial or operating covenants, and future prospects, as well as such other factors deemed relevant by the Weatherford Board. The amount and timing of Weatherford’s dividend payments may change from time to time, and Weatherford cannot provide assurance that it will continue to pay dividends at current levels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until the earlier of the Effective Time or the date (if any) on which the Merger Agreement is validly terminated, Weatherford is not permitted to declare, set aside, or pay any extraordinary dividends or distributions in respect of its capital stock, without the prior written consent of NCS, except that Weatherford may make (i) regular quarterly cash dividends in amounts and with record and payment dates consistent with Weatherford’s past dividend policy and practices, and (ii) increases to such regular quarterly cash dividend amounts in the ordinary course of business. Additionally, Weatherford is not permitted, other than pursuant to limited exceptions, to reclassify, combine, adjust, split, or subdivide any capital stock of Weatherford, without the prior written consent of NCS, other than where equitable adjustments are made to the number of Weatherford Ordinary Shares constituting the Merger Consideration pursuant to the Merger Agreement. NCS has never declared or paid any cash dividends on NCS Common Stock. Under the terms of the Merger Agreement, until the earlier of the Effective Time or the date (if any) on which the Merger Agreement is validly terminated, NCS is not permitted, and must not permit any of its subsidiaries, to (i) declare, set aside, or pay any dividends on, or make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or (ii) split, combine, reclassify or otherwise amend the terms of any of its capital stock or other equity interests or issue or authorize the issuance of any other securities in respect of, in lieu of or in substitution for shares of its capital stock or other equity interests, in each case, without the prior written consent of Weatherford, except as may be expressly permitted under the Merger Agreement or required by applicable law.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You should consider all the information about the risks related to the Transaction set forth under the section 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together with information contained in or incorporated by reference into this information statement/prospectus. For additional information regarding where you can find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among other things, the matters addressed in the section titled “Cautionary Note Regarding Forward-Looking Statements” NCS stockholders should carefully consider the following risks before making their election. In addition, you should read and consider the risks associated with each of the businesses of Weatherford and NCS because these risks will relate to Weatherford following the completion of the Transaction. Descriptions of some of these risks can be found in </w:t>
      </w:r>
      <w:hyperlink r:id="rId3">
        <w:r>
          <w:rPr>
            <w:rStyle w:val="InternetLink"/>
          </w:rPr>
          <w:t>Weatherford’s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w:t>
      </w:r>
      <w:hyperlink r:id="rId4">
        <w:r>
          <w:rPr>
            <w:rStyle w:val="InternetLink"/>
          </w:rPr>
          <w:t>NCS’s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in each case, any amendments thereto, as such risk factors may be updated or supplemented in each company’s subsequently filed Quarterly Reports on Form 10-Q or Current Reports on Form 8-K, which are incorporated by reference into this information statement/prospectus. You should also consider the other information in this information statement/prospectus and the other documents incorporated by reference into this information statement/prospectus. For additional information regarding where you can find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ratios are fixed and will not be adjusted for stock price changes and the market price of Weatherford Ordinary Shares has fluctuated and will continue to fluctuate, NCS stockholders cannot be sure of the value of the Merger Consideration they will receive.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the Merger Consideration. The market price of Weatherford Ordinary Shares at the time of completion of the Transaction may vary significantly from the market price of Weatherford Ordinary Shares on the date the Merger Agreement was executed and the date of this information statement/prospectus. Because the Share Consideration and the stock portion of the Mixed Consideration are payable in a fixed number of Weatherford Ordinary Shares and the Cash Consideration is based on the Parent Closing Price, the value of the Merger Consideration that NCS stockholders receive upon completion of the Transaction may be higher or lower than the value of the Merger Consideration on such earlier dates. Stock price changes may result from a variety of factors, including, among others, general market and economic conditions, changes in Weatherford’s and NCS’s respective businesses, operations, and prospects, market assessments of the likelihood that the Transaction will be completed, the timing of the Transaction, regulatory considerations, and other risk factors set forth or incorporated by reference in this information statement/prospectus. Many of these factors are beyond Weatherford’s and NCS’s control. Further, the Piper Sandler opinion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Transaction. NCS stockholders are urged to obtain current market quotations for Weatherford Ordinary Shares and NCS Common Stock when they make their elections. </w:t>
      </w: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is subject to the conditions contained in the Merger Agreement and if these conditions are not satisfied or waived,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obligations of Weatherford and NCS to complete the Transaction are subject to the satisfaction or waiver of a number of conditions, including, among others, the expiration or termination of the waiting period (and any extensions thereof) applicable to the Transaction under the HSR Act and the receipt of the clearances, and approvals applicable to the Transaction under the antitrust and foreign direct investment laws of certain foreign jurisdictions. For more information regarding the required regulatory approvals and the closing conditions,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Weatherford and NCS have agreed in the Merger Agreement to use their reasonable best efforts to complete the Transaction as promptly as practicable, many of the closing conditions are not within Weatherford’s or NCS’s control, and neither company can predict when or if these conditions will be satisfied. If any of these conditions are not satisfied or waived prior to May 31, 2027, or such later date as Weatherford and NCS may agree in writing, it is possible that the Merger Agreement will be terminated. The failure to satisfy all of the required conditions could delay the completion of the Transaction for a significant period of time or prevent it from occurring. Any delay in completing the Transaction could cause Weatherford not to realize some or all of the benefits that it expects to achieve if the Transaction is successfully completed within its expected timeframe. There can be no assurance that the closing conditions will be satisfied or waived or that the Transaction will be completed. For additional information, please see the risk factor titled “</w:t>
      </w:r>
      <w:r>
        <w:rPr>
          <w:rFonts w:ascii="Times New Roman;Times;serif" w:hAnsi="Times New Roman;Times;serif"/>
          <w:b w:val="false"/>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each have rights to terminate the Merger Agreement under specified circumstances, in which case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on the one hand, and NCS, on the other hand, can mutually decide to terminate the Merger Agreement at any time before the Effective Time. In addition, each of Weatherford and NCS may elect to terminate the Merger Agreement under certain other circumstances. For more information regarding each party’s termination rights, please see the section titled “</w:t>
      </w:r>
      <w:r>
        <w:rPr>
          <w:rFonts w:ascii="Times New Roman;Times;serif" w:hAnsi="Times New Roman;Times;serif"/>
          <w:b w:val="false"/>
          <w:i/>
          <w:caps w:val="false"/>
          <w:smallCaps w:val="false"/>
          <w:color w:val="000000"/>
          <w:spacing w:val="4"/>
          <w:sz w:val="20"/>
        </w:rPr>
        <w:t>The Merger Agreement — Termination of 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Weatherford and NCS may incur fees in connection with termination of the Merger Agreement and neither of them will realize the anticipated benefits of the Transaction.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would be required to pay (or cause to be paid to) Weatherford, or the appropriate subsidiary of Weatherford, a termination fee of $5.5 million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382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has entered into a definitive agreement providing for a Superior Proposal,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rPr>
        <w:t>The Merger Agreement — No Solicitation of Other Offers by NCS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caps w:val="false"/>
          <w:smallCaps w:val="false"/>
          <w:color w:val="000000"/>
          <w:spacing w:val="4"/>
          <w:sz w:val="20"/>
        </w:rPr>
        <w:t>The Merger Agreement — Change of Recommendation; Match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would be required to pay NCS a termination fee of $9.7 million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25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25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Transaction is subject to the expiration of applicable waiting periods and the receipt of approvals, consents, or clearances from certain regulatory authorities that may impose conditions that could have an adverse effect on Weatherford, NCS, or following the completion of the Transaction, Weatherford or, if not obtained, could prevent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Transaction may be completed, the waiting period (and any extensions thereof) applicable to the Transaction under the HSR Act must have expired or terminated and the clearances, and approvals applicable to the Transaction under the antitrust and foreign direct investment laws of certain foreign jurisdictions must have been received. In addition, the Transaction may be reviewed under antitrust statutes or foreign direct investment regimes of other governmental authorities, including U.S. state laws. In deciding whether to grant the required regulatory approval, consent, or clearance, the relevant governmental entities may consider, among other factors, the effect of the Transaction on competition within their relevant jurisdiction.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and conditions of the approvals, consents, and clearances that are granted may impose requirements, limitations, or costs or place restrictions on the conduct of Weatherford’s business following the completion of the Transaction. Under the Merger Agreement, Weatherford and NCS have agreed to use their reasonable best efforts to obtain such approvals, consents, and clearances and therefore may be required to comply with conditions, terms, obligations, or restrictions imposed by governmental authorities. There can be no assurance that such conditions, terms, obligations, or restrictions will not have the effect of delaying completion of the Transaction or imposing additional material costs on or materially limiting the revenues of Weatherford following the completion of the Transaction. In addition, neither Weatherford nor NCS can provide assurance that any such conditions, terms, obligations, or restrictions will not result in the delay or abandonment of the Transaction. For additional information regarding conditions to the completion of the Transaction,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NCS’s directors and executive officers may have interests in the Transaction that may be different from, or in addition to, the interests of NCS stockholders more generally.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should be aware that directors and executive officers of NCS may have certain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completion of the Transaction, and in recommending that NCS stockholders adopt the Merger Agreement. These interests include, among others, the treatment of outstanding NCS equity awards in connection with certain potential severance payments in connection with the Transaction and a qualifying termination of employment upon or following the closing of the Transaction. For additional information regarding the interests of NCS’s directors and executive officers in the Transaction, please see the section titled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subjects NCS to restrictions on its business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subjects NCS to restrictions on its business activities and obligates NCS to, among other things, conduct its business in the ordinary course of business consistent in all material respects with past practice and to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These restrictions could have an adverse effect on NCS’s results of operations, cash flows, and financial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business relationships of Weatherford and NCS and their respective subsidiaries may be subject to disruption due to uncertainty associated with the Transaction, which could have an adverse effect on the results of operations, cash flows, and financial position of Weatherford, NCS, and, following the completion of the Transaction,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with which Weatherford and NCS, or their respective subsidiaries, do business may be uncertain as to the effects the Transaction may have on them, including with respect to current or future business relationships with Weatherford, NCS, or their respective subsidiaries. These relationships may be subject to disruption as customers, suppliers, and other persons with whom Weatherford and NCS have a business relationship may delay or defer certain business decisions or might decide to terminate, change, or renegotiate their relationships with Weatherford or NCS, as applicable, or consider entering into business relationships with parties other than Weatherford, NCS, or their respective subsidiaries. These disruptions could have an adverse effect on the results of operations, cash flows, and financial position of Weatherford or NCS, including an adverse effect on Weatherford’s ability to realize the expected synergies and other benefits of the Transaction. The risk, and adverse effect, of any disruption could be exacerbated by a delay in completion of the Transaction or termination of the Merger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NCS’s ability to pursue alternatives to the Transaction and may discourage other companies from trying to acquire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provisions that make it more difficult for NCS to sell its business to a party other than Weatherford. These provisions include a general prohibition on NCS soliciting any acquisition proposal or offer for a competing transaction. However, prior to NCS’s receipt of the Specified Stockholder Written Consent, the Merger Agreement permitted NCS to engage with a third party that made an unsolicited acquisition proposal that the NCS Board determined in good faith, after consultation with its outside legal counsel and financial advisors, constituted or could reasonably be expected to result in a superior proposal. The NCS Board was also permitted to effect an adverse recommendation change or to terminate the Merger Agreement to enter into a definitive agreement providing for a superior proposal, in each case, prior to NCS’s receipt of the Specified Stockholder Written Consent. NCS did not receive any unsolicited acquisition proposals prior to NCS’s receipt of the Specified Stockholder Written Consent. In addition, if the Merger Agreement were terminated under certain circumstances, including NCS entering into a definitive agreement with respect to a superior proposal or an adverse recommendation change prior to NCS’s receipt of the Specified Stockholder Written Consent or a willful and material breach of NCS’s non-solicitation obligations under the Merger Agreement, NCS would have been required to pay (or cause to be paid to) Weatherford, or the appropriate subsidiary of Weatherford, a termination fee of $5.5 million. NCS did not receive any acquisition proposals prior to NCS’s receipt of the Specified Stockholder Written Consent on May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possible that these provisions or the other provisions of the Merger Agreement could have discouraged a potential acquiror that might have had an interest in acquiring all or a significant part of NCS from considering or proposing that acquisition, even if it were prepared to pay consideration with a higher per share cash or market value than the consideration Weatherford proposes to pay in the Transaction. Alternatively, it might have resulted in a potential competing acquiror proposing to pay a lower per share price to acquire NCS than it might otherwise have proposed to pay because of the termination fee that may have become payable to Weatherford, or the appropriate subsidiary of Weatherford, in certain circumstances described in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not completed for any reason, the ongoing business of NCS may be adversely affected and, without realizing any of the benefits of having completed the Transaction, NCS could be subject to a number of negative consequences,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the financial markets, including negative impacts on its stock price;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customers and suppliers;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employees and may not be able to retain key management personnel and other key employees; </w:t>
      </w:r>
      <w:r>
        <mc:AlternateContent>
          <mc:Choice Requires="wps">
            <w:drawing>
              <wp:anchor behindDoc="0" distT="0" distB="0" distL="254000" distR="0" simplePos="0" locked="0" layoutInCell="1" allowOverlap="1" relativeHeight="115">
                <wp:simplePos x="0" y="0"/>
                <wp:positionH relativeFrom="column">
                  <wp:align>left</wp:align>
                </wp:positionH>
                <wp:positionV relativeFrom="line">
                  <wp:posOffset>635</wp:posOffset>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places certain restrictions on the conduct of NCS’s business prior to completion of the Transaction, the waiver of which is subject to the consent of Weatherford (not to be unreasonably withheld, conditioned, or delayed), which may prevent NCS from making certain acquisitions, taking certain other specified actions or otherwise pursuing business opportunities during the pendency of the Transaction that may be beneficial to NCS (for additional information regarding the restrictive covenants applicable to NCS, please see the section titled “</w:t>
      </w:r>
      <w:r>
        <w:rPr>
          <w:rFonts w:ascii="Times New Roman;Times;serif" w:hAnsi="Times New Roman;Times;serif"/>
          <w:b w:val="false"/>
          <w:i/>
          <w:caps w:val="false"/>
          <w:smallCaps w:val="false"/>
          <w:color w:val="000000"/>
          <w:spacing w:val="4"/>
          <w:sz w:val="20"/>
        </w:rPr>
        <w:t>The Merger Agreement — Conduct of Businesses of NCS and Weatherford Prior to Completion of the Transaction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14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the Transaction (including integration planning) will require substantial commitments of time and resources by NCS management, which could otherwise be devoted to day-to-day operations and other opportunities that may be beneficial to NCS as an independent company. </w:t>
      </w:r>
      <w:r>
        <mc:AlternateContent>
          <mc:Choice Requires="wps">
            <w:drawing>
              <wp:anchor behindDoc="0" distT="914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NCS could be subject to litigation related to any failure to complete the Transaction or related to any enforcement proceeding commenced against NCS to perform its obligations under the Merger Agreement. If the Transaction is not completed, any of these risks may materialize and may adversely affect NCS’s businesses, financial condition, financial results and stock price.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financial analyses, estimates and projections considered by the NCS Board and its financial advisor may not be realized, which may adversely affect the market price of Weatherford’s Ordinary Shares following the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NCS Board’s evaluation of the Transaction, NCS’s management prepared and provided to the NCS Board certain unaudited financial projections regarding NCS’s anticipated future operations as a standalone company without giving effect to the Transaction and as if the Transaction had not been contemplated by NCS. NCS management also provided such unaudited financial projections to Piper Sandler and approved the projections for Piper Sandler’s use and reliance in connection with its financial analyses and opinion. For further information, please see the section titled “</w:t>
      </w:r>
      <w:r>
        <w:rPr>
          <w:rFonts w:ascii="Times New Roman;Times;serif" w:hAnsi="Times New Roman;Times;serif"/>
          <w:b w:val="false"/>
          <w:i/>
          <w:caps w:val="false"/>
          <w:smallCaps w:val="false"/>
          <w:color w:val="000000"/>
          <w:spacing w:val="4"/>
          <w:sz w:val="20"/>
        </w:rPr>
        <w:t>The Transaction —  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financial projections regarding NCS were prepared by, or directed by, the management of NCS. Such unaudited financial projections are inherently based on various estimates and assumptions that are subject to the judgment of those preparing them and are also subject to significant economic, competitive, industry, and other uncertainties and contingencies, all of which are difficult or impossible to predict and many of which are beyond the control of NCS. There can be no assurance that the projected results will be realized or that actual results will not be significantly higher or lower than estimated. Moreover, as such unaudited financial projections cover multiple years, such information by its nature becomes less predictive with each successive year. The failure of the prospective results to be realized or any deviation of actual results may adversely affect the financial position of Weatherford and, therefore, the market price of Weatherford’s ordinary shares following completion of the Transaction.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may trigger change in control provisions in certain agreements to which NCS is a party.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may trigger change in control provisions in certain agreements to which NCS is a party. If NCS and Weatherford are unable to negotiate waivers of those provisions, the counterparties may exercise their rights and remedies under the agreements, potentially terminating the agreements or seeking monetary damages. Even if NCS and Weatherford are able to negotiate waivers, the counterparties may require a fee for such waivers or seek to renegotiate the agreements on terms less favorable to NCS or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Lawsuits may in the future be filed against NCS, NCS’s directors, Weatherford, and/or Merger Sub challenging the Transaction, and an adverse ruling in any such lawsuit may prevent the completion of the Transaction or the completion of the Transaction within the expected timeframe and/or result in substantial costs to Weatherford and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acquisition, transaction,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Weatherford’s and NCS’s respective liquidity and financial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one of the conditions to the completion of the Transaction is that no injunction or law by any governmental entity of competent jurisdiction will be in effect that has the effect of restraining, enjoining, or otherwise prohibiting the completion of the Transaction. As such, if an injunction prohibiting the completion of the Transaction is obtained, that injunction may prevent the Transaction from becoming effective or from becoming effective within the expected timeframe.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Transaction, NCS stockholders will have a significantly lower ownership and voting interest in Weatherford than they currently have in NCS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Consequently, former NCS stockholders will have less influence over the management and policies of Weatherford than they currently have over the management and policies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Weatherford Following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Weatherford expects significant benefits to result from the Transaction, there can be no assurance that Weatherford will actually realize any of them, or realize them within the anticipated timeframe. Achieving these benefits will depend, in part, on Weatherford’s ability to integrate NCS’s business successfully and efficiently. The challenges involved with the Transaction, which will be complex and time consuming,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preserving customer and other important relationships of NCS and attracting new business and operational relationships;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financial forecasting and controls, procedures, and reporting cycles;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and integrating corporate, information technology, finance, and administrative infrastructures;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sales and marketing efforts to effectively position Weatherford’s capabilities; and </w:t>
      </w:r>
      <w:r>
        <mc:AlternateContent>
          <mc:Choice Requires="wps">
            <w:drawing>
              <wp:anchor behindDoc="0" distT="774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employees and related human resources systems and benefits, maintaining employee morale and retaining key employees.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issues and the other challenges inherent in integrating an acquired business are not successfully managed, then Weatherford may not achieve the anticipated benefits of the Transaction on Weatherford’s anticipated timeframe or at all, and Weatherford’s revenue, expenses, operating results, financial condition and stock price could be materially adversely affected. The successful completion of the Transaction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significant management attention both before and after the Transaction, and may divert the attention of management from Weatherford’s business and operational issues.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Weatherford Ordinary Shares have rights different from the shares of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of the Transaction, NCS stockholders will no longer be stockholders of NCS. Former NCS stockholders who receive Merger Consideration in the Transaction will become Weatherford shareholders, and their rights as stockholders will be governed by the terms of Weatherford’s governing corporate documents in effect as of the Effective Time. For additional information regarding the differences between the rights associated with NCS Common Stock and Weatherford Ordinary Shares, please see the section titled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will incur direct and indirect costs as a result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will incur substantial expenses in connection with and as a result of completing the Transaction. Following completion of the Transaction, Weatherford expects to incur additional expenses in connection with the integration of NCS’s business. Weatherford may incur additional costs or suffer loss of business under third-party contracts that are terminated or that contain change in control or other provisions that may be triggered by the completion of the Transaction, and/or losses of, or decreases in orders by, customers, and may also incur costs to maintain employee morale and to retain certain key management personnel and employees. Weatherford and NCS will also incur transaction fees and costs related to formulating integration plans, and the execution of these plans may lead to additional unanticipated costs and time delays. Even though these incremental transaction-related costs are one-time costs, these transaction-related costs may exceed the cost synergies Weatherford expects to achieve, particularly in the near term. Factors beyond Weatherford’s control could affect the total amount or timing of these expenses, many of which, by their nature, are difficult to estimate accurately. See “</w:t>
      </w:r>
      <w:r>
        <w:rPr>
          <w:rFonts w:ascii="Times New Roman;Times;serif" w:hAnsi="Times New Roman;Times;serif"/>
          <w:b w:val="false"/>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val="false"/>
          <w:i w:val="false"/>
          <w:caps w:val="false"/>
          <w:smallCaps w:val="false"/>
          <w:color w:val="000000"/>
          <w:spacing w:val="4"/>
          <w:sz w:val="20"/>
        </w:rPr>
        <w:t xml:space="preserve">” for additional integration risks.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Transaction may cause a loss of management personnel and other key employees of Weatherford or NCS, which could adversely affect the future business and operations of Weatherford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are dependent on the experience and industry knowledge of their officers and other key employees to execute their respective business plans. Both Weatherford and NCS must continue to retain, motivate, and recruit officers and other key employees during the period prior to the completion of the Transaction. Moreover, Weatherford’s success after the Transaction will depend in part upon its ability to retain key management personnel, and other key employees of Weatherford and NCS. Experienced employees in the industries in which Weatherford and NCS operate are in high demand and competition for their talents can be intense. Current and prospective employees of Weatherford and NCS may be uncertain about their future roles with Weatherford following the Transaction, which may materially adversely affect the ability of each of Weatherford and NCS to attract and retain key personnel during the pendency of the Transaction. Accordingly, there can be no assurance that Weatherford will be able to retain key management personnel, and other key employees of Weatherford and NCS. A failure by Weatherford or NCS to attract, retain, and motivate officers and other key employees during the period prior to or after the completion of the Transaction could have a negative impact on the business of Weatherford or NCS. Furthermore, if key employees of Weatherford or NCS depart or are at risk of departing due to issues including the uncertainty and difficulty of integration or financial security, or if key employees of NCS depart due to a desire not to become employees of Weatherford, Weatherford may incur significant costs to retain such individuals or to identify, hire, and retain replacements for departing employees and may lose significant expertise and talent relating to the business of Weatherford and/or NCS, and Weatherford’s ability to realize the anticipated benefits of the Transaction may be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Weatherford Ordinary Shares after the Transaction is completed may be affected by factors different from those affecting shares of NCS Common Stock before the Transaction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certain holders of NCS Common Stock will become holders of Weatherford Ordinary Shares. Weatherford’s business differs in certain respects from that of NCS,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market price of Weatherford Ordinary Shares after the completion of the Transaction may be affected by factors different from those currently affecting the independent results of operations of each of Weatherford and NCS. As a result, the market price of Weatherford Ordinary Shares may fluctuate significantly following completion of the Transaction and holders of NCS Common Stock could lose the value of their investment in Weatherford Ordinary Shares. For additional information regarding the businesses of Weatherford and NCS and of some important factors to consider in connection with those businesses, please see the documents incorporated by reference into this information statement/prospectus and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addition, if former NCS stockholders sell substantial amounts of Weatherford Ordinary Shares in the public market following completion of the Transaction, this could decrease the market price of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Weatherford’s Proposed Redomestication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Weatherford filed with the SEC a definitive proxy statement relating to its proposed redomestication (referred to as the Redomestication Proxy Statement) pursuant to which it was announced that Weatherford, currently a public limited company incorporated under the laws of Ireland,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are encouraged to read the Redomestication Proxy Statement and any other relevant documents filed with the SEC carefully and in their entirety as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for instructions on how to obtain a copy of the Redomestication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not conditioned upon the completion of the Redomestication, and the completion of the Redomestication is not conditioned upon the completion of the Transaction. Accordingly, the Redomestication may be completed before the Transaction, after the Transaction, or not at all.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WIC would (i) be deemed by operation of law to be the successor issuer to Weatherford pursuant to Exchange Act Rule 12g-3 and would succeed to Weatherford’s reporting obligations, Exchange Act file number, and Nasdaq listing, and (ii) adopt this Registration Statement pursuant to Securities Act Rule 414. In that event, WIC will be the issuer of the shares to be delivered as Merger Consideration. The shares of WIC common stock that NCS stockholders would receive would differ in certain respects from the Weatherford Ordinary Shares described in this information statement/prospectus, including with respect to the rights and privileges associated with those shares, the jurisdiction of organization governing those rights, and the governing documents under which those rights arise. In particular, NCS stockholders who receive shares of WIC would hold securities governed by the DGCL and WIC’s certificate of incorporation and bylaws, rather than Irish law and the Weatherford Articles. This change in governing law will or may result in differences in, among other things, voting rights, dividend and distribution rights, pre-emptive rights, director election and removal procedures, shareholder meeting and written consent mechanics, shareholder proposal rights, appraisal or dissenters’ rights, takeover protections, and the fiduciary duties owed by directors. These differences could be material to NCS stockholders as compared to Irish law, but there are not expected to be any key material differences in the aggregate between WIC’s anticipated certificate of incorporation and bylaws and NCS’s current certificate of incorporation and bylaws, both of which will be governed by Delaware law including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certain corporate-law mechanics applicable to Weatherford’s share capital will also change. As an Irish public limited company, Weatherford’s directors currently require shareholder-approved authority to allot shares and, separately, disapplication of statutory pre-emptive rights before issuing shares for cash or otherwise. Under the DGCL, WIC’s board of directors would generally be authorized to issue shares up to the number of authorized shares set forth in WIC’s certificate of incorporation without further shareholder approval, subject to applicable Nasdaq rules, and statutory pre-emptive rights would not apply unless expressly provided in WIC’s certificate of incorporation. As a result, the issuance mechanics for the Merger Consideration could differ depending on whether the Redomestication has been completed before the closing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not completed before the closing of the Transaction, Weatherford will remain an Irish public limited company, and the Merger Consideration will consist of Weatherford Ordinary Shares as described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additional risks regarding the Redomestication, please see the section titled “Risk Factors” in the Redomestication Proxy Statement. You are urged to read the Redomestication Proxy Statement and any other relevant documents that have been or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Risks of Weatherford and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Weatherford’s and NCS’s businesses are, and will be, subject to the risks described above. In addition, Weatherford and NCS are, and will continue to be, subject to the risks described in </w:t>
      </w:r>
      <w:hyperlink r:id="rId5">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as updated by subsequent Quarterly Reports on Form 10-Q and Current Reports on Form 8-K, all of which are filed with the SEC and incorporated by reference into this information statement/prospectus. The risks described above and in those filings represent all presently known material risks with respect to Weatherford’s and NCS’s businesses.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NR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and the documents incorporated by reference into this information statement/prospectus contain forward-looking statements within the meaning of the safe harbor provisions of the Private Securities Litigation Reform Act of 1995. Statements contained in this information statement/prospectus that are not limited to historical facts but reflect Weatherford’s and NCS’s current beliefs, expectations, or intentions regarding future events, refer to Weatherford’s and NCS’s estimated or anticipated future results, including estimated synergies, or other non-historical facts, are forward-looking statements that reflect Weatherford’s and NCS’s, as applicable, current perspective of existing trends and information as of the date of this information statement/prospectus. These forward-looking statements include but are not limited to statements that relate to the expected future business and financial performance, the anticipated benefits of the Transaction, the anticipated impact of the Transaction on the combined business, the expected amount and timing of the synergies from the Transaction and the anticipated closing date of the Transaction. These forward-looking statements are identified by words such as “aim,” “anticipate,” “believe,” “budget,” “could,” “estimate,” “expect,” “guidance,” “intend,” “may,” “plan,” “possible,” “potential,” “predict,” “project,” “propose,” “seek,” “should,” “strategy,” “will,” “will be,” “will continue,” “will likely result,” “would,” and similar words or phrases. These forward-looking statements are based on current expectations and beliefs of management and current market trends and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forward-looking statements involve risks and uncertainties that are outside Weatherford’s and NCS’s control and may cause actual results to differ materially from those contained in forward-looking statements. These risks and uncertainties include, among others, those set forth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as well as risks and uncertainties relating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Transaction may not be completed in a timely manner or at all;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of the conditions precedent to completion of the Transaction, including the ability to secure regulatory approvals on the terms expected, at all or in a timely manner; </w:t>
      </w:r>
      <w:r>
        <mc:AlternateContent>
          <mc:Choice Requires="wps">
            <w:drawing>
              <wp:anchor behindDoc="0" distT="7239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costs, charges, or expenses resulting from the Transaction;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Transaction on the ability to maintain relationships with customers, suppliers, and other business partners or operating results and business;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implement plans, achieve forecasts and meet other expectations with respect to the business after the completion of the Transaction and realize expected synergies;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disruption following the Transaction;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retaining and hiring key personnel and employees due to the Transaction;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time on transaction-related issues;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Transaction;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Weatherford to successfully integrate NCS’s operations;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cyber-attacks, information security and data privacy;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political and economic conditions, including rising interest rates, the impact of inflation and challenges in the global supply chain;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and trends on a national, regional, and global scale, including the demand for the services provided by NCS and Weatherford due to levels of employment and economic activity, and those of a political, economic, business, competitive, and regulatory nature; and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impact of the Redomestication, including, but not limited to, the timing of the completion of the Redomestication in relation to the timing of the closing of the Transaction and its resulting impact.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caution that the foregoing list of factors is not exhaustive. Additional information concerning these and other risk factors is contained in Weatherford’s and NCS’s most recently filed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on Form 10-K (as updated by subsequent Quarterly Reports on Form 10-Q), Current Reports on Form 8-K, and other SEC filings, as such filings may be amended from time to time. All of the forward-looking statements made by Weatherford or NCS contained or incorporated by reference in this information statement/prospectus and all subsequent written and oral forward-looking statements concerning Weatherford, NCS, the Transaction or other matters attributable to Weatherford or NCS or any person acting on either of their behalf are expressly qualified in their entirety by the cautionary statement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forward-looking statements contained in this information statement/prospectus, which speak only as of the date such statements were made. Neither Weatherford nor NCS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A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AW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WEATHERFORD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filed with the SEC a definitive proxy statement relating to the proposed redomestication (referred to as the Redomestication Proxy Statement) pursuant to which Weatherford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was formed as, and initially will be, a direct, wholly owned subsidiary of WIC. If the Redomestication is completed before the closing of the Transaction, WIC will be the ultimate parent company of the Weatherford group of companies and Merger Sub will remain a direct, wholly owned subsidiary of WIC until the closing of the Transaction. 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For a discussion of certain risks regarding the Redomestication, please see the section titled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HTR"/>
      <w:bookmarkEnd w:id="12"/>
      <w:r>
        <w:rPr>
          <w:rFonts w:ascii="calibri;arial;sans-serif" w:hAnsi="calibri;arial;sans-serif"/>
          <w:b w:val="false"/>
          <w:i w:val="false"/>
          <w:caps w:val="false"/>
          <w:smallCaps w:val="false"/>
          <w:color w:val="000000"/>
          <w:sz w:val="16"/>
        </w:rPr>
        <w:t>​</w:t>
      </w:r>
      <w:bookmarkStart w:id="13" w:name="tME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of the information statement/prospectus describes the material aspects of the Transaction. This section may not contain all of the information that is important to you. You should carefully read this entire information statement/prospectus and the documents incorporated by reference into this information statement/prospectus, including the full text of the Merger Agreement, a copy of which is attached to this information statement/prospectus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for a more complete understanding of the Transaction. In addition, important information about each of Weatherford and NCS is included in or incorporated by reference into this information statement/prospectus. For additional information regarding the location of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Merger Sub, and NCS have entered into the Merger Agreement, pursuant to which Weatherford will acquire NCS with NCS becoming a wholly owned subsidiary of Weatherford. Upon satisfaction or waiver of the closing conditions set forth in the Merger Agreement, Merger Sub will merge with and into NCS (referred to as the Transaction). NCS will be the surviving corporation of the merger with Merger Sub and become a wholly owned subsidiary of Weatherford, and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issue Weatherford Ordinary Shares to NCS stockholders as consideration pursuant to the Merger Agreement. The number of shares issued will depend on stockholder elections and the application of the proration mechanism. Based on the Share Consideration Exchange Ratio of 0.5537 and assuming all stockholders make Share Elections, Weatherford would issue up to approximately 1,498,320 Weatherford Ordinary Shares to NCS stockholders.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Weatherford’s and NCS’s board of directors and senior management team regularly reviews their respective company’s performance, future growth prospects and overall strategic direction, and considers potential opportunities to strengthen their respective businesses and enhance their respective stockholder value. These respective reviews have included consideration of whether the continued execution of each company’s strategy or possible strategic opportunities, joint ventures or combinations with third parties offer the best avenue to maximize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late 2023, the chief executive officer of a publicly traded oilfield services company (“</w:t>
      </w:r>
      <w:r>
        <w:rPr>
          <w:rFonts w:ascii="Times New Roman;Times;serif" w:hAnsi="Times New Roman;Times;serif"/>
          <w:b/>
          <w:i w:val="false"/>
          <w:caps w:val="false"/>
          <w:smallCaps w:val="false"/>
          <w:color w:val="000000"/>
          <w:spacing w:val="-4"/>
          <w:sz w:val="20"/>
        </w:rPr>
        <w:t>Company A</w:t>
      </w:r>
      <w:r>
        <w:rPr>
          <w:rFonts w:ascii="Times New Roman;Times;serif" w:hAnsi="Times New Roman;Times;serif"/>
          <w:b w:val="false"/>
          <w:i w:val="false"/>
          <w:caps w:val="false"/>
          <w:smallCaps w:val="false"/>
          <w:color w:val="000000"/>
          <w:spacing w:val="4"/>
          <w:sz w:val="20"/>
        </w:rPr>
        <w:t xml:space="preserve">”) mentioned to a member of the NCS Board that Company A would be interested in informal discussions regarding a potential merger. After executing a mutual confidentiality agreement (which did not include a so-called “don’t ask, don’t waive” provision) and engaging in various discussions, Company A sent a letter to the NCS Board in April 2024 proposing to acquire NCS in an at-market, all-stock transaction. On April 23, 2024, NCS formally engaged Piper Sandler to assist the NCS Board in assessing the proposal by Company A to acquire NCS and potential other strategic alternatives available to NCS. Piper Sandler was engaged based on its qualifications, reputation, experience and familiarity with NCS and the industry in which NCS operates. At the direction of the NCS Board, NCS’s chief executive officer, Ryan Hummer, continued to engage with Company A in an effort to negotiate a transaction price at a premium that would likely be acceptable to the NCS Board. The NCS Board also instructed Piper Sandler to commence outreach to other potential counterparties that might be interested in a transaction with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mid-May 2024, Company A and NCS had established a broad economic framework for a potential transaction at a to-be-agreed premium to NCS’s 60-day volume-weighted average price (“</w:t>
      </w:r>
      <w:r>
        <w:rPr>
          <w:rFonts w:ascii="Times New Roman;Times;serif" w:hAnsi="Times New Roman;Times;serif"/>
          <w:b/>
          <w:i w:val="false"/>
          <w:caps w:val="false"/>
          <w:smallCaps w:val="false"/>
          <w:color w:val="000000"/>
          <w:spacing w:val="-4"/>
          <w:sz w:val="20"/>
        </w:rPr>
        <w:t>VWAP</w:t>
      </w:r>
      <w:r>
        <w:rPr>
          <w:rFonts w:ascii="Times New Roman;Times;serif" w:hAnsi="Times New Roman;Times;serif"/>
          <w:b w:val="false"/>
          <w:i w:val="false"/>
          <w:caps w:val="false"/>
          <w:smallCaps w:val="false"/>
          <w:color w:val="000000"/>
          <w:spacing w:val="4"/>
          <w:sz w:val="20"/>
        </w:rPr>
        <w:t>”). Company A and NCS engaged in due diligence discussions, and Company A’s outside legal counsel sent a draft merger agreement to NCS in late May 2024. During this time, representatives of NCS’s outside counsel, Baker Botts L.L.P. (“</w:t>
      </w:r>
      <w:r>
        <w:rPr>
          <w:rFonts w:ascii="Times New Roman;Times;serif" w:hAnsi="Times New Roman;Times;serif"/>
          <w:b/>
          <w:i w:val="false"/>
          <w:caps w:val="false"/>
          <w:smallCaps w:val="false"/>
          <w:color w:val="000000"/>
          <w:spacing w:val="-4"/>
          <w:sz w:val="20"/>
        </w:rPr>
        <w:t>Baker Botts</w:t>
      </w:r>
      <w:r>
        <w:rPr>
          <w:rFonts w:ascii="Times New Roman;Times;serif" w:hAnsi="Times New Roman;Times;serif"/>
          <w:b w:val="false"/>
          <w:i w:val="false"/>
          <w:caps w:val="false"/>
          <w:smallCaps w:val="false"/>
          <w:color w:val="000000"/>
          <w:spacing w:val="4"/>
          <w:sz w:val="20"/>
        </w:rPr>
        <w:t xml:space="preserve">”), met with the NCS Board to advise them of their fiduciary duties in connection with any potential transaction. As discussions between Company A and NCS continued, the relative share trading prices and the resulting likelihood that Company A would need to seek a stockholder vote in connection with a potential acquisition of NCS led the parties to cease discussions about a potential transaction by early June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mid-June 2024, after executing a mutual confidentiality agreement (which did not include a so-called “don’t ask, don’t waive” provision) and exchanging initial due diligence information, the chief executive officer of a publicly traded oilfield services company (“</w:t>
      </w:r>
      <w:r>
        <w:rPr>
          <w:rFonts w:ascii="Times New Roman;Times;serif" w:hAnsi="Times New Roman;Times;serif"/>
          <w:b/>
          <w:i w:val="false"/>
          <w:caps w:val="false"/>
          <w:smallCaps w:val="false"/>
          <w:color w:val="000000"/>
          <w:spacing w:val="-4"/>
          <w:sz w:val="20"/>
        </w:rPr>
        <w:t>Company B</w:t>
      </w:r>
      <w:r>
        <w:rPr>
          <w:rFonts w:ascii="Times New Roman;Times;serif" w:hAnsi="Times New Roman;Times;serif"/>
          <w:b w:val="false"/>
          <w:i w:val="false"/>
          <w:caps w:val="false"/>
          <w:smallCaps w:val="false"/>
          <w:color w:val="000000"/>
          <w:spacing w:val="4"/>
          <w:sz w:val="20"/>
        </w:rPr>
        <w:t xml:space="preserve">”) sent a letter to the NCS Board expressing interest in acquiring NCS at a price of $20.41 per share for either all stock, all cash or a mix of cash and stock, which represented an approximately 15% premium to NCS’s 15-day VWAP. During this period and the months that followed, Piper Sandler engaged with several other potential counterparties about a potential transaction, NCS executed confidentiality agreements (which did not include a so-called “don’t ask, don’t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provision) with 12 potential counterparties and NCS management kept the NCS Board apprised of the status of the preliminary discussions with various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evaluation of the options available and further discussions with Company B, in early September 2024, NCS sent a draft merger agreement to Company B. In October 2024, Company B submitted a revised offer to acquire NCS at a 10% premium to its 15-day VWAP for a mix of cash and stock and provided initial comments to the draft merger agreement. During this time, NCS management and its advisors engaged in commercial and legal negotiations with Company B and its advisors with respect to a potential transaction. Later in October 2024, Company B submitted a revised offer to acquire NCS at a value of $22.00 per share. The NCS Board held regular meetings to evaluate the progress of negotiations with NCS senior management and its advisors. Mr. Hummer also kept a representative of Advent unaffiliated with the NCS Board (the “representative of Advent”) apprised of developments, as NCS anticipated any potential counterparty would expect NCS to seek Advent’s written consent in connection with any sale transaction. In mid-December 2024, after performing a due diligence review and some negotiation of the merger agreement, Company B indicated that it was no longer interested in an acquisition of NCS given the relative share trading of the companies and other competing priorities of Company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2025, Weatherford’s chief executive officer, Girish Saligram, met with Mr. Hummer to discuss Weatherford’s interest in making an offer to acquire NCS. Following that discussion, Weatherford and NCS signed a mutual confidentiality agreement (which did not include a so-called “don’t ask, don’t waive” provision) on July 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August 2025, Weatherford engaged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serve as its legal advisor in connection with assessing a potential transaction with NCS. King &amp; Spalding was engaged based on its qualifications, reputation, experience and familiarity with Weatherford and the industry in which Weatherford operates.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chief executive officer of Company B again contacted Piper Sandler in August 2025 and indicated that Company B would be interested in reengaging with respect to a potential acquisition of NCS. In September 2025, Company B submitted an offer to acquire NCS at $32.00 per share, which was below NCS’s trading price at the time. Given the proposed valuation and certain other unattractive conditions contained in the offer, NCS did not further pursue a transaction with Company B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2025, representatives of Weatherford had discussions with Piper Sandler regarding a potential offer to acquire NCS. On September 12, 2025, Weatherford sent a letter to the NCS Board expressing interest in acquiring NCS in either an all-stock transaction or alternatively exploring a combination of cash and stock, in each case, for $38.75 per share, which implied a 5% premium to NCS’s 60-day VWAP. Later that day, the trading price of NCS’s common stock closed at $48.23 per share. Representatives of Piper Sandler conveyed to representatives of Weatherford that the proposed valuation was below current trading prices and unlikely to be acceptable to the NCS Board. On November 12, 2025, Messrs. Hummer and Saligram held a virtual meeting in which Mr. Saligram reiterated that Weatherford was interested in a transaction with NCS. After discussing Weatherford’s proposal with the NCS Board and representatives of Piper Sandler, Mr. Hummer conveyed to Mr. Saligram that the economics of Weatherford’s proposal were not compelling and indicated NCS would not pursue a transaction at the proposed valuation.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5, 2025, a representative of a privately owned company (“</w:t>
      </w:r>
      <w:r>
        <w:rPr>
          <w:rFonts w:ascii="Times New Roman;Times;serif" w:hAnsi="Times New Roman;Times;serif"/>
          <w:b/>
          <w:i w:val="false"/>
          <w:caps w:val="false"/>
          <w:smallCaps w:val="false"/>
          <w:color w:val="000000"/>
          <w:spacing w:val="-4"/>
          <w:sz w:val="20"/>
        </w:rPr>
        <w:t>Company C</w:t>
      </w:r>
      <w:r>
        <w:rPr>
          <w:rFonts w:ascii="Times New Roman;Times;serif" w:hAnsi="Times New Roman;Times;serif"/>
          <w:b w:val="false"/>
          <w:i w:val="false"/>
          <w:caps w:val="false"/>
          <w:smallCaps w:val="false"/>
          <w:color w:val="000000"/>
          <w:spacing w:val="4"/>
          <w:sz w:val="20"/>
        </w:rPr>
        <w:t xml:space="preserve">”) discussed with an employee of NCS a potential interest in exploring a transaction with NCS. Mr. Hummer followed up with the principals of Company C via email in the following days and was contacted by Company C’s financial advisor in early October 2025. On October 16, 2025, Mr. Hummer had lunch with the principals of Company C and Company C’s financial advisor. Following this lunch, Company C executed a confidentiality agreement (which did not include a so-called “don’t ask, don’t waive” provision) with NCS and continued discussions regarding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senior management of NCS gave a management presentation to the principals of Company C and their financial advisor. Following this meeting, representatives of Company C’s financial advisor indicated that Company C was preparing a proposal to acquire NCS. They also inquired about engaging directly with Advent with respect to Advent’s majority ownership interest in NCS. After discussion with the representative of Advent, NCS management relayed to Company C that all communications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 potential transaction should be made directly with NCS. Following the management presentation, Company C’s financial advisor continued to express Company C’s interest in a transaction and noted an offer would be coming.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27, 2026, Company C sent a letter to the chairman of the NCS Board, Michael McShane, and Mr. Hummer expressing interest in acquiring NCS in a cash transaction for $39.75 per share. NCS senior management kept the NCS Board regularly updated regarding the discussions with Company C. On February 11, 2026, representatives of Piper Sandler and senior executives of NCS held a virtual meeting with Company C’s financial advisor regarding NCS’s recent positive performance and its impact on valuation in a potential transaction with Company C. On February 16, 2026, Company C’s financial advisor indicated that Company C was working on an updated proposal. On February 24, 2026, Company C sent a letter to Messrs. McShane and Hummer expressing interest in acquiring NCS in a cash transaction for $42.00 per share. Subsequently, Company C conveyed to Mr. Hummer that it was not in a position to increase its offer any further and given the offer price was below the then-current trading price of NCS Common Stock, NCS did not further pursue a transaction with Company C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March 2026, the chief executive officer of Company A reached out to Mr. Hummer to indicate a desire to reengage in discussions regarding a potential transaction. The chief executive officer of Company A and Mr. Hummer subsequently held a series of in-person and telephonic conversations in which they discussed Company A’s interest in a potential acquisition of NCS at an 8-15% premium with up to 30% of the consideration payable in cash. They also discussed priority diligence items in connection with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early March 2026 through the remainder of the period leading up to the execution of the definitive merger agreement, members of Weatherford’s senior management met with the Weatherford Board to discuss and assess a potential transaction with NCS.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2026, Mr. Saligram spoke with Mr. Hummer and relayed that Weatherford was interested in resuming discussions regarding a potential transaction. The following day, Mr. Saligram indicated Weatherford would begin working on an updated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Mr. Hummer met the chief executive officer of Company A to discuss a potential combination. At that meeting, the chief executive officer of Company A expressed concern regarding relative share prices and free cash flow yields between Company A and NCS. On March 20, 2026, Company A and NCS executed an updated mutual confidentiality agreement (which did not include a so-called “don’t ask, don’t waive” provision). On March 24, 2026, Company A sent a letter to the NCS Board indicating an interest in reengaging in due diligence between the parties in connection with a potential business combination transaction and proposing an acquisition of NCS for a mix of cash and stock at an exchange ratio to be determined based on the results of due diligence. Following receipt of this letter, on March 25, 2026, Mr. Hummer called the chief executive officer of Company A to inform him that NCS was willing to allow Company A to engage in further due diligence to assess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2026, Weatherford sent a letter to NCS to reiterate its interest in acquiring NCS in an all-stock transaction at a reasonable premium to NCS’s 15-day to 20-day VWAP, subject to completion of due diligence and negotiation of definitive transaction documentation. On March 31, 2026, NCS’s trading price closed at $61.84 per share. On April 2, 2026, Messrs. Hummer and Saligram discussed the offer and agreed to continue moving forward under the framework laid out in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5 and May 31, 2026, NCS provided materials to Weatherford in connection with Weatherford’s due diligence review of NCS. Between May 18 and May 31, 2026, Weatherford also made available certain reverse due diligence materials to NCS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March 2026, Advent conveyed to NCS that it had begun to consider an underwritten offering of its shares of NCS Common Stock and engaged investment banks, including Piper Sandler, to advise on and evaluate a potential offering. On April 7, 2026, Mr. Hummer informed Mr. Saligram that Advent was contemplating an underwritten offering of a portion of its shares of NCS Common Stock. He also discussed with Mr. Saligram key diligence matters including preliminary first quarter results and certain Canadian tax matters. Mr. Hummer shared the same information with the chief executive officer of Company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13, 2026, Advent notified NCS that it had determined not to proceed with an underwritten offering of its shares of NCS Common Stock. Following this news, NCS informed representatives of Baker Botts to prepare a merger agreement draft that could be shared with each of Weatherford and Company A. On April 15, 2026, representatives of Baker Botts sent an initial draft merger agreement to representatives of King &amp; Spalding; however, the merger agreement was not shared with Company A. The merger agreement contemplated an all-stock transaction at a to-be-determined fixed exchange ratio and that Advent would deliver a written consent with respect to all of its shares of NCS Common Stock promptly following the execution of a definitive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23, 2026, representatives of Baker Botts and Advent’s outside legal counsel, Weil, Gotshal &amp; Manges LLP (“</w:t>
      </w:r>
      <w:r>
        <w:rPr>
          <w:rFonts w:ascii="Times New Roman;Times;serif" w:hAnsi="Times New Roman;Times;serif"/>
          <w:b/>
          <w:i w:val="false"/>
          <w:caps w:val="false"/>
          <w:smallCaps w:val="false"/>
          <w:color w:val="000000"/>
          <w:spacing w:val="-4"/>
          <w:sz w:val="20"/>
        </w:rPr>
        <w:t>Weil</w:t>
      </w:r>
      <w:r>
        <w:rPr>
          <w:rFonts w:ascii="Times New Roman;Times;serif" w:hAnsi="Times New Roman;Times;serif"/>
          <w:b w:val="false"/>
          <w:i w:val="false"/>
          <w:caps w:val="false"/>
          <w:smallCaps w:val="false"/>
          <w:color w:val="000000"/>
          <w:spacing w:val="4"/>
          <w:sz w:val="20"/>
        </w:rPr>
        <w:t xml:space="preserve">”), discussed various issues relating to Advent in connection with a potential transaction with Weatherford, including the approach to registration rights for Advent with respect to the Weatherford Ordinary Shares it would receive in connection with a potential transaction, in light of the contemplated written consent to be delivered by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24, 2026 and May 15, 2026, Messrs. Hummer and Saligram held several discussions to check in on progress of due diligence and documentation. Mr. Saligram indicated that Weatherford’s due diligence review was advancing and that they were making progress on the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29, 2026, representatives of King &amp; Spalding sent a list of key issues on the merger agreement to representatives of Baker Botts and followed with a revised draft merger agreement on May 1, 2026, which, among other things: (i) revised and broadened the scope of representations and warranties and added interim operating covenants of NCS; (ii) deleted various representations and warranties and interim operating covenants of Weatherford; (iii) revised the scope of antitrust efforts obligations; and (iv) added a termination fee payable by NCS (the “</w:t>
      </w:r>
      <w:r>
        <w:rPr>
          <w:rFonts w:ascii="Times New Roman;Times;serif" w:hAnsi="Times New Roman;Times;serif"/>
          <w:b/>
          <w:i w:val="false"/>
          <w:caps w:val="false"/>
          <w:smallCaps w:val="false"/>
          <w:color w:val="000000"/>
          <w:spacing w:val="-4"/>
          <w:sz w:val="20"/>
        </w:rPr>
        <w:t>Proposed NCS Termination Fee</w:t>
      </w:r>
      <w:r>
        <w:rPr>
          <w:rFonts w:ascii="Times New Roman;Times;serif" w:hAnsi="Times New Roman;Times;serif"/>
          <w:b w:val="false"/>
          <w:i w:val="false"/>
          <w:caps w:val="false"/>
          <w:smallCaps w:val="false"/>
          <w:color w:val="000000"/>
          <w:spacing w:val="4"/>
          <w:sz w:val="20"/>
        </w:rPr>
        <w:t xml:space="preserve">”) for certain termination triggers, including if Advent failed to deliver a written consent adopting the transaction by 11:59 p.m. on the day following the date a definitive merger agreement would be 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April 29, 2026, NCS issued its quarterly earnings release. Following the release of earnings, from April 29, 2026 to May 5, 2026, the trading price of NCS Common Stock dropped from $76.00 per share to $40.93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Baker Botts and King &amp; Spalding, along with Irish counsel for each of Weatherford and NCS, held a conference call to discuss issues relating to Weatherford’s pending Redomestication to a U.S. jurisdiction and how such issues would interact with a potential transaction. The parties discussed potential timing and structural points in connection with the two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NCS Board held a meeting with members of NCS’s senior management and representatives of Piper Sandler in attendance. Prior to the meeting, Piper Sandler provided the NCS Board a memorandum confirming that Piper Sandler did not receive any investment banking or financial advisory services fees from or have an ownership interest in Weatherford or its affiliates during the preceding two-year period that would preclude their engagement in connection with a potential transaction with Weatherford. At the meeting, NCS’s senior management discussed key issues reflected in King &amp; Spalding’s initial turn of the merger agreement and the proposed approach with respect to such items. The NCS Board authorized NCS senior management to continue negotiating the terms of the proposed merger agreement with Weatherford. Later that day, representatives of Baker Botts sent a revised draft of the merger agreement to representatives of King &amp; Spalding. Among other things, the revised draft of the merger agreement: (i) revised and limited the scope of representations and warranties and interim operating covenants of NCS; (ii) revised and broadened the scope of representations and warranties and interim operating covenants of Weatherford; (iii) revised the scope of antitrust efforts obligations; and (iv) lowered the Proposed NCS Termination Fee for certain termination triggers.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representatives of King &amp; Spalding sent to representatives of Baker Botts a list of material issues that corresponded to the latest merger agreement draft and followed with a markup of the merger agreement on May 11, 2026. The markup, among other things: (i) revised the scope of representations and warranties and interim operating covenants of NCS; (ii) deleted various representations and warranties and interim operating covenants of Weatherford; (iii) revised the scope of antitrust efforts obligations; (iv) raised the Proposed NCS Termination Fee for certain termination triggers; and (v) included a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Weatherford to novate the merger agreement and all rights, duties and obligations thereunder to the new public parent following the completion of the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the NCS Board held a meeting with members of NCS’s senior management and advisors in attendance. The NCS Board discussed the status of negotiations with Weatherford and the pace of their engagement, and NCS management discussed the key terms of the revised merger agreement received from Weatherford. Given the limited progress, the NCS Board determined not to continue work on a potential transaction until Weatherford made a more concrete economic proposal. Piper Sandler relayed that message to representatives of Weatherford early the following morning. Mr. Hummer also updated the representative of Advent of the current status of discussions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the chief executive officer of Company A spoke with Mr. Hummer expressing concern regarding certain Canadian tax matters and the potential for a low premium all-stock transaction. Following this conversation, Company A indicated that it did not intend to submit an offer to acquire NCS at that time. Later that day, Mr. Hummer spoke with Mr. Saligram who indicated an offer consistent with Weatherford’s prior letter at a premium based on NCS’s 5-day VWAP of between 6–8%.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2026, the NCS Board held a meeting with members of NCS’s senior management and representatives of Piper Sandler in attendance. Representatives of Piper Sandler discussed the status of Weatherford’s due diligence review and key open items in the merger agreement. Piper Sandler then presented an overview of Weatherford and its business, including key financial metrics. The NCS Board then discussed recent trading prices of NCS shares and alternative transactions, including continuing to operate NCS as a standalone company. NCS’s general counsel Ori Lev discussed with the NCS Board their fiduciary duties in the context of the contemplated transaction, and the NCS Board considered potential structures whereby Advent and other NCS stockholders (including unaffiliated NCS stockholders) could elect to receive a portion of the merger consideration in cash at a lower premium such that the remaining unaffiliated holders of NCS Common Stock that elected all-stock consideration could receive a larger premium in connection with the transaction. The NCS Board instructed NCS senior management to continue negotiating with Weatherford to try and determine if the parties could agree to a price that would be acceptable to the NCS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May 15 and May 31, 2026, representatives of King &amp; Spalding, Baker Botts, and Weil negotiated the terms of the support agreement and written consent to be executed by Advent.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Messrs. Saligram and Hummer held a call on which Mr. Hummer advised the proposed premium in the transaction was too low for the NCS Board and also requested an opportunity for all NCS stockholders (including the unaffiliated NCS stockholders) to be able to elect cash consideration at a discounted premium in order to potentially bridge a gap between the premium that Weatherford might be willing to pay and a premium to NCS’s unaffiliated stockholders that elect for all stock consideration that might be acceptable to the NCS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2026, Messrs. Saligram and Hummer held a call on which Mr. Saligram indicated any potential transaction would have to provide that the amount of cash paid as consideration to holders electing a cash option not to exceed 20% of the total consideration due to tax considerations, among other reasons. Mr. Saligram also indicated a willingness to pay a higher premium of 8%. Mr. Hummer indicated such a premium was still too low for the NCS Board, regardless of the amount of cash included in the transaction. That day, representatives of Baker Botts and King &amp; Spalding also discussed potential structures that would allow additional cash consideration to be paid. Later that evening, King &amp; Spalding sent a further revised merger agreement draft to Baker Botts, which draft (i) revised the scope of representations and warranties and interim operating covenants of NCS; and (ii) revised the scope of representations and warranties and interim operating covenants of Weatherford, but did not address the potential consideration structure alternatives given discussions were ongoing.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 and May 21, 2026, Mr. Lev and Weatherford’s general counsel, Scott Weatherholt, corresponded regarding the key open points in the merger agreement including the approach to Weatherford’s obligations in the context of its pending Redomestication and restrictions on Weatherford’s business during the period between signing and closing of a potential transaction. On May 21, 2026, Messrs. Saligram and Hummer held a call on which Mr. Saligram reiterated a desire for an all-stock transaction but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 up to 20% of the consideration as cash. Mr. Saligram also indicated Weatherford could pay a 10% premium based on NCS’s 10-day VWAP.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the NCS Board held a meeting with members of NCS’s senior management and representatives of Piper Sandler in attendance. NCS’s senior management provided the NCS Board with an overview of the current status of the proposed transaction with Weatherford and Mr. Hummer’s recent discussions with Mr. Saligram. They also discussed with the NCS Board the key open items in the merger agreement, including what regulatory approvals might be needed in connection with a transaction and the status and risks associated with Weatherford’s pending Redomestication. Representatives of Piper Sandler then discussed with the NCS Board recent trading metrics and how they compared to potential illustrative transaction scenarios. The NCS Board also discussed potential approaches with respect to the mixed consideration election mechanic and Advent, that would allow the unaffiliated stockholders of NCS to receive a larger premium in a transaction with Weatherford. Later on May 21, 2026, King &amp; Spalding sent a further revised merger agreement draft to Baker Botts, which, among other things: (i) revised the scope of antitrust efforts obligations; (ii) revised the scope of employee matters; (iii) proposed a 12-month outside date; and (iv) added a reverse termination fee for certain termination triggers in connection with Weatherford’s obligations that would follow the completion of its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and May 23, 2026, Messrs. Saligram and Hummer held several calls to discuss transaction price and structure. Mr. Hummer suggested a transaction at a 14-16% premium with a cash or stock election. Mr. Saligram indicated that any transaction would need to have a maximum of 20% cash consideration. Messrs. Saligram and Hummer discussed potential structures that would allow a higher percentage of cash to be included in the transaction based on advice from their respective advisors. Also on May 22, 2026, Messrs. Lev and Weatherholt held a call to discuss potential legal issues associated with an election structure. Contemporaneously, representatives of King &amp; Spalding and Baker Botts discussed the implications of such structures from a due diligence, Irish law and tax treatment perspective.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Messrs. Saligram and Hummer held a call on which Mr. Saligram indicated Weatherford could pay a double digit premium to a 5-day VWAP and expressed a preference for an all-stock transaction. He further indicated that the transaction could include up to 20% cash consideration, but that any cash would be “at market” and not subject to any premium. Finally, he indicated that all NCS stockholders should receive the same consideration rather than including an election mechanic. Following this discussion, Mr. Saligram sent an email to Mr. Hummer summarizing his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27, 2026, the NCS Board held a regularly scheduled meeting at which NCS’s senior management updated the NCS Board on the status of the discussions with Weatherford and the fact that Company A had not meaningfully reengaged with NCS after raising concerns with respect to certain Canadian tax matters. The NCS Board instructed senior management to continue negotiating with Weatherford to try to reach an economic understanding that would be acceptable to the NCS Board. Following this meeting, Messrs. Lev and Weatherholt held a call to discuss a proposed consideration election mechanic whereby all NCS stockholders would be permitted to elect one of two different types of consideration: all-stock consideration, which would have a higher implied per-share value or, alternatively, mixed cash and stock consideration, which would have a lower implied per share value. Mr. Hummer followed this call with an email to Mr. Saligram the following day illustrating the contemplated election mechanic. Also on May 27, 2026, Baker Botts sent a further revised merger agreement draft to King &amp; Spalding. The revised draft, among other things: (i) introduced a two step forward merger structure; (ii) included the proposed consideration election mechanic; (iii) revised the scope of representations and warranties and interim operating covenants of NCS; (iv) revised the scope of representations and warranties and interim operating covenants of Weatherford; (v) revised the scope of antitrust efforts obligations; and (vi) increased the proposed reverse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2026, representatives of King &amp; Spalding and Baker Botts discussed key diligence items with respect to potential structuring matters as it related to including additional cash consideration in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day on May 29, 2026, Messrs. Hummer and Saligram held several calls regarding the proposed consideration mechanic and exchange ratio and ultimately agreed on a 13% premium to the relative 5-day VWAPs of the two companies assuming Advent would elect to receive mixed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also agreed that all NCS stockholders would have an option to elect either all-stock consideration or, alternatively, mixed consideration. The parties also continued discussing whether the cash consideration would be based on a fixed exchange ratio or a fixed dollar amount at signing.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NCS Board held a meeting with members of NCS’s senior management and representatives of Piper Sandler in attendance. NCS’s senior management provided the NCS Board with an overview of the current status of the proposed transaction and illustrated the implied value of the proposed transaction to NCS stockholders considering both Weatherford’s VWAP and its spot trading price. They also reviewed with the NCS Board the proposed consideration mechanic Mr. Hummer had discussed with Mr. Saligram. They further explained that the structure was designed to give unaffiliated stockholders of NCS an opportunity to receive a larger premium in a potential transaction by electing to receive all-stock consideration, with Advent (and any other NCS stockholder that so elected) receiving a portion of the merger consideration in cash at a lower valuation. Representatives of Piper Sandler then discussed with the NCS Board recent trading metrics and how they compared to potential illustrative transaction scenarios. Finally, the NCS Board received a presentation from representatives of McCarthy Tétrault LLP, NCS’s Canadian competition counsel, regarding the process and substantive considerations involving Canadian competition law in connection with the potential transaction. The NCS Board authorized Mr. Hummer to continue working with Weatherford to reach an agreement with respect to a potential transaction and to discuss the potential election mechanic with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meeting, Messrs. Hummer and McShane discussed the contemplated transaction structure and consideration mix with the representative of Advent to determine Advent’s willingness to elect the mixed consideration (which would include cash) at a lower premium than that contemplated by the all-stock consideration that other unaffiliated stockholders of NCS would be eligible to elect, as well as Advent’s willingness to deliver a written consent in connection with the contemplated transaction. The representative of Advent indicated that Advent would be generally agreeable to the contemplated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30, 2026, representatives of King &amp; Spalding and Baker Botts discussed the key terms of the revised merger agreement and over the course of the day, King &amp; Spalding, Baker Botts, and Weil traded drafts of the merger agreement to reflect, among other things: (i) the transaction structure; (ii) the election and consideration mix; (iii) regulatory efforts standards; and (iv) the reverse termination fee amount. Over the course of May 30, 2026, representatives of Piper Sandler finalized proposed exchange ratios with the parties reflecting the agreed premium and 5-day VWAPs. Messrs. Lev and Weatherholt worked to resolve the key open points in the merger agreement, including whether the cash consideration in the transaction would be based on a fixed dollar amount or a fixed exchange ratio, the amount of the reverse termination fee associated with specified issues relating to Weatherford’s pending Redomestication and an acceptable allocation of regulatory risk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30, 2026, senior management of Weatherford and NCS, along with representatives of Baker Botts, King &amp; Spalding, and Piper Sandler, held a conference call to discuss the merger agreement and the mechanic to allocate the cash consideration thereunder. The parties discussed the framework previously exchanged, which contemplated the cash portion of the mixed consideration would be based on a fixed exchange ratio, and agreed that it reflected the intent of the parties subject to review of a revised merger agreement reflecting such framework.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31, 2026, Mr. Weatherholt conveyed to Mr. Lev that Weatherford was agreed on the approach to the cash consideration and Weatherford interim covenants in the merger agreement sent over the prior evening. Over the course of May 31, 2026, representatives of Baker Botts, King &amp; Spalding, and Weil finalized the terms of the merger agreement, written consent, and support agreement. On the same day, Mr. Hummer discussed the consideration election mechanic with the representative of Advent in connection with Advent’s expected delivery of the written consent and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31, 2026, the NCS Board held a meeting with members of NCS’s senior management and representatives of Piper Sandler and Baker Botts in attendance. Representatives of Piper Sandler reviewed the key financial terms of the proposed transaction. Piper Sandler then presented its financial analysis and delivered its oral opinion, which was confirmed by delivery of a written opinion dated May 31, 2026, to the effect that, as of such date and based upon and subject to the various assumptions, qualifications, and limitations upon the review undertaken by Piper Sandler in preparing its opinion,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NR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Consideration Exchange Ratio was fair, from a financial point of view, to the Unaffiliated Holders that make the Share Election or make no election and therefore receive only Share Consideration. Representatives of Baker Botts reviewed the terms of the transaction documentation and discussed with the NCS Board their fiduciary duties in respect of the proposed transaction. Following a thorough review and consideration of the relevant factors, the NCS Board unanimously determined that the Merger Agreement and the Transaction were fair and in the best interests of NCS and its stockholders, approved and declared advisable the Merger Agreement and the Transaction and directed that the Merger Agreement be submitted to the stockholders of NCS for approval and adoption and recommended that the stockholders of NCS approve and adopt the Merger Agreement. The NCS Board also authorized its stockholders to act by written consent to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during the evening of May 31, 2026, the Weatherford Board, acting by unanimous written consent, determined that the Merger Agreement and the Transaction were advisable, fair to, in the best interests, and to the commercial benefit and advantage of Weatherford and for proper purposes allowed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31, 2026, following the approval of the Merger Agreement and the Transaction by the Weatherford Board and the NCS Board, Weatherford and NCS finalized and executed the Merger Agreement. Promptly following the execution of the Merger Agreement, Advent delivered the Specified Stockholder Written Consent and executed the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1, 2026, prior to the opening of trading, Weatherford and NCS issued press releases announcing that they had entered into the Merger Agreement. Later that week, Advent delivered an executed election form in which it made an irrevocable Mixed Election, except to the extent of a valid termination of the Support Agreement, to receive Mixed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NCS’s Reasons for the Transaction; Recommendation of the NCS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2026, the NCS Board unanimously: (i) determined that the terms of the Merger Agreement and the Transaction are fair to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reaching its determinations and recommendations, the NCS Board consulted with NCS’s senior management and its outside legal counsel and financial advisor and considered several potentially positive factors that weighed in favor of the Transaction, including the following (not necessarily presented in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The opportunity for NCS stockholders to elect to receive Share Consideration (and for holders that do not make an election to be treated as if they had elected to receive Share Consideration) was an important feature of the transaction to the NCS Board as it allows holders of NCS Common Stock to retain exposure to the potential upside of the combined company going forward. The Share Consideration reflects an approximate 35.0% premium based on a 5-day VWAP. As negotiations progressed, Advent (an affiliate of the Specified Stockholder) communicated to NCS a preference to receive at least part-cash consideration in the Transaction, which prompted negotiations for an election structure for a mixed stock and cash merger consideration.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NCS Board also considered that the exchange ratios used to determine the Merger Consideration were fixed, which affords NCS stockholders the opportunity to benefit from any appreciation in Weatherford Ordinary Shares after the announcement of the Transaction.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Best Offer</w:t>
      </w:r>
      <w:r>
        <w:rPr>
          <w:rFonts w:ascii="Times New Roman;Times;serif" w:hAnsi="Times New Roman;Times;serif"/>
          <w:b w:val="false"/>
          <w:i w:val="false"/>
          <w:caps w:val="false"/>
          <w:smallCaps w:val="false"/>
          <w:color w:val="000000"/>
          <w:spacing w:val="4"/>
          <w:sz w:val="20"/>
        </w:rPr>
        <w:t xml:space="preserve">.   The belief of the NCS Board that, as a result of an active negotiating process, NCS had obtained Weatherford’s best offer.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Considerations.</w:t>
      </w:r>
      <w:r>
        <w:rPr>
          <w:rFonts w:ascii="Times New Roman;Times;serif" w:hAnsi="Times New Roman;Times;serif"/>
          <w:b w:val="false"/>
          <w:i w:val="false"/>
          <w:caps w:val="false"/>
          <w:smallCaps w:val="false"/>
          <w:color w:val="000000"/>
          <w:spacing w:val="4"/>
          <w:sz w:val="20"/>
        </w:rPr>
        <w:t xml:space="preserve">   The NCS Board considered that the Transaction is intended to qualify as a “reorganization” within the meaning of Section 368(a) of the Code with the result that U.S. holders of shares of NCS Common Stock generally will not recognize any gain or loss for U.S. federal income tax purposes upon receipt of any portion of the Merger Consideration delivered in the form of Weatherford Ordinary Shares.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Review Process</w:t>
      </w:r>
      <w:r>
        <w:rPr>
          <w:rFonts w:ascii="Times New Roman;Times;serif" w:hAnsi="Times New Roman;Times;serif"/>
          <w:b w:val="false"/>
          <w:i w:val="false"/>
          <w:caps w:val="false"/>
          <w:smallCaps w:val="false"/>
          <w:color w:val="000000"/>
          <w:spacing w:val="4"/>
          <w:sz w:val="20"/>
        </w:rPr>
        <w:t xml:space="preserve">.   The NCS Board and Piper Sandler were in contact with a number of potential strategic counterparties and financial sponsors to determine their interest in a potential transaction with NCS, and previously had entered into negotiations with multiple potential counterparties regarding a possible transaction. The NCS Board determined that the consideration reflected in the Merger Agreement was the highest value that was available to NCS at the time, and that there was no assurance that a more favorable opportunity to sell NCS would arise later. </w:t>
      </w:r>
      <w:r>
        <mc:AlternateContent>
          <mc:Choice Requires="wps">
            <w:drawing>
              <wp:anchor behindDoc="0" distT="0" distB="0" distL="254000" distR="0" simplePos="0" locked="0" layoutInCell="1" allowOverlap="1" relativeHeight="142">
                <wp:simplePos x="0" y="0"/>
                <wp:positionH relativeFrom="column">
                  <wp:align>left</wp:align>
                </wp:positionH>
                <wp:positionV relativeFrom="line">
                  <wp:posOffset>635</wp:posOffset>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fact that Advent, which beneficially owns 1,478,426 shares of NCS Common Stock, representing more than 50% of the outstanding shares of NCS Common Stock, was expected to deliver shortly after signing the written consent approving the Merger Agreement and the Transaction (referred to as the Specified Stockholder Written Consent). The delivery of the Specified Stockholder Written Consent would be sufficient to approve the Merger Agreement and the Transaction on behalf of the stockholders of NCS, which increases certainty of closing.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Superior Alternative to Continuing the NCS Business on an Independent, Standalone Basis.</w:t>
      </w:r>
      <w:r>
        <w:rPr>
          <w:rFonts w:ascii="Times New Roman;Times;serif" w:hAnsi="Times New Roman;Times;serif"/>
          <w:b w:val="false"/>
          <w:i w:val="false"/>
          <w:caps w:val="false"/>
          <w:smallCaps w:val="false"/>
          <w:color w:val="000000"/>
          <w:spacing w:val="4"/>
          <w:sz w:val="20"/>
        </w:rPr>
        <w:t xml:space="preserve">   The NCS Board determined that entering into the Merger Agreement with Weatherford was preferable to continuing to operate on a standalone basis in light of certain risks associated with continuing to operate as a standalone company, including risks associated with NCS’s relative size and financial position, concentrated exposure within a subsector of the oilfield services industry, pending litigation and potential tax exposure.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caps w:val="false"/>
          <w:smallCaps w:val="false"/>
          <w:color w:val="000000"/>
          <w:spacing w:val="4"/>
          <w:sz w:val="20"/>
        </w:rPr>
        <w:t>Receipt of Fairness Opinion from Piper Sandler &amp; Co.   </w:t>
      </w:r>
      <w:r>
        <w:rPr>
          <w:rFonts w:ascii="Times New Roman;Times;serif" w:hAnsi="Times New Roman;Times;serif"/>
          <w:b w:val="false"/>
          <w:i w:val="false"/>
          <w:caps w:val="false"/>
          <w:smallCaps w:val="false"/>
          <w:color w:val="000000"/>
          <w:spacing w:val="4"/>
          <w:sz w:val="20"/>
        </w:rPr>
        <w:t xml:space="preserve">The NCS Board considered the oral opinion of Piper Sandler to the NCS Board, which was subsequently confirmed by the delivery of a written opinion dated as of May 31, 2026, to the effect that, as of such date, based on and subject to various assumptions made, procedures followed, matters considered, and qualifications and limitations on the review undertaken by Piper Sandler in preparing such opinion, the Share Consideration Exchange Ratio was fair, from a financial point of view, to the Unaffiliated Holders that elect to receive only Share Election Stock or make no election and therefore receive only Share Election Stock, together with the related financial analyses. See the section entitled “— </w:t>
      </w:r>
      <w:r>
        <w:rPr>
          <w:rFonts w:ascii="Times New Roman;Times;serif" w:hAnsi="Times New Roman;Times;serif"/>
          <w:b w:val="false"/>
          <w:i/>
          <w:caps w:val="false"/>
          <w:smallCaps w:val="false"/>
          <w:color w:val="000000"/>
          <w:spacing w:val="4"/>
          <w:sz w:val="20"/>
        </w:rPr>
        <w:t>Opinion of NCS’s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Businesses.   </w:t>
      </w:r>
      <w:r>
        <w:rPr>
          <w:rFonts w:ascii="Times New Roman;Times;serif" w:hAnsi="Times New Roman;Times;serif"/>
          <w:b w:val="false"/>
          <w:i w:val="false"/>
          <w:caps w:val="false"/>
          <w:smallCaps w:val="false"/>
          <w:color w:val="000000"/>
          <w:spacing w:val="4"/>
          <w:sz w:val="20"/>
        </w:rPr>
        <w:t xml:space="preserve">The belief of the NCS Board that NCS’s former stockholders will be well positioned to generate additional returns by combining with Weatherford, including from the following: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opportunity to combine with a well-capitalized company with a strong balance sheet and improved liquidity relative to NCS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Weatherford’s strong position in the oilfield services industry within NCS’s focus, which the NCS Board believes will provide diversification and growth opportunities that may benefit NCS’s stockholders as a result of the Transaction as compared to NCS continuing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importance of scale in the competitive market environments in which NCS operates, and the potential for the Transaction to enhance NCS’s ability to compete effectively in those environments and expand into additional end markets, including the ability to capitalize on new growth opportunities through Weatherford;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complementary nature of NCS’s operations to Weatherford’s business.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NCS Board, in consultation with NCS’s legal advisors, considered that the terms of the Merger Agreement, taken as a whole, including the parties’ representations, warranties and covenants and the circumstances under which the Merger Agreement may be terminated, in its belief, are reasonable. The NCS Board also reviewed and considered the conditions to the completion of the merger, including required regulatory approvals from antitrust authorities.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w:t>
      </w:r>
      <w:r>
        <w:rPr>
          <w:rFonts w:ascii="Times New Roman;Times;serif" w:hAnsi="Times New Roman;Times;serif"/>
          <w:b w:val="false"/>
          <w:i w:val="false"/>
          <w:caps w:val="false"/>
          <w:smallCaps w:val="false"/>
          <w:color w:val="000000"/>
          <w:spacing w:val="4"/>
          <w:sz w:val="20"/>
        </w:rPr>
        <w:t xml:space="preserve">The fact that there are no financing conditions or contingencies, and that Weatherford does not require financing in order to complete the merger.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Unanimity in the NCS Board’s Determination.</w:t>
      </w:r>
      <w:r>
        <w:rPr>
          <w:rFonts w:ascii="Times New Roman;Times;serif" w:hAnsi="Times New Roman;Times;serif"/>
          <w:b w:val="false"/>
          <w:i w:val="false"/>
          <w:caps w:val="false"/>
          <w:smallCaps w:val="false"/>
          <w:color w:val="000000"/>
          <w:spacing w:val="4"/>
          <w:sz w:val="20"/>
        </w:rPr>
        <w:t xml:space="preserve">   The fact that the NCS Board was unanimous in its decision to recommend that stockholders approve and adopt the Merger Agreement.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also considered and balanced against the potentially positive factors a number of uncertainties, risks and other countervailing factors in its deliberations concerning the Merger Agreement and the Transaction, including the following (not necessarily in order of relative importance):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Impacts on the Market Price of NCS Common Stock</w:t>
      </w:r>
      <w:r>
        <w:rPr>
          <w:rFonts w:ascii="Times New Roman;Times;serif" w:hAnsi="Times New Roman;Times;serif"/>
          <w:b w:val="false"/>
          <w:i w:val="false"/>
          <w:caps w:val="false"/>
          <w:smallCaps w:val="false"/>
          <w:color w:val="000000"/>
          <w:spacing w:val="4"/>
          <w:sz w:val="20"/>
        </w:rPr>
        <w:t xml:space="preserve">.   The fact that the market price of NCS Common Stock could be affected by many factors, including: (i) if the Merger Agreement is terminated, the reason or reasons for such termination and whether such termination resulted from factors adversely affecting NCS; (ii) the possibility that, as a result of the termination of the Merger Agreement, possible acquirers may consider NCS to be an unattractive acquisition candidate; and (iii) the possible sale of NCS Common Stock by short-term investors following an announcement that the Merger Agreement was terminated. </w:t>
      </w:r>
      <w:r>
        <mc:AlternateContent>
          <mc:Choice Requires="wps">
            <w:drawing>
              <wp:anchor behindDoc="0" distT="6985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the Pendency of the Transaction</w:t>
      </w:r>
      <w:r>
        <w:rPr>
          <w:rFonts w:ascii="Times New Roman;Times;serif" w:hAnsi="Times New Roman;Times;serif"/>
          <w:b w:val="false"/>
          <w:i w:val="false"/>
          <w:caps w:val="false"/>
          <w:smallCaps w:val="false"/>
          <w:color w:val="000000"/>
          <w:spacing w:val="4"/>
          <w:sz w:val="20"/>
        </w:rPr>
        <w:t xml:space="preserve">.   The risks and contingencies relating to the announcement and pendency of the Transaction, including the potential for diversion of management and employee attention and the potential effect of the combination on the businesses of both companies and the restrictions on the conduct of NCS’s business during the period between the execution of the Merger Agreement and the completion of the Transaction as set forth in the Merger Agreement. Additionally, the NCS Board considered the possibility that the Transaction may not be completed, or that completion may be unduly delayed, for reasons beyond the control of NCS or Weatherford, including the failure to obtain a required antitrust approval, which could result in significant costs and disruptions to NCS’s normal business. </w:t>
      </w:r>
      <w:r>
        <mc:AlternateContent>
          <mc:Choice Requires="wps">
            <w:drawing>
              <wp:anchor behindDoc="0" distT="6985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NCS Termination Fees and Expenses</w:t>
      </w:r>
      <w:r>
        <w:rPr>
          <w:rFonts w:ascii="Times New Roman;Times;serif" w:hAnsi="Times New Roman;Times;serif"/>
          <w:b w:val="false"/>
          <w:i w:val="false"/>
          <w:caps w:val="false"/>
          <w:smallCaps w:val="false"/>
          <w:color w:val="000000"/>
          <w:spacing w:val="4"/>
          <w:sz w:val="20"/>
        </w:rPr>
        <w:t xml:space="preserve">.   The requirement that NCS would be required to pay (or cause to be paid) to the account or entity designated by Weatherford, a termination fee of $5.5 million if: (i) the Merger Agreement were to be terminated by Weatherford because of NCS’s breach or by either party pursuant to the outside date, a bona fide acquisition proposal had been made on or after the date of the Merger Agreement, and an alternative transaction was consummated within twelve months of such termination; (ii) NCS were to terminate the Merger Agreement in order to enter into a definitive agreement providing for a superior proposal, should one be made; or (iii) the Merger Agreement were to be terminated by Weatherford in connection with a change in the NCS Board’s recommendation to the holders of NCS Common Stock with respect to adoption of the Merger Agreement or the Written Consent or Support Agreement were not delivered. Although the NCS Board believed that this termination fee is consistent with fees in comparable transactions and would not be preclusive of other offers, it is possible that the termination fee could discourage other potential parties from making an alternative acquisition proposal. In addition, NCS will generally be required to pay its own expenses associated with the transaction, including if the Merger Agreement is terminated. </w:t>
      </w:r>
      <w:r>
        <mc:AlternateContent>
          <mc:Choice Requires="wps">
            <w:drawing>
              <wp:anchor behindDoc="0" distT="6985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Third-Party Discussions</w:t>
      </w:r>
      <w:r>
        <w:rPr>
          <w:rFonts w:ascii="Times New Roman;Times;serif" w:hAnsi="Times New Roman;Times;serif"/>
          <w:b w:val="false"/>
          <w:i w:val="false"/>
          <w:caps w:val="false"/>
          <w:smallCaps w:val="false"/>
          <w:color w:val="000000"/>
          <w:spacing w:val="4"/>
          <w:sz w:val="20"/>
        </w:rPr>
        <w:t xml:space="preserve">.   The fact that there are restrictions in the Merger Agreement on NCS’s ability to solicit competing bids to acquire it and to entertain other Acquisition Proposals. </w:t>
      </w:r>
      <w:r>
        <mc:AlternateContent>
          <mc:Choice Requires="wps">
            <w:drawing>
              <wp:anchor behindDoc="0" distT="6985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fact that the restrictions on NCS’s conduct of business prior to completion of the Transaction could delay or prevent NCS from taking certain actions with respect to its operations during the pendency of the Transaction. </w:t>
      </w:r>
      <w:r>
        <mc:AlternateContent>
          <mc:Choice Requires="wps">
            <w:drawing>
              <wp:anchor behindDoc="0" distT="6985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Conditions</w:t>
      </w:r>
      <w:r>
        <w:rPr>
          <w:rFonts w:ascii="Times New Roman;Times;serif" w:hAnsi="Times New Roman;Times;serif"/>
          <w:b w:val="false"/>
          <w:i w:val="false"/>
          <w:caps w:val="false"/>
          <w:smallCaps w:val="false"/>
          <w:color w:val="000000"/>
          <w:spacing w:val="4"/>
          <w:sz w:val="20"/>
        </w:rPr>
        <w:t xml:space="preserve">.   The risk that the Transaction might not be completed in a timely manner or at all due to failure to satisfy the closing conditions, some of which are outside of NCS’s control. </w:t>
      </w:r>
      <w:r>
        <mc:AlternateContent>
          <mc:Choice Requires="wps">
            <w:drawing>
              <wp:anchor behindDoc="0" distT="6985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Pending redomestication of Weatherford</w:t>
      </w:r>
      <w:r>
        <w:rPr>
          <w:rFonts w:ascii="Times New Roman;Times;serif" w:hAnsi="Times New Roman;Times;serif"/>
          <w:b w:val="false"/>
          <w:i w:val="false"/>
          <w:caps w:val="false"/>
          <w:smallCaps w:val="false"/>
          <w:color w:val="000000"/>
          <w:spacing w:val="4"/>
          <w:sz w:val="20"/>
        </w:rPr>
        <w:t xml:space="preserve">.   The NCS Board evaluated the potential impacts of Weatherford’s pending redomestication from Ireland to the United States (referred to as the Redomestication), including the risk that the uncertainty around the timing of the completion of Weatherford’s Redomestication, or whether it will be completed at all and the uncertainty regarding Weatherford’s jurisdiction of organization as of the closing of the Transaction. </w:t>
      </w:r>
      <w:r>
        <mc:AlternateContent>
          <mc:Choice Requires="wps">
            <w:drawing>
              <wp:anchor behindDoc="0" distT="6985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Costs</w:t>
      </w:r>
      <w:r>
        <w:rPr>
          <w:rFonts w:ascii="Times New Roman;Times;serif" w:hAnsi="Times New Roman;Times;serif"/>
          <w:b w:val="false"/>
          <w:i w:val="false"/>
          <w:caps w:val="false"/>
          <w:smallCaps w:val="false"/>
          <w:color w:val="000000"/>
          <w:spacing w:val="4"/>
          <w:sz w:val="20"/>
        </w:rPr>
        <w:t xml:space="preserve">.   The NCS Board considered the substantial transaction costs associated with entering into the Merger Agreement, whether or not the Transaction is completed, as well as the possible diversion of management and employee time and energy, potential opportunity cost and disruption of NCS’s business operations. </w:t>
      </w:r>
      <w:r>
        <mc:AlternateContent>
          <mc:Choice Requires="wps">
            <w:drawing>
              <wp:anchor behindDoc="0" distT="7112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Personnel</w:t>
      </w:r>
      <w:r>
        <w:rPr>
          <w:rFonts w:ascii="Times New Roman;Times;serif" w:hAnsi="Times New Roman;Times;serif"/>
          <w:b w:val="false"/>
          <w:i w:val="false"/>
          <w:caps w:val="false"/>
          <w:smallCaps w:val="false"/>
          <w:color w:val="000000"/>
          <w:spacing w:val="4"/>
          <w:sz w:val="20"/>
        </w:rPr>
        <w:t xml:space="preserve">.   The NCS Board considered the adverse impact that business uncertainty pending completion of the Transaction could have on NCS’s ability to attract, retain and motivate key personnel until consummation of the Transaction. </w:t>
      </w:r>
      <w:r>
        <mc:AlternateContent>
          <mc:Choice Requires="wps">
            <w:drawing>
              <wp:anchor behindDoc="0" distT="7112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RT"/>
      <w:bookmarkEnd w:id="15"/>
      <w:r>
        <w:rPr>
          <w:rFonts w:ascii="calibri;arial;sans-serif" w:hAnsi="calibri;arial;sans-serif"/>
          <w:b w:val="false"/>
          <w:i w:val="false"/>
          <w:caps w:val="false"/>
          <w:smallCaps w:val="false"/>
          <w:color w:val="000000"/>
          <w:sz w:val="16"/>
        </w:rPr>
        <w:t>​</w:t>
      </w:r>
      <w:bookmarkStart w:id="16" w:name="tRS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The fact that NCS stockholders will not be entitled to appraisal rights in connection with the Transaction. </w:t>
      </w:r>
      <w:r>
        <mc:AlternateContent>
          <mc:Choice Requires="wps">
            <w:drawing>
              <wp:anchor behindDoc="0" distT="0" distB="0" distL="254000" distR="0" simplePos="0" locked="0" layoutInCell="1" allowOverlap="1" relativeHeight="163">
                <wp:simplePos x="0" y="0"/>
                <wp:positionH relativeFrom="column">
                  <wp:align>left</wp:align>
                </wp:positionH>
                <wp:positionV relativeFrom="line">
                  <wp:posOffset>635</wp:posOffset>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 risks associated with potential litigation relating to the Transaction and the associated costs, burden and inconvenience involved in defending those proceedings. </w:t>
      </w:r>
      <w:r>
        <mc:AlternateContent>
          <mc:Choice Requires="wps">
            <w:drawing>
              <wp:anchor behindDoc="0" distT="5842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NCS Board is not intended to be exhaustive but does set forth the principal factors considered by the NCS Board. The NCS Board collectively reached the unanimous conclusion to approve the Merger Agreement, in light of the various factors described above and other factors that each director deemed relevant. In view of the wide variety of factors considered by the members of the NCS Board in connection with their evaluation of the Merger Agreement and the complexity of these matters, the NCS Board did not consider it practical, and did not attempt, to quantify, rank or otherwise assign relative weights to the specific factors they considered in reaching their decisions. The NCS Board made their decisions based on the totality of information presented to and considered by them. In considering the factors discussed above, individual directors may have given different weights to different factors. After careful consideration, including consultation with its financial advisor and legal counsel, the NCS Board unanimously: (i) determined that the terms of the Merger Agreement and the Transaction are fair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Weatherford’s Reasons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proposed acquisition of NCS and making its determination to approve the Transaction, the Weatherford Board considered a number of factors, including, among others: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fit of the two businesses and the complementary nature of their respective capabilities; </w:t>
      </w:r>
      <w:r>
        <mc:AlternateContent>
          <mc:Choice Requires="wps">
            <w:drawing>
              <wp:anchor behindDoc="0" distT="6985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5842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5842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5842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5842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5715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5715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5715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Stockholder Approval for the Transaction; No Further 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and NCS’s organizational documents, adoption of the Merger Agreement by NCS’s stockholders required the affirmative vote of the holders in the aggregate of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shares of NCS Common Stock entitled to vote thereon. The NCS organizational documents permit, at any time when Advent and its affiliates collectively beneficially own at least 50.01% of the outstanding NCS Common Stock, any action that is required or permitted to be taken by NCS’s stockholders to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owned 1,478,426 shares of NCS Common Stock, representing approximately 56.33% of the issued and outstanding shares of NCS Common Stock on that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each of NCS and Weatherford has from time to time provided limited financial guidance to investors, neither company’s management, as a matter of course, otherwise publicly discloses forecasts or internal projections as to such company’s future performance due to, among other things, the inherent difficulty of predicting financial performance for future periods and the likelihood that the underlying assumptions and estimates may not be realized. In connection with the Transaction, NCS provided certain unaudited non-public financial projections regarding NCS to the NCS Board (the “</w:t>
      </w:r>
      <w:r>
        <w:rPr>
          <w:rFonts w:ascii="Times New Roman;Times;serif" w:hAnsi="Times New Roman;Times;serif"/>
          <w:b/>
          <w:i w:val="false"/>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A summary of the NCS Financial Projections is included below to give NCS stockholders access to certain information that was considered by the NCS Board for purposes of evaluating the Transaction. These projections are not, and should not be viewed as, public guidance or even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NCS Financial Projections, while presented with numerical specificity, were based on numerous variables and assumptions, including about future performance, that are inherently uncertain and many of which are beyond NCS’s control. The NCS Financial Projections reflect numerous estimates, assumptions, and judgments made by NCS’s management, based on information available at the time the NCS Financial Projections were developed, with respect to industry performance, and competition, general business, economic, regulatory, market, and financial conditions, other future events and matters specific to NCS’s business, all of which are difficult to predict and many of which are beyond NCS’s control. There can be no assurances that the NCS Financial Projections accurately reflect future trends or accurately estimate NCS’s future financial and operating performance. The NCS Financial Projections also reflect assumptions as to certain business decisions that are subject to change. Important factors that may affect actual results and cause the NCS Financial Projections not to be achieved include, but are not limited to, risks and uncertainties relating to NCS’s business (including the ability to achieve strategic goals, objectives, and targets over the applicable periods), industry performance, general business and economic conditions, and other factors described in or referenced under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and those risks and uncertainties detailed in NCS’s public filings with the SEC. Further, the NCS Financial Projections cover multiple years and by their nature become subject to greater uncertainty with each successive year. Accordingly, there can be no assurance that the NCS Financial Projections will be realized, and actual results may vary materially from those shown. Modeling and forecasting the future performance of companies in the industry or industries in which NCS and its subsidiaries or Weatherford and its subsidiaries operate is a highly speculative endeavor. Since the NCS Financial Projections cover a long period of time, the NCS Financial Projections by their nature are unlikely to anticipate each circumstance that will have an effect on the commercial value of NCS’s products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(referred to as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projections included in this document, including the financial projections set forth below in the subsections titled “</w:t>
      </w:r>
      <w:r>
        <w:rPr>
          <w:rFonts w:ascii="Times New Roman;Times;serif" w:hAnsi="Times New Roman;Times;serif"/>
          <w:b w:val="false"/>
          <w:i/>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have been prepared by, and are the responsibility of, NCS’s management. Grant Thornton LLP, NCS’s independent registered public accounting firm, has not audited, reviewed, examined, compiled, nor applied agreed-upon procedures with respect to the accompanying NCS Financial Projections and, accordingly, Grant Thornton LLP does not express an opinion or any other form of assurance with respect thereto. The Grant Thornton LLP report on NCS’s consolidated financial statements incorporated by reference from </w:t>
      </w:r>
      <w:hyperlink r:id="rId7">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NCS’s previously issued financial statements. It does not extend to the NCS Financial Projections and should not be read to do so. Similarly, KPMG LLP, Weatherford’s independent registered public accounting firm, has not audited, reviewed, examined, compiled, nor applied any procedures with respect to the NCS Financial Projections and, accordingly, KPMG LLP does not express an opinion or any other form of assurance with respect thereto. The KPMG LLP report on Weatherford’s consolidated financial statements incorporated by reference from </w:t>
      </w:r>
      <w:hyperlink r:id="rId8">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Weatherford’s previously issued financial statements. It does not extend to the NCS Financial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of the NCS Financial Projections is being included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solely because these financial projections were made available to the NCS Board and Piper Sandler. The NCS Financial Projections do not take into account any circumstances or events occurring after the date they were prepared, including the announcement of the Transaction and transaction-related expenses. The NCS Financial Projections also do not take into account the effect of any failure of the Transaction to close and should not be viewed as accurate or continuing in that context.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NCS Financial Projections in this information statement/prospectus should not be regarded as an indication that NCS, Weatherford, or any of their respective affiliates, advisors, or representatives considered or consider the NCS Financial Projections to be predictive of actual future events, and the NCS Financial Projections should not be relied on as such. NONE OF NCS, WEATHERFORD, NOR ANY OF THEIR RESPECTIVE AFFILIATES, ADVISORS, OFFICERS, DIRECTORS OR REPRESENTATIVES CAN GIVE ANY ASSURANCE THAT ACTUAL RESULTS WILL NOT DIFFER FROM THESE FINANCIAL PROJECTIONS, AND, EXCEPT AS REQUIRED BY APPLICABLE SECURITIES LAWS, NONE OF THE FOREGOING PERSONS INTENDS TO, AND EACH DISCLAIMS ANY OBLIGATION TO, MAKE PUBLICLY AVAILABLE ANY UPDATE OR OTHER REVISION TO THE FINANCIAL PROJECTIONS TO REFLECT CIRCUMSTANCES EXISTING SINCE THEIR PREPARATION OR TO REFLECT THE OCCURRENCE OF UNANTICIPATED EVENTS, EVEN IF ANY OR ALL OF THE UNDERLYING ASSUMPTIONS ARE SHOWN TO BE INAPPROPRIATE, INCLUDING WITH RESPECT TO THE ACCOUNTING TREATMENT OF THE TRANSACTION UNDER GAAP, OR TO REFLECT CHANGES IN GENERAL ECONOMIC OR INDUSTRY CONDITIONS. The NCS Financial Projections do not take into account all of the possible financial and other effects of the Transaction on NCS or Weatherford, the effect on NCS or Weatherford of any business or strategic decision or action that has been or will be taken as a result of the execution of the Merger Agreement, or the effect of any business or strategic decisions or actions that would likely have been taken if the Merger Agreement had not been executed, but which were instead altered, accelerated, postponed, or not taken in anticipation of the Transaction. Further, the NCS Financial Projections do not take into account the effect on NCS or Weatherford of any possible failure of the Transaction to occur. None of NCS, Weatherford, Piper Sandler, nor any of their respective affiliates, advisors, officers, directors, or representatives has made or makes any representation to any stockholder or other investor regarding the ultimate performance of NCS or Weatherford compared to the information contained in the NCS Financial Projections or that projected results will be achieved.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and Weatherford’s respective stockholders are cautioned not to place undue, if any, reliance on the NCS Financial Projections included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incorporate certain financial measures which are not GAAP measures. Such financial measures should not be considered in isolation from, or as a substitute for, financial information presented in accordance with GAAP. NCS’s calculations of these financial measures may differ from other companies in the industry or industries in which NCS and its subsidiaries operate, and are not necessarily comparable with information presented under similar captions used by other companies.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N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Reconciliations of these financial measures were not relied upon by the NCS Board. Accordingly, a reconciliation of the financial measures included in the NCS Financial Projections is not provided.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qualifications, the following is a summary of the NCS Financial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Financial Projections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570"/>
        <w:gridCol w:w="109"/>
        <w:gridCol w:w="109"/>
        <w:gridCol w:w="125"/>
        <w:gridCol w:w="260"/>
        <w:gridCol w:w="606"/>
        <w:gridCol w:w="125"/>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6"/>
      </w:tblGrid>
      <w:tr>
        <w:trPr/>
        <w:tc>
          <w:tcPr>
            <w:tcW w:w="25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6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2H 2026P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Gross Profit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46.7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70" w:type="dxa"/>
            <w:tcBorders/>
            <w:tcMar>
              <w:bottom w:w="0" w:type="dxa"/>
            </w:tcMar>
            <w:vAlign w:val="center"/>
          </w:tcPr>
          <w:p>
            <w:pPr>
              <w:pStyle w:val="TableContents"/>
              <w:bidi w:val="0"/>
              <w:spacing w:before="0" w:after="283"/>
              <w:jc w:val="left"/>
              <w:rPr/>
            </w:pPr>
            <w:r>
              <w:rPr>
                <w:spacing w:val="4"/>
              </w:rPr>
              <w:t>EBITDA</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r>
              <w:rPr/>
              <w:t>18.1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21.5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Gross Profit, EBITDA and Adjusted EBITDA are not defined under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are not measures of net income (loss), income from operations, gross profit, and gross margin (inclusive of depreciation, depletion, and amortization), cash provided by (used in) operating activities, working capital or any other performance measure derived in accordance with GAAP, and are subject to important limitations. NCS’s non-GAAP financial measures may not be comparable to similarly titled measures of other companies in its industry and are not measures of performance calculated in accordance with GAAP. NCS’s non-GAAP financial measures have important limitations as analytical tools and you should not consider them in isolation or as substitutes for analysis of NCS’s financial performance as reported under GAAP, and they should not be considered as alternatives to net income (loss), income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NCS’s liquidity. </w:t>
      </w:r>
      <w:r>
        <mc:AlternateContent>
          <mc:Choice Requires="wps">
            <w:drawing>
              <wp:anchor behindDoc="0" distT="10414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Gross Profit is defined as total revenues minus cost of sales, exclusive of depreciation and amortization expense. </w:t>
      </w:r>
      <w:r>
        <mc:AlternateContent>
          <mc:Choice Requires="wps">
            <w:drawing>
              <wp:anchor behindDoc="0" distT="5207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EBITDA is defined as earnings before interest, taxes, depreciation, and amortization. </w:t>
      </w:r>
      <w:r>
        <mc:AlternateContent>
          <mc:Choice Requires="wps">
            <w:drawing>
              <wp:anchor behindDoc="0" distT="5207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EBITDA is defined as earnings before interest, taxes, depreciation, and amortization, adjusted for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and other items. </w:t>
      </w:r>
      <w:r>
        <mc:AlternateContent>
          <mc:Choice Requires="wps">
            <w:drawing>
              <wp:anchor behindDoc="0" distT="5207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on NCS’s and Weatherford’s actual results and historical financial information,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initially retained by NCS to act as its financial advisor on April 23, 2024, in connection with NCS’s exploration of potential strategic alternatives.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Unaffiliated Holders that elect to receive only Share Consideration or make no election and therefore receive only Share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the written Piper Sandler opinion, which describes the various assumptions made, procedures followed, matters considered, and qualifications and limitations on the review undertaken by Piper Sandler in preparing the Piper Sandler opinion,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is incorporated herein by reference.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summary of the Piper Sandler opinion set forth below is qualified in its entirety by the full text of the opinion attached hereto as Annex E. The Piper Sandler opinion was provided solely for the information and assistance of the NCS Board in connection with the NCS Board’s consideration of the Transaction. The Piper Sandler opinion only addressed the fairness, from a financial point of view, as of the date thereof, to the Unaffiliated Holders that either (i) elect to receive only Share Consideration, or (ii) make no election and therefore receive only the Share Consideration. The Piper Sandler opinion did not address any other term or aspect of the Merger Agreement or the Transaction. The Piper Sandler opinion is not intended to, and does not, constitute a recommendation to any NCS stockholder as to how such NCS stockholder should (i) act with respect to the Transaction or any other matter, or (ii) make any election with respect to the Merger Consideration being offered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Piper Sandler opinion attached hereto as Annex E should be read carefully in its entirety for a description of the various assumptions made, procedures followed, matters considered, and qualifications and limitations upon the review undertaken by Piper Sandler in preparing the Piper Sandler opinion.   </w:t>
      </w:r>
      <w:r>
        <w:rPr>
          <w:rFonts w:ascii="Times New Roman;Times;serif" w:hAnsi="Times New Roman;Times;serif"/>
          <w:b w:val="false"/>
          <w:i w:val="false"/>
          <w:caps w:val="false"/>
          <w:smallCaps w:val="false"/>
          <w:color w:val="000000"/>
          <w:spacing w:val="4"/>
          <w:sz w:val="20"/>
        </w:rPr>
        <w:t xml:space="preserve">In connection with rendering the Piper Sandler opinion and performing its related financial analyses, Piper Sandler,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as of May 31, 2026, marked execution version;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NCS and Weatherford that was publicly available;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information, including financial forecasts, relating to the business, earnings, cash flow, assets, liabilities and prospects of NCS that were furnished to Piper Sandler by NCS;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a discounted cash flow analysis of NCS based on NCS management’s financial forecast of NCS;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NCS concerning the matters described in the second, third, and fourth bullets above;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the shares of NCS Common Stock and the Weatherford Ordinary Shares and similar information for certain other companies deemed by Piper Sandler to be comparable to NCS;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NCS with that of certain other publicly traded companies that Piper Sandler deemed relevant; and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to the extent publicly available, of certain business combination transactions that Piper Sandler deemed relevant.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it deemed necessary in arriving at the Piper Sandler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direction and with the consent of the NCS Board, Piper Sandler assumed that: (i) all Unaffiliated Holders will elect to receive only Share Consideration or make no election and therefore receive only Share Consideration; (ii) the Specified Stockholder will elect to receive Mixed Consideration; and (iii)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NCS that the financial information provided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prepared on a reasonable basis in accordance with industry practice, and that management of NCS was not aware of any information or facts that would make any information provided to Piper Sandler incomplete or misleading. Without limiting the generality of the foregoing, for the purpose of the Piper Sandler opinion, Piper Sandler assumed that, with respect to financial forecasts, estimates and other forward-looking information reviewed by Piper Sandler, such information was reasonably prepared based on assumptions reflecting the best currently available estimates and judgments of management of NCS as to the expected future results of operations and financial condition of NCS, to which such financial forecasts, estimates and other forward-looking information related. Piper Sandler expressed no opinion as to any such financial forecasts, estimates or forward-looking information or the assumptions on which they were based. Piper Sandler relied, with the consent of the NCS Board (on behalf of NCS), on the assumptions of management of NCS, as to all accounting, legal, tax and financial reporting matters with respect to NCS, Weatherford and the Merger Agreement. Piper Sandler expressed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were true and correct, as of the dates made or deemed made, in all respects material to Piper Sandler’s analysis; (ii) each party to the Merger Agreement would fully and timely perform all of the covenants and agreements required to be performed by such party; (iii) the Transaction would be consummated pursuant to the terms of the Merger Agreement without amendments thereto; and (iv) all conditions to the consummation of the Transaction would be satisfied without waiver by any party of any conditions or obligations thereunder. Additionally, Piper Sandler assumed that all the necessary regulatory approvals and consents required for the Transaction would be obtained in a manner that would not adversely affect NCS, Weatherford, the Unaffiliated Holders or the contemplated benefits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did not perform any appraisals or valuations of any specific assets or liabilities (fixed, contingent, or other) of NCS or Weatherford, and Piper Sandler was not furnished or provided with any such appraisals or valuations, nor did Piper Sandler evaluate the solvency of NCS or Weatherford under any state, federal or international law relating to bankruptcy, insolvency or similar matters. The analyses performed by Piper Sandler in connection with the Piper Sandler opinion were going concern analyses. Piper Sandler expressed no opinion regarding the liquidation value of NCS, Weatherford or any other entity. Without limiting the generality of the foregoing, Piper Sandler undertook no independent analysis of any pending or threatened litigation, regulatory action, possible unasserted claims or other contingent liabilities, to which NCS, Weatherford or any of their affiliates was a party or may have been subject, and, at the direction of NCS and with its consent, the Piper Sandler opinion made no assumption concerning, and therefore did not consider, the possible assertion of claims, outcomes or damages arising out of any such matters. Piper Sandler assumed that neither NCS nor Weatherford is party to any material pending transaction, including without limitation any financing, recapitalization, acquisition or merger, divestiture or spin-off, other than the Transaction and the redomestication of Weatherford to the United States contemplated by the proxy statement filed by Weatherford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necessarily based upon the information available to Piper Sandler and facts and circumstances as they existed and were subject to evaluation on the date of the Piper Sandler opinion; events occurring after the date thereof, whether or not related to the Transaction, could materially affect the assumptions used in preparing the Piper Sandler opinion. Piper Sandler did not express any opinion in the Piper Sandler opinion as to the price at which shares of NCS Common Stock or Weatherford Ordinary Shares may trade following announcement of the Transaction or at any future time. Piper Sandler has not undertaken to reaffirm or revise the Piper Sandler opinion or otherwise comment upon any events occurring after the date of the Piper Sandler opinion, and it does not have any obligation to update, revise or reaffirm the Piper Sandler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provided to the NCS Board in connection with its consideration of the Transaction and was not intended to, and does not, constitute a recommendation to any NCS stockholder as to how such NCS stockholder should (i) act with respect to the Transaction or any other matter or (ii) make any election with respect to the Merger Consideration being offered in the Transaction. The Piper Sandler opinion was approved for issuance by the Piper Sandler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addresses solely the fairness, from a financial point of view, to the Unaffiliated Holders that elect to receive only Share Consideration or make no election and therefore receive only Share Consideration and does not address any other terms or agreement relating to the Transaction or any other terms of the Merger Agreement (including the Mixed Share Consideration). Piper Sandler was not requested to opine as to, and the Piper Sandler opinion did not address, the basic business decision to proceed with or effect the Transaction, the merits of the Transaction relative to any alternative transaction or business strategy that may be available to NCS, Weatherford’s ability to fund the Cash Consideration, or any other terms contemplated by the Merger Agreement or the fairness of the Transaction to any other class of securities, creditor or other constituency of NCS. Piper Sandler expressed no opinion with respect to the allocation of the Merger Consideration among the NCS stockholders. Furthermore, Piper Sandler expressed no opinion with respect to the amount or nature of compensation to any officer, director or employee (or any affiliate thereof) of any party to the Transaction, or any class of such persons, relative to the Merger Consideration to be received by the NCS stockholders in the Transaction or with respect to the fairness of any such compensation, including whether such payments are reasonable in the context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Financial Analyses of Piper Sandler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by Piper Sandler and reviewed with the NCS Board in connection with the Piper Sandler opinion. </w:t>
      </w:r>
      <w:r>
        <w:rPr>
          <w:rFonts w:ascii="Times New Roman;Times;serif" w:hAnsi="Times New Roman;Times;serif"/>
          <w:b/>
          <w:i w:val="false"/>
          <w:caps w:val="false"/>
          <w:smallCaps w:val="false"/>
          <w:color w:val="000000"/>
          <w:spacing w:val="-4"/>
          <w:sz w:val="20"/>
        </w:rPr>
        <w:t>The summary set forth below does not purport to be a complete description of the financial analyses performed by or factors considered by Piper Sandler, and underlying the Piper Sandler opinion, nor does the order of the financial analyses described represent the relative importance or weight given to those financial analyses by Piper Sandler. Piper Sandler may have deemed various assumptions more or less probable than other assumptions, so the reference ranges resulting from any particular portion of the analyses summarized below should not be understood as Piper Sandler’s view of the actual value, whether enterprise, equity, or otherwise, of NCS or Weatherford.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Piper Sandler.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Piper Sandler’s financial analyses and the Piper Sandler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Piper Sandler made numerous assumptions with respect to industry performance, general business and economic conditions and other matters, many of which are beyond the control of NCS, Weatherford or any other party to the Transaction. None of NCS, Weatherford or Piper Sandler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NCS and Weatherford do not purport to be appraisals or reflect the prices at which NCS or Weatherford may actually be sold. Accordingly, the assumptions and estimates used in, and the results derived or calculated from, the financial analyses are inherently subject to substantial uncertainty. Except as otherwise noted, the following quantitative information, to the extent that it is based on market data, is based on market data as it existed on or before May 29, 2026 (the last business day immediately preceding the day on which Piper Sandler delivered its opinion) and is not necessarily indicative of current market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Analysis of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Piper Sandler conducted an analysis of the Share Consideration to be paid in the Transaction to the Unaffiliated Holders that elect to receive only Share Consideration or make no election and therefore receive only Share Consideration pursuant to the Merger Agreement. In the Transaction, the Unaffiliated Holders of shares of NCS Common Stock will have the option to receive (subject to pro ration, as more fully described in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for each share of NCS Common Stock held by such Unaffiliated Holder, either (i) solely the Share Consideration; or (ii) solely the Mixed Consideration.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further provides that each outstanding share of NCS Common Stock for which no election is made will receive only Share Consideration. For purposes of its analysis of the Share Consideration, at the direction and with the consent of the NCS Board, Piper Sandler assumed that: (A) all Unaffiliated Holders will elect to receive only Share Consideration or make no election and therefore receive only Share Consideration; (B) the Specified Stockholder will elect to receive Mixed Consideration; and (C)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xml:space="preserve">” the term “Share Consideration” refers to the Share Consideration to be received by the Unaffiliated Holders that elect to receive only Share Consideration or make no election and therefore receive only Share Consideration, in each case, for their shares of NCS Common Stock in the Transaction pursuant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Piper Sandler compared selected financial data of NCS with similar data for selected publicly traded companies (each, a “</w:t>
      </w:r>
      <w:r>
        <w:rPr>
          <w:rFonts w:ascii="Times New Roman;Times;serif" w:hAnsi="Times New Roman;Times;serif"/>
          <w:b/>
          <w:i w:val="false"/>
          <w:caps w:val="false"/>
          <w:smallCaps w:val="false"/>
          <w:color w:val="000000"/>
          <w:spacing w:val="-4"/>
          <w:sz w:val="20"/>
        </w:rPr>
        <w:t>Selected Public Company</w:t>
      </w:r>
      <w:r>
        <w:rPr>
          <w:rFonts w:ascii="Times New Roman;Times;serif" w:hAnsi="Times New Roman;Times;serif"/>
          <w:b w:val="false"/>
          <w:i w:val="false"/>
          <w:caps w:val="false"/>
          <w:smallCaps w:val="false"/>
          <w:color w:val="000000"/>
          <w:spacing w:val="4"/>
          <w:sz w:val="20"/>
        </w:rPr>
        <w:t xml:space="preserve">”) which Piper Sandler judged to be comparable to NCS for purposes of this analysis. The Selected Public Companies were selected, among other reasons, because they are companies: (i) whose shares of common stock are listed and publicly traded on registered stock exchanges; (ii) who are subject to active equity research with published estimates; (iii) with operations specializing in oil service and equipment; and (iv) who have an enterprise value of less than $500 million. However, none of the Selected Public Companies reviewed are identical to NCS, and certain of the Selected Public Companies have financial and operating characteristics that are materially different from those of NCS. The analyses necessarily involve complex considerations and judgments concerning differences in financial and operational characteristics of the Selected Public Companies, as well as other factors that could affect the Selected Public Companies differently from how they would affect NCS. The Selected Public Companies consisted of the following companies: </w:t>
      </w:r>
    </w:p>
    <w:tbl>
      <w:tblPr>
        <w:tblW w:w="7741" w:type="dxa"/>
        <w:jc w:val="left"/>
        <w:tblInd w:w="1393" w:type="dxa"/>
        <w:tblLayout w:type="fixed"/>
        <w:tblCellMar>
          <w:top w:w="0" w:type="dxa"/>
          <w:left w:w="0" w:type="dxa"/>
          <w:bottom w:w="0" w:type="dxa"/>
          <w:right w:w="0" w:type="dxa"/>
        </w:tblCellMar>
      </w:tblPr>
      <w:tblGrid>
        <w:gridCol w:w="124"/>
        <w:gridCol w:w="3454"/>
        <w:gridCol w:w="109"/>
        <w:gridCol w:w="109"/>
        <w:gridCol w:w="3791"/>
        <w:gridCol w:w="154"/>
      </w:tblGrid>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ACT Energy Technologies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KLX Energy Services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DMC Global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PHX Energy Services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Drilling Tools International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pPr>
            <w:r>
              <w:rPr>
                <w:spacing w:val="4"/>
              </w:rPr>
              <w:t>Ranger Energy Services,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Selected Public Companies, Piper Sandler calculated two measures of capitalization: market equity value and implied enterprise value (“</w:t>
      </w:r>
      <w:r>
        <w:rPr>
          <w:rFonts w:ascii="Times New Roman;Times;serif" w:hAnsi="Times New Roman;Times;serif"/>
          <w:b/>
          <w:i w:val="false"/>
          <w:caps w:val="false"/>
          <w:smallCaps w:val="false"/>
          <w:color w:val="000000"/>
          <w:spacing w:val="-4"/>
          <w:sz w:val="20"/>
        </w:rPr>
        <w:t>Implied EV</w:t>
      </w:r>
      <w:r>
        <w:rPr>
          <w:rFonts w:ascii="Times New Roman;Times;serif" w:hAnsi="Times New Roman;Times;serif"/>
          <w:b w:val="false"/>
          <w:i w:val="false"/>
          <w:caps w:val="false"/>
          <w:smallCaps w:val="false"/>
          <w:color w:val="000000"/>
          <w:spacing w:val="4"/>
          <w:sz w:val="20"/>
        </w:rPr>
        <w:t>”). Market equity value was determined by multiplying the fully diluted outstanding shares of each Selected Public Company by its closing share price as of May 29, 2026 (the last trading day before the announcement of the Transaction). For purposes of this analysis, Piper Sandler calculated the Implied EV of each Selected Public Company by adding to such Selected Public Company’s market equity value (i) its Net Debt (whether positive or negative); and (ii) the value of such Selected Public Company’s non-controlling interest. For each of the Selected Public Companies, Piper Sandler then divided such Selected Public Company’s Implied EV by its: (a) Adjusted EBITDA for the calendar year 2025; (b) Adjusted EBITDA for the twelve-month period ended (1) March 31, 2026 for Selected Public Companies that filed a 2026 Form 10-Q, or (2) December 31, 2025 for any other Selected Public Companies (“</w:t>
      </w:r>
      <w:r>
        <w:rPr>
          <w:rFonts w:ascii="Times New Roman;Times;serif" w:hAnsi="Times New Roman;Times;serif"/>
          <w:b/>
          <w:i w:val="false"/>
          <w:caps w:val="false"/>
          <w:smallCaps w:val="false"/>
          <w:color w:val="000000"/>
          <w:spacing w:val="-4"/>
          <w:sz w:val="20"/>
        </w:rPr>
        <w:t>LTM</w:t>
      </w:r>
      <w:r>
        <w:rPr>
          <w:rFonts w:ascii="Times New Roman;Times;serif" w:hAnsi="Times New Roman;Times;serif"/>
          <w:b w:val="false"/>
          <w:i w:val="false"/>
          <w:caps w:val="false"/>
          <w:smallCaps w:val="false"/>
          <w:color w:val="000000"/>
          <w:spacing w:val="4"/>
          <w:sz w:val="20"/>
        </w:rPr>
        <w:t xml:space="preserve">”); and (c) projected Adjusted EBITDA for calendar year 2026, to calculate the Implied EV/Adjusted EBITDA multiples for the respective Selected Public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(i) “</w:t>
      </w:r>
      <w:r>
        <w:rPr>
          <w:rFonts w:ascii="Times New Roman;Times;serif" w:hAnsi="Times New Roman;Times;serif"/>
          <w:b/>
          <w:i w:val="false"/>
          <w:caps w:val="false"/>
          <w:smallCaps w:val="false"/>
          <w:color w:val="000000"/>
          <w:spacing w:val="-4"/>
          <w:sz w:val="20"/>
        </w:rPr>
        <w:t>Net Debt</w:t>
      </w:r>
      <w:r>
        <w:rPr>
          <w:rFonts w:ascii="Times New Roman;Times;serif" w:hAnsi="Times New Roman;Times;serif"/>
          <w:b w:val="false"/>
          <w:i w:val="false"/>
          <w:caps w:val="false"/>
          <w:smallCaps w:val="false"/>
          <w:color w:val="000000"/>
          <w:spacing w:val="4"/>
          <w:sz w:val="20"/>
        </w:rPr>
        <w:t>” of a company refers to such company’s total indebtedness minus such company’s cash and cash equivalents, in each case, as of a specified date; and (ii) the “</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xml:space="preserve">” of a company refers to such company’s earnings before interest, taxes, depreciation, and amortization as adjusted for, (a) with respect to NCS,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recent acquisitions on a pro forma basis, and other items, and (b) with respect to the Selected Public Companies, adjustments for non-recurring, one-time non-cash, recent acquisitions on a pro forma basis, and other types of expenses, as identified by publicly available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Implied EV / Adjusted EBITDA multiples for the Selected Public Companies: </w:t>
      </w:r>
    </w:p>
    <w:tbl>
      <w:tblPr>
        <w:tblW w:w="4749" w:type="dxa"/>
        <w:jc w:val="left"/>
        <w:tblInd w:w="1393" w:type="dxa"/>
        <w:tblLayout w:type="fixed"/>
        <w:tblCellMar>
          <w:top w:w="0" w:type="dxa"/>
          <w:left w:w="0" w:type="dxa"/>
          <w:bottom w:w="28" w:type="dxa"/>
          <w:right w:w="0" w:type="dxa"/>
        </w:tblCellMar>
      </w:tblPr>
      <w:tblGrid>
        <w:gridCol w:w="1180"/>
        <w:gridCol w:w="109"/>
        <w:gridCol w:w="109"/>
        <w:gridCol w:w="116"/>
        <w:gridCol w:w="116"/>
        <w:gridCol w:w="563"/>
        <w:gridCol w:w="116"/>
        <w:gridCol w:w="116"/>
        <w:gridCol w:w="116"/>
        <w:gridCol w:w="116"/>
        <w:gridCol w:w="116"/>
        <w:gridCol w:w="563"/>
        <w:gridCol w:w="116"/>
        <w:gridCol w:w="116"/>
        <w:gridCol w:w="116"/>
        <w:gridCol w:w="116"/>
        <w:gridCol w:w="116"/>
        <w:gridCol w:w="563"/>
        <w:gridCol w:w="116"/>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7"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EV / Adjusted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LTM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7.0x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5.1x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4.4x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4.9x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4.1x</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4.5x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4.7x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4.0x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3.8x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3.9x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3.3x</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multiplied each Implied EV / Adjusted EBITDA multiple set forth in the table above by: (i) NCS’s Adjusted EBITDA for calendar year 2025 (pro forma for NCS’s recent acquisition of ResMetrics on July 31, 2025, which added $1.9 million of Adjusted EBITDA for the period from January 1, 2025 to July 31, 2025); (ii) NCS’s LTM Adjusted EBITDA; and (iii) NCS’s projected Adjusted EBITDA for calendar year 2026, in each case, to calculate a corresponding Implied EV for NCS using such multiple. Piper Sandler then subtracted from the resulting Implied EVs (a) the amount of NCS’s Net Debt as of March 31, 2026, and (b) the value of NCS’s non-controlling interest in the Repeat Precision joint venture, in each case, as provided by management of NCS and approved for Piper Sandler’s use by management of NCS, to derive implied equity values for NCS using such multiples. Piper Sandler divided the resulting implied equity values by the number of fully diluted outstanding shares of NCS Common Stock as of May 29, 2026, accounting for all outstanding stock options, as well as unvested restricted stock units and performance stock units, as provided by management of NCS and approved for Piper Sandler’s use by management of NCS, to derive (1) the corresponding implied prices per share of NCS Common Stock, rounded to the nearest $0.01, and (2)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313" w:type="dxa"/>
        <w:jc w:val="left"/>
        <w:tblInd w:w="543" w:type="dxa"/>
        <w:tblLayout w:type="fixed"/>
        <w:tblCellMar>
          <w:top w:w="0" w:type="dxa"/>
          <w:left w:w="0" w:type="dxa"/>
          <w:bottom w:w="28" w:type="dxa"/>
          <w:right w:w="0" w:type="dxa"/>
        </w:tblCellMar>
      </w:tblPr>
      <w:tblGrid>
        <w:gridCol w:w="84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2025 Adjusted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4.4x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4.5x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3.8x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51.88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46.28</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46.92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40.26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Implied EV / LTM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7.0x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4.9x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4.7x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3.9x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44.71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43.38</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36.27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2026 Projected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5.1x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4.1x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4.0x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3.3x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43.36</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42.35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35.24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Precedent Transactions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information available to Piper Sandler, Piper Sandler examined selected transactions that Piper Sandler judged to be reasonably comparable to the Transaction (the “</w:t>
      </w:r>
      <w:r>
        <w:rPr>
          <w:rFonts w:ascii="Times New Roman;Times;serif" w:hAnsi="Times New Roman;Times;serif"/>
          <w:b/>
          <w:i w:val="false"/>
          <w:caps w:val="false"/>
          <w:smallCaps w:val="false"/>
          <w:color w:val="000000"/>
          <w:spacing w:val="-4"/>
          <w:sz w:val="20"/>
        </w:rPr>
        <w:t>Selected Precedent Transactions</w:t>
      </w:r>
      <w:r>
        <w:rPr>
          <w:rFonts w:ascii="Times New Roman;Times;serif" w:hAnsi="Times New Roman;Times;serif"/>
          <w:b w:val="false"/>
          <w:i w:val="false"/>
          <w:caps w:val="false"/>
          <w:smallCaps w:val="false"/>
          <w:color w:val="000000"/>
          <w:spacing w:val="4"/>
          <w:sz w:val="20"/>
        </w:rPr>
        <w:t xml:space="preserve">”). The Selected Precedent Transactions include: (i) selected transactions involving oilfield services, equipment manufacturing, and supply transactions (but excluding chemical providers, frac sand, pressure pumpers, and drilling contractors), in each case, where valuation metrics are known; (ii) which occurred after January 1, 2022; and (iii) had a transaction value between $70 million and $500 million. None of the Selected Precedent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reviewed, and none of the companies that participated in such Selected Precedent Transaction, was identical to the Transaction or NCS or Weatherford, respectively. In addition, certain of the Selected Precedent Transactions, and the companies that participated in such Selected Precedent Transaction, may have characteristics that are materially different from those of the Transaction or NCS or Weatherford. However, the Selected Precedent Transactions were selected because certain aspects of the Selected Precedent Transactions, for purposes of Piper Sandler’s analysis, may be considered similar to the Transaction. The analysis necessarily involves complex considerations and judgments concerning differences in financial and operational characteristics of the companies involved in the Selected Precedent Transactions and other factors that could affect the transactions differently than they would affect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Precedent Transactions group was composed of the following transactions: </w:t>
      </w:r>
    </w:p>
    <w:tbl>
      <w:tblPr>
        <w:tblW w:w="8560" w:type="dxa"/>
        <w:jc w:val="left"/>
        <w:tblInd w:w="1393" w:type="dxa"/>
        <w:tblLayout w:type="fixed"/>
        <w:tblCellMar>
          <w:top w:w="0" w:type="dxa"/>
          <w:left w:w="0" w:type="dxa"/>
          <w:bottom w:w="50" w:type="dxa"/>
          <w:right w:w="0" w:type="dxa"/>
        </w:tblCellMar>
      </w:tblPr>
      <w:tblGrid>
        <w:gridCol w:w="3472"/>
        <w:gridCol w:w="109"/>
        <w:gridCol w:w="109"/>
        <w:gridCol w:w="4716"/>
        <w:gridCol w:w="154"/>
      </w:tblGrid>
      <w:tr>
        <w:trPr/>
        <w:tc>
          <w:tcPr>
            <w:tcW w:w="3472"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16" w:type="dxa"/>
            <w:tcBorders>
              <w:bottom w:val="single" w:sz="2" w:space="0" w:color="000000"/>
            </w:tcBorders>
            <w:vAlign w:val="center"/>
          </w:tcPr>
          <w:p>
            <w:pPr>
              <w:pStyle w:val="TableContents"/>
              <w:bidi w:val="0"/>
              <w:spacing w:before="0" w:after="0"/>
              <w:jc w:val="left"/>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Enhanced Well Technologies Group AS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Flowco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Valiant Artificial Lift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Superior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Abaco Energy Technologies,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Global Energy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TXAM Pumps,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ARC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STEP Energy Services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BOLD Production Services,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Ranger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American Well Services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Citadel Casing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Downhole Well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ChampionX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RMSpumptools Limited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Coretrax Technology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NOV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Extract Companies,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Forum Energy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Variperm Holdings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Precision Drilling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CWC Energy Services Corp.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Dril-Quip,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Great North Wellhead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Stratim Cloud Acquisition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Force Pressure Control,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ProPetro Holding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pPr>
            <w:r>
              <w:rPr>
                <w:spacing w:val="4"/>
              </w:rPr>
              <w:t>Silvertip Completion Services Operating, LLC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each of the Selected Precedent Transactions, where information was publicly available or known to Piper Sandler, Piper Sandler determined the transaction value of such Selected Precedent Transaction (“</w:t>
      </w:r>
      <w:r>
        <w:rPr>
          <w:rFonts w:ascii="Times New Roman;Times;serif" w:hAnsi="Times New Roman;Times;serif"/>
          <w:b/>
          <w:i w:val="false"/>
          <w:caps w:val="false"/>
          <w:smallCaps w:val="false"/>
          <w:color w:val="000000"/>
          <w:spacing w:val="-4"/>
          <w:sz w:val="20"/>
        </w:rPr>
        <w:t>Transaction Value</w:t>
      </w:r>
      <w:r>
        <w:rPr>
          <w:rFonts w:ascii="Times New Roman;Times;serif" w:hAnsi="Times New Roman;Times;serif"/>
          <w:b w:val="false"/>
          <w:i w:val="false"/>
          <w:caps w:val="false"/>
          <w:smallCaps w:val="false"/>
          <w:color w:val="000000"/>
          <w:spacing w:val="4"/>
          <w:sz w:val="20"/>
        </w:rPr>
        <w:t>”). Piper Sandler then divided each such Transaction Value by the respective target company’s (i) Adjusted EBITDA for its most recently reported twelve-month period or expected Adjusted EBITDA, as disclosed for the applicable Selected Precedent Transaction, in each case, to the extent available (“</w:t>
      </w:r>
      <w:r>
        <w:rPr>
          <w:rFonts w:ascii="Times New Roman;Times;serif" w:hAnsi="Times New Roman;Times;serif"/>
          <w:b/>
          <w:i w:val="false"/>
          <w:caps w:val="false"/>
          <w:smallCaps w:val="false"/>
          <w:color w:val="000000"/>
          <w:spacing w:val="-4"/>
          <w:sz w:val="20"/>
        </w:rPr>
        <w:t>Historical EBITDA</w:t>
      </w:r>
      <w:r>
        <w:rPr>
          <w:rFonts w:ascii="Times New Roman;Times;serif" w:hAnsi="Times New Roman;Times;serif"/>
          <w:b w:val="false"/>
          <w:i w:val="false"/>
          <w:caps w:val="false"/>
          <w:smallCaps w:val="false"/>
          <w:color w:val="000000"/>
          <w:spacing w:val="4"/>
          <w:sz w:val="20"/>
        </w:rPr>
        <w:t>”), and (ii) Adjusted EBITDA for the first full-year period thereafter (“</w:t>
      </w:r>
      <w:r>
        <w:rPr>
          <w:rFonts w:ascii="Times New Roman;Times;serif" w:hAnsi="Times New Roman;Times;serif"/>
          <w:b/>
          <w:i w:val="false"/>
          <w:caps w:val="false"/>
          <w:smallCaps w:val="false"/>
          <w:color w:val="000000"/>
          <w:spacing w:val="-4"/>
          <w:sz w:val="20"/>
        </w:rPr>
        <w:t>Projected EBITDA</w:t>
      </w:r>
      <w:r>
        <w:rPr>
          <w:rFonts w:ascii="Times New Roman;Times;serif" w:hAnsi="Times New Roman;Times;serif"/>
          <w:b w:val="false"/>
          <w:i w:val="false"/>
          <w:caps w:val="false"/>
          <w:smallCaps w:val="false"/>
          <w:color w:val="000000"/>
          <w:spacing w:val="4"/>
          <w:sz w:val="20"/>
        </w:rPr>
        <w:t xml:space="preserve">”), to determine the Transaction Value / Historical EBITDA multiple and the Transaction Value / Projected EBITDA multiple for each target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Transaction Value / Historical EBITDA and Transaction Value / Projected EBITDA multiples for the Selected Precedent Transactions: </w:t>
      </w:r>
    </w:p>
    <w:tbl>
      <w:tblPr>
        <w:tblW w:w="5747" w:type="dxa"/>
        <w:jc w:val="left"/>
        <w:tblInd w:w="1393" w:type="dxa"/>
        <w:tblLayout w:type="fixed"/>
        <w:tblCellMar>
          <w:top w:w="0" w:type="dxa"/>
          <w:left w:w="0" w:type="dxa"/>
          <w:bottom w:w="28" w:type="dxa"/>
          <w:right w:w="0" w:type="dxa"/>
        </w:tblCellMar>
      </w:tblPr>
      <w:tblGrid>
        <w:gridCol w:w="1180"/>
        <w:gridCol w:w="109"/>
        <w:gridCol w:w="109"/>
        <w:gridCol w:w="254"/>
        <w:gridCol w:w="254"/>
        <w:gridCol w:w="1232"/>
        <w:gridCol w:w="257"/>
        <w:gridCol w:w="109"/>
        <w:gridCol w:w="109"/>
        <w:gridCol w:w="252"/>
        <w:gridCol w:w="252"/>
        <w:gridCol w:w="1221"/>
        <w:gridCol w:w="255"/>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 Value /</w:t>
            </w:r>
            <w:r>
              <w:rPr/>
              <w:t>​</w:t>
              <w:br/>
            </w:r>
            <w:r>
              <w:rPr>
                <w:spacing w:val="-3"/>
              </w:rPr>
              <w:t xml:space="preserve">Historical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Value / </w:t>
            </w:r>
            <w:r>
              <w:rPr/>
              <w:br/>
            </w:r>
            <w:r>
              <w:rPr>
                <w:spacing w:val="-3"/>
              </w:rPr>
              <w:t xml:space="preserve">Projected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5.0x</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6.1x</w:t>
            </w:r>
          </w:p>
        </w:tc>
        <w:tc>
          <w:tcPr>
            <w:tcW w:w="2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000000"/>
            </w:tcBorders>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tcMar>
              <w:bottom w:w="50" w:type="dxa"/>
            </w:tcMar>
            <w:vAlign w:val="center"/>
          </w:tcPr>
          <w:p>
            <w:pPr>
              <w:pStyle w:val="TableContents"/>
              <w:bidi w:val="0"/>
              <w:spacing w:before="0" w:after="283"/>
              <w:jc w:val="right"/>
              <w:rPr/>
            </w:pPr>
            <w:r>
              <w:rPr/>
              <w:t>3.8x</w:t>
            </w:r>
          </w:p>
        </w:tc>
        <w:tc>
          <w:tcPr>
            <w:tcW w:w="2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tcMar>
              <w:bottom w:w="50" w:type="dxa"/>
            </w:tcMar>
            <w:vAlign w:val="center"/>
          </w:tcPr>
          <w:p>
            <w:pPr>
              <w:pStyle w:val="TableContents"/>
              <w:bidi w:val="0"/>
              <w:spacing w:before="0" w:after="283"/>
              <w:jc w:val="right"/>
              <w:rPr/>
            </w:pPr>
            <w:r>
              <w:rPr/>
              <w:t>4.1x</w:t>
            </w:r>
          </w:p>
        </w:tc>
        <w:tc>
          <w:tcPr>
            <w:tcW w:w="25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shd w:fill="CCEEFF" w:val="clear"/>
            <w:tcMar>
              <w:bottom w:w="50" w:type="dxa"/>
            </w:tcMar>
            <w:vAlign w:val="center"/>
          </w:tcPr>
          <w:p>
            <w:pPr>
              <w:pStyle w:val="TableContents"/>
              <w:bidi w:val="0"/>
              <w:spacing w:before="0" w:after="283"/>
              <w:jc w:val="right"/>
              <w:rPr/>
            </w:pPr>
            <w:r>
              <w:rPr/>
              <w:t>3.8x</w:t>
            </w:r>
          </w:p>
        </w:tc>
        <w:tc>
          <w:tcPr>
            <w:tcW w:w="25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shd w:fill="CCEEFF" w:val="clear"/>
            <w:tcMar>
              <w:bottom w:w="50" w:type="dxa"/>
            </w:tcMar>
            <w:vAlign w:val="center"/>
          </w:tcPr>
          <w:p>
            <w:pPr>
              <w:pStyle w:val="TableContents"/>
              <w:bidi w:val="0"/>
              <w:spacing w:before="0" w:after="283"/>
              <w:jc w:val="right"/>
              <w:rPr/>
            </w:pPr>
            <w:r>
              <w:rPr/>
              <w:t>4.2x</w:t>
            </w:r>
          </w:p>
        </w:tc>
        <w:tc>
          <w:tcPr>
            <w:tcW w:w="25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2.5x</w:t>
            </w:r>
          </w:p>
        </w:tc>
        <w:tc>
          <w:tcPr>
            <w:tcW w:w="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2.1x</w:t>
            </w:r>
          </w:p>
        </w:tc>
        <w:tc>
          <w:tcPr>
            <w:tcW w:w="25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(i) multiplied the Transaction Value / Historical EBITDA multiple by NCS’s Historical EBITDA and (ii) multiplied the Transaction Value / Projected EBITDA multiple by NCS’s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Projected EBITDA, in each case, to calculate an implied transaction value for NCS using such multiples. Piper Sandler then subtracted NCS’s Net Debt and the value of NCS’s non-controlling interest in the Repeat Precision joint venture, in each case, as provided by management of NCS and approved for Piper Sandler’s use by management of NCS, from the resulting implied transaction values to derive implied equity values for NCS using such multiples. Piper Sandler divided each of the resulting implied equity values by the number of fully diluted outstanding shares of NCS Common Stock as of as of May 29, 2026, accounting for all outstanding stock options, as well as unvested restricted stock units and performance stock units, as provided by management of NCS and approved for Piper Sandler’s use by management of NCS, to derive (i) the corresponding implied prices per share of NCS Common Stock, rounded to the nearest $0.01, and (ii)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543" w:type="dxa"/>
        <w:jc w:val="left"/>
        <w:tblInd w:w="543" w:type="dxa"/>
        <w:tblLayout w:type="fixed"/>
        <w:tblCellMar>
          <w:top w:w="0" w:type="dxa"/>
          <w:left w:w="0" w:type="dxa"/>
          <w:bottom w:w="28" w:type="dxa"/>
          <w:right w:w="0" w:type="dxa"/>
        </w:tblCellMar>
      </w:tblPr>
      <w:tblGrid>
        <w:gridCol w:w="107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CCEEFF"/>
            </w:tcBorders>
            <w:shd w:fill="CCEEFF" w:val="clear"/>
            <w:vAlign w:val="center"/>
          </w:tcPr>
          <w:p>
            <w:pPr>
              <w:pStyle w:val="TableContents"/>
              <w:bidi w:val="0"/>
              <w:spacing w:before="0" w:after="0"/>
              <w:ind w:left="200" w:right="0" w:hanging="200"/>
              <w:jc w:val="left"/>
              <w:rPr/>
            </w:pPr>
            <w:r>
              <w:rPr>
                <w:spacing w:val="4"/>
              </w:rPr>
              <w:t xml:space="preserve">Transaction Value / Historical </w:t>
            </w:r>
            <w:r>
              <w:rPr/>
              <w:br/>
            </w:r>
            <w:r>
              <w:rPr>
                <w:spacing w:val="4"/>
              </w:rPr>
              <w:t xml:space="preserve">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2.5x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40.31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39.94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27.46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0"/>
              <w:ind w:left="200" w:right="0" w:hanging="200"/>
              <w:jc w:val="left"/>
              <w:rPr/>
            </w:pPr>
            <w:r>
              <w:rPr>
                <w:spacing w:val="4"/>
              </w:rPr>
              <w:t xml:space="preserve">Transaction Value / Projected </w:t>
            </w:r>
            <w:r>
              <w:rPr/>
              <w:br/>
            </w:r>
            <w:r>
              <w:rPr>
                <w:spacing w:val="4"/>
              </w:rPr>
              <w:t xml:space="preserve">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6.1x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4.1x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4.2x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2.1x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tcMar>
              <w:bottom w:w="37" w:type="dxa"/>
            </w:tcMar>
            <w:vAlign w:val="center"/>
          </w:tcPr>
          <w:p>
            <w:pPr>
              <w:pStyle w:val="TableContents"/>
              <w:bidi w:val="0"/>
              <w:spacing w:before="0" w:after="0"/>
              <w:jc w:val="right"/>
              <w:rPr>
                <w:b/>
              </w:rPr>
            </w:pPr>
            <w:r>
              <w:rPr>
                <w:b/>
              </w:rPr>
              <w:t>43.86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conducted a discounted cash flow analysis to calculate an estimated fully diluted price per share of NCS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herein as the “present value.” The present value of all future cash flows generated by an asset for periods beyond the projections period is referred to herein as the “terminal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Piper Sandler first calculated the unlevered free cash flows that NCS is expected to generate during the period from the second half of fiscal year 2026 through fiscal year 2030, based upon the Financial Projections, which were provided by management of NCS, and approved for Piper Sandler’s use by management of NCS, and as set forth in this information statement/prospectus under the heading, “— </w:t>
      </w:r>
      <w:r>
        <w:rPr>
          <w:rFonts w:ascii="Times New Roman;Times;serif" w:hAnsi="Times New Roman;Times;serif"/>
          <w:b w:val="false"/>
          <w:i/>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Piper Sandler then calculated a range of terminal values for NCS by applying terminal exit multiples, ranging from 4.2x to 5.2x, to NCS’s projected Adjusted EBITDA for calendar year 2030, which multiples were selected by Piper Sandler based on the median of the LTM EV/Adjusted EBITDA ratios of the Selected Public Companies, as well as Piper Sandler’s industry experience and professional judgment. The unlevered free cash flows and the range of terminal values were then discounted to present values using discount rates ranging from 11.0% to 15.0% of the weighted average cost of capital of NCS, which range of discount rates was selected by Piper Sandler using its industry experience and professional judgment. The present value of the unlevered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flows and the range of terminal values were then adjusted for NCS’s: (i) forecasted Net Debt as of June 30, 2026; (ii) valuation of its net operating loss carryforward and tax credits as of June 30, 2026; and (iii) forecasted value of NCS’s non-controlling interest in the Repeat Precision joint venture as of June 30, 2026, and divided by the number of fully diluted shares of NCS Common Stock as of May 29, 2026, accounting for all outstanding stock options, as well as unvested restricted stock units and performance stock units, in each case, as provided by management of NCS and approved for Piper Sandler’s use by management of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results of this analysis, Piper Sandler calculated an implied price per share of NCS Common Stock, rounded to the nearest $0.01, of $61.56 to $77.70 (the “</w:t>
      </w:r>
      <w:r>
        <w:rPr>
          <w:rFonts w:ascii="Times New Roman;Times;serif" w:hAnsi="Times New Roman;Times;serif"/>
          <w:b/>
          <w:i w:val="false"/>
          <w:caps w:val="false"/>
          <w:smallCaps w:val="false"/>
          <w:color w:val="000000"/>
          <w:spacing w:val="-4"/>
          <w:sz w:val="20"/>
        </w:rPr>
        <w:t>NCS DCF Low Value</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i w:val="false"/>
          <w:caps w:val="false"/>
          <w:smallCaps w:val="false"/>
          <w:color w:val="000000"/>
          <w:spacing w:val="-4"/>
          <w:sz w:val="20"/>
        </w:rPr>
        <w:t>NCS DCF High Value</w:t>
      </w:r>
      <w:r>
        <w:rPr>
          <w:rFonts w:ascii="Times New Roman;Times;serif" w:hAnsi="Times New Roman;Times;serif"/>
          <w:b w:val="false"/>
          <w:i w:val="false"/>
          <w:caps w:val="false"/>
          <w:smallCaps w:val="false"/>
          <w:color w:val="000000"/>
          <w:spacing w:val="4"/>
          <w:sz w:val="20"/>
        </w:rPr>
        <w:t xml:space="preserve">,” respectively). Piper Sandler then used the results of the foregoing analysis to calculate a range of implied exchange ratios, rounded to the nearest 0.001, of 0.594 to 0.750, calculated by dividing the implied prices per share of NCS Common Stock by $103.64, the closing price per Weatherford Ordinary Share as of May 29, 2026 (the last trading day before the announcement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range of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to the particular circumstances. Therefore, a financial opinion is not readily susceptible to summary description. In arriving at the Piper Sandler opinion, Piper Sandler did not draw, in isolation, conclusions from or with regard to any factor or analysis that it considered. Rather, Piper Sandler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financial analyses and the Piper Sandler opinion were only one of many factors taken into consideration by the NCS Board in its evaluation of the Transaction. Consequently, the analyses described above should not be viewed as determinative of the views of the NCS Board or management of NCS with respect to the Share Consideration or as to whether the NCS Board would have been willing to determine that a different consideration was fair. The consideration for the Transaction was determined through arm’s length negotiations between NCS and Weatherford and was approved by the NCS Board. Piper Sandler provided advice to the NCS Board during these negotiations. Piper Sandler did not, however, recommend any specific amount of consideration to the NCS Board or that any specific amount of consideration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selected Piper Sandler as its financial advisor in connection with the Transaction based on, among other factors, its qualifications, professional reputation and industry expertise. Piper Sandler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Piper Sandler’s services as the financial advisor to the NCS Board, NCS agreed to pay Piper Sandler a fee of $5,000,000, which is payable contingent upon consummation of the Transaction. NCS also agreed to pay Piper Sandler a fee of $500,000, which was earned by Piper Sandler upon delivery of the Piper Sandler opinion and which is not contingent upon consummation of the Transaction or the conclusions reached in the Piper Sandler opinion. All of the $500,000 fairness opinion fee is creditable against the $5,000,000 Transaction consummation fee if the Transaction closes within six months of the date of the opinion, otherwise, 50% of the $500,000 fairness opinion fee is creditable against the $5,000,000 Transaction consummation fee. NCS also agreed to indemnify Piper Sandler against certain liabilities and reimburse Piper Sandler for certain expenses in connection with Piper Sandler’s services. Piper Sandler is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N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firm engaged in securities trading and brokerage activities and providing investment banking and financial advisory services. As the NCS Board was aware, during the two-year period preceding the date of the Piper Sandler opinion, Piper Sandler has earned approximately $1.1 million in underwriting fees across three capital markets transactions for Advent. Except as provided above in connection with this Transaction, over the past two years, Piper Sandler had not provided investment banking or financial advisory services to Weatherford or NCS for which Piper Sandler received any compensation. Piper Sandler may, in the future, provide investment banking and financial advisory services to NCS or Weatherford (and any of their affiliates) for which Piper Sandler would expect to receive compensation. In addition, in the ordinary course of its business, Piper Sandler and its affiliates may actively trade securities of NCS or Weatherford for its own account or the account of its customers and, accordingly, may at any time hold a long or short position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may not be published without the prior written consent of Piper Sandler, which consent was obtained for the purposes of the inclusion of the Piper Sandler opinion and the summary thereof in this information statement/prospectus. 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investment recommendations and/or publish research reports with respect to the Transaction and other participants in the Transaction that differ from the opinions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Weatherford’s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NCS’s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NCS’s directors and executive officers may have interests in the Transaction, including financial interests, that may differ from, or may be in addition to, the interests of NCS stockholders generally. These interests are described with more particularity below, and the NCS Board was aware of and considered these interests, among other matters, in evaluating and negotiating the Merger Agreement, in reaching its decision to approve the Merger Agreement and the consummation of the Transaction, and in recommending that the NCS stockholders adopt the Merger Agreement. For additional information on the NCS Board’s consideration of the Transaction and the factors the NCS Board considered in reaching its decision to approve the Merger Agreement, see the sections of this information statement/prospectus titled “— </w:t>
      </w:r>
      <w:r>
        <w:rPr>
          <w:rFonts w:ascii="Times New Roman;Times;serif" w:hAnsi="Times New Roman;Times;serif"/>
          <w:b w:val="false"/>
          <w:i/>
          <w:caps w:val="false"/>
          <w:smallCaps w:val="false"/>
          <w:color w:val="000000"/>
          <w:spacing w:val="4"/>
          <w:sz w:val="20"/>
        </w:rPr>
        <w:t>Background of the Transaction</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The closing of the Transaction is expected to constitute a “change of control” ​(or similar phrase) for purposes of each of the NCS compensation plans and agreements described below,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named executive officers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who are the individuals identified as such in NCS’s most recent definitive proxy statement filed with the SEC, for 2025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Chief Executive Officer;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 Willems, Chief Operations Officer; and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Morrison, Chief Financial Officer and Treasurer.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executive officers who are not NEOs and non-employee directors as of December 31, 2025 were: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 Lev, Executive Vice President, General Counsel and Secretary;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McShane, Director and Chairman;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Nipper,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Deane, Director; </w:t>
      </w:r>
      <w:r>
        <mc:AlternateContent>
          <mc:Choice Requires="wps">
            <w:drawing>
              <wp:anchor behindDoc="0" distT="0" distB="0" distL="254000" distR="0" simplePos="0" locked="0" layoutInCell="1" allowOverlap="1" relativeHeight="191">
                <wp:simplePos x="0" y="0"/>
                <wp:positionH relativeFrom="column">
                  <wp:align>left</wp:align>
                </wp:positionH>
                <wp:positionV relativeFrom="line">
                  <wp:posOffset>635</wp:posOffset>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Matt Ralls, Director;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Valerie Mitchell, Director; and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Gurinder Grewal, Director.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Ownership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directors and executive officers beneficially own shares of NCS Common Stock and, accordingly, will be eligible to receive Weatherford Ordinary Shares as Merger Consideration for the shares of NCS Common Stock they own at the Effective Time. For information regarding the beneficial ownership of NCS Common Stock by NCS’s directors and NEOs individually and all NCS directors and executive officers as a group, see the section of this information statement/prospectus titled “</w:t>
      </w:r>
      <w:r>
        <w:rPr>
          <w:rFonts w:ascii="Times New Roman;Times;serif" w:hAnsi="Times New Roman;Times;serif"/>
          <w:b w:val="false"/>
          <w:i/>
          <w:caps w:val="false"/>
          <w:smallCaps w:val="false"/>
          <w:color w:val="000000"/>
          <w:spacing w:val="4"/>
          <w:sz w:val="20"/>
        </w:rPr>
        <w:t>Information About Certain NCS Beneficial Owners</w:t>
      </w:r>
      <w:r>
        <w:rPr>
          <w:rFonts w:ascii="Times New Roman;Times;serif" w:hAnsi="Times New Roman;Times;serif"/>
          <w:b w:val="false"/>
          <w:i w:val="false"/>
          <w:caps w:val="false"/>
          <w:smallCaps w:val="false"/>
          <w:color w:val="000000"/>
          <w:spacing w:val="4"/>
          <w:sz w:val="20"/>
        </w:rPr>
        <w:t xml:space="preserve">.” For information regarding the Merger Consideration to be issued to NCS shareholders in the Transaction, see the sections of this information statement/prospectus titled “— </w:t>
      </w:r>
      <w:r>
        <w:rPr>
          <w:rFonts w:ascii="Times New Roman;Times;serif" w:hAnsi="Times New Roman;Times;serif"/>
          <w:b w:val="false"/>
          <w:i/>
          <w:caps w:val="false"/>
          <w:smallCaps w:val="false"/>
          <w:color w:val="000000"/>
          <w:spacing w:val="4"/>
          <w:sz w:val="20"/>
        </w:rPr>
        <w:t>Exchange of Shares; Elections as to Form of Consideration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Election Procedures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Equity Awards Held by NCS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information about the outstanding NCS equity awards held by NCS’s executive officers and directors as of June 29, 2026, including the number of shares of NCS Common Stock subject to the awards and the estimated values of the awards. The estimated values assume a value per share of NCS Common Stock of $53.17 (which, in accordance with SEC requirements, is the average closing price of NCS Common Stock over the first five Business Days following the first public announcement of the Transaction). Immediately prior to the Effective Time, the vesting of the NCS RSUs held by the directors will accelerate on a “single trigger” basis, and such NCS RSUs and deferred NCS DSUs held by the directors will be settled. At the Effective Time, each of the NCS equity awards other than NCS Stock Options that have a per share exercise price equal to or greater than the Merger Consideration held by the executive officers will be converted to an award covering Weatherford Ordinary Shares (see the section above titled “</w:t>
      </w:r>
      <w:r>
        <w:rPr>
          <w:rFonts w:ascii="Times New Roman;Times;serif" w:hAnsi="Times New Roman;Times;serif"/>
          <w:b w:val="false"/>
          <w:i/>
          <w:caps w:val="false"/>
          <w:smallCaps w:val="false"/>
          <w:color w:val="000000"/>
          <w:spacing w:val="4"/>
          <w:sz w:val="20"/>
        </w:rPr>
        <w:t>Treatment of NCS Equity Awards and Employee Stock Purchase Plan</w:t>
      </w:r>
      <w:r>
        <w:rPr>
          <w:rFonts w:ascii="Times New Roman;Times;serif" w:hAnsi="Times New Roman;Times;serif"/>
          <w:b w:val="false"/>
          <w:i w:val="false"/>
          <w:caps w:val="false"/>
          <w:smallCaps w:val="false"/>
          <w:color w:val="000000"/>
          <w:spacing w:val="4"/>
          <w:sz w:val="20"/>
        </w:rPr>
        <w:t>”). Pursuant to the Merger Agreement, each outstanding NCS Stock Option that has a per share exercise price equal to or greater than the Merger Consideration will be canceled at the Effective Time without consideration and will have no further force or effect. Pursuant to the terms of the executive officers’ employment agreements, the vesting of the converted awards will accelerate on a “double trigger” basis on a qualifying termination of employment following the Effective Time (see below under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w:t>
      </w:r>
    </w:p>
    <w:tbl>
      <w:tblPr>
        <w:tblW w:w="12527" w:type="dxa"/>
        <w:jc w:val="left"/>
        <w:tblInd w:w="543" w:type="dxa"/>
        <w:tblLayout w:type="fixed"/>
        <w:tblCellMar>
          <w:top w:w="0" w:type="dxa"/>
          <w:left w:w="0" w:type="dxa"/>
          <w:bottom w:w="28" w:type="dxa"/>
          <w:right w:w="0" w:type="dxa"/>
        </w:tblCellMar>
      </w:tblPr>
      <w:tblGrid>
        <w:gridCol w:w="1045"/>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0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56"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558,551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2,934,612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973,117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248,410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458,538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245,007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1,384,175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452,264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pPr>
            <w:r>
              <w:rPr>
                <w:spacing w:val="4"/>
              </w:rPr>
              <w:t>Ori Lev</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192,954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1,090,131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356,186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283"/>
              <w:jc w:val="left"/>
              <w:rPr/>
            </w:pPr>
            <w:r>
              <w:rPr>
                <w:spacing w:val="-4"/>
              </w:rPr>
              <w:t>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Robert Nipper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John Deane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1,342,862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940,003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at the Effective Time, the applicable performance goals for the outstanding NCS PSUs will be deemed satisfied at the greater of target and the actual level of achievement of the performance goals as of the date of the Merger Agreement, as determined by the NCS Board or an applicable committee thereof following prior consultation with Weatherford. In accordance with that determination, the number of shares of NCS Common Stock subject to, and the estimated values of, the NCS PSUs shown in these two columns reflect the deemed satisfaction of the performance goals for the NCS PSUs that were granted in 2024, 2025 and 2026 at maximum (which is 125% of target), target and target, respectively. </w:t>
      </w:r>
      <w:r>
        <mc:AlternateContent>
          <mc:Choice Requires="wps">
            <w:drawing>
              <wp:anchor behindDoc="0" distT="9779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Lev holds a vested NCS Stock Option to purchase 632 shares of NCS Common Stock at an exercise price per share of $340, which is scheduled to expire on April 27, 2027. Pursuant to the Merger Agreement, since each outstanding NCS Stock Option held by Mr. Lev has a per share exercise price greater than the Merger Consideration, Mr. Lev’s NCS Stock Options will be canceled at the Effective Time without consideration and will have no further force or effect. No other executive officers or directors hold NCS Stock Options.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699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is party to an employment agreement with each of its executive officers, each of which was amended and restated as of July 17, 2024. Each agreement provides for the following enhanced severance benefits if, within 24 months after a “change of control” ​(which will occur at the Effective Time),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severance in an amount equal to two times (or, in the case of Mr. Hummer, three times) the sum of the executive officer’s (i) base salary and (ii) target annual bonus, payable over the 12-month period following the termination date;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equal to the pro-rated annual bonus the executive officer would have received for the year of termination, based on actual performance for such year, and payable on the regular payment date in the following year;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the executive officer’s unvested equity awards; and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executive officer’s timely election for coverage under COBRA, a cash payment equal to the full premium for actively employed executives for up to 24 months.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executive officers’ employment terminated under such circumstances immediately following the Effective Time, then assuming the Effective Time had occurred on June 29, 2026 and that the pro-rated annual bonuses for 2026 are earned in the target amounts, the estimated aggregate amount of the cash severance, pro-rated annual bonus and COBRA payment for each executive officer would be $3,662,672 for Mr. Hummer, $1,679,026 for Mr. Willems, $1,582,292 for Mr. Morrison and $1,350,139 for Mr. Lev. For estimates of the values of the unvested equity awards held by the executive officers that would accelerate on such termination, see above under “NCS Equity Awards Held by NCS Directors and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prior to, or more than 24 months after, a change of control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the executive officer will receive the same payments and benefit as described above, except that (a) the severance multiple will be one times (or, in the case of Mr. Hummer, two times) the sum of the executive officer’s (i) base salary and (ii) target annual bonus and (b) the executive officer’s unvested equity awards will continue to vest in accordance with the applicable existing vesting schedules.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“cause” to mean the executive officer’s: (i) indictment for, conviction of, or plea of guilty or no contest to, any indictable criminal offense or any other criminal offense involving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fraud, misappropriation or moral turpitude; (ii) continued failure to materially perform his duties under the agreement (for any reason other than illness or physical or mental incapacity) or a material breach of fiduciary duty; (iii) theft, fraud, or dishonesty with regard to NCS or any of its affiliates or in connection with the executive officer’s duties; (iv) material violation of NCS’s code of conduct or similar written policies; (v) willful misconduct unrelated to NCS or any of its affiliates having, or likely to have, a material negative impact on NCS or any of its affiliates (economically or reputationally); (vi) act of gross negligence or willful misconduct that relates to NCS’s or any of its affiliates’ affairs; or (vii) material breach of any provisions of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“good reason” to mean, without the executive officer’s consent: (i) any material diminution in the executive officer’s responsibilities, authorities, title, reporting structure or duties; (ii) any material reduction in the executive officer’s base salary or target annual bonus opportunity (except in the event of an across the board reduction in base salary or target annual bonus opportunity of up to 10% applicable to substantially all of NCS’s senior executives); (iii) a relocation of the executive officer’s principal place of employment by more than 50 miles from the location on the effective date of the agreement and such place is more than 50 miles from the executive officer’s principal residence; or (iv) a material breach by NCS of any provisions of the agreement; provided that the executive officer has given NCS written notice of the “good reason” event within 60 days following the occurrence of the event, and NCS does not cure the event within 60 days following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include perpetual confidentiality and non-disparagement provisions, and provisions relating to non-competition and non-solicitation that apply during the executive officer’s employment and for one year following termination of employment. Pursuant to the NCS Disclosure Letter, NCS has agreed to use reasonable best efforts to amend each of the employment agreements to extend the non-competition covenant to three years following termination of employment for Mr. Hummer and two years following termination of employment for each of the other executive officers. As of the date of this information statement/prospectus, the employment agreements have not been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Compensation Arrangements with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the 12-month period following the Effective Time, pursuant to the Merger Agreement, Weatherford will provide, or will cause its affiliates to provide, each employee of NCS or its subsidiaries as of immediately prior to the Effective Time with certain compensation and benefits arrangements, and accordingly, such employees may enter into new individualized compensation arrangements and may participate in cash or equity incentive or other benefit plans maintained by Weatherford. As of the date of this information statement/prospectus, no such compensation and benefits arrangements have been established. For additional information about the compensation and benefits arrangements that Weatherford will provide to employees of NCS or its subsidiaries as of immediately prior to the Effective Time, please see the section of this information statement/prospectus titled “</w:t>
      </w:r>
      <w:r>
        <w:rPr>
          <w:rFonts w:ascii="Times New Roman;Times;serif" w:hAnsi="Times New Roman;Times;serif"/>
          <w:b w:val="false"/>
          <w:i/>
          <w:caps w:val="false"/>
          <w:smallCaps w:val="false"/>
          <w:color w:val="000000"/>
          <w:spacing w:val="4"/>
          <w:sz w:val="20"/>
        </w:rPr>
        <w:t>The Merger Agreement —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and Officers’ 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certain current and former directors and executive officers of NCS and its subsidiaries will be entitled to ongoing indemnification and coverage under directors’ and officers’ liability and fiduciary liability insurance policies following the completion of the Transaction. See the section of this information statement/prospectus titled “</w:t>
      </w:r>
      <w:r>
        <w:rPr>
          <w:rFonts w:ascii="Times New Roman;Times;serif" w:hAnsi="Times New Roman;Times;serif"/>
          <w:b w:val="false"/>
          <w:i/>
          <w:caps w:val="false"/>
          <w:smallCaps w:val="false"/>
          <w:color w:val="000000"/>
          <w:spacing w:val="4"/>
          <w:sz w:val="20"/>
        </w:rPr>
        <w:t>The Merger Agreement — Directors’ and Officers’ Indemnification and Insurance</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Management of NCS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the directors and officers of Merger Sub as of immediately prior to the Effective Time will become the directors and officers of NCS, as the surviving corporation of the merger with Merger Sub, upon completion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the payments and benefits that each of the NEOs would have received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Effective Time had occurred on June 29, 2026 and, immediately thereafter, each NEO had experienced a qualifying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below have been calculated assuming that (a) the value per share of NCS Common Stock at the Effective Time is $53.17 (which, in accordance with SEC requirements, is the average closing price of NCS Common Stock over the first five Business Days following the first public announcement of the Transaction), (b) none of the NEOs receives any additional equity awards or increases in base salary or target annual bonus before the Effective Time, (c) each NEOs executes the release of claims necessary to receive the “double trigger” payments below, and (d) each NEO timely elects coverage under COBRA and is eligible for such coverage for 24 months. As a result of these assumptions, the actual amounts to be received by the NEOs in connection with the Transaction may materially differ from the amounts below. </w:t>
      </w:r>
    </w:p>
    <w:tbl>
      <w:tblPr>
        <w:tblW w:w="8347"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09"/>
        <w:gridCol w:w="109"/>
        <w:gridCol w:w="1066"/>
        <w:gridCol w:w="109"/>
        <w:gridCol w:w="109"/>
        <w:gridCol w:w="109"/>
        <w:gridCol w:w="120"/>
        <w:gridCol w:w="120"/>
        <w:gridCol w:w="852"/>
        <w:gridCol w:w="122"/>
        <w:gridCol w:w="109"/>
        <w:gridCol w:w="109"/>
        <w:gridCol w:w="109"/>
        <w:gridCol w:w="109"/>
        <w:gridCol w:w="1066"/>
        <w:gridCol w:w="109"/>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3,607,714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4,466,280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54,958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8,128,952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1,645,458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33,568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3,789,370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1,527,600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2,081,446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54,692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cash severance and pro-rated annual bonus that would be payable to each NEO under his employment agreement on a qualifying termination of employment within 24 months after the Effective Time, assuming that the pro-rated annual bonus is earned in the target amount. For a further explanation of the calculations for the severance payment and pro-rated annual bonus, see the section titled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above. The breakdown of these payments is as follows: </w:t>
      </w:r>
      <w:r>
        <mc:AlternateContent>
          <mc:Choice Requires="wps">
            <w:drawing>
              <wp:anchor behindDoc="0" distT="10541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428"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36"/>
        <w:gridCol w:w="136"/>
        <w:gridCol w:w="1109"/>
        <w:gridCol w:w="136"/>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7" w:type="dxa"/>
            <w:gridSpan w:val="4"/>
            <w:tcBorders>
              <w:bottom w:val="single" w:sz="2" w:space="0" w:color="000000"/>
            </w:tcBorders>
            <w:vAlign w:val="center"/>
          </w:tcPr>
          <w:p>
            <w:pPr>
              <w:pStyle w:val="TableContents"/>
              <w:bidi w:val="0"/>
              <w:spacing w:before="0" w:after="0"/>
              <w:jc w:val="center"/>
              <w:rPr/>
            </w:pPr>
            <w:r>
              <w:rPr>
                <w:spacing w:val="-3"/>
              </w:rPr>
              <w:t>Pro-Rated</w:t>
            </w:r>
            <w:r>
              <w:rPr/>
              <w:t xml:space="preserve"> </w:t>
              <w:br/>
            </w:r>
            <w:r>
              <w:rPr>
                <w:spacing w:val="-3"/>
              </w:rPr>
              <w:t>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3,305,813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301,901</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1,473,370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172,088</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1,376,726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150,874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acceleration of each NEO’s unvested equity awards under his employment agreement on a qualifying termination of employment within 24 months after the Effective Time. For breakdowns of these amounts by type of NCS equity award, see the section titled “</w:t>
      </w:r>
      <w:r>
        <w:rPr>
          <w:rFonts w:ascii="Times New Roman;Times;serif" w:hAnsi="Times New Roman;Times;serif"/>
          <w:b w:val="false"/>
          <w:i/>
          <w:caps w:val="false"/>
          <w:smallCaps w:val="false"/>
          <w:color w:val="000000"/>
          <w:spacing w:val="4"/>
          <w:sz w:val="20"/>
        </w:rPr>
        <w:t>NCS Equity Awards Held by NCS Directors and Executive Officers</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254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reflect the “double trigger” cash payment equal to the full COBRA premium for actively employed executives for 24 months that would be payable to each NEO under his employment agreement on a qualifying termination of employment within 24 months after the Effective Time. </w:t>
      </w:r>
      <w:r>
        <mc:AlternateContent>
          <mc:Choice Requires="wps">
            <w:drawing>
              <wp:anchor behindDoc="0" distT="5334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description of Weatherford’s and NCS’s existing indebtedness, please see </w:t>
      </w:r>
      <w:hyperlink r:id="rId9">
        <w:r>
          <w:rPr>
            <w:rStyle w:val="InternetLink"/>
          </w:rPr>
          <w:t>Weatherford’s Quarterly Report on Form 10-Q for the three months ended March 31, 2026, filed on April 22,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NCS’s Quarterly Report on Form 10-Q for the three months ended March 31, 2026, filed on April 30, 2026</w:t>
        </w:r>
      </w:hyperlink>
      <w:r>
        <w:rPr>
          <w:rFonts w:ascii="Times New Roman;Times;serif" w:hAnsi="Times New Roman;Times;serif"/>
          <w:b w:val="false"/>
          <w:i w:val="false"/>
          <w:caps w:val="false"/>
          <w:smallCaps w:val="false"/>
          <w:color w:val="000000"/>
          <w:spacing w:val="4"/>
          <w:sz w:val="20"/>
        </w:rPr>
        <w:t xml:space="preserve">, respectively, each of which is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treatment of NCS’s existing indebtedness under the Merger Agreement, please see the section titled “</w:t>
      </w:r>
      <w:r>
        <w:rPr>
          <w:rFonts w:ascii="Times New Roman;Times;serif" w:hAnsi="Times New Roman;Times;serif"/>
          <w:b w:val="false"/>
          <w:i/>
          <w:caps w:val="false"/>
          <w:smallCaps w:val="false"/>
          <w:color w:val="000000"/>
          <w:spacing w:val="4"/>
          <w:sz w:val="20"/>
        </w:rPr>
        <w:t>The Merger Agreement — Actions with Respect to NCS Debt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does not constitute an offer to sell or the solicitation of an offer to buy any debt securities of Weatherford or NCS. It does not constitute a prospectus or prospectus equivalent document for any such securities. No offering of any debt securities of Weatherford shall be made except by means of a prospectus meeting the requirements of Section 10 of the Securities Act or an exemption therefrom.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T"/>
      <w:bookmarkEnd w:id="19"/>
      <w:r>
        <w:rPr>
          <w:rFonts w:ascii="calibri;arial;sans-serif" w:hAnsi="calibri;arial;sans-serif"/>
          <w:b w:val="false"/>
          <w:i w:val="false"/>
          <w:caps w:val="false"/>
          <w:smallCaps w:val="false"/>
          <w:color w:val="000000"/>
          <w:sz w:val="16"/>
        </w:rPr>
        <w:t>​</w:t>
      </w:r>
      <w:bookmarkStart w:id="20" w:name="tMU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not conditioned upon any financing arrangements or contingencies. Weatherford anticipates that the funds needed to complete the Transaction will be derived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discussion of the material U.S. federal income tax consequences of the Transaction to U.S. holders of NCS Common Stock and the ownership and disposition of Weatherford Stock (as defined below) received by U.S. holders in the Transaction. For purposes of this discussion, references to “</w:t>
      </w:r>
      <w:r>
        <w:rPr>
          <w:rFonts w:ascii="Times New Roman;Times;serif" w:hAnsi="Times New Roman;Times;serif"/>
          <w:b/>
          <w:i w:val="false"/>
          <w:caps w:val="false"/>
          <w:smallCaps w:val="false"/>
          <w:color w:val="000000"/>
          <w:spacing w:val="-4"/>
          <w:sz w:val="20"/>
        </w:rPr>
        <w:t>Weatherford Stock</w:t>
      </w:r>
      <w:r>
        <w:rPr>
          <w:rFonts w:ascii="Times New Roman;Times;serif" w:hAnsi="Times New Roman;Times;serif"/>
          <w:b w:val="false"/>
          <w:i w:val="false"/>
          <w:caps w:val="false"/>
          <w:smallCaps w:val="false"/>
          <w:color w:val="000000"/>
          <w:spacing w:val="4"/>
          <w:sz w:val="20"/>
        </w:rPr>
        <w:t xml:space="preserve">” include Weatherford Ordinary Shares (if the Redomestication has not occurred prior to the closing of the Transaction) or WIC common stock (if the Redomestication has occurred prior to the closing of the Transaction),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provisions of the Code, applicable U.S. Treasury regulations, judicial authority, administrative interpretations, and administrative rulings in effect as of the date of this information statement/prospectus, all of which may change, possibly with retroactive effect. Any such change could affect the accuracy of the statements and conclusions set forth in this discussion. No ruling has been, or is expected to be, sought from the IRS with respect to any of the tax consequences discussed below. As a result, there can be no assurances that the IRS will not assert, or that a court would not sustain, a position contrary to any of the conclusions set forth below. This discussion does not address any U.S. state or local, non-U.S. or U.S. federal estate, gift, alternative minimum or Medicare contribution tax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general in nature and does not purport to be a complete analysis of all potential tax effects of the Transaction that might be relevant to particular U.S. holders in light of their individual circumstances. Moreover, this discussion applies only to U.S. holders that hold their NCS Common Stock and will hold their Weatherford Stock as a capital asset within the meaning of Section 1221 of the Code (generally, property held for investment) and does not apply to U.S. holders that are subject to special treatment under U.S. federal income tax laws,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insurance companies and other financial institutions; </w:t>
      </w:r>
      <w:r>
        <mc:AlternateContent>
          <mc:Choice Requires="wps">
            <w:drawing>
              <wp:anchor behindDoc="0" distT="787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874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who elect to apply a mark-to-market method of accounting; </w:t>
      </w:r>
      <w:r>
        <mc:AlternateContent>
          <mc:Choice Requires="wps">
            <w:drawing>
              <wp:anchor behindDoc="0" distT="787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commodities or currencies; </w:t>
      </w:r>
      <w:r>
        <mc:AlternateContent>
          <mc:Choice Requires="wps">
            <w:drawing>
              <wp:anchor behindDoc="0" distT="787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87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in an individual retirement or other tax-deferred account; </w:t>
      </w:r>
      <w:r>
        <mc:AlternateContent>
          <mc:Choice Requires="wps">
            <w:drawing>
              <wp:anchor behindDoc="0" distT="774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74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passive foreign investment companies” or “controlled foreign corporations” and corporations that accumulate earnings to avoid U.S. federal income tax;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NCS Common Stock or Weatherford Stock under the constructive sale provisions of the Code;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as part of a straddle, hedging, conversion, constructive sale or other risk reduction transaction;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purchase or sell NCS Common Stock or Weatherford Stock as part of a wash sale for tax purposes; </w:t>
      </w:r>
      <w:r>
        <mc:AlternateContent>
          <mc:Choice Requires="wps">
            <w:drawing>
              <wp:anchor behindDoc="0" distT="0" distB="0" distL="254000" distR="0" simplePos="0" locked="0" layoutInCell="1" allowOverlap="1" relativeHeight="215">
                <wp:simplePos x="0" y="0"/>
                <wp:positionH relativeFrom="column">
                  <wp:align>left</wp:align>
                </wp:positionH>
                <wp:positionV relativeFrom="line">
                  <wp:posOffset>635</wp:posOffset>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persons who hold interests in such entities; </w:t>
      </w:r>
      <w:r>
        <mc:AlternateContent>
          <mc:Choice Requires="wps">
            <w:drawing>
              <wp:anchor behindDoc="0" distT="850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received their NCS Common Stock or acquire Weatherford Stock through the exercise of employee stock options, as a restricted stock award or otherwise as compensation or in connection with the performance of services or through a tax-qualified retirement plan; </w:t>
      </w:r>
      <w:r>
        <mc:AlternateContent>
          <mc:Choice Requires="wps">
            <w:drawing>
              <wp:anchor behindDoc="0" distT="850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NCS Common Stock or Weatherford Stock being taken into account in a financial statement; </w:t>
      </w:r>
      <w:r>
        <mc:AlternateContent>
          <mc:Choice Requires="wps">
            <w:drawing>
              <wp:anchor behindDoc="0" distT="863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within the five-year period ending on the closing date of the Transaction have owned, directly, indirectly or constructively, 5% or more of the stock of NCS (by vote or value); and </w:t>
      </w:r>
      <w:r>
        <mc:AlternateContent>
          <mc:Choice Requires="wps">
            <w:drawing>
              <wp:anchor behindDoc="0" distT="863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own, directly, indirectly or constructively, 10% or more of the stock of Weatherford (by vote or value). </w:t>
      </w:r>
      <w:r>
        <mc:AlternateContent>
          <mc:Choice Requires="wps">
            <w:drawing>
              <wp:anchor behindDoc="0" distT="863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this discussion does not address the tax consequences to a U.S. holder if the Redomestication has not occurred prior to the closing of the Transaction and such U.S. holder holds NCS Common Stock and will own directly, indirectly or constructively through attribution rules, at least 5% of either the total voting power or total value of Weatherford immediately after the Transaction pursuant to the applicable Treasury Regulations under Section 367 of the Code (a “</w:t>
      </w:r>
      <w:r>
        <w:rPr>
          <w:rFonts w:ascii="Times New Roman;Times;serif" w:hAnsi="Times New Roman;Times;serif"/>
          <w:b/>
          <w:i w:val="false"/>
          <w:caps w:val="false"/>
          <w:smallCaps w:val="false"/>
          <w:color w:val="000000"/>
          <w:spacing w:val="-4"/>
          <w:sz w:val="20"/>
        </w:rPr>
        <w:t>five-percent transferee shareholder</w:t>
      </w:r>
      <w:r>
        <w:rPr>
          <w:rFonts w:ascii="Times New Roman;Times;serif" w:hAnsi="Times New Roman;Times;serif"/>
          <w:b w:val="false"/>
          <w:i w:val="false"/>
          <w:caps w:val="false"/>
          <w:smallCaps w:val="false"/>
          <w:color w:val="000000"/>
          <w:spacing w:val="4"/>
          <w:sz w:val="20"/>
        </w:rPr>
        <w:t xml:space="preserve">”). A U.S. holder who believes that it could become a five-percent transferee shareholder is urged to consult its tax advisor about the special rules and time-sensitive tax procedures, including the requirement to file a gain recognition agreement with the IRS, which might be a precondition to the U.S. holder’s ability to obtain tax-free treatment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NCS Common Stock and, after the Transaction, Weatherford Stock who 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U.S.; </w:t>
      </w:r>
      <w:r>
        <mc:AlternateContent>
          <mc:Choice Requires="wps">
            <w:drawing>
              <wp:anchor behindDoc="0" distT="7874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in or organized under the laws of the U.S., any state thereof or the District of Columbia; </w:t>
      </w:r>
      <w:r>
        <mc:AlternateContent>
          <mc:Choice Requires="wps">
            <w:drawing>
              <wp:anchor behindDoc="0" distT="863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without regard to its source; or </w:t>
      </w:r>
      <w:r>
        <mc:AlternateContent>
          <mc:Choice Requires="wps">
            <w:drawing>
              <wp:anchor behindDoc="0" distT="863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U.S. is able to exercise primary supervision over its administration and one or more U.S. persons have the authority to control all of the substantial decisions of such trust or (ii) it has a valid election in place to be treated as a U.S. person. </w:t>
      </w:r>
      <w:r>
        <mc:AlternateContent>
          <mc:Choice Requires="wps">
            <w:drawing>
              <wp:anchor behindDoc="0" distT="863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NCS Common Stock or, after the Transaction, Weatherford Stock, the tax treatment of a partner in the partnership will depend upon the status of that partner and the activities of the partnership. U.S. holders in a partnership that intends to exchange its NCS Common Stock in the Transaction are urged to consult their tax advisors as to the particular U.S. federal income tax consequences applicable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IS NOT A COMPLETE ANALYSIS OR DESCRIPTION OF ALL POTENTIAL U.S. FEDERAL INCOME TAX CONSEQUENCES OF THE TRANSACTION OR THE OWNERSHIP AND DISPOSITION OF WEATHERFORD STOCK RECEIVED IN THE TRANSACTION. U.S. HOLDERS ARE URGED TO CONSULT THEIR TAX ADVISORS AS TO THE U.S. FEDERAL INCOME TAX CONSEQUENCES OF THE TRANSACTION, INCLUDING THE INCOME TAX CONSEQUENCES ARISING FROM THEIR OWN FACTS AND CIRCUMSTANCES, AND AS TO ANY ESTATE, GIFT, STATE, LOCAL OR NON-U.S. TAX CONSEQUENCES ARISING OUT OF THE TRANSACTION AND THE OWNERSHIP AND DISPOSITION OF WEATHERFORD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368 of the Code</w:t>
      </w:r>
      <w:r>
        <w:rPr>
          <w:rFonts w:ascii="Times New Roman;Times;serif" w:hAnsi="Times New Roman;Times;serif"/>
          <w:b w:val="false"/>
          <w:i w:val="false"/>
          <w:caps w:val="false"/>
          <w:smallCaps w:val="false"/>
          <w:color w:val="000000"/>
          <w:spacing w:val="4"/>
          <w:sz w:val="20"/>
        </w:rPr>
        <w:t xml:space="preserve">.   Assuming that the Transaction is completed as currently contemplated, NCS and Weatherford intend for the Transaction to qualify as a “reorganization” within the meaning of Section 368(a) of the Code.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five-percent transferee shareholder. The opinion will be based on representations from each of NCS and Weatherford and on customary factual assumptions, as well as certain covenants and undertakings by NCS and Weatherford. If any of such representations, assumptions, covenants or undertakings is or becomes incorrect, incomplete or inaccurate or is violated, the validity of the opinion described above may be affected and the U.S. federal income tax consequences of the Transaction could differ materially from those described below. No ruling has been sought from the IRS regarding the tax consequences of the Transaction, and there can be no certainty that the IRS will not challenge the conclusions reflected in the opinion or that a court would not sustain such a challenge. The following discussion assumes that the Transaction will qualify as a “reorganization” under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Solely for Share Consideration.   </w:t>
      </w:r>
      <w:r>
        <w:rPr>
          <w:rFonts w:ascii="Times New Roman;Times;serif" w:hAnsi="Times New Roman;Times;serif"/>
          <w:b w:val="false"/>
          <w:i w:val="false"/>
          <w:caps w:val="false"/>
          <w:smallCaps w:val="false"/>
          <w:color w:val="000000"/>
          <w:spacing w:val="4"/>
          <w:sz w:val="20"/>
        </w:rPr>
        <w:t xml:space="preserve">If, pursuant to the Transaction, a U.S. holder exchanges all of its shares of NCS Common Stock solely for shares of Weatherford Stock, such U.S. holder generally will not recognize any gain or loss on the exchange, except with respect to cash received in lieu of fractional shares of Weatherford Stock (as discussed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adjusted tax basis of the shares of Weatherford Stock received in the Transaction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The holding period of the shares of Weatherford Stock received in the Transaction (including fractional shares deemed received and redeemed)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such U.S. holder is urged to consult his, her or its tax advisor as to the determination of the tax bases and holding periods of the shares of Weatherford Stock received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for Mixed Consideration.   </w:t>
      </w:r>
      <w:r>
        <w:rPr>
          <w:rFonts w:ascii="Times New Roman;Times;serif" w:hAnsi="Times New Roman;Times;serif"/>
          <w:b w:val="false"/>
          <w:i w:val="false"/>
          <w:caps w:val="false"/>
          <w:smallCaps w:val="false"/>
          <w:color w:val="000000"/>
          <w:spacing w:val="4"/>
          <w:sz w:val="20"/>
        </w:rPr>
        <w:t xml:space="preserve">A U.S. holder who receives a combination of shares of Weatherford Stock and cash (other than cash in lieu of fractional shares of Weatherford Stock) pursuant to the Transaction generally will recognize gain (but not loss) in an amount equal to the lesser of (1) the excess (if any) of (x) the sum of the amount of the cash (other than cash in lieu of fractional shares of Weatherford Stock) and the fair market value of the shares of Weatherford Stock received, over (y) such U.S. holder’s adjusted tax basis in its shares of NCS Common Stock surrendered in exchange therefor, and (2) the amount of cash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any gain or loss may be determined separately for each block of shares and such U.S. holder’s basis and holding period in its shares of NCS Common Stock may be determined with reference to each block of shares of NCS Common Stock. Any such U.S. holder is urged to consult his, her or its tax advisor regarding the manner in which the cash consideration and share consideration should be allocated among different blocks of shares of NCS Common Stock surrendered, including the ability to specifically identify shares of NCS Common Stock exchanged for the cash consideration, and the determination of the tax bases and holding periods of the shares of Weatherford Stock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recognized gain will generally be long-term capital gain if the U.S. holder’s holding period with respect to the shares of NCS Common Stock surrendered is more than one year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capital gains of certain non-corporate holders, including individuals, generally are subject to U.S. federal income tax at preferential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the cash consideration received could be treated as having the effect of a distribution of a dividend under Section 356(a)(2) of the Code and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are urged to consult their tax advisors regarding the potential tax consequences of the Transaction to them, and U.S. holders that are corporations are urged to consult their tax advisors regarding the potential applicability of the “extraordinary dividend”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tax basis of the shares of Weatherford Stock received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reduced by the amount of cash consideration received by the U.S. holder (excluding any cash in lieu of fractional shares) and increased by the amount of gain (regardless of whether such gain is classified as capital gain or dividend income, as discussed above, but excluding any gain recognized with respect to cash in lieu of fractional shares), if any, recognized by the U.S. holder on the exchange. The holding period of the shares of Weatherford Stock received in the Transaction (including fractional shares deemed received and redeemed as described below)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receiving the Mixed Consideration is urged to consult his, her or its tax advisor regarding the manner in which the above rules would apply in such U.S. holder’s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in Lieu of Fractional Shares.   </w:t>
      </w:r>
      <w:r>
        <w:rPr>
          <w:rFonts w:ascii="Times New Roman;Times;serif" w:hAnsi="Times New Roman;Times;serif"/>
          <w:b w:val="false"/>
          <w:i w:val="false"/>
          <w:caps w:val="false"/>
          <w:smallCaps w:val="false"/>
          <w:color w:val="000000"/>
          <w:spacing w:val="4"/>
          <w:sz w:val="20"/>
        </w:rPr>
        <w:t xml:space="preserve">U.S. holders who receive cash in lieu of fractional shares of Weatherford Stock will generally be treated as having received such fractional shares and then as having received such cash in redemption of the fractional shares. Gain or loss generally will be recognized based on the difference between the amount of cash received in lieu of the fractional shares and the tax basis allocated to such fractional shares. Such gain or loss generally will be long-term capital gain or loss if the holding period for such fractional shares (including the holding period of the NCS Common Stock surrendered therefor) is more than one year at the Effective Time. Long-term capital gains of certain non-corporate holders, including individuals, generally are subject to U.S. federal income tax at preferential rates.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367 of the Code.   </w:t>
      </w:r>
      <w:r>
        <w:rPr>
          <w:rFonts w:ascii="Times New Roman;Times;serif" w:hAnsi="Times New Roman;Times;serif"/>
          <w:b w:val="false"/>
          <w:i w:val="false"/>
          <w:caps w:val="false"/>
          <w:smallCaps w:val="false"/>
          <w:color w:val="000000"/>
          <w:spacing w:val="4"/>
          <w:sz w:val="20"/>
        </w:rPr>
        <w:t xml:space="preserve">In the event that the Redomestication has not occurred prior to the closing of the Transaction, a U.S. holder who is a five-percent transferee shareholder will qualify for non-recognition of gain, as described above, only if the U.S. holder files with the IRS a five-year gain recognition agreement in the form provided in Treasury Regulation Section 1.367(a)-8(c). Other considerations not here described may apply to such a U.S. holder. Any such U.S. holder is urged to consult his, her or its tax advisor concerning the decision to file a gain recognition agreement, the procedures to be followed in connection with that filing and other applicable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(currently, at a rate of 24%) may apply to payments made in connection with the Transaction.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Weatherford Ordinary Shares received in the Transaction and applies only in the event that the Redomestication has not occurred prior to the closing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Weatherford Ordinary Shares.   </w:t>
      </w:r>
      <w:r>
        <w:rPr>
          <w:rFonts w:ascii="Times New Roman;Times;serif" w:hAnsi="Times New Roman;Times;serif"/>
          <w:b w:val="false"/>
          <w:i w:val="false"/>
          <w:caps w:val="false"/>
          <w:smallCaps w:val="false"/>
          <w:color w:val="000000"/>
          <w:spacing w:val="4"/>
          <w:sz w:val="20"/>
        </w:rPr>
        <w:t xml:space="preserve">U.S. holders will be required to include in gross income the gross amount of any distribution, without reduction for any DWT on such distribution, received (or deemed to be received) on the Weatherford Ordinary Shares to the extent that the distribution is paid out of Weatherford’s current or accumulated earnings and profits as determined for U.S. federal income tax purposes, which is referred to as a dividend. With respect to non-corporate U.S. holders, certain dividends received from a qualified foreign corporation will be subject to U.S. federal income tax at preferential rates. As long as (i) the Weatherford Ordinary Shares are regularly tradable on the Nasdaq Global Select Market (or certain other stock exchanges) and/or Weatherford qualifies for benefits under a specified income tax treaty with the U.S. that includes an exchange of information program, (ii) Weatherford is not a passive foreign investment company for the taxable year in which the dividend is paid or the preceding taxable year, and (iii) Weatherford is not and does not become a surrogate foreign corporation within the meaning of Section 7874(a)(2)(B) of the Code, it will be treated as a qualified foreign corporation for this purpose. This reduced rate will not be available in all situations, and U.S. holders are urged to consult their tax advisors regarding the application of the relevant rules to their particular circumstances. Dividends from Weatherford will not be eligible for the dividends-received deduction under the Code, which is generally allowed to corporate U.S. holders on dividends received from certain domestic and foreign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the current and accumulated earnings and profits of Weatherford will be applied first to reduce the U.S. holder’s tax basis in its Weatherford Ordinary Shares, and thereafter will constitute capital gain from the sale or exchange of such shares. In the case of a non-corporate U.S. holder, such gain generally is subject to U.S. federal income tax at preferential rates if the U.S. holder’s holding period for such Weatherford Ordinary Shares exceeds twelve months. Special rules not here described may apply to U.S. holders who do not have a uniform tax basis and holding period in all of their Weatherford Ordinary Shares, and any such U.S. holders are urged to consult their tax advisors with regard to such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dividends paid with respect to the Weatherford Ordinary Shares will constitute foreign source income and generally will be considered passive category income for purposes of computing the foreign tax credit allowable to U.S. holders. However, for any period in which Weatherford is treated as a United States-owned foreign corporation, a portion of any dividends paid on Weatherford Ordinary Shares during such period may be treated as U.S.-source for purposes of determining any U.S. foreign tax credit allowable to U.S. holders. Weatherford would be treated as a United States-owned foreign corporation if 50% or more of the total value or total voting power of its stock is owned, directly, indirectly or by attribution (taking into account applicable constructive ownership rules), by United States persons within the meaning of Section 7701(a)(30)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foreign-source dividends on Weatherford Ordinary Shares are taxed as qualified dividend income (as discussed above), then the amount of the dividend taken into account for purposes of calculating the foreign tax credit limitation will generally be limited to the gross amount of the dividend, multiplied by the reduced tax rate applicable to qualified dividend income and divided by the highest tax rate normally applicable to dividends. DWT, if any, withheld on distributions to a U.S. holder may be eligible for foreign tax credits (or deduction in lieu of such credits) for U.S. federal income tax purposes, subject to special limitations. The calculation of foreign tax credits involves the application of complex rules that depend on a U.S. holder’s particular circumstances. U.S. holders are urged to consult their tax advisors regarding the availability of foreign tax credits.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Weatherford Ordinary Shares.   </w:t>
      </w:r>
      <w:r>
        <w:rPr>
          <w:rFonts w:ascii="Times New Roman;Times;serif" w:hAnsi="Times New Roman;Times;serif"/>
          <w:b w:val="false"/>
          <w:i w:val="false"/>
          <w:caps w:val="false"/>
          <w:smallCaps w:val="false"/>
          <w:color w:val="000000"/>
          <w:spacing w:val="4"/>
          <w:sz w:val="20"/>
        </w:rPr>
        <w:t xml:space="preserve">U.S. holders of Weatherford Ordinary Shares will recognize capital gain or loss for U.S. federal income tax purposes on the taxable disposition of Weatherford Ordinary Shares in an amount equal to the difference between the amount realized from such sale, exchange or other taxable disposition and the U.S. holders’ tax basis in such shares. In the case of a non-corporate U.S. holder, such gain generally is subject to U.S. federal income tax at preferential rates if the U.S. holder’s holding period for such Weatherford Ordinary Shares exceeds twelve months.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Foreign Investment Company Considerations.   </w:t>
      </w:r>
      <w:r>
        <w:rPr>
          <w:rFonts w:ascii="Times New Roman;Times;serif" w:hAnsi="Times New Roman;Times;serif"/>
          <w:b w:val="false"/>
          <w:i w:val="false"/>
          <w:caps w:val="false"/>
          <w:smallCaps w:val="false"/>
          <w:color w:val="000000"/>
          <w:spacing w:val="4"/>
          <w:sz w:val="20"/>
        </w:rPr>
        <w:t>The treatment of U.S. holders of Weatherford Ordinary Shares in some cases could be materially different from that described above if, at any relevant time, Weatherford were a passive foreign investment company (“</w:t>
      </w:r>
      <w:r>
        <w:rPr>
          <w:rFonts w:ascii="Times New Roman;Times;serif" w:hAnsi="Times New Roman;Times;serif"/>
          <w:b/>
          <w:i w:val="false"/>
          <w:caps w:val="false"/>
          <w:smallCaps w:val="false"/>
          <w:color w:val="000000"/>
          <w:spacing w:val="-4"/>
          <w:sz w:val="20"/>
        </w:rPr>
        <w:t>PFIC</w:t>
      </w:r>
      <w:r>
        <w:rPr>
          <w:rFonts w:ascii="Times New Roman;Times;serif" w:hAnsi="Times New Roman;Times;serif"/>
          <w:b w:val="false"/>
          <w:i w:val="false"/>
          <w:caps w:val="false"/>
          <w:smallCaps w:val="false"/>
          <w:color w:val="000000"/>
          <w:spacing w:val="4"/>
          <w:sz w:val="20"/>
        </w:rPr>
        <w:t xml:space="preserve">”). For U.S. tax purposes, a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such as Weatherford, is classified as a PFIC for any taxable year in which either (i) 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believes it is not a PFIC and has not been a PFIC in any prior taxable year. Weatherford further believes that Weatherford will not be a PFIC following the Transaction. However, the tests for determining PFIC status are applied annually, and it is difficult to accurately predict future income and assets relevant to this determination. Accordingly, we cannot assure U.S. holders that Weatherford will not become a PFIC. If Weatherford should determine in the future that it is a PFIC, it will endeavor to so notify U.S. holders of Weatherford Ordinary Shares, although there can be no assurance that it will be able to do so in a timely and complete manner. U.S. holders of Weatherford Ordinary Shares are urged to consult their tax advisors about the PFIC rules, including the availability of certain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Distributions and disposition proceeds will be subject to information reporting and certain withholding provisions. In addition, dividends on Weatherford Ordinary Shares paid within the U.S. or through certain U.S.-related financial intermediaries may be subject to backup withholding (currently, at a rate of 24%) unless the U.S. holder (i) is a corporation or other exempt recipient or (ii) provides a taxpayer identification number and satisfies certain certification requirements. Information reporting requirements and backup withholding may also apply to the proceeds of a sale of the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being subject to backup withholding, if a U.S. holder of Weatherford Ordinary Shares does not provide Weatherford (or its paying agent) with the U.S. holder’s correct taxpayer identification number or other required information, the U.S. holder may be subject to penalties imposed by the IRS. Any amounts withheld under the backup withholding rules may be allowed as a refund or a credit against the U.S. holder’s U.S. federal income tax liability, provided that the U.S. holder furnishes certain required information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Weatherford Ordinary Shares are expected to constitute foreign financial assets subject to these requirements unless the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Weatherford Ordinary Shares and the significant penalties for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WIC common stock received in the Transaction and applies only in the event that the Redomestication has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WIC Common Stock.   </w:t>
      </w:r>
      <w:r>
        <w:rPr>
          <w:rFonts w:ascii="Times New Roman;Times;serif" w:hAnsi="Times New Roman;Times;serif"/>
          <w:b w:val="false"/>
          <w:i w:val="false"/>
          <w:caps w:val="false"/>
          <w:smallCaps w:val="false"/>
          <w:color w:val="000000"/>
          <w:spacing w:val="4"/>
          <w:sz w:val="20"/>
        </w:rPr>
        <w:t xml:space="preserve">Any distribution made by WIC to a U.S. holder with respect to shares of WIC common stock will generally be includible in the U.S. holder’s gross income, in the year actually or constructively received, as a dividend to the extent that such distribution is paid out of WIC’s current or accumulated earnings and profits (as determined under U.S. federal income tax principles). To the extent that the amount of the distribution exceeds WIC’s current and accumulated earnings and profits (as determined under U.S. federal income tax principles), such excess will be treated first as a tax-free return of the U.S. holder’s tax basis in the shares of WIC common stock, and then, to the extent such excess amount exceeds the U.S. holder’s tax basis in the shares of WIC common stock, as capital gain. Subject to applicable limitations and requirements, any dividends (that is, distributions that are paid out of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accumulated earnings and profits) on shares of WIC common stock generally should be eligible for the “dividends received deduction” available to corporate shareholders. Any such dividend paid by WIC to certain non-corporate U.S. holders, including individuals, generally will be subject to taxation at preferential rates if certain holding period requirements are met. In general, dividends paid with respect to shares of WIC common stock will constitute U.S. source income and generally will be considered passive category income for purposes of computing the foreign tax credit allowable to U.S.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WIC Common Stock.   </w:t>
      </w:r>
      <w:r>
        <w:rPr>
          <w:rFonts w:ascii="Times New Roman;Times;serif" w:hAnsi="Times New Roman;Times;serif"/>
          <w:b w:val="false"/>
          <w:i w:val="false"/>
          <w:caps w:val="false"/>
          <w:smallCaps w:val="false"/>
          <w:color w:val="000000"/>
          <w:spacing w:val="4"/>
          <w:sz w:val="20"/>
        </w:rPr>
        <w:t xml:space="preserve">A U.S. holder will generally recognize taxable gain or loss on any sale, taxable exchange or other taxable disposition of a share of WIC common stock equal to the difference between the amount realized for such share of WIC common stock and the U.S. holder’s adjusted tax basis in such share of WIC common stock. Any such gain or loss will generally be capital gain or loss and will be long-term capital gain or loss if, on the date of the disposition, the U.S. holder has a holding period in such share of WIC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   </w:t>
      </w:r>
      <w:r>
        <w:rPr>
          <w:rFonts w:ascii="Times New Roman;Times;serif" w:hAnsi="Times New Roman;Times;serif"/>
          <w:b w:val="false"/>
          <w:i w:val="false"/>
          <w:caps w:val="false"/>
          <w:smallCaps w:val="false"/>
          <w:color w:val="000000"/>
          <w:spacing w:val="4"/>
          <w:sz w:val="20"/>
        </w:rPr>
        <w:t xml:space="preserve">Dividend payments with respect to shares of WIC common stock and proceeds of a disposition of shares of WIC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the material Irish tax considerations of the Transaction to holders of NCS Common Stock and the ownership and disposition of Weatherford Ordinary Shares received by holders of NCS Common Stock in the Transaction if the Redomestication has not occurred prior to the closing of the Transaction. This summary applies only in the event that the Redomestication has not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based upon existing Irish tax legislation and case law and the published practice of the Irish Revenue Commissioners as of the date of this information statement/prospectus. Legislative, administrative or judicial changes may modify the tax consequences described in this section, possibly with retroactive effect. Furthermore, no assurance can be provided that the tax consequences contained in this summary will not be challenged by the Irish Revenue Commissioners or will be sustained by an Irish court if they were to be challenged. The summary does not constitute tax advice and is intended only as a general guide. The summary is not exhaustive and holders of NCS Common Stock should consult their own tax advisors about the Irish tax consequences (and the tax consequences under the laws of other relevant jurisdictions) of the Transaction and the ownership and disposal of Weatherford Ordinary Shares in the future. Furthermore, the summary applies only to shareholders who own their NCS Common Stock, and will own Weatherford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arising on the Transaction for NCS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w:t>
      </w:r>
      <w:r>
        <w:rPr>
          <w:rFonts w:ascii="Times New Roman;Times;serif" w:hAnsi="Times New Roman;Times;serif"/>
          <w:b w:val="false"/>
          <w:i w:val="false"/>
          <w:caps w:val="false"/>
          <w:smallCaps w:val="false"/>
          <w:color w:val="000000"/>
          <w:spacing w:val="4"/>
          <w:sz w:val="20"/>
        </w:rPr>
        <w:t>.   The current rate of tax on chargeable gains in Ireland (“</w:t>
      </w:r>
      <w:r>
        <w:rPr>
          <w:rFonts w:ascii="Times New Roman;Times;serif" w:hAnsi="Times New Roman;Times;serif"/>
          <w:b/>
          <w:i w:val="false"/>
          <w:caps w:val="false"/>
          <w:smallCaps w:val="false"/>
          <w:color w:val="000000"/>
          <w:spacing w:val="-4"/>
          <w:sz w:val="20"/>
        </w:rPr>
        <w:t>Irish CGT</w:t>
      </w:r>
      <w:r>
        <w:rPr>
          <w:rFonts w:ascii="Times New Roman;Times;serif" w:hAnsi="Times New Roman;Times;serif"/>
          <w:b w:val="false"/>
          <w:i w:val="false"/>
          <w:caps w:val="false"/>
          <w:smallCaps w:val="false"/>
          <w:color w:val="000000"/>
          <w:spacing w:val="4"/>
          <w:sz w:val="20"/>
        </w:rPr>
        <w:t xml:space="preserve">”) is thirty-three percent (33%).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Non Irish-resident shareholders</w:t>
      </w:r>
      <w:r>
        <w:rPr>
          <w:rFonts w:ascii="Times New Roman;Times;serif" w:hAnsi="Times New Roman;Times;serif"/>
          <w:b w:val="false"/>
          <w:i w:val="false"/>
          <w:caps w:val="false"/>
          <w:smallCaps w:val="false"/>
          <w:color w:val="000000"/>
          <w:spacing w:val="4"/>
          <w:sz w:val="20"/>
        </w:rPr>
        <w:t xml:space="preserve">:   NCS stockholders who are neither resident nor ordinarily resident in Ireland for Irish tax purposes should not be liable for Irish CGT or corporation tax on chargeable gains on the cancellation of their NCS Common Stock pursuant to the Transaction,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Irish resident shareholders</w:t>
      </w:r>
      <w:r>
        <w:rPr>
          <w:rFonts w:ascii="Times New Roman;Times;serif" w:hAnsi="Times New Roman;Times;serif"/>
          <w:b w:val="false"/>
          <w:i w:val="false"/>
          <w:caps w:val="false"/>
          <w:smallCaps w:val="false"/>
          <w:color w:val="000000"/>
          <w:spacing w:val="4"/>
          <w:sz w:val="20"/>
        </w:rPr>
        <w:t xml:space="preserve">:   NCS stockholders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their NCS Common Stock pursuant to the Transaction. Such shareholders should consult their own tax advisors as to the Irish tax consequences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w:t>
      </w:r>
      <w:r>
        <w:rPr>
          <w:rFonts w:ascii="Times New Roman;Times;serif" w:hAnsi="Times New Roman;Times;serif"/>
          <w:b w:val="false"/>
          <w:i w:val="false"/>
          <w:caps w:val="false"/>
          <w:smallCaps w:val="false"/>
          <w:color w:val="000000"/>
          <w:spacing w:val="4"/>
          <w:sz w:val="20"/>
        </w:rPr>
        <w:t xml:space="preserve">.   No Irish stamp duty should be payable on the cancellation of the NCS Common Stock or the issue of Weatherford Ordinary Shares pursuant to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for Holders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   </w:t>
      </w:r>
      <w:r>
        <w:rPr>
          <w:rFonts w:ascii="Times New Roman;Times;serif" w:hAnsi="Times New Roman;Times;serif"/>
          <w:b w:val="false"/>
          <w:i w:val="false"/>
          <w:caps w:val="false"/>
          <w:smallCaps w:val="false"/>
          <w:color w:val="000000"/>
          <w:spacing w:val="4"/>
          <w:sz w:val="20"/>
        </w:rPr>
        <w:t xml:space="preserve">Holders of Weatherford Ordinary Shares who are neither resident nor ordinarily resident in Ireland for Irish tax purposes should not be liable for Irish CGT on a subsequent disposal of their Weatherford Ordinary Shares unless such shares are used in or for the purposes of a trade carried on by the shareholder in Ireland through a branch or agency, or are used or held or acquired for use by or for the purposes of the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Weatherford Ordinary Shares who are resident or ordinarily resident for tax purposes in Ireland will, subject to the availability of any exemptions and reliefs, generally be within the charge to Irish CGT on the disposal of Weatherford Ordinary Shares. Such shareholders should consult their own tax advisors as to the Irish tax consequences of any such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Weatherford shareholder who is an individual and is temporarily not resident in Ireland may, in certain circumstances under Irish anti-avoidance legislation, still be liable for Irish CGT on any chargeable gain realized upon the subsequent disposal of Weatherford Ordinary Shares during the period in which such individual is a non-Irish tax 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   </w:t>
      </w:r>
      <w:r>
        <w:rPr>
          <w:rFonts w:ascii="Times New Roman;Times;serif" w:hAnsi="Times New Roman;Times;serif"/>
          <w:b w:val="false"/>
          <w:i w:val="false"/>
          <w:caps w:val="false"/>
          <w:smallCaps w:val="false"/>
          <w:color w:val="000000"/>
          <w:spacing w:val="4"/>
          <w:sz w:val="20"/>
        </w:rPr>
        <w:t xml:space="preserve">The rate of Irish stamp duty (where applicable) on transfers of shares of Irish incorporated companies is 1% of the greater of the price paid or the market value of the shares acquired. Where Irish stamp duty arises, it is generally a liability of the transferee. However, in the case of a gift or transfer at less than fair market value, all parties to the transfer are jointly and severally liable.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effected by means of the transfer of book entry interests through DTC should not be subject to Irish stamp duty.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other than by means of the transfer of book-entry interests through DTC will generally be subject to Irish stamp duty at the current rate of 1% on the greater of the price paid or the market value of the relevant shares. Weatherford shareholders wishing to transfer their shares into (or out of) DTC after the Transaction may do so without giving rise to Irish stamp duty provided: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change in the beneficial ownership of such shares as a result of the transfer; and </w:t>
      </w:r>
      <w:r>
        <mc:AlternateContent>
          <mc:Choice Requires="wps">
            <w:drawing>
              <wp:anchor behindDoc="0" distT="10160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into (or out of) DTC is not effected in contemplation of a sale of such shares by a beneficial owner to a third party. </w:t>
      </w:r>
      <w:r>
        <mc:AlternateContent>
          <mc:Choice Requires="wps">
            <w:drawing>
              <wp:anchor behindDoc="0" distT="10160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withholding tax.   </w:t>
      </w:r>
      <w:r>
        <w:rPr>
          <w:rFonts w:ascii="Times New Roman;Times;serif" w:hAnsi="Times New Roman;Times;serif"/>
          <w:b w:val="false"/>
          <w:i w:val="false"/>
          <w:caps w:val="false"/>
          <w:smallCaps w:val="false"/>
          <w:color w:val="000000"/>
          <w:spacing w:val="4"/>
          <w:sz w:val="20"/>
        </w:rPr>
        <w:t xml:space="preserve">DWT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non-Irish residents</w:t>
      </w:r>
      <w:r>
        <w:rPr>
          <w:rFonts w:ascii="Times New Roman;Times;serif" w:hAnsi="Times New Roman;Times;serif"/>
          <w:b w:val="false"/>
          <w:i w:val="false"/>
          <w:caps w:val="false"/>
          <w:smallCaps w:val="false"/>
          <w:color w:val="000000"/>
          <w:spacing w:val="4"/>
          <w:sz w:val="20"/>
        </w:rPr>
        <w:t>:   The following non-Irish tax resident holders of Weatherford Ordinary Shares are exempt from DWT if they are beneficially entitled to the distribution and (subject to the section entitled “</w:t>
      </w:r>
      <w:r>
        <w:rPr>
          <w:rFonts w:ascii="Times New Roman;Times;serif" w:hAnsi="Times New Roman;Times;serif"/>
          <w:b w:val="false"/>
          <w:i/>
          <w:caps w:val="false"/>
          <w:smallCaps w:val="false"/>
          <w:color w:val="000000"/>
          <w:spacing w:val="4"/>
          <w:sz w:val="20"/>
        </w:rPr>
        <w:t>Weatherford Ordinary Shares Held by U.S. Residents</w:t>
      </w:r>
      <w:r>
        <w:rPr>
          <w:rFonts w:ascii="Times New Roman;Times;serif" w:hAnsi="Times New Roman;Times;serif"/>
          <w:b w:val="false"/>
          <w:i w:val="false"/>
          <w:caps w:val="false"/>
          <w:smallCaps w:val="false"/>
          <w:color w:val="000000"/>
          <w:spacing w:val="4"/>
          <w:sz w:val="20"/>
        </w:rPr>
        <w:t xml:space="preserve">” below), if, on a timely basis in advance of the payment of any relevant distribution, the holder of the Weatherford Ordinary Shares has provided a qualifying intermediary or paying agent appointed by Weatherford an appropriate declaration of entitlement to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(other than a company) who: (i) are neither tax resident nor ordinarily resident in Ireland; and (ii) are resident for tax purposes in: (a) an EU member state or European Economic Area state other than Ireland; or (b) a country with which Ireland has a double tax treaty (“</w:t>
      </w:r>
      <w:r>
        <w:rPr>
          <w:rFonts w:ascii="Times New Roman;Times;serif" w:hAnsi="Times New Roman;Times;serif"/>
          <w:b/>
          <w:i w:val="false"/>
          <w:caps w:val="false"/>
          <w:smallCaps w:val="false"/>
          <w:color w:val="000000"/>
          <w:spacing w:val="-4"/>
          <w:sz w:val="20"/>
        </w:rPr>
        <w:t>DTT Country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27">
                <wp:simplePos x="0" y="0"/>
                <wp:positionH relativeFrom="column">
                  <wp:align>left</wp:align>
                </wp:positionH>
                <wp:positionV relativeFrom="line">
                  <wp:posOffset>635</wp:posOffset>
                </wp:positionV>
                <wp:extent cx="254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(i) tax resident in an EU member state, European Economic Area state or DTT Country; and (ii) not under the control, whether directly or indirectly, of a person or persons who is or are tax resident in Ireland; </w:t>
      </w:r>
      <w:r>
        <mc:AlternateContent>
          <mc:Choice Requires="wps">
            <w:drawing>
              <wp:anchor behindDoc="0" distT="9906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directly or indirectly under the control of a person or persons who is or are, by virtue of the law of a DTT Country, an EU member state or European Economic Area state, resident for tax purposes in a DTT Country, EU member state or European Economic Area state other than Ireland and who is or are not under the control, whether directly or indirectly, of a person or persons who is or are not resident for tax purposes in a DTT Country, an EU member state or European Economic Area state; </w:t>
      </w:r>
      <w:r>
        <mc:AlternateContent>
          <mc:Choice Requires="wps">
            <w:drawing>
              <wp:anchor behindDoc="0" distT="99060" distB="0" distL="254000" distR="0" simplePos="0" locked="0" layoutInCell="1" allowOverlap="1" relativeHeight="229">
                <wp:simplePos x="0" y="0"/>
                <wp:positionH relativeFrom="column">
                  <wp:align>left</wp:align>
                </wp:positionH>
                <wp:positionV relativeFrom="line">
                  <wp:align>top</wp:align>
                </wp:positionV>
                <wp:extent cx="254000" cy="525780"/>
                <wp:effectExtent l="0" t="0" r="0" b="0"/>
                <wp:wrapSquare wrapText="right"/>
                <wp:docPr id="214" name="Frame2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the principal class of shares of which is substantially and regularly traded on a recognized stock exchange in a DTT Country, an EU member state or European Economic Area state including Ireland or on an approved stock exchange; or </w:t>
      </w:r>
      <w:r>
        <mc:AlternateContent>
          <mc:Choice Requires="wps">
            <w:drawing>
              <wp:anchor behindDoc="0" distT="99060" distB="0" distL="254000" distR="0" simplePos="0" locked="0" layoutInCell="1" allowOverlap="1" relativeHeight="230">
                <wp:simplePos x="0" y="0"/>
                <wp:positionH relativeFrom="column">
                  <wp:align>left</wp:align>
                </wp:positionH>
                <wp:positionV relativeFrom="line">
                  <wp:align>top</wp:align>
                </wp:positionV>
                <wp:extent cx="254000" cy="525780"/>
                <wp:effectExtent l="0" t="0" r="0" b="0"/>
                <wp:wrapSquare wrapText="right"/>
                <wp:docPr id="215" name="Frame2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that are 75% subsidiaries of a single company, or are wholly owned by two or more companies, in either case the principal class of shares of which is or are substantially and regularly traded on a recognized stock exchange in a DTT Country or an EU member state or European Economic Area state, including Ireland or on an approved stock exchange. </w:t>
      </w:r>
      <w:r>
        <mc:AlternateContent>
          <mc:Choice Requires="wps">
            <w:drawing>
              <wp:anchor behindDoc="0" distT="9906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non-Irish tax resident holders of Weatherford Ordinary Shares that cannot avail themselves of one of Ireland’s domestic law exemptions from DWT, it may be possible for such holders of Weatherford Ordinary Shares to rely on the provisions of a double tax treaty to which Ireland is a party to reduce the rate of DWT.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US tax residents</w:t>
      </w:r>
      <w:r>
        <w:rPr>
          <w:rFonts w:ascii="Times New Roman;Times;serif" w:hAnsi="Times New Roman;Times;serif"/>
          <w:b w:val="false"/>
          <w:i w:val="false"/>
          <w:caps w:val="false"/>
          <w:smallCaps w:val="false"/>
          <w:color w:val="000000"/>
          <w:spacing w:val="4"/>
          <w:sz w:val="20"/>
        </w:rPr>
        <w:t xml:space="preserve">:   Dividends paid in respect of Weatherford Ordinary Shares that are owned by a U.S. resident and held through DTC should not be subject to DWT provided the address of the beneficial owner of such shares in the records of the broker holding such shares is in the U.S. (and such broker has further transmitted the relevant information to a qualifying intermediary appointed by Weatherford). Dividends paid in respect of Weatherford Ordinary Shares that are owned by a U.S. resident and are held outside of DTC should not be subject to DWT if the shareholder provides a completed IRS Form 6166 or a valid DWT form to Weatherford’s transfer agent at least seven business days before the record date for the dividend to confirm its U.S. residence and claim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residents of Ireland</w:t>
      </w:r>
      <w:r>
        <w:rPr>
          <w:rFonts w:ascii="Times New Roman;Times;serif" w:hAnsi="Times New Roman;Times;serif"/>
          <w:b w:val="false"/>
          <w:i w:val="false"/>
          <w:caps w:val="false"/>
          <w:smallCaps w:val="false"/>
          <w:color w:val="000000"/>
          <w:spacing w:val="4"/>
          <w:sz w:val="20"/>
        </w:rPr>
        <w:t xml:space="preserve">:   Most Irish tax resident or ordinarily resident shareholders (other than Irish resident companies that have completed the appropriate DWT forms) should be subject to DWT in respect of dividends paid on their Weatherford Ordinary Shares. Weatherford shareholders (including NCS stockholders who will receive Weatherford Ordinary Shares pursuant to the Transaction) who are resident or ordinarily resident in Ireland or are otherwise subject to Irish tax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other persons</w:t>
      </w:r>
      <w:r>
        <w:rPr>
          <w:rFonts w:ascii="Times New Roman;Times;serif" w:hAnsi="Times New Roman;Times;serif"/>
          <w:b w:val="false"/>
          <w:i w:val="false"/>
          <w:caps w:val="false"/>
          <w:smallCaps w:val="false"/>
          <w:color w:val="000000"/>
          <w:spacing w:val="4"/>
          <w:sz w:val="20"/>
        </w:rPr>
        <w:t xml:space="preserve">:   Holders of Weatherford Ordinary Shares that do not fall within any of the categories specifically referred to above may nonetheless fall within other exemptions from DWT. Distributions paid in respect of Weatherford Ordinary Shares held through DTC that are owned by a partnership formed under the laws of a DTT Country and where all the partners are resident in a DTT Country should be entitled to an exemption from DWT if all of the partners complete the appropriate DWT forms (or in the case of U.S. tax resident partners, IRS Form 6166) and provide them to their brokers (so that such brokers can further transmit the relevant information to a qualifying intermediary appointed by Weatherford) before the record date for the distribution. If any partner in the partnership is not a resident of a DTT Country, no partner is entitled to the exemption from DWT.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Qualifying Intermediary</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Weatherford has put in place an agreement with an entity that is recognized by the Irish Revenue Commissioners as a “qualifying intermediary,” which will provide for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C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arrangements relating to distributions in respect of Weatherford Ordinary Shares that are held through DTC, which are referred to as the “Deposited Securities.” The agreement provides that the qualifying intermediary will distribute or otherwise make available to Cede &amp; Co., as nominee for DTC, any cash dividend or other cash distribution with respect to the Deposited Securities after Weatherford delivers or causes to be delivered to the qualifying intermediary the cash to be distributed.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rely on information received directly or indirectly from its qualifying intermediary, brokers and its transfer agent in determining where holders of Weatherford Ordinary Shares reside, whether they have provided the required U.S. tax information and whether they have provided the required DWT forms. Holders of Weatherford Ordinary Shares that are required to file DWT forms in order to receive dividends free of DWT should note that such forms are generally valid, subject to a change in circumstances, until December 31 of the fifth year after the year in which such forms were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Income tax on dividends on Weatherford Ordinary Shares.   </w:t>
      </w:r>
      <w:r>
        <w:rPr>
          <w:rFonts w:ascii="Times New Roman;Times;serif" w:hAnsi="Times New Roman;Times;serif"/>
          <w:b w:val="false"/>
          <w:i w:val="false"/>
          <w:caps w:val="false"/>
          <w:smallCaps w:val="false"/>
          <w:color w:val="000000"/>
          <w:spacing w:val="4"/>
          <w:sz w:val="20"/>
        </w:rPr>
        <w:t xml:space="preserve">Irish income tax may arise for certain persons in respect of distributions received from Irish resident companies. A non-Irish tax resident holder of Weatherford Ordinary Shares that is entitled to an exemption from DWT will generally have no Irish income tax or Universal Social Charge (“USC”) liability on a distribution from Weatherford. A non-Irish tax resident holder of Weatherford Ordinary Shares that is not entitled to an exemption from DWT, and therefore is subject to DWT, generally will have no additional Irish income tax liability or USC liability. The DWT deducted by Weatherford should discharge the Irish income tax liability and USC liability. Irish resident or ordinarily resident shareholders may be subject to Irish tax and (in the case of an individual) the USC and/or Pay Related Social Insurance on dividends received from Weatherford. Such Weatherford shareholders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acquisitions tax.   </w:t>
      </w:r>
      <w:r>
        <w:rPr>
          <w:rFonts w:ascii="Times New Roman;Times;serif" w:hAnsi="Times New Roman;Times;serif"/>
          <w:b w:val="false"/>
          <w:i w:val="false"/>
          <w:caps w:val="false"/>
          <w:smallCaps w:val="false"/>
          <w:color w:val="000000"/>
          <w:spacing w:val="4"/>
          <w:sz w:val="20"/>
        </w:rPr>
        <w:t>A gift or inheritance of Weatherford Ordinary Shares should be within the charge to capital acquisitions tax (“</w:t>
      </w:r>
      <w:r>
        <w:rPr>
          <w:rFonts w:ascii="Times New Roman;Times;serif" w:hAnsi="Times New Roman;Times;serif"/>
          <w:b/>
          <w:i w:val="false"/>
          <w:caps w:val="false"/>
          <w:smallCaps w:val="false"/>
          <w:color w:val="000000"/>
          <w:spacing w:val="-4"/>
          <w:sz w:val="20"/>
        </w:rPr>
        <w:t>CAT</w:t>
      </w:r>
      <w:r>
        <w:rPr>
          <w:rFonts w:ascii="Times New Roman;Times;serif" w:hAnsi="Times New Roman;Times;serif"/>
          <w:b w:val="false"/>
          <w:i w:val="false"/>
          <w:caps w:val="false"/>
          <w:smallCaps w:val="false"/>
          <w:color w:val="000000"/>
          <w:spacing w:val="4"/>
          <w:sz w:val="20"/>
        </w:rPr>
        <w:t xml:space="preserve">”) notwithstanding that the donor or the donee/successor in relation to such gift or inheritance is domiciled and resident outside Ireland. This is because Weatherford Ordinary Shares are regarded as property situated in Ireland for CAT purposes. CAT is currently charged at a rate of 33% above a tax-free threshold, subject to available reliefs and exemptions.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Irish tax considerations summarized above are for general information only and are not intended to provide any definitive tax representations to holders of Weatherford Ordinary Shares or NCS Common Stock. Each holder of Weatherford Ordinary Shares or NCS Common Stock should consult their own tax advisor as to the tax consequences that may apply to such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Clearances and Approvals Required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subject to the requirements of the HSR Act, which would prevent NCS and Weatherford from completing the Transaction until required information and materials are furnished to the FTC and the Antitrust Division, and the HSR Act waiting period is terminated or expires. A transaction notifiable under the HSR Act may not be completed until the expiration of a 30-day waiting period (referred to as the HSR waiting period) (and any extension thereof) following the parties’ filings of their respective HSR Act notification forms or the early termination of that waiting period. The parties filed such notification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Regulatory Clearances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 or foreign antitrust, competition, and foreign direct investment authorities may take action under the laws of their jurisdictions, which could include seeking to enjoin the completion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Shares; Elections as to Form of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operation of Delaware law and without any action on the part of Weatherford, Merger Sub, NCS, or any holder of any securities of Weatherford, Merger Sub or NCS,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NCS stockholder may only elect one form of consideration for all shares of NCS Common Stock such NCS stockholder owns. An NCS stockholder may elect to receive (i) solely the Share Consideration (referred to as a Share Election) or (ii) solely the Mixed Consideration (referred to as a Mixed Election). NCS stockholders who do not timely make a valid election before the election deadline will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agreement in form reasonably acceptable to NCS with a bank or trust company designated by Weatherford and reasonably acceptable to NCS (referred to as the exchange agent) and anticipated to be Equiniti Trust Company, LLC to act as nominee and agent for the holders of NCS Common Stock. As required under the Merger Agreement, Weatherford will (i) take all actions necessary to ensure that the cash made available or deposited with the exchange agent is at all times sufficient to satisfy Weatherford’s obligations to pay the Elected Cash Consideration (subject to proration), any dividends payable, and, to the extent determinable, cash in lieu of fractional Weatherford Ordinary Shares, and (ii) make available to the exchange agent the number of Weatherford Ordinary Shares to be delivered as Share Consideration and Mixed Election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shares of NCS Common Stock will no longer be outstanding, will be canceled and will cease to exist and each certificate or book entry share that previously represented shares of NCS Common Stock (other than excluded shares) will represent only the right to receive the Merger Consideration pursuant to the Merger Agreement, cash in lieu of fractional Weatherford Ordinary Shares and unpaid dividends and distributions, if any. With respect to such shares of Weatherford Ordinary Shares deliverable upon the surrender of NCS stock certificates or book-entry shares, until holders of such NCS stock certificates or book-entry shares have properly surrendered such stock certificates or book-entry shares to the exchange agent for exchange, along with a duly completed and executed letter of transmittal in the case of holders of certificates and any other documents as may customarily be required by the exchange agent, those holders will not receive the Merger Consideration, any cash in lieu of fractional Weatherford Ordinary Shares and any dividends or distributions that become due to the holders of converted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within five Business Days) after the Effective Time, Weatherford and NCS will cause the exchange agent to mail to each record holder of certificates that immediately prior to the Effective Time represented NCS Common Stock (other than excluded shares) that by virtue of the Transaction were automatically cancelled and converted into the right to receive the Merger Consideration (i) a form of letter of transmittal and (ii) instructions for surrendering NCS stock certificates in exchange for payment of the Merger Consideration, any dividends or other distributions payable and any cash in lieu of fractional Weatherford Ordinary Shares payable. Holders of book-entry shares whose shares of NCS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in compliance with the instructions for surrender, such holders will be entitled to receive the Merger Consideration, any dividends or other distributions payable and any cash in lieu of fractional Weatherford Ordinary Shares payable.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that the Elected Cash Consideration exceeds the Maximum Cash Election Amount. Under the Merger Agreement,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Elected Cash Consideration exceeds the Maximum Cash Election Amount (such excess, the “</w:t>
      </w:r>
      <w:r>
        <w:rPr>
          <w:rFonts w:ascii="Times New Roman;Times;serif" w:hAnsi="Times New Roman;Times;serif"/>
          <w:b/>
          <w:i w:val="false"/>
          <w:caps w:val="false"/>
          <w:smallCaps w:val="false"/>
          <w:color w:val="000000"/>
          <w:spacing w:val="-4"/>
          <w:sz w:val="20"/>
        </w:rPr>
        <w:t>Excess Cash Amount</w:t>
      </w:r>
      <w:r>
        <w:rPr>
          <w:rFonts w:ascii="Times New Roman;Times;serif" w:hAnsi="Times New Roman;Times;serif"/>
          <w:b w:val="false"/>
          <w:i w:val="false"/>
          <w:caps w:val="false"/>
          <w:smallCaps w:val="false"/>
          <w:color w:val="000000"/>
          <w:spacing w:val="4"/>
          <w:sz w:val="20"/>
        </w:rPr>
        <w:t xml:space="preserve">”),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Holders who make Share Elections and holders who do not timely make an election (Default Stock) will receive the Share Consideration (0.5537 Weatherford Ordinary Shares per share of NCS Common Stock) without any proration or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and whose shares of NCS Common Stock are to be automatically cancelled and converted into the right to receive the Merger Consideration (referred to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statement/prospectus as a “</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may specify in a request made in accordance with the election procedures whether such holder desires to make a Share Election or a Mixed Election with respect to all shares of NCS Common Stock held by such holder. The Merger Agreement provides that NCS stockholders will be provided with an election form and other customary transmittal materials. NCS will initially cause to be mailed the election form not less than 30 days prior to the anticipated Effective Time or 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and Weatherford will provide the exchange agent with all information reasonably necessary for it to perform its duties as specified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of the Transaction or such other date as may be mutually agreed to by the parties. Weatherford and NCS will publicly announce the anticipated election deadline at least five Business Days prior to the anticipated closing date of the Transaction. 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of NCS Common Stock represented by such election form will be deemed to have made no election, except to the extent a subsequent election is properly made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and return the election form by the election deadline, such stockholder’s shares of NCS Common Stock will be considered “Default Stock” and will automatically be cancelled and converted into the right to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such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Redomestication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LW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Weatherford Ordinary Shares; Delisting of NCS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 condition to the completion of the Transaction that (i) the registration statement for the issuer of the Merger Consideration (as adopted by any successor pursuant to Securities Act Rule 414, if applicable) is effective, and (ii) the Weatherford Ordinary Shares to be issued to NCS stockholders in the Transaction (referred to as the Merger Consideration) be approved for listing on the Nasdaq Global Select Market, subject to official notice of issuance. As a result of the Transaction, shares of NCS Common Stock will cease to be publicly listed on a national securities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MA"/>
      <w:bookmarkEnd w:id="23"/>
      <w:r>
        <w:rPr>
          <w:rFonts w:ascii="calibri;arial;sans-serif" w:hAnsi="calibri;arial;sans-serif"/>
          <w:b w:val="false"/>
          <w:i w:val="false"/>
          <w:caps w:val="false"/>
          <w:smallCaps w:val="false"/>
          <w:color w:val="000000"/>
          <w:sz w:val="16"/>
        </w:rPr>
        <w:t>​</w:t>
      </w:r>
      <w:bookmarkStart w:id="24" w:name="tCFT"/>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describes the material provisions of the Merger Agreement, which is attached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to this information statement/prospectus and is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The summary of the material provisions of the Merger Agreement below and elsewhere in this information statement/prospectus is qualified in its entirety by reference to the Merger Agreement. This summary does not purport to be complete and may not contain all of the information about the Merger Agreement that is important to you. Weatherford and NCS encourage you to read carefully the Merger Agreement in its entirety before making any decisions regarding the Transaction as it is the legal document governing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this summary of its terms have been included to provide you with information regarding the terms of the Merger Agreement. Weatherford and NCS are responsible for considering whether additional disclosure of material information is required to make the statements in this information statement/prospectus not misleading. Factual disclosures about Weatherford and NCS contained in this information statement/prospectus or Weatherford’s or NCS’s public reports filed with the SEC may supplement, update, or modify the factual disclosures about Weatherford or NCS contained in the Merger Agreement and described in this summary. The representations, warranties, and covenants made in the Merger Agreement by Weatherford, Merger Sub and NCS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Transaction.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information statement/prospectus and in the documents incorporated by reference into this information statement/prospectus. For additional information regarding the location of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Delaware law, at the Effective Time, Merger Sub will merge with and into NCS, and NCS will survive the merger with Merger Sub and become a wholly owned subsidiary of Weatherford, and the separate corporate existence of Merger Sub will cease.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Transaction will take place at 10:00 a.m., Central Time, on the second Business Day following the satisfaction or waiver of the closing conditions, at the offices of Baker Botts L.L.P., 910 Louisiana Street, Houston, TX 77002, unless another date, time or place is agreed to in writing by Weatherford or NCS. Alternatively, the closing of the Transaction may occur remotely via electronic exchange of required closing documentation in lieu of an in-person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closing of the Transaction will not occur on any date that falls on, or between, the date(s) of the Irish High Court hearing to sanction the Redomestication and the date of the closing of the transactions contemplated by the Redomestication (such period referred to as the Tolling Period). In the event that the closing of the Transaction would otherwise be required to occur during the Tolling Period and the parties have otherwise satisfied or waived the closing conditions, the Outside Date will be automatically extended 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FF"/>
      <w:bookmarkEnd w:id="25"/>
      <w:r>
        <w:rPr>
          <w:rFonts w:ascii="calibri;arial;sans-serif" w:hAnsi="calibri;arial;sans-serif"/>
          <w:b w:val="false"/>
          <w:i w:val="false"/>
          <w:caps w:val="false"/>
          <w:smallCaps w:val="false"/>
          <w:color w:val="000000"/>
          <w:sz w:val="16"/>
        </w:rPr>
        <w:t>​</w:t>
      </w:r>
      <w:bookmarkStart w:id="26" w:name="tPR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day-for-day basis for each day during the Tolling Period on which the closing of the Transaction is delayed, such that the Outside Date will be extended by a number of days equal to the total number of days elapsed during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on the closing date of the Transaction, the parties will file an executed certificate of merger with the Delaware Secretary of State. The Transaction will become effective at the time the certificate of merger is filed with the Delaware Secretary of State or at such later time as Weatherford and NCS agree in writing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subject to the payment of cash in lieu of fractional Weatherford Ordinary Shares as described below under “— </w:t>
      </w:r>
      <w:r>
        <w:rPr>
          <w:rFonts w:ascii="Times New Roman;Times;serif" w:hAnsi="Times New Roman;Times;serif"/>
          <w:b w:val="false"/>
          <w:i/>
          <w:caps w:val="false"/>
          <w:smallCaps w:val="false"/>
          <w:color w:val="000000"/>
          <w:spacing w:val="4"/>
          <w:sz w:val="20"/>
        </w:rPr>
        <w:t>No Fractional Shares</w:t>
      </w:r>
      <w:r>
        <w:rPr>
          <w:rFonts w:ascii="Times New Roman;Times;serif" w:hAnsi="Times New Roman;Times;serif"/>
          <w:b w:val="false"/>
          <w:i w:val="false"/>
          <w:caps w:val="false"/>
          <w:smallCaps w:val="false"/>
          <w:color w:val="000000"/>
          <w:spacing w:val="4"/>
          <w:sz w:val="20"/>
        </w:rPr>
        <w:t xml:space="preserve">” and proration as described below under “— </w:t>
      </w:r>
      <w:r>
        <w:rPr>
          <w:rFonts w:ascii="Times New Roman;Times;serif" w:hAnsi="Times New Roman;Times;serif"/>
          <w:b w:val="false"/>
          <w:i/>
          <w:caps w:val="false"/>
          <w:smallCaps w:val="false"/>
          <w:color w:val="000000"/>
          <w:spacing w:val="4"/>
          <w:sz w:val="20"/>
        </w:rPr>
        <w:t>Proration and Allocation of Merger Consideration</w:t>
      </w:r>
      <w:r>
        <w:rPr>
          <w:rFonts w:ascii="Times New Roman;Times;serif" w:hAnsi="Times New Roman;Times;serif"/>
          <w:b w:val="false"/>
          <w:i w:val="false"/>
          <w:caps w:val="false"/>
          <w:smallCaps w:val="false"/>
          <w:color w:val="000000"/>
          <w:spacing w:val="4"/>
          <w:sz w:val="20"/>
        </w:rPr>
        <w:t xml:space="preserve">,” each share of NCS Common Stock, issued and outstanding immediately prior to the Effective Time (other than excluded shares as described below “— </w:t>
      </w:r>
      <w:r>
        <w:rPr>
          <w:rFonts w:ascii="Times New Roman;Times;serif" w:hAnsi="Times New Roman;Times;serif"/>
          <w:b w:val="false"/>
          <w:i/>
          <w:caps w:val="false"/>
          <w:smallCaps w:val="false"/>
          <w:color w:val="000000"/>
          <w:spacing w:val="4"/>
          <w:sz w:val="20"/>
        </w:rPr>
        <w:t>Cancellation of Certain NCS Common Stock</w:t>
      </w:r>
      <w:r>
        <w:rPr>
          <w:rFonts w:ascii="Times New Roman;Times;serif" w:hAnsi="Times New Roman;Times;serif"/>
          <w:b w:val="false"/>
          <w:i w:val="false"/>
          <w:caps w:val="false"/>
          <w:smallCaps w:val="false"/>
          <w:color w:val="000000"/>
          <w:spacing w:val="4"/>
          <w:sz w:val="20"/>
        </w:rPr>
        <w:t xml:space="preserve">”), will automatically be cancelled and converted into the right to receive: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Share Election has been properly made and not properly changed or revoked (a “</w:t>
      </w:r>
      <w:r>
        <w:rPr>
          <w:rFonts w:ascii="Times New Roman;Times;serif" w:hAnsi="Times New Roman;Times;serif"/>
          <w:b/>
          <w:i w:val="false"/>
          <w:caps w:val="false"/>
          <w:smallCaps w:val="false"/>
          <w:color w:val="000000"/>
          <w:spacing w:val="-4"/>
          <w:sz w:val="20"/>
        </w:rPr>
        <w:t>Share Election Share</w:t>
      </w:r>
      <w:r>
        <w:rPr>
          <w:rFonts w:ascii="Times New Roman;Times;serif" w:hAnsi="Times New Roman;Times;serif"/>
          <w:b w:val="false"/>
          <w:i w:val="false"/>
          <w:caps w:val="false"/>
          <w:smallCaps w:val="false"/>
          <w:color w:val="000000"/>
          <w:spacing w:val="4"/>
          <w:sz w:val="20"/>
        </w:rPr>
        <w:t xml:space="preserve">”), a number of Weatherford Ordinary Shares equal to the Share Consideration Exchange Ratio (0.5537) (referred to as the Share Consideration); </w:t>
      </w:r>
      <w:r>
        <mc:AlternateContent>
          <mc:Choice Requires="wps">
            <w:drawing>
              <wp:anchor behindDoc="0" distT="7493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Mixed Election has been properly made and not properly changed or revoked (a “</w:t>
      </w:r>
      <w:r>
        <w:rPr>
          <w:rFonts w:ascii="Times New Roman;Times;serif" w:hAnsi="Times New Roman;Times;serif"/>
          <w:b/>
          <w:i w:val="false"/>
          <w:caps w:val="false"/>
          <w:smallCaps w:val="false"/>
          <w:color w:val="000000"/>
          <w:spacing w:val="-4"/>
          <w:sz w:val="20"/>
        </w:rPr>
        <w:t>Mixed Election Share</w:t>
      </w:r>
      <w:r>
        <w:rPr>
          <w:rFonts w:ascii="Times New Roman;Times;serif" w:hAnsi="Times New Roman;Times;serif"/>
          <w:b w:val="false"/>
          <w:i w:val="false"/>
          <w:caps w:val="false"/>
          <w:smallCaps w:val="false"/>
          <w:color w:val="000000"/>
          <w:spacing w:val="4"/>
          <w:sz w:val="20"/>
        </w:rPr>
        <w:t xml:space="preserve">”), (i) an amount in cash equal to the product of the Mixed Consideration Cash Exchange Ratio (0.1371) and the Parent Closing Price (referred to as the Cash Consideration), and (ii) a number of Weatherford Ordinary Shares equal to the Mixed Consideration Exchange Ratio (0.2392) (collectively referred to as the Mixed Consideration), which Mixed Consideration is subject to proration as described below; and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NCS Common Stock that is not a Share Election share or a Mixed Election share (referred to as Default Stock), the right to receive the Share Consideration.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Consideration Exchange Ratio, Mixed Consideration Exchange Ratio, and Mixed Consideration Cash Exchange Ratio will be appropriately adjusted to reflect the effect of any stock split, subdivision, consolidation, combination or reclassification with respect to the outstanding Weatherford Ordinary Shares, NCS Common Stock, payment of a stock dividend or other distribution in respect of such shares or the changing of such shares into other securities, in each case that occurs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proration in the event that the Elected Cash Consideration exceeds the Maximum Cash Election Amount. Under the Merger Agreement, the “Maximum Cash Election Amount”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Elected Cash Consideration exceeds the Maximum Cash Election Amount (such excess, referred to as the Excess Cash Amount),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Share Election Shares and Default Stock will receive the Share Consideration (a number of Weatherford Ordinary Shares equal to the Share Consideration Exchange Ratio of 0.5537 per share of NCS Common Stock) without any proration or adjustment, regardless of the aggregate Mixed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Cancellation of Certain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NCS Common Stock issued and outstanding immediately prior to the Effective Time that is held in treasury by NCS or owned, directly or indirectly, by Weatherford or Merger Sub immediately prior to the Effective Time, referred to as excluded shares, will automatically be canceled and will cease to exist. No consideration will be delivered in exchange for any excluded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Documents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Transaction, the certificate of incorporation of NCS as in effect immediately prior to the Effective Time will be amended and restated in its entirety in the form agreed to by the parties as of the date of the Merger Agreement and will be the certificate of incorporation of the surviving corporation, and the bylaws of NCS as in effect immediately prior to Effective Time will be amended and restated to read in their entirety as set forth in the bylaws of Merger Sub as in effect immediately prior to Effective Time, except that all references therein to Merger Sub will be automatically amended and will become references to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Matters;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officers of Merger Sub immediately prior to the Effective Time will be the initial directors and the initial officers, respectively, of the surviving corporation after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whose shares are to be cancelled and converted into the right to receive the Merger Consideration, referred to in this information statement/prospectus as a holder, may, in each case, specify in a request made in accordance with the election procedures whether such holder desires to make a Share Election or a Mixed Election with respect to all shares of NCS Common held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NCS stockholders will be provided with an election form and other customary transmittal materials. Each election form will permit the holder (or the beneficial owner through customary documentation and instructions) of NCS Common Stock to specify that such holder elects to receive (i) the Share Consideration in respect of all such holder’s shares of NCS Common Stock or (ii) the Mixed Consideration in respect of all such holder’s shares of NCS Common Stock. NCS will initially cause to be mailed the election form not less than 30 days prior to the anticipated Effective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or such other date as may be mutually agreed to by the parties. Weatherford and NCS will publicly announce the anticipated election deadline at least five Business Days prior to the anticipated closing date. If the closing date is delayed to a subsequent date, the election deadline will be similarly delayed to a subsequent date, and Weatherford and NCS will promptly announce any such delay and, when determined, the rescheduled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represented by such election form will be deemed to have made no election, except to the extent a subsequent election is properly made during the election period. 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sign, and return the election form by the election deadline, such stockholder’s shares of NCS Common Stock will be considered “Default Stock” and will automatically be cancelled and converted into the right to receive the Share Consideration. Default Stock is not subject to proration.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exchange agent agreement with a bank or trust company reasonably acceptable to NCS and anticipated to be Equiniti Trust Company, LLC. At or prior to the Effective Time, Weatherford will deposit (i) cash in immediately available funds in an amount sufficient to pay the Elected Cash Consideration (subject to proration) and, to the extent determinable, cash in lieu of fractional shares, and (ii) evidence of Weatherford Ordinary Shares in book-entry form representing the number of Weatherford Ordinary Shares sufficient to deliver the aggregate Share Consideration and Mixed Election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of the Transaction, Weatherford will enter into an agreement with an exchange agent to act as nominee and agent for the holders of NCS Common Stock in connection with the Transaction and to receive the Merger Consideration. Weatherford will make available to the exchange agent the number of Weatherford Ordinary Shares required to be delivered as Share Consideration and Mixed Consideration. All of those shares will be allotted and issued directly to, or for the benefit of, the holders of eligible shares of NCS Common Stock in certificated or book-entry form immediately prior to the Effective Time, (including, as applicable, the nominee of The Depository Trust Company). Weatherford will take all actions necessary to ensure that the exchange fund maintained by the exchange agent includes at all times cash sufficient to satisfy Weatherford’s obligations to make the payments contemplated by the merger agreement, including the cash portion of the Mixed Consideration, dividends payable (if any) and cash in lieu of fractional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NCS Certificates and Book-Entry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no later than five Business Days after the Effective Time, Weatherford and the surviving corporation will cause the exchange agent to mail to each holder of record of a certificate that immediately prior to the Effective Time represented outstanding eligible shares of NCS Common Stock that by virtue of the merger and operation of Delaware law were, at the Effective Time, automatically cancelled and converted into the right to receive the merger consideration, a form of letter of transmittal and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Upon the surrender of a certificate to the exchange agent, together with a properly completed and executed letter of transmittal, the holder of the certificate will be entitled to receive in exchange for the eligible shares of NCS Common Stock formerly represented by the certificate (i) the number of whole Weatherford Ordinary Shares, and, if applicable (ii) a check in the amount equal to the Cash Consideration plus any dividends and any cash in lieu of fractional Weatherford Ordinary Shares payable pursuant to the Merger Agreement, in each case to which such holder is entitled under the Merger Agreement. Following the surrender of that certificate, the certificate will then be cancelled.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Promptly and no later than five Business Days after the Effective Time, Weatherford will cause the exchange agent to issue and send to each holder of uncertificated eligible shares of NCS Common Stock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Weatherford Ordinary Shares (which will be in uncertificated book-entry form) representing, in the aggregate, the whole number of Weatherford Ordinary Shares, if any, that such holder has the right to receive and (iii) if applicable, a check or wire transfer in the amount equal to the Cash Consideration that such holder is entitled to receive plus any dividends and cash in lieu of any fractional Weatherford Ordinary Shares payable pursuant to the Merger Agreement. Holders of Book-Entry Shares do not need to deliver a certificate or an executed letter of transmittal to the exchange agent. Such Book-Entry Shares will then be cancelled. All Weatherford Ordinary Shares representing Merger Consideration to be issued to holders of Book-Entry Shares (including the nominee of The Depository Trust Company) will be issued directly to the relevant holders. No interest will be paid or accrued on any unpaid dividends or cash in lieu of fractional shares, if any, payable to holders of certificates or Book-Entry Shares. Until surrendered, each certificate or Book-Entry Share shall be deemed after the Effective Time to represent only the right to receive the Merger Consideration payable in respect thereof, any dividends and any cash in lieu of fractional Weatherford Ordinary Shares payable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 of the Merger Consideration is to be made to a person other than the person in whose name the surrendered certificate or Book-Entry Share is registered, it will be a condition of payment that such certificate will be properly endorsed or otherwise be in proper form for transfer or such Book-Entry Share will be properly transferred and that the person requesting the payment will have paid any required transfer taxes or established to the satisfaction of Weatherford that transfer taxes are not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Lost, Stolen or Destroyed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upon making a reasonably acceptable affidavit of that fact by the person claiming the certificate is lost, stolen or destroyed and, if required by Weatherford or the exchange agent, the posting by such person of a bond in an amount that Weatherford or the exchange agent reasonably determine is necessary as indemnity, the exchange agent will deliver in exchange for the lost, stolen or destroyed certificate the Merger Consideration and any dividends and cash in lieu of fractional Weatherford Ordinary Shares payable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RN"/>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with respect to Weatherford Ordinary Shares with a record date after the Effective Time will be paid to the holder of any unsurrendered certificate with respect to the Weatherford Ordinary Shares that the holder has the right to receive upon the surrender thereof until such holder surrenders such certificate in accordance with the Merger Agreement. Following the surrender of a certificate by a record holder of eligible shares of NCS Common Stock, the holder will be paid, without interest, (1) promptly after surrender, the amount of any dividends with a record date after the Effective Time paid with respect to the whole Weatherford Ordinary Shares and (2) at the appropriate payment date, the amount of dividends with a record date after the Effective Time but prior to surrender and a payment date after surrender payable with respect to the whole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NCS Stockholders Following the Effective Time and Transfers Following the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and any cash in lieu of fractional Weatherford Ordinary Shares payable pursuant to the Merger Agreement will be deemed to have been delivered and paid in full satisfaction of all rights pertaining to the eligible shares of NCS Common Stock formerly represented by the certificates or Book-Entry Shares. From and after the Effective Time, all holders of NCS stock certificates and Book-Entry Shares (including beneficial owners) will cease to have any rights as stockholders of NCS other than the right to receive the Merger Consideration upon the surrender of such shares together with the cash in lieu of fractional Weatherford Ordinary Shares and unpaid dividends and distributions, if any, without interest. At the Effective Time, the stock transfer books of NCS will be closed and there will be no further registration of transfers of the NCS Common Stock that were outstanding immediately prior to the Effective Time. If, after the Effective Time, certificates are presented to the surviving corporation or the exchange agent for transfer or transfer is sought for Book-Entry Shares, such certificates or Book-Entry Shares will be cancelled and exchanged for the Merger Consideration in accordance with the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exchange fund (and any interest or other income earned on the contents of the exchange fund) that remains undistributed to the holders of certificates or Book-Entry Shares one year after the Effective Time will be delivered to Weatherford, upon demand, and any remaining holders of certificates or Book-Entry Shares (other than excluded shares) will look only to Weatherford for payment of the Merger Consideration and any dividends or cash in lieu of fractional Weatherford Ordinary Shares payable pursuant to the Merger Agreement (subject to abandoned property, escheat or other similar laws), without interest. None of Weatherford, the surviving corporation, the exchange agent or any other person will be liable to any person in respect of any portion of the exchange fund properly delivered to a public official pursuant to any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NCS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Stock Options, RSU Awards and 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S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Weatherford will file a registration statement on Form S-8 (or any successor form) with respect to the Weatherford Ordinary Shares subject to such Assumed Options, Assumed RSUs and Assumed PSUs as soon as practicable, but in no event later than five Business Days, following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Stock Purchase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as of 5:00 p.m. Central Time on May 29, 2026, 86,416 shares of NCS Common Stock were reserved for issuance pursuant to the NCS ESPP. The NCS ESPP has been duly suspended since July 1, 2019, and no offering period has commenced thereunder since that date. As of the date of this Registration Statement, there are no outstanding purchase rights under the NCS ESPP, and no 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the parties. These include representations and warranties of NCS with respect to, among others: corporate organization, existence, power, and standing; capitalization; subsidiaries; corporate authority; no conflict with organizational documents, material contracts, and applicable law; SEC reports and financial statements; absence of undisclosed liabilities; accuracy of information supplied for inclusion in the Registration Statement and this information statement/prospectus; absence of certain changes or events; litigation; compliance with laws; benefit plans; labor matters; environmental matters; taxes; material contracts; insurance; real property; intellectual property; state takeover statutes; absence of a stockholder rights plan; related party transactions; privacy and security; anti-corruption and international trade compliance; brokers; opinion of Piper Sandler as financial advisor to NCS; intended tax treatment qualification; top customers and suppliers; and European Union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representations and warranties of Weatherford and Merger Sub with respect to, among others: corporate organization, existence, power, and standing; capital stock; corporate authority; no conflict with organizational documents, material contracts, and applicable law; SEC reports and financial statements; listing exchange; accuracy of information supplied for inclusion in the Registration Statement and this information statement/prospectus; absence of certain changes or events; litigation; compliance with laws; state takeover statutes; activity of Merger Sub; and intended tax treatment 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defines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with respect to NCS to mean any event, change, circumstance, occurrence, effect, or state of facts that, individually or in the aggregate, is or would reasonably be expected to be materially adverse to the business, assets, liabilities, condition (financial or otherwise) or results of operations of NCS and its subsidiaries, taken as a whole. However, the definition excludes, subject to certain limitations, certain specified items, any event, change, circumstance, occurrence, effect, or state of facts to the extent resulting from: </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w:t>
      </w:r>
      <w:r>
        <mc:AlternateContent>
          <mc:Choice Requires="wps">
            <w:drawing>
              <wp:anchor behindDoc="0" distT="100330" distB="0" distL="254000" distR="0" simplePos="0" locked="0" layoutInCell="1" allowOverlap="1" relativeHeight="235">
                <wp:simplePos x="0" y="0"/>
                <wp:positionH relativeFrom="column">
                  <wp:align>left</wp:align>
                </wp:positionH>
                <wp:positionV relativeFrom="line">
                  <wp:align>top</wp:align>
                </wp:positionV>
                <wp:extent cx="3048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conditions or changes that are the result of the outbreak, conduct or escalation of war (whether declared or undeclared) or acts of terrorism or sabotage (including cyber-attacks); </w:t>
      </w:r>
      <w:r>
        <mc:AlternateContent>
          <mc:Choice Requires="wps">
            <w:drawing>
              <wp:anchor behindDoc="0" distT="100330" distB="0" distL="254000" distR="0" simplePos="0" locked="0" layoutInCell="1" allowOverlap="1" relativeHeight="236">
                <wp:simplePos x="0" y="0"/>
                <wp:positionH relativeFrom="column">
                  <wp:align>left</wp:align>
                </wp:positionH>
                <wp:positionV relativeFrom="line">
                  <wp:align>top</wp:align>
                </wp:positionV>
                <wp:extent cx="3048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(after the date of the Merger Agreement) in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interpretations thereof; </w:t>
      </w:r>
      <w:r>
        <mc:AlternateContent>
          <mc:Choice Requires="wps">
            <w:drawing>
              <wp:anchor behindDoc="0" distT="100330" distB="0" distL="254000" distR="0" simplePos="0" locked="0" layoutInCell="1" allowOverlap="1" relativeHeight="237">
                <wp:simplePos x="0" y="0"/>
                <wp:positionH relativeFrom="column">
                  <wp:align>left</wp:align>
                </wp:positionH>
                <wp:positionV relativeFrom="line">
                  <wp:align>top</wp:align>
                </wp:positionV>
                <wp:extent cx="3048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proposed changes (after the date of the Merger Agreement) in laws (including changes in the interpretations thereof by any applicable governmental entity); </w:t>
      </w:r>
      <w:r>
        <mc:AlternateContent>
          <mc:Choice Requires="wps">
            <w:drawing>
              <wp:anchor behindDoc="0" distT="100330" distB="0" distL="254000" distR="0" simplePos="0" locked="0" layoutInCell="1" allowOverlap="1" relativeHeight="238">
                <wp:simplePos x="0" y="0"/>
                <wp:positionH relativeFrom="column">
                  <wp:align>left</wp:align>
                </wp:positionH>
                <wp:positionV relativeFrom="line">
                  <wp:align>top</wp:align>
                </wp:positionV>
                <wp:extent cx="3048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failure to take action, in each case, as expressly required by the Merger Agreement or at the written request of Weatherford or Merger Sub; </w:t>
      </w:r>
      <w:r>
        <mc:AlternateContent>
          <mc:Choice Requires="wps">
            <w:drawing>
              <wp:anchor behindDoc="0" distT="100330" distB="0" distL="254000" distR="0" simplePos="0" locked="0" layoutInCell="1" allowOverlap="1" relativeHeight="239">
                <wp:simplePos x="0" y="0"/>
                <wp:positionH relativeFrom="column">
                  <wp:align>left</wp:align>
                </wp:positionH>
                <wp:positionV relativeFrom="line">
                  <wp:align>top</wp:align>
                </wp:positionV>
                <wp:extent cx="3048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to meet any internal or published projections, forecasts, estimates or predictions in respect of revenues, earnings or other financial or operating metrics for any period (although the underlying causes of such failure may be taken into account in determining whether a Material Adverse Effect has occurred); </w:t>
      </w:r>
      <w:r>
        <mc:AlternateContent>
          <mc:Choice Requires="wps">
            <w:drawing>
              <wp:anchor behindDoc="0" distT="100330" distB="0" distL="254000" distR="0" simplePos="0" locked="0" layoutInCell="1" allowOverlap="1" relativeHeight="240">
                <wp:simplePos x="0" y="0"/>
                <wp:positionH relativeFrom="column">
                  <wp:align>left</wp:align>
                </wp:positionH>
                <wp:positionV relativeFrom="line">
                  <wp:align>top</wp:align>
                </wp:positionV>
                <wp:extent cx="3048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pandemic, disease outbreak or other public health crisis, public health event, or the worsening of any of the foregoing, or any hurricane, tornado, flood, fire, volcano, earthquake, freeze, or other natural disaster; </w:t>
      </w:r>
      <w:r>
        <mc:AlternateContent>
          <mc:Choice Requires="wps">
            <w:drawing>
              <wp:anchor behindDoc="0" distT="100330" distB="0" distL="254000" distR="0" simplePos="0" locked="0" layoutInCell="1" allowOverlap="1" relativeHeight="241">
                <wp:simplePos x="0" y="0"/>
                <wp:positionH relativeFrom="column">
                  <wp:align>left</wp:align>
                </wp:positionH>
                <wp:positionV relativeFrom="line">
                  <wp:align>top</wp:align>
                </wp:positionV>
                <wp:extent cx="304800" cy="525780"/>
                <wp:effectExtent l="0" t="0" r="0" b="0"/>
                <wp:wrapSquare wrapText="right"/>
                <wp:docPr id="226" name="Frame22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or pendency of the transactions contemplated by the Merger Agreement, including any litigation, claim or proceeding arising from allegations of a breach of fiduciary duty or other violation of applicable securities laws relating to the Merger Agreement and the transactions contemplated thereby, or the identity of Weatherford or any of its subsidiaries, including the impact of the foregoing on NCS’s relationships with customers, suppliers, service providers, governmental entities, or any other persons; </w:t>
      </w:r>
      <w:r>
        <mc:AlternateContent>
          <mc:Choice Requires="wps">
            <w:drawing>
              <wp:anchor behindDoc="0" distT="100330" distB="0" distL="254000" distR="0" simplePos="0" locked="0" layoutInCell="1" allowOverlap="1" relativeHeight="242">
                <wp:simplePos x="0" y="0"/>
                <wp:positionH relativeFrom="column">
                  <wp:align>left</wp:align>
                </wp:positionH>
                <wp:positionV relativeFrom="line">
                  <wp:align>top</wp:align>
                </wp:positionV>
                <wp:extent cx="304800" cy="525780"/>
                <wp:effectExtent l="0" t="0" r="0" b="0"/>
                <wp:wrapSquare wrapText="right"/>
                <wp:docPr id="227" name="Frame22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market price or trading volume of NCS Common Stock (although the underlying causes of such change may be taken into account in determining whether a Material Adverse Effect has occurred); or </w:t>
      </w:r>
      <w:r>
        <mc:AlternateContent>
          <mc:Choice Requires="wps">
            <w:drawing>
              <wp:anchor behindDoc="0" distT="101600" distB="0" distL="254000" distR="0" simplePos="0" locked="0" layoutInCell="1" allowOverlap="1" relativeHeight="243">
                <wp:simplePos x="0" y="0"/>
                <wp:positionH relativeFrom="column">
                  <wp:align>left</wp:align>
                </wp:positionH>
                <wp:positionV relativeFrom="line">
                  <wp:align>top</wp:align>
                </wp:positionV>
                <wp:extent cx="3048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fluctuations in revenue or earnings. </w:t>
      </w:r>
      <w:r>
        <mc:AlternateContent>
          <mc:Choice Requires="wps">
            <w:drawing>
              <wp:anchor behindDoc="0" distT="101600" distB="0" distL="254000" distR="0" simplePos="0" locked="0" layoutInCell="1" allowOverlap="1" relativeHeight="244">
                <wp:simplePos x="0" y="0"/>
                <wp:positionH relativeFrom="column">
                  <wp:align>left</wp:align>
                </wp:positionH>
                <wp:positionV relativeFrom="line">
                  <wp:align>top</wp:align>
                </wp:positionV>
                <wp:extent cx="3048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exclusion clauses (i), (ii), (iii), (iv), and (vii) only apply to the extent the impact of such event is not disproportionately adverse to NCS and its subsidiaries, taken as a whole, as compared to other participants in the industries in which NCS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NCS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termination of the Merger Agreement in accordance with its terms, except as consented to in writing in advance by Weatherford, as otherwise specifically required by the Merger Agreement, or as required by applicable law, NCS is required to, and is required to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keep available the services of its current officers, employees, and consultants and preserve its goodwill and its relationships with customers, suppliers, licensors, licensees, distributors, and others having business dealings with it. NCS is also subject to specific restrictions during this period, subject to certain exceptions and materiality thresholds, including as set forth in the disclosure letter delivered by NCS in connection with the signing of the Merger Agreement (the “</w:t>
      </w:r>
      <w:r>
        <w:rPr>
          <w:rFonts w:ascii="Times New Roman;Times;serif" w:hAnsi="Times New Roman;Times;serif"/>
          <w:b/>
          <w:i w:val="false"/>
          <w:caps w:val="false"/>
          <w:smallCaps w:val="false"/>
          <w:color w:val="000000"/>
          <w:spacing w:val="-4"/>
          <w:sz w:val="20"/>
        </w:rPr>
        <w:t>NCS Disclosure Letter</w:t>
      </w:r>
      <w:r>
        <w:rPr>
          <w:rFonts w:ascii="Times New Roman;Times;serif" w:hAnsi="Times New Roman;Times;serif"/>
          <w:b w:val="false"/>
          <w:i w:val="false"/>
          <w:caps w:val="false"/>
          <w:smallCaps w:val="false"/>
          <w:color w:val="000000"/>
          <w:spacing w:val="4"/>
          <w:sz w:val="20"/>
        </w:rPr>
        <w:t xml:space="preserve">”), and unless Weatherford provides prior written consent (such consent not to be unreasonably withheld, conditioned or delayed), including restrictions relating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declaring, setting aside or paying any dividends on, or making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(ii) purchasing, redeeming or otherwise acquiring shares of capital stock or other equity interests of NCS or its subsidiaries (other than repurchases of NCS Common Stock in connection with the vesting or settlement of equity awards), or (iii) splitting, combining, reclassifying or otherwise amending the terms of any of its capital stock or other equity interests or issuing or authorizing the issuance of any other securities in respect of, in lieu of or in substitution for shares of its capital stock or other equity interests;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issuing, delivering, selling, granting, pledging or otherwise encumbering or subjecting to any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on a deferred basis or other rights linked to the value of shares (excluding the settlement of any equity award outstanding as of May 31, 2026 or granted in accordance with the terms of the Merger Agreement);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or otherwise changing, or authorizing or proposing to amend or otherwise change, NCS’s certificate of incorporation or bylaws (or similar organizational documents);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acquiring or agreeing to acquire (i)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(ii) any assets with a value exceeding $500,000 individually or $3,000,000 in the aggregate (other than inventory acquired in the ordinary course of business);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directly or indirectly selling, leasing, licensing, selling and leasing back, abandoning, mortgaging or otherwise encumbering or subjecting to any lien or otherwise disposing in whole or in part of any of its properties, assets or rights or any interest therein (except for inventory in the ordinary course of business and obsolete equipment in the ordinary course of business with an aggregate value not in excess of $250,000, transactions solely among NCS and one or more of its wholly owned subsidiaries, or solely among NCS’s wholly owned subsidiaries);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incurring, creating, assuming or otherwise becoming liable for, or repaying or prepaying, any indebtedness, or amending, modifying or refinancing any indebtedness (other than draws under the Credit Agreement or the Repeat Precision Note (as defined in the Merger Agreement) in the ordinary course of business in excess of $5,000,000, or repayment of indebtedness and reborrowings under the Credit Agreement or the Repeat Precision Note in accordance with the terms thereof and in the ordinary course of business), or (ii) making any loans, advances or capital contributions to, or investments in, any other person (other than NCS, any direct or indirect wholly owned subsidiary of NCS or advancement or indemnification of expenses or losses incurred by current or former directors or officers);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set forth in the NCS Disclosure Letter, paying, discharging, settling or satisfying any claims, liabilities or obligations (other than the payment, discharge or satisfaction in the ordinary course of business consistent with past practice or as required by their terms as in effect on the date of the Merger Agreement of claims, liabilities or obligations reflected or reserved against in the most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 audited financial statements for amounts not in excess of such reserves or incurred since the date of such financial statements in the ordinary course of business consistent with past practice), (ii) canceling any indebtedness owed to NCS or any of its subsidiaries in excess of $250,000 individually or $1,000,000 in the aggregate, or (iii) waiving, releasing, granting or transferring any right of value in excess of $250,000 individually or $1,000,000 in the aggregate;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modifying, amending, terminating, canceling or extending any material contract, or (ii) entering into any contract that if in effect on the date of the Merger Agreement would be a material contract, in each case, (a) outside of the ordinary course of business consistent with past practice, or (b) that involves payments by or to NCS or any of its subsidiaries in excess of $500,000 individually or $2,000,000 in the aggregate;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any action (other than an action as a result of an action commenced against NCS or any of its subsidiaries), or compromising, settling or agreeing to settle any action (including any action relating to the Merger Agreement or the Transaction)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NCS;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changing its financial accounting methods, principles, periods or practices in any material respect (except insofar as may have been required by a change in GAAP);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settling or compromising any material liability for taxes; filing any material amended tax return or material claim for tax refund; making (other than in the ordinary course of business) or revoking or modifying any material tax election; consenting to any extension or waiver of the limitation period applicable to any claim or assessment in respect of a material amount of taxes; or changing any material method of accounting for tax purposes;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GAAP, changing its fiscal year;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required by the terms of any NCS benefit plan: (i) granting any current or former director, officer, employee or independent contractor any increase in compensation, bonus or other benefits, or any such grant of any type of compensation or benefits to any current or former director, officer, employee or independent contractor, (ii) granting or paying to any current or former director, officer, employee or independent contractor any severance, change in control, retention or termination pay, plan, program or agreement, or modifications thereto or increases therein, (iii) granting or amending any equity award or any other equity award of NCS, (iv) taking any action to accelerate the vesting, funding or payment of any compensation or benefit under any NCS benefit plan or other contract, or (v) adopting any new employee benefit or compensation plan or arrangement or amending, modifying or terminating any existing NCS benefit plan;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implementing or announcing any employee layoffs, plant closing or other personnel actions that would reasonably be expected to trigger the notice requirements of the WARN Act;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terminating, extending or otherwise modifying any collective bargaining agreement, or recognizing or certifying any union or group of employees as the bargaining representative for any employees or other individual service providers of NCS or any of its subsidiaries;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waiver or release of any noncompetition, nonsolicitation, nondisclosure or other restrictive covenant obligation of any current or former employee or other individual service provider;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hiring, engaging or terminating (without cause) any employee or other individual service provider with annual base compensation in excess of $150,000, in each case, other than hiring new employees and individual service providers to replace employees and individual service providers whose employment or engagement terminates on terms that are substantially similar to those that applied to the applicable employees or individual service providers that were replaced;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non-compete, exclusivity, non-solicitation or similar agreement that would restrict or limit, in any material respect, the operations of NCS or any of its subsidiaries;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line of business outside of its existing business;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lease in any material respect or amending the terms of any existing lease of real property (other than any renewal in the ordinary course of business consistent with the existing terms of such lease other than reasonable increases in pricing terms); </w:t>
      </w:r>
      <w:r>
        <mc:AlternateContent>
          <mc:Choice Requires="wps">
            <w:drawing>
              <wp:anchor behindDoc="0" distT="0" distB="0" distL="254000" distR="0" simplePos="0" locked="0" layoutInCell="1" allowOverlap="1" relativeHeight="264">
                <wp:simplePos x="0" y="0"/>
                <wp:positionH relativeFrom="column">
                  <wp:align>left</wp:align>
                </wp:positionH>
                <wp:positionV relativeFrom="line">
                  <wp:posOffset>635</wp:posOffset>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selling, leasing, licensing, sublicensing, modifying, terminating, abandoning or permitting to lapse, transferring or disposing of, creating or incurring any lien (other than a permitted lien) on, or otherwise failing to take any action reasonably necessary to maintain, enforce or protect, any NCS intellectual property;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abandoning, withdrawing, terminating, suspending, abrogating, amending or modifying in any material respect any material permits of NCS and its subsidiaries in a manner adverse to the business of NCS and its subsidiaries;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failing to maintain in effect without replacing material insurance policies customary and adequate for companies of similar size and in the industries and locations in which NCS and its subsidiaries operate covering NCS and its subsidiaries and their respective properties, assets and businesses;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sale-leaseback or similar transaction with respect to owned real property;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transaction with, or entering into any agreement, arrangement or understanding with, any affiliate of NCS or other person covered by Item 404 of Regulation S-K promulgated by the SEC, in each case, that would be required to be disclosed pursuant to Item 404; </w:t>
      </w:r>
      <w:r>
        <mc:AlternateContent>
          <mc:Choice Requires="wps">
            <w:drawing>
              <wp:anchor behindDoc="0" distT="7493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such transactions among wholly owned subsidiaries of NCS); or </w:t>
      </w:r>
      <w:r>
        <mc:AlternateContent>
          <mc:Choice Requires="wps">
            <w:drawing>
              <wp:anchor behindDoc="0" distT="7493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any of, or committing, resolving or agreeing to take any of, the foregoing actions. </w:t>
      </w:r>
      <w:r>
        <mc:AlternateContent>
          <mc:Choice Requires="wps">
            <w:drawing>
              <wp:anchor behindDoc="0" distT="7493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Businesses of Weatherford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the date of the Merger Agreement until the Effective Time, except as set forth in the disclosure letter provided by Weatherford in connection with the signing of the Merger Agreement (the “</w:t>
      </w:r>
      <w:r>
        <w:rPr>
          <w:rFonts w:ascii="Times New Roman;Times;serif" w:hAnsi="Times New Roman;Times;serif"/>
          <w:b/>
          <w:i w:val="false"/>
          <w:caps w:val="false"/>
          <w:smallCaps w:val="false"/>
          <w:color w:val="000000"/>
          <w:spacing w:val="-4"/>
          <w:sz w:val="20"/>
        </w:rPr>
        <w:t>Weatherford Disclosure Letter</w:t>
      </w:r>
      <w:r>
        <w:rPr>
          <w:rFonts w:ascii="Times New Roman;Times;serif" w:hAnsi="Times New Roman;Times;serif"/>
          <w:b w:val="false"/>
          <w:i w:val="false"/>
          <w:caps w:val="false"/>
          <w:smallCaps w:val="false"/>
          <w:color w:val="000000"/>
          <w:spacing w:val="4"/>
          <w:sz w:val="20"/>
        </w:rPr>
        <w:t xml:space="preserve">”), as specifically required by the Merger Agreement or applicable law, Weatherford is prohibited, without NCS’s prior written consent (such consent not to be unreasonably withheld, conditioned or delayed), from,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setting aside or paying any extraordinary dividends or distributions in respect of its capital stock (although Weatherford may make regular quarterly cash dividends consistent with past dividend policy and practices, and increases to such regular quarterly cash dividend amounts in the ordinary course of business); </w:t>
      </w:r>
      <w:r>
        <mc:AlternateContent>
          <mc:Choice Requires="wps">
            <w:drawing>
              <wp:anchor behindDoc="0" distT="7493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amending its memorandum and articles of association in a manner that would reasonably be expected to materially adversely affect the consummation of the Transaction or adversely affect in any material respect the rights of holders of Weatherford Ordinary Shares; </w:t>
      </w:r>
      <w:r>
        <mc:AlternateContent>
          <mc:Choice Requires="wps">
            <w:drawing>
              <wp:anchor behindDoc="0" distT="7493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reclassifying, combining, adjusting, splitting or subdividing any capital stock of Weatherford, other than where equitable adjustments are made to the number of Weatherford Ordinary Shares constituting the Merger Consideration;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certain specified transactions;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transactions among wholly owned subsidiaries of Weatherford; or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committing, resolving, or agreeing to take any of the foregoing actions. </w:t>
      </w:r>
      <w:r>
        <mc:AlternateContent>
          <mc:Choice Requires="wps">
            <w:drawing>
              <wp:anchor behindDoc="0" distT="7493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 lieu of calling a meeting of holders of NCS Common Stock, NCS was required to use its reasonable best efforts to obtain a written consent adopting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approving the transactions contemplated therein, including the Transaction, from the Specified Stockholder (referred to as the Specified Stockholder Written Consent). The Specified Stockholder Written Consent was delivered to NCS on May 31, 2026, following the execution of the Merger Agreement. </w:t>
      </w: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NCS has not solicited and is not soliciting your adoption of the Merger Agreement and the Transaction</w:t>
      </w:r>
      <w:r>
        <w:rPr>
          <w:rFonts w:ascii="Times New Roman;Times;serif" w:hAnsi="Times New Roman;Times;serif"/>
          <w:b w:val="false"/>
          <w:i w:val="false"/>
          <w:caps w:val="false"/>
          <w:smallCaps w:val="false"/>
          <w:color w:val="000000"/>
          <w:spacing w:val="4"/>
          <w:sz w:val="20"/>
        </w:rPr>
        <w:t xml:space="preserve">. No further action by any other NCS stockholder is required under applicable law, and NCS will not solicit the vote of NCS stockholders for the adoption of the Merger Agreement or the Transaction and will not call a special meeting of NCS stockholders for purposes of voting on the adoption of the Merger Agreement or the Transaction. For this reason, this information statement/prospectus is being provided to you for informational purposes only. </w:t>
      </w:r>
      <w:r>
        <w:rPr>
          <w:rFonts w:ascii="Times New Roman;Times;serif" w:hAnsi="Times New Roman;Times;serif"/>
          <w:b/>
          <w:i w:val="false"/>
          <w:caps w:val="false"/>
          <w:smallCaps w:val="false"/>
          <w:color w:val="000000"/>
          <w:spacing w:val="-4"/>
          <w:sz w:val="20"/>
        </w:rPr>
        <w:t>You are not being asked for a proxy, and you are requested not to send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signing of the Merger Agreement, Weatherford, NCS, and the Specified Stockholder entered into a Stockholder Letter Agreement, dated as of May 31, 2026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Subject to the terms and conditions of the Support Agreement, the Specified Stockholder agreed, among other things, to, at any meeting of NCS stockholders, however called and at every adjournment or postponement thereof, and on every action or approval by written consent of NCS stockholders in lieu of a meeting, vote or provide written consents with respect to all shares of NCS Common Stock that the Specified Stockholder beneficially owns (a) in favor of (i) approving and adopting the Merger Agreement and (ii) any proposal to adjourn the meeting of NCS stockholders, if necessary, if a quorum is present, to solicit additional proxies if there are not sufficient votes in favor of ratifying the Merger Agreement, and (b) against any Acquisition Proposal. The Specified Stockholder delivered the Specified Stockholder Written Consent on May 31, 2026. Under Delaware law and NCS’s organizational documents, adoption of the Merger Agreement by NCS’s stockholders required the affirmative vote of the holders of a majority of the issued and outstanding shares of NCS Common Stock in order to effect the Transaction. The requisite NCS stockholder approval was obtained when the Specified Stockholder Written Consent was delivered to NCS by the Specified Stockholder, which beneficially owned 1,478,426 shares of NCS Common Stock representing approximately 56.33% of the issued and outstanding shares of NCS Common Stock, on May 31, 2026 following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further agreed, to revoke any prior proxies the Specified Stockholder had granted with respect to all shares of NCS Common Stock that the Specified Stockholder beneficially owns. In the event that the Specified Stockholder fails to comply with its obligations as laid out in the paragraph above, the Specified Stockholder irrevocably appoints Weatherford as attorney-in-fact and proxy on behalf of the Specified Stockholder to: (a) attend any and all such meetings of NCS stockholders where the obligations set forth in the paragraph above are applicable, (b) vote, express consent or dissent or issue instructions to the record holder to vote in accordance with the obligations set forth in the paragraph above, and (c) grant or withhold, consistent with the obligations set forth in the paragraph above, all written consents.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Support Agreement which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Support Agreement and not by this summary or any other information contained in this information statement/prospectus. You are urged to read the Support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pursuant to the Election Form &amp; Letter Agreement, dated as of June 5, 2026, by and between NCS and the Specified Stockholder (the “</w:t>
      </w:r>
      <w:r>
        <w:rPr>
          <w:rFonts w:ascii="Times New Roman;Times;serif" w:hAnsi="Times New Roman;Times;serif"/>
          <w:b/>
          <w:i w:val="false"/>
          <w:caps w:val="false"/>
          <w:smallCaps w:val="false"/>
          <w:color w:val="000000"/>
          <w:spacing w:val="-4"/>
          <w:sz w:val="20"/>
        </w:rPr>
        <w:t>Election Letter Agreement</w:t>
      </w:r>
      <w:r>
        <w:rPr>
          <w:rFonts w:ascii="Times New Roman;Times;serif" w:hAnsi="Times New Roman;Times;serif"/>
          <w:b w:val="false"/>
          <w:i w:val="false"/>
          <w:caps w:val="false"/>
          <w:smallCaps w:val="false"/>
          <w:color w:val="000000"/>
          <w:spacing w:val="4"/>
          <w:sz w:val="20"/>
        </w:rPr>
        <w:t>”), the Specified Stockholder made an irrevocable election, except to the extent of a valid termination of the Support Agreement,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xml:space="preserve">”). Such election is binding upon the Specified Stockholder for all purposes under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NS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Election Letter Agreement, which is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Election Letter Agreement and not by this summary or any other information contained in this information statement/prospectus. You are urged to read the Election Letter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 by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from the date of the Merger Agreement and prior to the earlier of the Effective Time or the termination of the Merger Agreement, NCS is prohibited from, and is required to cause its subsidiaries and representatives not to, directly or indirectly, (i) solicit, initiate, endorse, knowingly encourage or knowingly facilitate the making or completion of any Acquisition Proposal (as defined below), or any proposal or offer that would reasonably be expected to lead to any Acquisition Proposal, or (ii) enter into or engage in any discussions or negotiations regarding, or furnish to any person any non-public information or data with respect to, any Acquisition Proposal. Additionally, NCS was required to, and was required to cause each of its subsidiaries and their representatives to, immediately cease and cause to be terminated all existing discussions and negotiations with respect to any Acquisition Proposal and immediately terminate all physical and electronic data room access previously granted and request the prompt return or destruction of all confidential information previously furnished with respect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if prior to NCS’s receipt of the duly executed Specified Stockholder Written Consent (which was delivered on May 31, 2026), NCS received a bona fide unsolicited Acquisition Proposal from a person that did not result from a breach of the non-solicitation provisions, and the NCS Board determined, in good faith and after consultation with its outside legal counsel and financial advisors, that such Acquisition Proposal constituted, or could reasonably have been expected to result in, a Superior Proposal (as defined below) and a failure to take certain actions would be inconsistent with the directors’ fiduciary duties under applicable law, then NCS, its subsidiaries, and their respective representatives were permitted to: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NCS or any of its subsidiaries (subject to the entry into an acceptable confidentiality agreement), in each case, with the person making or renewing such Acquisition Proposal and its representatives, provided that any such information or access has previously been made available to Weatherford (or shall be made available to Weatherford) prior to, or substantially concurrent with (and in any event within 48 hours of), the time such information is made available to such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requires NCS to notify Weatherford promptly (and in any event within 48 hours) after receipt of any Acquisition Proposal. Such notice must include the identity of the person making the Acquisition Proposal and unredacted copies of the Acquisition Proposal and all related documents (including all financing commitments and other documents relating to the financing). If the Acquisition Proposal or any portion thereof was not provided in writing, NCS must provide a summary of the material terms and conditions. NCS is also required to keep Weatherford reasonably informed, on a prompt basis, of the status and material terms and conditions of any Acquisition Proposal and any material developments related thereto, as well as the status of any discussions or negotiations, including promptly (but in no event later than 48 hours after receipt) providing summaries of all material oral communications and unredacted copies of all material correspondence and written materials sent or provided to or by NCS or its representatives. The Merger Agreement further provides that NCS will not enter into any Acceptable Confidentiality Agreement (as defined below) with any person that prohibits NCS from providing information to Weatherford as required by these notification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(i) assets or businesses of NCS and its subsidiaries that generate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R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or more of the net revenues or net income (for the 12-month period ending on the last day of NCS’s most recently completed fiscal quarter) or that represent 20% or more of the total assets (based on fair market value) of NCS and its subsidiaries, taken as a whole, immediately prior to such transaction, or (ii) 20% or more of any class of capital stock, other equity securities or voting power of NCS, any of its subsidiaries or any resulting parent company of NCS, in each case other than the Transaction and other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 “</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NCS Board determines, in good faith and after consultation with its outside legal counsel and financial advisors, and after taking into account the legal, financial, regulatory and other aspects of such Acquisition Proposal and the Merger Agreement, (i) is reasonably capable of being consummated in accordance with its terms and (ii) if consummated would result in a transaction more favorable to NCS’s stockholders (solely in their capacities as such), than the Transaction from a financial perspective. For purposes of the Superior Proposal definition, all references to “20%” in the definition of Acquisition Proposal are deemed to be references to “80%.”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NCS that contains provisions requiring any counterparty (and any of its affiliates and representatives) that receives information of, or with respect to, NCS or its affiliates, to keep such information confidential. The Acceptable Confidentiality Agreement must contain substantive provisions that are no less favorable in any material respect in the aggregate, to NCS, than the terms of the confidentiality agreement between Weatherford U.S., L.P. and NCS dated as of April 7, 2026. Additionally, an Acceptable Confidentiality Agreement cannot include any provision (i) granting any exclusive right to negotiate with such counterparty, (ii) prohibiting NCS or any of its affiliates from satisfying its or their obligations under the Merger Agreement, or (iii) requiring NCS or any of its subsidiaries to pay or reimburse the counterparty’s fees, costs or expenses. These restrictions are designed to ensure that any confidentiality agreement entered into in connection with a potential Superior Proposal would not impair NCS’s ability to comply with its obligations to Weatherford under the Merger Agreement or provide any competing bidder with unduly preferential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Recommendation; Match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permitted by the fiduciary out provisions described above in the section titled “— </w:t>
      </w:r>
      <w:r>
        <w:rPr>
          <w:rFonts w:ascii="Times New Roman;Times;serif" w:hAnsi="Times New Roman;Times;serif"/>
          <w:b w:val="false"/>
          <w:i/>
          <w:caps w:val="false"/>
          <w:smallCaps w:val="false"/>
          <w:color w:val="000000"/>
          <w:spacing w:val="4"/>
          <w:sz w:val="20"/>
        </w:rPr>
        <w:t>No Solicitation of Other Offers by NCS</w:t>
      </w:r>
      <w:r>
        <w:rPr>
          <w:rFonts w:ascii="Times New Roman;Times;serif" w:hAnsi="Times New Roman;Times;serif"/>
          <w:b w:val="false"/>
          <w:i w:val="false"/>
          <w:caps w:val="false"/>
          <w:smallCaps w:val="false"/>
          <w:color w:val="000000"/>
          <w:spacing w:val="4"/>
          <w:sz w:val="20"/>
        </w:rPr>
        <w:t>,” the NCS Board and each committee of the NCS Board may not, and may not authorize or publicly propose to: (i) (a) withhold, withdraw or adversely qualify (or modify or amend in a manner adverse to Weatherford) the recommendation of NCS’s Board;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NCS Board of the type specified by Rule 14d-9(f) under the Exchange Act) (any of the foregoing actions,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cause or permit NCS or any of its subsidiaries to enter into any letter of intent, acquisition agreement or other agreement in principle related to an Acquisition Proposal. Notwithstanding the foregoing, until the earlier of the termination of the Merger Agreement or NCS’s receipt of the duly executed Specified Stockholder Written Consent (which was delivered on May 31, 2026), if, in response to an Acquisition Proposal that NCS considers in accordance with the fiduciary out provisions, the NCS Board determines that such Acquisition Proposal is a Superior Proposal, then, subject to certain procedural requirements, the NCS Board may make an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NCS Board effecting an Adverse Recommendation Change: (i) NCS must notify Weatherford in writing that it intends to effect an Adverse Recommendation Change; (ii) NCS must provide Weatherford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Weatherford, for a period of four Business Days following delivery of such notice, NCS must discuss and negotiate in good faith, and must make its representatives available to discuss and negotiate, with Weatherford and its representatives, any proposed modifications to the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the Merger Agreement in such a manner that would obviate the need to effect an Adverse Recommendation Change; and (iv) no earlier than the end of such four Business Day period, the NCS Board must determine, after considering the terms of any proposed amendment or modification to the Merger Agreement proposed by Weatherford during such period and in consultation with its outside legal counsel and financial advisors, that such Superior Proposal still constitutes a Superior Proposal. Any material changes to the financial or other material terms of a proposal that was previously the subject of a notice requires a second notice to Weatherford, but with references to a “four Business Day period” being deemed references to a “two Business 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Actions with Respect to NCS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is required to use reasonable best efforts to deliver to Weatherford at least three Business Days prior to the closing date a copy of a payoff letter (subject to the delivery of funds and cash collateralization, backstopping or replacement of letters of credit, as arranged by Weatherford) with respect to the NCS indebtedness under its Credit Agreement in customary form, which payoff letter must (i)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NCS indebtedness as of the anticipated closing date (and the daily accrual thereafter), (ii) state that upon receipt of the payoff amount, the NCS indebtedness and all related loan documents will be terminated (other than the terms thereof that expressly survive such termination), and (iii) provide that all guarantees of any of NCS’s subsidiaries of the NCS indebtedness and all liens securing obligations in respect of the NCS indebtedness will be released and terminated upon payment of the payoff amount and the cash collateralization, backstopping or replacement of any outstanding letters of credit (which will be arranged by Weatherford) on the closing date. At the closing, Weatherford is required to repay the outstanding amount of the NCS indebtedness (if any) by wire transfer of immediately available funds arranged by Weatherford as provided for in the payoff letter. “</w:t>
      </w:r>
      <w:r>
        <w:rPr>
          <w:rFonts w:ascii="Times New Roman;Times;serif" w:hAnsi="Times New Roman;Times;serif"/>
          <w:b/>
          <w:i w:val="false"/>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refers to that certain credit agreement, dated as of May 3, 2022, by and among NCS,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integration planning and consummation of the Transaction, NCS is required to, and is required to cause each of its subsidiaries to, afford to Weatherford, Merger Sub, and their respective representatives reasonable access during normal business hours and upon reasonable prior notice, during the period prior to the Effective Time or the termination of the Merger Agreement in accordance with its terms, to all of NCS’s and its subsidiaries’ respective properties, assets, books, contracts, commitments, personnel and records. This access requirement does not require NCS to disclose any information to the extent such disclosure would contravene applicable law, jeopardize any attorney-client or other legal privilege, or breach any existing contract (provided that NCS has used its reasonable best efforts to find an alternative way to provide the access or information). All such information is to be held confidential in accordance with the terms of the Confidentiality Agreement between Weatherford U.S., L.P. and NCS dated as of April 7, 2026. No investigation pursuant to these provisions or information provided, made available or delivered to Weatherford affects any of the representations, warranties, covenants, rights or remedies, or the conditions to the obligations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Cooperation; Alternative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does not contain any commitment by Weatherford to obtain financing for the Transaction. Weatherford intends to fund the cash portion of the Merger Consideration and the required repayment of the NCS indebtedness (if any) under its Credit Agreement from cash on hand. Neither Weatherford nor NCS is required to divest or sell any assets, businesses, or product lines to obtain any regulatory approval or clearance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Commencing at the Effective Time and ending on the first anniversary, Weatherford will provide, or will cause its affiliates to provide, each employee of NCS or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those provided to such Continuing Employee immediately prior to the Effective Time; (ii) annual cash bonus or other short-term incentive opportunities that are no less favorable than those provided to such Continuing Employee immediately prior to the Effective Time; (iii) long-term incentive compensation opportunities that are no less favorable than those provided to similarly situated employees of Weatherford and its affiliates; (iv) severance benefits that are no less favorable than the severance benefits provided to similarly situated employees of Weatherford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annual cash bonuses for the year in which the Effective Time occurs, Weatherford will pay, or cause to be paid to, each Continuing Employee who is participating in any NCS benefit plan providing annual cash bonuses for such year, a cash bonus for such year determined as the sum of (i) a pro-rata portion of the bonus opportunity under such NCS benefit plan for the portion of the year completed as of the Effective Time, determined based on the achievement of the applicable performance criteria under such plan, as such performance criteria may be reasonably adjusted by Weatherford in good faith and following prior consultation with NCS to address the impact of the transactions, and (ii) a pro-rata portion of such bonus opportunity for the portion of the calendar year following the Effective Time, determined based on the achievement of the applicable performance criteria under Weatherford’s annual bonus program. Both pro-rata portions of such cash bonus will be paid on the date on which annual bonuses for the year in which the Effective Time occurs are paid to similarly situated employees of Weatherford and its affiliates (but in no event later than March 15 of the year following such year) to each Continuing Employee who remains employed through such payment date or whose employment terminates prior to such payment date because Weatherford or its affiliate terminates such Continuing Employee without cause. Additionally, to the extent the Effective Time occurs following the end of a year but prior to annual cash bonuses for such year being paid, Weatherford will pay, or cause to be paid, to each Continuing Employee who is participating in any NCS benefit plan providing annual cash bonuses for such year, no later than 15 calendar days following the closing date, a cash bonus for such year equal to the achievement of the applicable performance criteria under such NCS benefit plan for such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closing date of the Transaction, Weatherford will, or will cause its affiliates to, provide each Continuing Employee with full credit for any and all service with NCS or its subsidiaries earned prior to the closing date of the Transaction for eligibility and vesting purposes and for purposes of vacation and paid time off accrual under each benefit or compensation plan, program, agreement or arrangement that may be established or maintained by Weatherford or its affiliates on or after the closing date of the Transaction, to the extent (i) recognized under the comparable NCS benefit plan prior to the closing date of the Transaction, and (ii) no duplication of benefits would result. Additionally, in the plan year in which the Effective Time occurs, Weatherford will, or will cause NCS or another affiliate to, with respect to any welfare benefit plans of Weatherford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Weatherford or its affiliates to be waived with respect to Continuing Employees and their eligible dependents to the same extent satisfied or waived under the corresponding NCS benefit plan as of the Effective Time, and (ii) give each Continuing Employee full credit for the plan year in which the Effective Time occurs towards applicable copayments, deductibles, and annual out-of-pocket limits for expenses incurred prior to the Effective Time under the corresponding NCS benefit plan to the same extent as such Continuing Employee was entitled, prior to the Effective Time, to recognition of such copayments, deductibles, and annual out-of-pocket limits under the corresponding NCS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Weatherford provides NCS with written notice otherwise at least 15 Business Days prior to the closing date of the Transaction, NCS will, at least one Business Day prior to the closing date of the Transaction, (i) cease contributions to, and adopt written resolutions (or take other necessary and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actions) to terminate any NCS benefit plan that is a defined contribution plan that includes a cash or deferred arrangement described in Section 401(k) of the Code (a “</w:t>
      </w: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employee and employer contributions to the 401(k) Plans for all periods of service prior to the closing date of the Transaction, including such contributions that would have been made on behalf of 401(k) Plan participants had the transactions contemplated by the Merger Agreement not occurred (regardless of any service or end-of-year employment requirements) but prorated for the portion of the plan year that ends on the closing date of the Transaction, and (iii) 100% vest all participants under the 401(k) Plans, with such termination, contributions and vesting effective no later than the Business Day preceding the closing date of the Transaction. In the event of the termination of any 401(k) Plan, each Continuing Employee will be eligible to participate in a defined contribution plan that includes a cash or deferred arrangement described in Section 401(k) of the Code and that is established or maintained by Weatherford or its affiliates, and Weatherford or its applicable affiliate will cause such plan to immediately accept eligible rollover distributions from current and former employees of NCS with respect to such individuals’ account balances (including loans) under such terminated 401(k) Plan, if elected by any such individuals.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Weatherford must cause the surviving corporation to assume and continue in full force and effect for a period of six years after the Effective Time all rights to indemnification, advancement and exculpation existing in favor of the current or former directors and officers of NCS or any of its subsidiaries (collectively,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the NCS certificate of incorporation, NCS bylaws, or the corresponding governing documents of NCS’s subsidiaries, as in effect on the date of the Merger Agreement for acts or omissions occurring at or prior to the Effective Time and with respect to any actual or threatened legal proceeding to which such Indemnified Party is a party or is otherwise involved, whether asserted or claimed prior to, at or after the Effective Time, except as otherwise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Indemnified Parties under the Merger Agreement are in addition to any rights such Indemnified Parties may have under the NCS certificate of incorporation, NCS bylaws, or the organizational documents of any subsidiary of NCS or under any applicable contracts made available to Weatherford prior to the execution of the Merger Agreement or laws in effect on the date of the Merger Agreement. Weatherford must and must cause the surviving corporation to, honor and perform under all indemnification agreements entered into by NCS or any of its subsidiaries in effect on the date of the Merger Agreement and made available to Weatherford prior to the execution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NCS must purchase a six-year prepaid “tail” policy on terms and conditions providing coverage retentions, limits and other terms no less favorable than those of the current policies of directors’ and officers’ liability insurance and fiduciary liability insurance maintained by NCS and its subsidiaries with respect to matters arising at or prior to the Effective Time; provided, however, that NCS will not commit or spend on such “tail” policy, in the aggregate, more than 300% of the last aggregate annual premium paid by NCS prior to the date of the Merger Agreement for the current policies of directors’ and officers’ liability insurance and fiduciary liability insurance (the “</w:t>
      </w:r>
      <w:r>
        <w:rPr>
          <w:rFonts w:ascii="Times New Roman;Times;serif" w:hAnsi="Times New Roman;Times;serif"/>
          <w:b/>
          <w:i w:val="false"/>
          <w:caps w:val="false"/>
          <w:smallCaps w:val="false"/>
          <w:color w:val="000000"/>
          <w:spacing w:val="-4"/>
          <w:sz w:val="20"/>
        </w:rPr>
        <w:t>Base Amount</w:t>
      </w:r>
      <w:r>
        <w:rPr>
          <w:rFonts w:ascii="Times New Roman;Times;serif" w:hAnsi="Times New Roman;Times;serif"/>
          <w:b w:val="false"/>
          <w:i w:val="false"/>
          <w:caps w:val="false"/>
          <w:smallCaps w:val="false"/>
          <w:color w:val="000000"/>
          <w:spacing w:val="4"/>
          <w:sz w:val="20"/>
        </w:rPr>
        <w:t xml:space="preserve">”), and if the cost of such “tail” policy exceeds the Base Amount, NCS shall obtain “tail” insurance policies with the greatest coverage available, with respect to matters occurring prior to the Effective Time, for a cost not exceeding the Base Amount. NCS must cooperate in good faith with Weatherford prior to the Effective Time with respect to the procurement of such “tail” policy, including with respect to the selection of the broker, available policy price and coverage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surviving corporation or any of its successors or assigns (i) consolidates with or merges into any other person and will not be the continuing or surviving corporation or entity of such consolidation or merger or (ii) transfers all or substantially all of its properties and assets to any person, then, and in each such case, Weatherford will cause the successor and assign of Weatherford or the surviving corporation to assume the obligations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by 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T"/>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anything to the contrary, if the Novation occurs prior to the closing of the Transaction, all references to Weatherford’s rights, duties or obligations under the Merger Agreement in this information statement/prospectus will be deemed references to WIC.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and agreements relating to, among other things: (i) the preparation and filing of the Registration Statement and this information statement/prospectus with the SEC; (ii) giving the other party notice of certain matters; (iii) taking all lawful actions that may be necessary to ensure no state takeover statute is or becomes applicable to the Merger Agreement or the Transaction; (iv) the assumption and continuation of indemnification, exculpation and insurance arrangements for directors and officers of NCS and its subsidiaries; (v) cooperation in stockholder litigation against NCS and/or its officers or directors relating to the Transaction; (vi) maintaining the listing of Weatherford Ordinary Shares on the Nasdaq Global Select Market and the delisting and deregistration of NCS Common Stock following the Effective Time; (vii) coordination of public announcements regarding the Transaction; (viii) taking all appropriate steps to exempt the Transaction under Section 16(b) of the Exchange Act; (ix) employee matters, including post-closing employee compensation and benefits; (x) registration rights for the Specified Stockholder; (xi) the treatment of NCS indebtedness; (xii) assignment by Weatherford of the Merger Agreement to its successor in connection with the Redomestication; and (xiii) NCS’s timely remittance of all required tax deposits necessary to fully proceed with its Notice of Objection related to certain Canadian tax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Each Party’s Obligation to Effect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each party to effect the Transaction is subject to the satisfaction or waiver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Written Consent has been obtained and delivered to NCS and has not been amended, modified, withdrawn, terminated or revoked (which consent was delivered on May 31, 2026); </w:t>
      </w:r>
      <w:r>
        <mc:AlternateContent>
          <mc:Choice Requires="wps">
            <w:drawing>
              <wp:anchor behindDoc="0" distT="10160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w:t>
      </w:r>
      <w:r>
        <mc:AlternateContent>
          <mc:Choice Requires="wps">
            <w:drawing>
              <wp:anchor behindDoc="0" distT="10160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waiting period (and any extension thereof) applicable to the Transaction under the HSR Act has been terminated or shall have expired and certain other regulatory approvals specified in the Merger Agreement have occurred; </w:t>
      </w:r>
      <w:r>
        <mc:AlternateContent>
          <mc:Choice Requires="wps">
            <w:drawing>
              <wp:anchor behindDoc="0" distT="101600" distB="0" distL="254000" distR="0" simplePos="0" locked="0" layoutInCell="1" allowOverlap="1" relativeHeight="280">
                <wp:simplePos x="0" y="0"/>
                <wp:positionH relativeFrom="column">
                  <wp:align>left</wp:align>
                </wp:positionH>
                <wp:positionV relativeFrom="line">
                  <wp:align>top</wp:align>
                </wp:positionV>
                <wp:extent cx="254000" cy="525780"/>
                <wp:effectExtent l="0" t="0" r="0" b="0"/>
                <wp:wrapSquare wrapText="right"/>
                <wp:docPr id="265" name="Frame2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Ordinary Shares to be issued in the Transaction or in connection with the Transaction (including in respect of Assumed RSUs, Assumed Options, and Assumed PSUs) have been approved for listing on the Nasdaq Global Select Market, subject to official notice of issuance; </w:t>
      </w:r>
      <w:r>
        <mc:AlternateContent>
          <mc:Choice Requires="wps">
            <w:drawing>
              <wp:anchor behindDoc="0" distT="101600" distB="0" distL="25400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right"/>
                <wp:docPr id="266" name="Frame2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OWW"/>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has been declared effective by the SEC under the Securities Act and has not been the subject of any stop order suspending the effectiveness of the Registration Statement and no action seeking a stop order has been initiated or threatened by the SEC; and </w:t>
      </w:r>
      <w:r>
        <mc:AlternateContent>
          <mc:Choice Requires="wps">
            <w:drawing>
              <wp:anchor behindDoc="0" distT="0" distB="0" distL="254000" distR="0" simplePos="0" locked="0" layoutInCell="1" allowOverlap="1" relativeHeight="282">
                <wp:simplePos x="0" y="0"/>
                <wp:positionH relativeFrom="column">
                  <wp:align>left</wp:align>
                </wp:positionH>
                <wp:positionV relativeFrom="line">
                  <wp:posOffset>635</wp:posOffset>
                </wp:positionV>
                <wp:extent cx="254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has been mailed to all holders of NCS Common Stock following effectiveness of this Registration Statement and at least 20 business days prior to the Closing Date. </w:t>
      </w:r>
      <w:r>
        <mc:AlternateContent>
          <mc:Choice Requires="wps">
            <w:drawing>
              <wp:anchor behindDoc="0" distT="102870" distB="0" distL="254000" distR="0" simplePos="0" locked="0" layoutInCell="1" allowOverlap="1" relativeHeight="283">
                <wp:simplePos x="0" y="0"/>
                <wp:positionH relativeFrom="column">
                  <wp:align>left</wp:align>
                </wp:positionH>
                <wp:positionV relativeFrom="line">
                  <wp:align>top</wp:align>
                </wp:positionV>
                <wp:extent cx="254000" cy="525780"/>
                <wp:effectExtent l="0" t="0" r="0" b="0"/>
                <wp:wrapSquare wrapText="right"/>
                <wp:docPr id="268" name="Frame2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Weatherford to effect the Transaction is also subject to the satisfaction, or waiver by Weatherford, at or prior to the Effective Time, of the following conditions: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NCS set forth in the Merger Agreement are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287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Material Adverse Effect (as defined in the Merger Agreement) on NCS; and </w:t>
      </w:r>
      <w:r>
        <mc:AlternateContent>
          <mc:Choice Requires="wps">
            <w:drawing>
              <wp:anchor behindDoc="0" distT="101600" distB="0" distL="254000" distR="0" simplePos="0" locked="0" layoutInCell="1" allowOverlap="1" relativeHeight="286">
                <wp:simplePos x="0" y="0"/>
                <wp:positionH relativeFrom="column">
                  <wp:align>left</wp:align>
                </wp:positionH>
                <wp:positionV relativeFrom="line">
                  <wp:align>top</wp:align>
                </wp:positionV>
                <wp:extent cx="254000" cy="525780"/>
                <wp:effectExtent l="0" t="0" r="0" b="0"/>
                <wp:wrapSquare wrapText="right"/>
                <wp:docPr id="271" name="Frame2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shall have received a certificate signed by an executive officer of NCS certifying as to the matters set forth in clauses (i), (ii), and (iii) above. </w:t>
      </w:r>
      <w:r>
        <mc:AlternateContent>
          <mc:Choice Requires="wps">
            <w:drawing>
              <wp:anchor behindDoc="0" distT="101600" distB="0" distL="254000" distR="0" simplePos="0" locked="0" layoutInCell="1" allowOverlap="1" relativeHeight="287">
                <wp:simplePos x="0" y="0"/>
                <wp:positionH relativeFrom="column">
                  <wp:align>left</wp:align>
                </wp:positionH>
                <wp:positionV relativeFrom="line">
                  <wp:align>top</wp:align>
                </wp:positionV>
                <wp:extent cx="254000" cy="525780"/>
                <wp:effectExtent l="0" t="0" r="0" b="0"/>
                <wp:wrapSquare wrapText="right"/>
                <wp:docPr id="272" name="Frame2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NCS to effect the Transaction is also subject to the satisfaction, or waiver by NCS,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Weatherford set forth in the Merger Agreement must be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160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Weatherford Material Adverse Effect (as defined in the Merger Agreement); </w:t>
      </w:r>
      <w:r>
        <mc:AlternateContent>
          <mc:Choice Requires="wps">
            <w:drawing>
              <wp:anchor behindDoc="0" distT="101600" distB="0" distL="254000" distR="0" simplePos="0" locked="0" layoutInCell="1" allowOverlap="1" relativeHeight="290">
                <wp:simplePos x="0" y="0"/>
                <wp:positionH relativeFrom="column">
                  <wp:align>left</wp:align>
                </wp:positionH>
                <wp:positionV relativeFrom="line">
                  <wp:align>top</wp:align>
                </wp:positionV>
                <wp:extent cx="254000" cy="525780"/>
                <wp:effectExtent l="0" t="0" r="0" b="0"/>
                <wp:wrapSquare wrapText="right"/>
                <wp:docPr id="275" name="Frame2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a certificate signed by an executive officer of Weatherford certifying as to the matters set forth in clauses (i), (ii), and (iii) above; </w:t>
      </w:r>
      <w:r>
        <mc:AlternateContent>
          <mc:Choice Requires="wps">
            <w:drawing>
              <wp:anchor behindDoc="0" distT="101600" distB="0" distL="254000" distR="0" simplePos="0" locked="0" layoutInCell="1" allowOverlap="1" relativeHeight="291">
                <wp:simplePos x="0" y="0"/>
                <wp:positionH relativeFrom="column">
                  <wp:align>left</wp:align>
                </wp:positionH>
                <wp:positionV relativeFrom="line">
                  <wp:align>top</wp:align>
                </wp:positionV>
                <wp:extent cx="254000" cy="525780"/>
                <wp:effectExtent l="0" t="0" r="0" b="0"/>
                <wp:wrapSquare wrapText="right"/>
                <wp:docPr id="276" name="Frame2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on the Closing Date, but before the Effective Time, an opinion from tax counsel concluding that, on the basis of facts, representations, and assumptions set forth or referred to in such opinion, for U.S. federal income tax purposes, the Transaction will qualify for the Intended Tax Treatment (as defined in the Merger Agreement); and </w:t>
      </w:r>
      <w:r>
        <mc:AlternateContent>
          <mc:Choice Requires="wps">
            <w:drawing>
              <wp:anchor behindDoc="0" distT="10160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timely remitted the entire amount of any and all required tax deposits necessary to fully proceed with its Notice of Objection related to certain Canadian tax matters. </w:t>
      </w:r>
      <w:r>
        <mc:AlternateContent>
          <mc:Choice Requires="wps">
            <w:drawing>
              <wp:anchor behindDoc="0" distT="101600" distB="0" distL="254000" distR="0" simplePos="0" locked="0" layoutInCell="1" allowOverlap="1" relativeHeight="293">
                <wp:simplePos x="0" y="0"/>
                <wp:positionH relativeFrom="column">
                  <wp:align>left</wp:align>
                </wp:positionH>
                <wp:positionV relativeFrom="line">
                  <wp:align>top</wp:align>
                </wp:positionV>
                <wp:extent cx="254000" cy="525780"/>
                <wp:effectExtent l="0" t="0" r="0" b="0"/>
                <wp:wrapSquare wrapText="right"/>
                <wp:docPr id="278" name="Frame2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Efforts to Obtain 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set forth in the Merger Agreement, Weatherford has agreed to take, or cause to be taken, and NCS has agreed to use its reasonable best efforts to take, or 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taken, all actions that are necessary, proper, or advisable to consummate and make effective, in the most expeditious manner practicable, the Transaction, including taking, or causing to be taken, all actions that are necessary, proper, or advisable to accomplish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required consents, approvals or waivers from, or participation in other discussions or negotiations with, third parties, including as required under any material contract, </w:t>
      </w:r>
      <w:r>
        <mc:AlternateContent>
          <mc:Choice Requires="wps">
            <w:drawing>
              <wp:anchor behindDoc="0" distT="7239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necessary actions or nonactions, waivers, consents, approvals, orders, and authorizations from governmental entities, make all necessary registrations, declarations, and filings and obtain an approval or waiver from, or avoid any action by, any governmental entity, and </w:t>
      </w:r>
      <w:r>
        <mc:AlternateContent>
          <mc:Choice Requires="wps">
            <w:drawing>
              <wp:anchor behindDoc="0" distT="7239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any additional instruments necessary to consummate the Transaction and fully to carry out the purposes of the Merger Agreement; </w:t>
      </w:r>
      <w:r>
        <mc:AlternateContent>
          <mc:Choice Requires="wps">
            <w:drawing>
              <wp:anchor behindDoc="0" distT="7239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neither NCS nor any of its subsidiaries shall commit to the payment of any fee, penalty or other consideration or make any other concession, waiver or amendment under any contract in connection with obtaining any consent without the prior written consent of Weatherford (which shall not be unreasonably withheld).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 neither Weatherford, NCS, nor any of their respective subsidiaries will be required, in connection with obtaining any regulatory approval or clearance contemplated by the Merger Agreement (including under the HSR Act), or any other applicable antitrust, competition, or foreign direct investment screening regulation, to, and (ii) neither NCS nor any of its subsidiaries (without the prior written consent of Weatherford) will, in each case (a) propose, negotiate, offer to commit, effect, or agree to the sale, divestiture, license, or other disposition of any assets, properties, businesses, product lines, or operations of Weatherford or its affiliates or subsidiaries, (b) agree to any restriction, limitation, or condition on the ability of Weatherford, NCS,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the Merger Agreement. Each of Weatherford and NCS will furnish to each other party such necessary information and reasonable assistance as such other party may reasonably request in connection with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relating to the exchange of information, Weatherford and NCS will each have the right to review in advance, and to the extent practicable each will consult with the other in connection with, all of the information relating to Weatherford or NCS, as the case may be, and any of their respective subsidiaries, that appears in any filing made with, or written materials submitted to, any third party and/or any governmental entity in connection with the Transaction. Subject to good faith consultation with NCS and its counsel and compliance with the regulatory approval provisions of the Merger Agreement, in the event of any disagreement between Weatherford and NCS regarding the strategy, timing, or substance of any filing, submission, or communication contemplated by such provisions (including the strategy for obtaining any regulatory approval or clearance or for responding to any inquiry, investigation, or proceeding initiated by any governmental entity), Weatherford will have the right, in its sole discretion, to determine and direct the overall strategy with respect to such regulatory matters, and NCS will cooperate with and follow such direction; provided that Weatherford will not unreasonably disregard the views of NCS and its counsel, will keep NCS reasonably informed of the status of such regulatory matters and will provide NCS with a reasonable opportunity to review and comment on any material filings or submissions prior to their submission to any governmental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 and NCS will use its reasonable best efforts to resolve such objections, if any, as may be asserted with respect to the Transaction under any applicable law. Without limiting the foregoing, pursuant to the Merger Agreement, NCS and Weatherford will: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10 Business Days from the date of the Merger Agreement, file Notification and Report Forms under the HSR Act with the FTC and the Antitrust Division and will use reasonable best efforts to respond as promptly as practicable to all inquiries received from the FTC or the Antitrust Division for additional information or documentation (Weatherford and NCS having filed such forms on June 12, 2026 and received early termination of the applicable waiting period on July 2, 2026), </w:t>
      </w:r>
      <w:r>
        <mc:AlternateContent>
          <mc:Choice Requires="wps">
            <w:drawing>
              <wp:anchor behindDoc="0" distT="7239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TMA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20 Business Days from the signing date of the Merger Agreement, submit, or as may be required under the applicable antitrust laws or foreign direct investment laws, pre-submit, pre-file, pre-notify, the requisite forms for the notifications in the jurisdictions specified in the NCS Disclosure Letter; </w:t>
      </w:r>
      <w:r>
        <mc:AlternateContent>
          <mc:Choice Requires="wps">
            <w:drawing>
              <wp:anchor behindDoc="0" distT="0" distB="0" distL="254000" distR="0" simplePos="0" locked="0" layoutInCell="1" allowOverlap="1" relativeHeight="298">
                <wp:simplePos x="0" y="0"/>
                <wp:positionH relativeFrom="column">
                  <wp:align>left</wp:align>
                </wp:positionH>
                <wp:positionV relativeFrom="line">
                  <wp:posOffset>635</wp:posOffset>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promptly achieve substantial compliance with any “second request” or similar request for additional information or documentary material under antitrust laws or foreign direct investment laws applicable to such jurisdictions;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take, or to cause to be taken, all other actions and to do, or to cause to be done, all other things necessary, proper or advisable to consummate and make effective the Transaction, to cause the expiration or termination of the applicable voluntary waiting periods under the HSR Act as well as regulatory approval and clearance for the pre-closing notifications contemplated by the NCS Disclosure Letter as soon as practicable, and to avoid or eliminate each and every impediment under any law that may be asserted by any governmental entity with respect to the Transaction so as to enable the closing to occur as soon as reasonably possible (and in any event no later than the Outside Date);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legal limitations and the instructions of any governmental entity, keep each other apprised of the status of matters relating to the completion of the transactions contemplated by the Merger Agreement, including to the extent permitted by law promptly furnishing the other with true and complete copies of notices or other communications sent or received by NCS or Weatherford, as the case may be, or any of their subsidiaries, to or from any third party and/or any governmental entity with respect thereto, and permit the other to review in advance and comment on any proposed communication by such party to any supervisory or governmental entity;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the other reasonable notice of, and, to the extent permitted by such governmental entity, allow the other to attend and participate at any meeting with any governmental entity in respect of any filings, investigation or other inquiry or proceeding relating thereto; and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avoid or minimize any delay in determining the applicability of any filing under the HSR Act, submitting any applicable filing under the HSR Act and will not take any action that would reasonably be expected to delay any applicable filing under the HSR Act. </w:t>
      </w:r>
      <w:r>
        <mc:AlternateContent>
          <mc:Choice Requires="wps">
            <w:drawing>
              <wp:anchor behindDoc="0" distT="7493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but subject to the conduct of business provisions applicable to Weatherford, the Merger Agreement will not prohibit, restrict or prevent Weatherford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by Weatherford or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whether before or after the Specified Stockholder Written Consent has been obtained: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mutual written consent of Weatherford and NCS;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Weatherford or NCS: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has not been consummated on or before May 31, 2027 at 5:00 p.m. (Central Time), which we refer to as the Outside Date, subject to certain exceptions related to the Redomestication (provided that the right to terminate will not be available to any party whose material failure to fulfill its obligations under the Merger Agreement has been the primary cause of, or the primary factor that resulted in, the failure of the Transaction to be consummated by the Outside Date);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court of competent jurisdiction or other governmental entity has issued a final and nonappealable judgment, order, injunction, rule or decree, or taken any other action restraining, enjoining or otherwise prohibiting any of the transactions contemplated by the Merger </w:t>
      </w:r>
      <w:r>
        <mc:AlternateContent>
          <mc:Choice Requires="wps">
            <w:drawing>
              <wp:anchor behindDoc="0" distT="73660" distB="0" distL="508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F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(provided that the party seeking to terminate has used its reasonable best efforts to contest, appeal and remove such judgment, order, injunction, rule, decree, ruling or other action);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w:t>
      </w:r>
      <w:r>
        <mc:AlternateContent>
          <mc:Choice Requires="wps">
            <w:drawing>
              <wp:anchor behindDoc="0" distT="7239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NCS has breached or failed to perform any of its representations, warranties, covenants, or agreements under the Merger Agreement, or if any representation or warranty of NCS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NCS of such breach or failure (provided that Weatherford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effected an Adverse Recommendation Change (provided that this right expires upon the delivery of the Specified Stockholder Written Consent, which consent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Specified Stockholder Written Consent was not delivered by the Consent Time (provided that this right expires upon the delivery and effectiveness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Support Agreement was not delivered by the Consent Time (provided that this right expires upon the delivery of executed counterparts of the Support Agreement, which agreement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w:t>
      </w:r>
      <w:r>
        <mc:AlternateContent>
          <mc:Choice Requires="wps">
            <w:drawing>
              <wp:anchor behindDoc="0" distT="7239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Weatherford or Merger Sub has breached or failed to perform any of its representations, warranties, covenants, or agreements under the Merger Agreement, or if any representation or warranty of Weatherford or Merger Sub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Weatherford of such breach or failure (provided that NCS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authorized NCS to enter into a definitive agreement providing for a Superior Proposal, subject to NCS having complied with its non-solicitation obligations and the Company Termination Fee being paid (provided that this right expires upon the delivery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Novation contemplated by the Merger Agreement is not effective by 11:59 p.m. Central Time on the day following the date on which the closing of the Redomestication occurs (provided that this right expires upon the delivery and effectiveness of the Novation).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NCS will be required to pay (or cause to be paid) Weatherford, or the appropriate subsidiary of Weatherford, a termination fee of $5,500,000 if the Merger Agreement is terminated (referred to as the NCS Termination Fee) in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(for this purpose, with all references to “20%” in the definition being deemed references to “50%”) or enters into a definitive agreement providing for the consummation of such a transaction;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to enter into a definitive agreement providing for a Superior Proposal; or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due to an Adverse Recommendation Change by the NCS Board, failure to deliver the Specified Stockholder Written Consent by the Consent Time (which was delivered on May 31, 2026), or failure to deliver the Support Agreement by the Consent Time (which was delivered on May 31, 2026).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Weatherford will be required to pay NCS a termination fee of $9,700,000 if the Merger Agreement is terminated (referred to as the Weatherford Termination Fee)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failure to timely effect the Novation following the closing of the Redomestication; or </w:t>
      </w:r>
      <w:r>
        <mc:AlternateContent>
          <mc:Choice Requires="wps">
            <w:drawing>
              <wp:anchor behindDoc="0" distT="7493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breach of certain covenants set forth in the Weatherford Disclosure Letter. </w:t>
      </w:r>
      <w:r>
        <mc:AlternateContent>
          <mc:Choice Requires="wps">
            <w:drawing>
              <wp:anchor behindDoc="0" distT="7493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Weatherford Termination Fee becomes payable, NCS must elect within seven Business Days following termination whether to accept or decline the Weatherford Termination Fee. NCS’s acceptance of the Weatherford Termination Fee (or failure to timely decline it) constitutes an irrevocable waiver of any and all claims against Weatherford and its related parties, including with respect to any willful and material breach of Weatherford’s obligations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it will become null and void and of no effect, without any liability or obligation on the part of Weatherford, Merger Sub, or NCS, except that: (i) certain provisions of the Merger Agreement will survive such termination, including provisions relating to confidentiality, public announcements, termination fees and expenses, notices, the entire agreement, no third-party beneficiaries, governing law, submission to jurisdiction, assignment and successors, specific performance, severability, and waiver of jury trial; and (ii) except as otherwise provided regarding termination fees, no such termination will relieve any party from any liability or damages arising out of fraud or any willful and material breach of any of its representations, warranties, covenants, or agreements set forth in the Merger Agreement prior to such termination, in which case (except as otherwise provided regarding termination fees) the non-breaching party will be entitled to all rights and remedies available at law or in equity. The parties have acknowledged that neither the NCS Termination Fee nor the Weatherford Termination Fee is a penalty, but rather is liquidated damages in a reasonable amount that will compensate the receiving party for efforts and resources expended and opportunities foregone while negotiating and relying on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have agreed that irreparable damage would occur in the event that the parties do not perform the provisions of the Merger Agreement in accordance with its terms or otherwise breach such provisions. Accordingly, the parties have acknowledged and agreed that each party will be entitled to an injunction, specific performance and other equitable relief to prevent breaches of the Merger Agreement and to enforce specifically the terms and provisions thereof in the Court of Chancery of the State of Delaware. Each party has waived (i) any defense in any action for specific performance that a remedy at law would be adequate and (ii) any requirement under any law to post security as a prerequisite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equitable relief. The availability of the NCS Termination Fee or the Weatherford Termination Fee will not be construed to diminish or otherwise impair in any respect either party’s right to such injunction, specific performance and other equitable relief. While Weatherford may pursue both specific performance and payment of the NCS Termination Fee or monetary damages, under no circumstances will Weatherford be permitted to receive both a grant of specific performance that results in the closing occurring and the NCS Termination Fee or any monetary damages. Similarly, while NCS may pursue both specific performance and payment of the Weatherford Termination Fee or monetary damages, under no circumstances will NCS be permitted to receive both a grant of specific performance that results in the closing occurring and the Weatherford Termination Fee or any monetary damages.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any claims or causes of action arising out of or relating to the Merger Agreement, the negotiation, execution or performance of the Merger Agreement or the Transaction (whether in contract, in tort, under statute or otherwise) will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Nothing in the Merger Agreement, express or implied, is intended to or will confer upon any person other than the parties and their respective successors and permitted assigns any legal or equitable right, benefit or remedy of any nature under or by reason of the Merger Agreement, except if the Effective Time occurs, (i) the rights of holders of NCS Common Stock to receive the Merger Consideration, or (ii) as expressly provided in the Merger Agreement with respect to certain other parties for the limited, enumerated reasons set forth in the Merger Agreement. The representations and warranties in the Merger Agreement are the product of negotiations among the parties and are for the sole benefit of the parties. Persons other than the parties may not rely upon the representations and warranties in the Merger Agreement as characterizations of actual facts or circumstances as of the date of the Merger Agreement or as of any other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UPF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financial statements for Weatherford to reflect the Transaction are not presented in this information statement/prospectus because pro forma financial information regarding the Transaction is not required under Article 11 of Regulation S-X since: (1) the significance of the acquisition under each of the tests set forth in Rule 1-02(w) of Regulation S-X is substantially less than 20%, and (2) the presentation of Article 11 pro forma financial information would not otherwise be material to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TR"/>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NCS COMMON STOCK AND WEATHERFORD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NCS stockholders and the relative powers of NCS’s Board are governed by the laws of the State of Delaware, including the DGCL, and NCS’s certificate of incorporation and bylaws. As a result of the Transaction, each issued and outstanding share of NCS Common Stock, other than excluded shares, will automatically be cancelled and converted into the right to receive the Merger Consideration. Each Weatherford Ordinary Share will be issued in accordance with, and will carry with it the rights and obligations set forth in, the memorandum and articles of association of Weatherford (referred to as the Weatherford Articles), which are incorporated by reference herein. As Weatherford is a public limited company incorporated under the laws of Ireland, the rights of the shareholders of Weatherford are governed by applicable Irish law, including the Companies Acts of Ireland, 2014 (as amended) (the “</w:t>
      </w:r>
      <w:r>
        <w:rPr>
          <w:rFonts w:ascii="Times New Roman;Times;serif" w:hAnsi="Times New Roman;Times;serif"/>
          <w:b/>
          <w:i w:val="false"/>
          <w:caps w:val="false"/>
          <w:smallCaps w:val="false"/>
          <w:color w:val="000000"/>
          <w:spacing w:val="-4"/>
          <w:sz w:val="20"/>
        </w:rPr>
        <w:t>Irish Companies Act</w:t>
      </w:r>
      <w:r>
        <w:rPr>
          <w:rFonts w:ascii="Times New Roman;Times;serif" w:hAnsi="Times New Roman;Times;serif"/>
          <w:b w:val="false"/>
          <w:i w:val="false"/>
          <w:caps w:val="false"/>
          <w:smallCaps w:val="false"/>
          <w:color w:val="000000"/>
          <w:spacing w:val="4"/>
          <w:sz w:val="20"/>
        </w:rPr>
        <w:t xml:space="preserve">”), and by the Weatherford Articles.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differences between the rights of NCS stockholders under NCS’s certificate of incorporation and bylaws under Delaware law, including the DGCL, and the rights of Weatherford shareholders under the Weatherford Articles and under Irish law, including the Irish Companies Act. The following is a summary comparison of the material differences between the rights of NCS stockholders under Delaware law and the NCS certificate of incorporation and bylaws and the rights that NCS stockholders will have under Irish law and the Weatherford Articles as holders of Weatherford Ordinary Shares following completion of the Transaction. The following discussion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discussion in this section does not include a description of rights or obligations under the United States federal securities laws or Nasdaq listing requirements. Such rights and obligations generally apply equally to the shares of NCS Common Stock and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statements in this section are qualified in their entirety by reference to, and are subject to, the detailed provisions of, NCS’s certificate of incorporation and bylaws and the Weatherford Articles. NCS has filed its certificate of incorporation and bylaws with the SEC, and Weatherford has filed the Weatherford Articles with the SEC. See the section of this information statement/prospectus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You are also urged to carefully read the relevant provisions of the DGCL, the Irish Companies Act, the Weatherford Articles, and the NCS certificate of incorporation and bylaws, for a more complete understanding of the differences between the rights of NCS stockholders and holders of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then the issuer of the Merger Consideration will be WIC, a Delaware corporation, and the rights of Weatherford’s stockholders and the relative powers of its board will be governed by the laws of the State of Delaware, including the DGCL, rather than the Irish Companies Act, as further described in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440"/>
        <w:gridCol w:w="109"/>
        <w:gridCol w:w="109"/>
        <w:gridCol w:w="3102"/>
        <w:gridCol w:w="109"/>
        <w:gridCol w:w="109"/>
        <w:gridCol w:w="3679"/>
        <w:gridCol w:w="155"/>
      </w:tblGrid>
      <w:tr>
        <w:trPr/>
        <w:tc>
          <w:tcPr>
            <w:tcW w:w="144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7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b/>
              </w:rPr>
            </w:pPr>
            <w:r>
              <w:rPr>
                <w:b/>
                <w:spacing w:val="-4"/>
              </w:rPr>
              <w:t>Capital Structure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2" w:type="dxa"/>
            <w:tcBorders/>
            <w:tcMar>
              <w:bottom w:w="0" w:type="dxa"/>
            </w:tcMar>
            <w:vAlign w:val="center"/>
          </w:tcPr>
          <w:p>
            <w:pPr>
              <w:pStyle w:val="TableContents"/>
              <w:bidi w:val="0"/>
              <w:spacing w:before="0" w:after="0"/>
              <w:jc w:val="left"/>
              <w:rPr/>
            </w:pPr>
            <w:r>
              <w:rPr>
                <w:spacing w:val="4"/>
              </w:rPr>
              <w:t>The authorized share capital of Weatherford is US$1,356,000 divided into 1,356,000,000 ordinary shares with a nominal value of $0.001 per share.</w:t>
            </w:r>
            <w:r>
              <w:rPr/>
              <w:t xml:space="preserve"> </w:t>
            </w:r>
          </w:p>
          <w:p>
            <w:pPr>
              <w:pStyle w:val="TableContents"/>
              <w:bidi w:val="0"/>
              <w:spacing w:before="120" w:after="283"/>
              <w:jc w:val="left"/>
              <w:rPr>
                <w:spacing w:val="4"/>
              </w:rPr>
            </w:pPr>
            <w:r>
              <w:rPr>
                <w:spacing w:val="4"/>
              </w:rPr>
              <w:t xml:space="preserve">The authorized share capital may be increased or reduced by way of an ordinary resolution of Weatherford. An “ordinary resolution” is a resolution passed by a simple majority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79" w:type="dxa"/>
            <w:tcBorders/>
            <w:tcMar>
              <w:bottom w:w="0" w:type="dxa"/>
            </w:tcMar>
            <w:vAlign w:val="center"/>
          </w:tcPr>
          <w:p>
            <w:pPr>
              <w:pStyle w:val="TableContents"/>
              <w:bidi w:val="0"/>
              <w:spacing w:before="0" w:after="283"/>
              <w:jc w:val="left"/>
              <w:rPr/>
            </w:pPr>
            <w:r>
              <w:rPr>
                <w:spacing w:val="4"/>
              </w:rPr>
              <w:t>NCS’s certificate of incorporation authorizes 21.25 million shares of capital stock, consisting of 11.25 million shares of NCS Common Stock, par value of US$0.01 per share, and 10 million shares of preferred stock, par value of US$0.01 per share (“</w:t>
            </w:r>
            <w:r>
              <w:rPr>
                <w:b/>
                <w:spacing w:val="-4"/>
              </w:rPr>
              <w:t>NCS Preferred Stock</w:t>
            </w:r>
            <w:r>
              <w:rPr>
                <w:spacing w:val="4"/>
              </w:rPr>
              <w:t xml:space="preserve">”), with one such share of NCS Preferred Stock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9"/>
        <w:gridCol w:w="109"/>
        <w:gridCol w:w="109"/>
        <w:gridCol w:w="2268"/>
        <w:gridCol w:w="109"/>
        <w:gridCol w:w="109"/>
        <w:gridCol w:w="4384"/>
        <w:gridCol w:w="155"/>
      </w:tblGrid>
      <w:tr>
        <w:trPr/>
        <w:tc>
          <w:tcPr>
            <w:tcW w:w="156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8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0"/>
              <w:jc w:val="left"/>
              <w:rPr/>
            </w:pPr>
            <w:r>
              <w:rPr>
                <w:spacing w:val="4"/>
              </w:rPr>
              <w:t>designated as the “Special Voting Share.”</w:t>
            </w:r>
            <w:r>
              <w:rPr/>
              <w:t xml:space="preserve"> </w:t>
            </w:r>
          </w:p>
          <w:p>
            <w:pPr>
              <w:pStyle w:val="TableContents"/>
              <w:bidi w:val="0"/>
              <w:spacing w:before="120" w:after="283"/>
              <w:jc w:val="left"/>
              <w:rPr/>
            </w:pPr>
            <w:r>
              <w:rPr>
                <w:spacing w:val="4"/>
              </w:rPr>
              <w:t>Under NCS’s certificate of incorporation, the number of authorized shares of capital stock may be increased or decreased (but not below the number of shares thereof then outstanding) from time to time by the affirmative vote of the holders of at least a majority of the voting power of NCS’s then-outstanding shares of stock entitled to vote thereon, voting together as a single class, irrespective of the provisions of Section 242(b)(2) of the DGCL (or any successor provision thereto), and no vote of the holders of any NCS Common Stock or NCS Preferred Stock voting separately as a class or series shall be required therefor.</w:t>
            </w:r>
            <w:r>
              <w:rPr/>
              <w:t xml:space="preserve"> </w:t>
            </w:r>
          </w:p>
          <w:p>
            <w:pPr>
              <w:pStyle w:val="TableContents"/>
              <w:bidi w:val="0"/>
              <w:spacing w:before="120" w:after="283"/>
              <w:jc w:val="left"/>
              <w:rPr/>
            </w:pPr>
            <w:r>
              <w:rPr>
                <w:spacing w:val="4"/>
              </w:rPr>
              <w:t>Under Delaware law, the NCS Board, without stockholder approval, may approve the issuance of authorized but unissued shares of capital stock.</w:t>
            </w:r>
            <w:r>
              <w:rPr/>
              <w:t xml:space="preserve"> </w:t>
            </w:r>
          </w:p>
          <w:p>
            <w:pPr>
              <w:pStyle w:val="TableContents"/>
              <w:bidi w:val="0"/>
              <w:spacing w:before="120" w:after="283"/>
              <w:jc w:val="left"/>
              <w:rPr>
                <w:spacing w:val="4"/>
              </w:rPr>
            </w:pPr>
            <w:r>
              <w:rPr>
                <w:spacing w:val="4"/>
              </w:rPr>
              <w:t xml:space="preserve">Under NCS’s certificate of incorporation, at any time and from time to time, the NCS Board is expressly authorized, to the fullest extent permitted by the DGCL, to provide by resolution or resolutions for the issuance of shares of NCS Preferred Stock in one or more series or classes and, for each such series or class of NCS Preferred Stock, to fix, among other things, (i) the number of shares constituting such series or class and the designation thereof, (ii) the voting powers (if any), whether full or limited, of the shares of such series or class, (iii) the powers, preferences, and relative, participating, optional or other special rights of the shares of such series or class, and (iv) the qualifications, limitations, and restrictions thereof, and to cause a certificate of designation with respect thereto to be filed with the Secretary of State of the State of Delaware. </w:t>
            </w:r>
          </w:p>
        </w:tc>
        <w:tc>
          <w:tcPr>
            <w:tcW w:w="155" w:type="dxa"/>
            <w:tcBorders/>
            <w:tcMar>
              <w:bottom w:w="0"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0"/>
              <w:jc w:val="left"/>
              <w:rPr>
                <w:b/>
              </w:rPr>
            </w:pPr>
            <w:r>
              <w:rPr>
                <w:b/>
                <w:spacing w:val="-4"/>
              </w:rPr>
              <w:t>Consolidation and Division; Subdivision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Weatherford may, by ordinary resolution, sub-divide or consolidate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283"/>
              <w:jc w:val="left"/>
              <w:rPr>
                <w:spacing w:val="4"/>
              </w:rPr>
            </w:pPr>
            <w:r>
              <w:rPr>
                <w:spacing w:val="4"/>
              </w:rPr>
              <w:t xml:space="preserve">Under Delaware law, NCS may effect a stock split or reverse stock split by amending its certificate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58"/>
        <w:gridCol w:w="109"/>
        <w:gridCol w:w="109"/>
        <w:gridCol w:w="3390"/>
        <w:gridCol w:w="109"/>
        <w:gridCol w:w="109"/>
        <w:gridCol w:w="3372"/>
        <w:gridCol w:w="156"/>
      </w:tblGrid>
      <w:tr>
        <w:trPr/>
        <w:tc>
          <w:tcPr>
            <w:tcW w:w="145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9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7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spacing w:val="4"/>
              </w:rPr>
              <w:t>(</w:t>
            </w:r>
            <w:r>
              <w:rPr>
                <w:i/>
                <w:spacing w:val="4"/>
              </w:rPr>
              <w:t>i.e.</w:t>
            </w:r>
            <w:r>
              <w:rPr>
                <w:spacing w:val="4"/>
              </w:rPr>
              <w:t xml:space="preserve">, a reverse share split) its shares, or reduce or increase the nominal value of its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incorporation to subdivide or combine its issued shares.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Reduction of Share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Under Irish law, Weatherford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NCS, by an affirmative vote of a majority of the NCS Board, may reduce its capital (i) by reducing or eliminating the capital associated with shares of capital stock that have been retired, (ii) by applying some or all of the capital represented by shares purchased, redeemed, converted or exchanged or (iii) by transferring to surplus capital the capital associated with certain shares of its stock. No reduction of capital may be made unless the assets of the corporation remaining after the reduction are sufficient to pay any debts for which payment has not otherwise been provided.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Statutory Pre-emption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0"/>
              <w:jc w:val="left"/>
              <w:rPr/>
            </w:pPr>
            <w:r>
              <w:rPr>
                <w:spacing w:val="4"/>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r>
              <w:rPr/>
              <w:t xml:space="preserve"> </w:t>
            </w:r>
          </w:p>
          <w:p>
            <w:pPr>
              <w:pStyle w:val="TableContents"/>
              <w:bidi w:val="0"/>
              <w:spacing w:before="120" w:after="283"/>
              <w:jc w:val="left"/>
              <w:rPr/>
            </w:pPr>
            <w:r>
              <w:rPr>
                <w:spacing w:val="4"/>
              </w:rPr>
              <w:t>A general disapplication of statutory pre-emption rights may be given for a maximum period of five years, at which point it must be renewed by special resolution.</w:t>
            </w:r>
            <w:r>
              <w:rPr/>
              <w:t xml:space="preserve"> </w:t>
            </w:r>
          </w:p>
          <w:p>
            <w:pPr>
              <w:pStyle w:val="TableContents"/>
              <w:bidi w:val="0"/>
              <w:spacing w:before="120" w:after="283"/>
              <w:jc w:val="left"/>
              <w:rPr/>
            </w:pPr>
            <w:r>
              <w:rPr>
                <w:spacing w:val="4"/>
              </w:rPr>
              <w:t>The Weatherford shareholders most recently resolved by special resolution passed at Weatherford’s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statutory pre-emption rights do not apply to the allotment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NCS’s stockholders do not have pre-emptive rights to acquire newly issued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54"/>
        <w:gridCol w:w="109"/>
        <w:gridCol w:w="109"/>
        <w:gridCol w:w="3609"/>
        <w:gridCol w:w="109"/>
        <w:gridCol w:w="109"/>
        <w:gridCol w:w="3057"/>
        <w:gridCol w:w="156"/>
      </w:tblGrid>
      <w:tr>
        <w:trPr/>
        <w:tc>
          <w:tcPr>
            <w:tcW w:w="155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0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283"/>
              <w:jc w:val="left"/>
              <w:rPr>
                <w:spacing w:val="4"/>
              </w:rPr>
            </w:pPr>
            <w:r>
              <w:rPr>
                <w:spacing w:val="4"/>
              </w:rPr>
              <w:t xml:space="preserve">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Issuance of Shares; Share Warrants and Share Options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no shares may be allotted and issued by Weatherford unless comprised in its authorized but unissued share capital.</w:t>
            </w:r>
            <w:r>
              <w:rPr/>
              <w:t xml:space="preserve"> </w:t>
            </w:r>
          </w:p>
          <w:p>
            <w:pPr>
              <w:pStyle w:val="TableContents"/>
              <w:bidi w:val="0"/>
              <w:spacing w:before="120" w:after="283"/>
              <w:jc w:val="left"/>
              <w:rPr/>
            </w:pPr>
            <w:r>
              <w:rPr>
                <w:spacing w:val="4"/>
              </w:rPr>
              <w:t>Under Irish law and the Weatherford Articles, the Weatherford Board, or a duly authorized committee thereof, may (i) allot and issue ordinary shares, and (ii) grant rights to subscribe for, or convert any security into, ordinary shares (including share warrants and share options) (“</w:t>
            </w:r>
            <w:r>
              <w:rPr>
                <w:b/>
                <w:spacing w:val="-4"/>
              </w:rPr>
              <w:t>convertible rights</w:t>
            </w:r>
            <w:r>
              <w:rPr>
                <w:spacing w:val="4"/>
              </w:rPr>
              <w:t>”) up to the maximum amount of Weatherford’s authorized but unissued share capital, once generally, or specifically, authorized to do so by ordinary resolution passed by shareholders at a general meeting.</w:t>
            </w:r>
            <w:r>
              <w:rPr/>
              <w:t xml:space="preserve"> </w:t>
            </w:r>
          </w:p>
          <w:p>
            <w:pPr>
              <w:pStyle w:val="TableContents"/>
              <w:bidi w:val="0"/>
              <w:spacing w:before="120" w:after="283"/>
              <w:jc w:val="left"/>
              <w:rPr/>
            </w:pPr>
            <w:r>
              <w:rPr>
                <w:spacing w:val="4"/>
              </w:rPr>
              <w:t>A general allotment authorization may be given for a maximum period of five years, at which point it must be renewed by ordinary resolution.</w:t>
            </w:r>
            <w:r>
              <w:rPr/>
              <w:t xml:space="preserve"> </w:t>
            </w:r>
          </w:p>
          <w:p>
            <w:pPr>
              <w:pStyle w:val="TableContents"/>
              <w:bidi w:val="0"/>
              <w:spacing w:before="120" w:after="283"/>
              <w:jc w:val="left"/>
              <w:rPr/>
            </w:pPr>
            <w:r>
              <w:rPr>
                <w:spacing w:val="4"/>
              </w:rPr>
              <w:t>The Weatherford shareholders most recently resolved by ordinary resolution passed at Weatherford’s 2026 annual general meeting to generally authorize the Weatherford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a shareholder allotment authorization is not required for the allotment 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0"/>
              <w:jc w:val="left"/>
              <w:rPr/>
            </w:pPr>
            <w:r>
              <w:rPr>
                <w:spacing w:val="4"/>
              </w:rPr>
              <w:t>Under NCS’s certificate of incorporation and subject to applicable law, the NCS Board may authorize NCS to issue and sell all or any part of the authorized but unissued shares of any series or class of NCS’s capital stock for such consideration and for such corporate purposes as the NCS Board, in its discretion, may determine from time to time, whether or not greater consideration could be received upon the issue or sale of the same number of shares of another class.</w:t>
            </w:r>
            <w:r>
              <w:rPr/>
              <w:t xml:space="preserve"> </w:t>
            </w:r>
          </w:p>
          <w:p>
            <w:pPr>
              <w:pStyle w:val="TableContents"/>
              <w:bidi w:val="0"/>
              <w:spacing w:before="120" w:after="283"/>
              <w:jc w:val="left"/>
              <w:rPr>
                <w:spacing w:val="4"/>
              </w:rPr>
            </w:pPr>
            <w:r>
              <w:rPr>
                <w:spacing w:val="4"/>
              </w:rPr>
              <w:t xml:space="preserve">Under Delaware law, a corporation’s board of directors may authorize the issuance of the corporation’s authorized capital stock for consideration consisting of cash, any tangible or intangible property, any benefit to the corporation or any combination thereof. </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Dividends and Distributions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Weatherford may only pay dividends and make other distributions (and, generally, make share repurchases and redemptions) out of distributable profits.</w:t>
            </w:r>
            <w:r>
              <w:rPr/>
              <w:t xml:space="preserve"> </w:t>
            </w:r>
          </w:p>
          <w:p>
            <w:pPr>
              <w:pStyle w:val="TableContents"/>
              <w:bidi w:val="0"/>
              <w:spacing w:before="120" w:after="283"/>
              <w:jc w:val="left"/>
              <w:rPr>
                <w:spacing w:val="4"/>
              </w:rPr>
            </w:pPr>
            <w:r>
              <w:rPr>
                <w:spacing w:val="4"/>
              </w:rPr>
              <w:t xml:space="preserve">In addition, under Irish law, 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holders of NCS Common Stock are entitled to receive such dividends and other distributions in cash, property, or stock as may be declared on NCS Common Stock by the NCS Board, in its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01"/>
        <w:gridCol w:w="109"/>
        <w:gridCol w:w="109"/>
        <w:gridCol w:w="3384"/>
        <w:gridCol w:w="109"/>
        <w:gridCol w:w="109"/>
        <w:gridCol w:w="3235"/>
        <w:gridCol w:w="156"/>
      </w:tblGrid>
      <w:tr>
        <w:trPr/>
        <w:tc>
          <w:tcPr>
            <w:tcW w:w="160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dividend may be paid or other distribution, share repurchase or redemption made by Weatherford unless the net assets of Weatherford are equal to, or exceed, the aggregate of Weatherford’s called-up share capital plus its un-distributable reserves and the dividend or other distribution, share repurchase or redemption does not reduce Weatherford’s net assets below such aggregate.</w:t>
            </w:r>
            <w:r>
              <w:rPr/>
              <w:t xml:space="preserve"> </w:t>
            </w:r>
          </w:p>
          <w:p>
            <w:pPr>
              <w:pStyle w:val="TableContents"/>
              <w:bidi w:val="0"/>
              <w:spacing w:before="120" w:after="283"/>
              <w:jc w:val="left"/>
              <w:rPr/>
            </w:pPr>
            <w:r>
              <w:rPr>
                <w:spacing w:val="4"/>
              </w:rPr>
              <w:t>Subject to the requirements of Irish law, as referenced above, the Weatherford Articles authorize the Weatherford Board to pay such dividends as appears to the Weatherford Board to be justified by the profits of Weatherford.</w:t>
            </w:r>
            <w:r>
              <w:rPr/>
              <w:t xml:space="preserve"> </w:t>
            </w:r>
          </w:p>
          <w:p>
            <w:pPr>
              <w:pStyle w:val="TableContents"/>
              <w:bidi w:val="0"/>
              <w:spacing w:before="120" w:after="283"/>
              <w:jc w:val="left"/>
              <w:rPr/>
            </w:pPr>
            <w:r>
              <w:rPr>
                <w:spacing w:val="4"/>
              </w:rPr>
              <w:t>The Weatherford Board may also recommend a dividend to be approved and declared by the Weatherford shareholders at a general meeting, provided that no such dividend may exceed the amount recommended by the Weatherford Board.</w:t>
            </w:r>
            <w:r>
              <w:rPr/>
              <w:t xml:space="preserve"> </w:t>
            </w:r>
          </w:p>
          <w:p>
            <w:pPr>
              <w:pStyle w:val="TableContents"/>
              <w:bidi w:val="0"/>
              <w:spacing w:before="120" w:after="283"/>
              <w:jc w:val="left"/>
              <w:rPr>
                <w:spacing w:val="4"/>
              </w:rPr>
            </w:pPr>
            <w:r>
              <w:rPr>
                <w:spacing w:val="4"/>
              </w:rPr>
              <w:t xml:space="preserve">Under the Weatherford Articles, Weatherford Ordinary Shares rank equally for all dividends which are declared and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discretion, from time to time out of assets or funds of NCS legally available therefor, and such holders of NCS Common Stock share equally on a per share basis in all such dividends and other distributions that the NCS Board may declare from time to time.</w:t>
            </w:r>
            <w:r>
              <w:rPr/>
              <w:t xml:space="preserve"> </w:t>
            </w:r>
          </w:p>
          <w:p>
            <w:pPr>
              <w:pStyle w:val="TableContents"/>
              <w:bidi w:val="0"/>
              <w:spacing w:before="120" w:after="283"/>
              <w:jc w:val="left"/>
              <w:rPr>
                <w:spacing w:val="4"/>
              </w:rPr>
            </w:pPr>
            <w:r>
              <w:rPr>
                <w:spacing w:val="4"/>
              </w:rPr>
              <w:t xml:space="preserve">The decision whether or not to pay dividends, the amount of any such dividends and the manner in which dividends are payable are subject to the discretion of the NCS Board, applicable Delaware law, the NCS certificate of incorporation and the existence of legally available funds. </w:t>
            </w:r>
          </w:p>
        </w:tc>
        <w:tc>
          <w:tcPr>
            <w:tcW w:w="156" w:type="dxa"/>
            <w:tcBorders/>
            <w:tcMar>
              <w:bottom w:w="0"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0"/>
              <w:jc w:val="left"/>
              <w:rPr>
                <w:b/>
              </w:rPr>
            </w:pPr>
            <w:r>
              <w:rPr>
                <w:b/>
                <w:spacing w:val="-4"/>
              </w:rPr>
              <w:t>Share Repurchases, Redemptions and Conversions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Under the Weatherford Articles, Weatherford is authorized to acquire its own shares. Under Irish law, such shares may technically be acquired (i) by purchase, or (ii) in the case of redeemable shares, by redemption or purchase.</w:t>
            </w:r>
            <w:r>
              <w:rPr/>
              <w:t xml:space="preserve"> </w:t>
            </w:r>
          </w:p>
          <w:p>
            <w:pPr>
              <w:pStyle w:val="TableContents"/>
              <w:bidi w:val="0"/>
              <w:spacing w:before="120" w:after="283"/>
              <w:jc w:val="left"/>
              <w:rPr/>
            </w:pPr>
            <w:r>
              <w:rPr>
                <w:spacing w:val="4"/>
              </w:rPr>
              <w:t>All acquisitions (whether by purchase or redemption) are required to be made out of distributable profits or the proceeds of a new issue of shares made for that purpose.</w:t>
            </w:r>
            <w:r>
              <w:rPr/>
              <w:t xml:space="preserve"> </w:t>
            </w:r>
          </w:p>
          <w:p>
            <w:pPr>
              <w:pStyle w:val="TableContents"/>
              <w:bidi w:val="0"/>
              <w:spacing w:before="120" w:after="283"/>
              <w:jc w:val="left"/>
              <w:rPr>
                <w:spacing w:val="4"/>
              </w:rPr>
            </w:pPr>
            <w:r>
              <w:rPr>
                <w:spacing w:val="4"/>
              </w:rPr>
              <w:t xml:space="preserve">The Weatherford Articles provide that, unless the Weatherford Board determines otherwise, any Weatherford Ordinary Shares (or an interest in such shares) which Weatherford has acquired, or proposes to acquire, shall be deemed to be redeemable shares on, and from the time of, the existence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Under NCS’s certificate of incorporation, NCS has the power to purchase any shares of any class of stock authorized by NCS’s certificate of incorporation from such persons, and for such consideration and for such corporate purposes, as the NCS Board, in its discretion, may determine from time to time, whether or not less consideration could be paid upon the purchase of the same number of shares of another class, and as otherwise permitted by law.</w:t>
            </w:r>
            <w:r>
              <w:rPr/>
              <w:t xml:space="preserve"> </w:t>
            </w:r>
          </w:p>
          <w:p>
            <w:pPr>
              <w:pStyle w:val="TableContents"/>
              <w:bidi w:val="0"/>
              <w:spacing w:before="120" w:after="283"/>
              <w:jc w:val="left"/>
              <w:rPr>
                <w:spacing w:val="4"/>
              </w:rPr>
            </w:pPr>
            <w:r>
              <w:rPr>
                <w:spacing w:val="4"/>
              </w:rPr>
              <w:t xml:space="preserve">Under NCS’s certificate of incorporation and bylaws, shares of NCS Common Stock and NCS Preferred Stock are not currently subject to conversion privileges or redemption by NCS.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5"/>
        <w:gridCol w:w="109"/>
        <w:gridCol w:w="109"/>
        <w:gridCol w:w="3945"/>
        <w:gridCol w:w="109"/>
        <w:gridCol w:w="109"/>
        <w:gridCol w:w="2731"/>
        <w:gridCol w:w="155"/>
      </w:tblGrid>
      <w:tr>
        <w:trPr/>
        <w:tc>
          <w:tcPr>
            <w:tcW w:w="154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left"/>
              <w:rPr/>
            </w:pPr>
            <w:r>
              <w:rPr>
                <w:spacing w:val="4"/>
              </w:rPr>
              <w:t>creation of the relevant agreement, transaction or trade for their acquisition.</w:t>
            </w:r>
            <w:r>
              <w:rPr/>
              <w:t xml:space="preserve"> </w:t>
            </w:r>
          </w:p>
          <w:p>
            <w:pPr>
              <w:pStyle w:val="TableContents"/>
              <w:bidi w:val="0"/>
              <w:spacing w:before="120" w:after="283"/>
              <w:jc w:val="left"/>
              <w:rPr/>
            </w:pPr>
            <w:r>
              <w:rPr>
                <w:spacing w:val="4"/>
              </w:rPr>
              <w:t>Accordingly, unless the Weatherford Board determines otherwise, acquisitions by Weatherford of its ordinary shares may be implemented as a redemption of those shares without the requirement for shareholder approval.</w:t>
            </w:r>
            <w:r>
              <w:rPr/>
              <w:t xml:space="preserve"> </w:t>
            </w:r>
          </w:p>
          <w:p>
            <w:pPr>
              <w:pStyle w:val="TableContents"/>
              <w:bidi w:val="0"/>
              <w:spacing w:before="120" w:after="283"/>
              <w:jc w:val="left"/>
              <w:rPr/>
            </w:pPr>
            <w:r>
              <w:rPr>
                <w:spacing w:val="4"/>
              </w:rPr>
              <w:t>If the Weatherford Articles did not contain such provision, the acquisition by Weatherford of its ordinary shares would need to be implemented as a purchase and would be subject to additional requirements under Irish law, including the requirement for shareholder authority to do so.</w:t>
            </w:r>
            <w:r>
              <w:rPr/>
              <w:t xml:space="preserve"> </w:t>
            </w:r>
          </w:p>
          <w:p>
            <w:pPr>
              <w:pStyle w:val="TableContents"/>
              <w:bidi w:val="0"/>
              <w:spacing w:before="120" w:after="283"/>
              <w:jc w:val="left"/>
              <w:rPr>
                <w:spacing w:val="4"/>
              </w:rPr>
            </w:pPr>
            <w:r>
              <w:rPr>
                <w:spacing w:val="4"/>
              </w:rPr>
              <w:t xml:space="preserve">Weatherford’s ordinary shares which are acquired (whether by purchase or redemption) may be cancelled or held as treasury shares, provided that the aggregate value of treasury shares held by Weatherford at any time must not exceed 10% of Weatherford’s company capital (consisting of the aggregate of all amounts of nominal value plus share premium paid for shares of Weatherford, plus certain other sums that may be credited as such).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Bonus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spacing w:val="4"/>
              </w:rPr>
            </w:pPr>
            <w:r>
              <w:rPr>
                <w:spacing w:val="4"/>
              </w:rPr>
              <w:t xml:space="preserve">Under the Weatherford Articles, the Weatherford Board may resolve to capitalize any amount standing to the credit of Weatherford’s un-denominated capital, any of Weatherford’s profits available for distribution, any sum representing unrealized revaluation reserves, a merger reserve, or any other capital reserve of Weatherford, and apply such amount in paying-up in full unissued shares to be allotted and issued as bonus shares to shareholders who would have been entitled to such amount if it had been distributed by way of dividend (and in the same proportions).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spacing w:val="4"/>
              </w:rPr>
              <w:t>Under Delaware law, a corporation may make distributions to its stockholders in the form of a stock dividend, which distributions result in consequences similar to the issuance of bonus shares as contemplated under Irish law. See the discussion of dividends and distributions under “— </w:t>
            </w:r>
            <w:r>
              <w:rPr>
                <w:i/>
                <w:spacing w:val="4"/>
              </w:rPr>
              <w:t>Dividends and Distributions</w:t>
            </w:r>
            <w:r>
              <w:rPr>
                <w:spacing w:val="4"/>
              </w:rPr>
              <w:t xml:space="preserve">” above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Number and Election of Directors; Director Terms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pPr>
            <w:r>
              <w:rPr>
                <w:spacing w:val="4"/>
              </w:rPr>
              <w:t>The Weatherford Articles provide that the number of directors shall be fixed from time to time by the Weatherford Board, provided the number shall not be less than 3 nor more than 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initially fix the total number of directors constituting the NCS Board at nine. The total number of directors constituting the NCS Board may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99"/>
        <w:gridCol w:w="109"/>
        <w:gridCol w:w="109"/>
        <w:gridCol w:w="3619"/>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9" w:type="dxa"/>
            <w:tcBorders/>
            <w:tcMar>
              <w:bottom w:w="0" w:type="dxa"/>
            </w:tcMar>
            <w:vAlign w:val="center"/>
          </w:tcPr>
          <w:p>
            <w:pPr>
              <w:pStyle w:val="TableContents"/>
              <w:bidi w:val="0"/>
              <w:spacing w:lineRule="atLeast" w:line="228" w:before="0" w:after="0"/>
              <w:jc w:val="left"/>
              <w:rPr/>
            </w:pPr>
            <w:r>
              <w:rPr>
                <w:spacing w:val="4"/>
              </w:rPr>
              <w:t>The Weatherford Articles provide that the directors may be appointed by Weatherford shareholders in general meeting or by the Weatherford Board.</w:t>
            </w:r>
            <w:r>
              <w:rPr/>
              <w:t xml:space="preserve"> </w:t>
            </w:r>
          </w:p>
          <w:p>
            <w:pPr>
              <w:pStyle w:val="TableContents"/>
              <w:bidi w:val="0"/>
              <w:spacing w:lineRule="atLeast" w:line="228" w:before="120" w:after="283"/>
              <w:jc w:val="left"/>
              <w:rPr/>
            </w:pPr>
            <w:r>
              <w:rPr>
                <w:spacing w:val="4"/>
              </w:rPr>
              <w:t>The Weatherford Articles provide that each director shall (unless his or her office is earlier vacated) serve for a one-year term concluding on the later of (i) the annual general meeting after such director was last appointed or reappointed and (ii) the date his or her successor is elected and qualified.</w:t>
            </w:r>
            <w:r>
              <w:rPr/>
              <w:t xml:space="preserve"> </w:t>
            </w:r>
          </w:p>
          <w:p>
            <w:pPr>
              <w:pStyle w:val="TableContents"/>
              <w:bidi w:val="0"/>
              <w:spacing w:lineRule="atLeast" w:line="228" w:before="120" w:after="283"/>
              <w:jc w:val="left"/>
              <w:rPr/>
            </w:pPr>
            <w:r>
              <w:rPr>
                <w:spacing w:val="4"/>
              </w:rPr>
              <w:t>The Weatherford Articles provide that each director shall be elected by ordinary resolution passed by shareholders at a general meeting provided that, if the number of director nominees exceeds the number of directors to be elected (a “</w:t>
            </w:r>
            <w:r>
              <w:rPr>
                <w:b/>
                <w:spacing w:val="-4"/>
              </w:rPr>
              <w:t>contested election</w:t>
            </w:r>
            <w:r>
              <w:rPr>
                <w:spacing w:val="4"/>
              </w:rPr>
              <w:t>”), each of those nominees shall be voted upon as a separate resolution and the directors shall be elected by a plurality of the votes cast, in person or represented by proxy, at such meeting and entitled to vote on the election of directors.</w:t>
            </w:r>
            <w:r>
              <w:rPr/>
              <w:t xml:space="preserve"> </w:t>
            </w:r>
          </w:p>
          <w:p>
            <w:pPr>
              <w:pStyle w:val="TableContents"/>
              <w:bidi w:val="0"/>
              <w:spacing w:lineRule="atLeast" w:line="228" w:before="120" w:after="283"/>
              <w:jc w:val="left"/>
              <w:rPr>
                <w:spacing w:val="4"/>
              </w:rPr>
            </w:pPr>
            <w:r>
              <w:rPr>
                <w:spacing w:val="4"/>
              </w:rPr>
              <w:t xml:space="preserve">The Weatherford Articles provide that, in an uncontested election (where the number of director nominees does not exceed the number of directors to be elected), any nominee for election to the Weatherford Board who is then serving as a director and who receives a greater number of “against” votes than “for” votes shall promptly tender his or her resignation following certification of the vote. The Weatherford Board (excluding the director who has so tendered his or her resignation) is then obliged to consider the resignation offer and decide whether to accept or reject the resignation, or whether other action should be taken.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9" w:type="dxa"/>
            <w:tcBorders/>
            <w:tcMar>
              <w:bottom w:w="0" w:type="dxa"/>
            </w:tcMar>
            <w:vAlign w:val="center"/>
          </w:tcPr>
          <w:p>
            <w:pPr>
              <w:pStyle w:val="TableContents"/>
              <w:bidi w:val="0"/>
              <w:spacing w:before="0" w:after="0"/>
              <w:jc w:val="left"/>
              <w:rPr/>
            </w:pPr>
            <w:r>
              <w:rPr>
                <w:spacing w:val="4"/>
              </w:rPr>
              <w:t>fixed at a different number of directors from time to time exclusively by resolution adopted by the affirmative vote of at least a majority of the NCS Board then in office.</w:t>
            </w:r>
            <w:r>
              <w:rPr/>
              <w:t xml:space="preserve"> </w:t>
            </w:r>
          </w:p>
          <w:p>
            <w:pPr>
              <w:pStyle w:val="TableContents"/>
              <w:bidi w:val="0"/>
              <w:spacing w:before="120" w:after="283"/>
              <w:jc w:val="left"/>
              <w:rPr/>
            </w:pPr>
            <w:r>
              <w:rPr>
                <w:spacing w:val="4"/>
              </w:rPr>
              <w:t>The NCS certificate of incorporation provides that, subject to the terms of any one or more series or classes of NCS Preferred Stock, the NCS Board is divided into three classes designated Class I, Class II and Class III, with each class consisting, as nearly as possible, of one-third of the total number of directors, and with terms expiring successively for the respective classes at each annual meeting of NCS stockholders. No member of the NCS Board may serve concurrently on more than one class of directors. If the number of directors constituting the NCS Board is changed, NCS’s certificate of incorporation provides that any increase or decrease shall be apportioned among the classes in such a manner as the NCS Board shall determine so as to maintain the number of directors in each class as nearly as equal as possible, but in no case will a decrease in the number of directors shorten the term of any incumbent director.</w:t>
            </w:r>
            <w:r>
              <w:rPr/>
              <w:t xml:space="preserve"> </w:t>
            </w:r>
          </w:p>
          <w:p>
            <w:pPr>
              <w:pStyle w:val="TableContents"/>
              <w:bidi w:val="0"/>
              <w:spacing w:before="120" w:after="283"/>
              <w:jc w:val="left"/>
              <w:rPr/>
            </w:pPr>
            <w:r>
              <w:rPr>
                <w:spacing w:val="4"/>
              </w:rPr>
              <w:t>NCS’s certificate of incorporation and bylaws provide that directors are elected by a plurality of the votes cast by the shares present in person or represented by proxy at a meeting and voting for nominees in the election of directors. At each annual meeting following the initial classified-board terms, successors to the class of directors whose term expires at that annual meeting are elected to hold office until the third annual meeting succeeding such directors’ election and until such directors’ successors are duly elected and qualified.</w:t>
            </w:r>
            <w:r>
              <w:rPr/>
              <w:t xml:space="preserve"> </w:t>
            </w:r>
          </w:p>
          <w:p>
            <w:pPr>
              <w:pStyle w:val="TableContents"/>
              <w:bidi w:val="0"/>
              <w:spacing w:before="120" w:after="283"/>
              <w:jc w:val="left"/>
              <w:rPr>
                <w:spacing w:val="4"/>
              </w:rPr>
            </w:pPr>
            <w:r>
              <w:rPr>
                <w:spacing w:val="4"/>
              </w:rPr>
              <w:t xml:space="preserve">Notwithstanding the foregoing, NCS’s certificate of incorporation provides that, whenever the holders of any one or more series or classes of NCS Preferred Stock shall have the right, voting separately by series or class,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7"/>
        <w:gridCol w:w="109"/>
        <w:gridCol w:w="109"/>
        <w:gridCol w:w="2795"/>
        <w:gridCol w:w="109"/>
        <w:gridCol w:w="109"/>
        <w:gridCol w:w="3789"/>
        <w:gridCol w:w="155"/>
      </w:tblGrid>
      <w:tr>
        <w:trPr/>
        <w:tc>
          <w:tcPr>
            <w:tcW w:w="163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8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elect one or more directors at an annual or special meeting of NCS stockholders, the election, filling of vacancies, removal of directors and other features of such one or more directorships shall be governed by the terms of such one or more series or classes of NCS Preferred Stock to the extent permitted by applicable law.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Appointment of Directors; Vacancies on the Board and Newly Created Directorships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Weatherford Board may from time to time appoint any person to be a director, either to fill a casual vacancy or as an addition to the existing directors, provided that the total number of directors shall not at any time exceed the maximum number of 14 as provided for in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Subject to the terms of any one or more series or classes of NCS Preferred Stock, the NCS certificate of incorporation and bylaws provide that any vacancies in the NCS Board for any reason, including in the case of any newly created directorships resulting from an increase in the number of directors, shall be filled only by the NCS Board, and not by NCS stockholders, acting by the affirmative vote of a majority of the remaining directors then in office, even if less than a quorum, or by a sole remaining director. Any directors so appointed will hold office until the next election of the class of directors to which such director has been appointed and until such director’s successor is duly elected and qualified.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0"/>
              <w:jc w:val="left"/>
              <w:rPr/>
            </w:pPr>
            <w:r>
              <w:rPr>
                <w:spacing w:val="4"/>
              </w:rPr>
              <w:t>Under Irish law, Weatherford shareholders may remove a director without cause by ordinary resolution, provided that at least 28 clear days’ notice of the resolution is given to Weatherford and the Weatherford shareholders comply with the relevant procedural requirements.</w:t>
            </w:r>
            <w:r>
              <w:rPr/>
              <w:t xml:space="preserve"> </w:t>
            </w:r>
          </w:p>
          <w:p>
            <w:pPr>
              <w:pStyle w:val="TableContents"/>
              <w:bidi w:val="0"/>
              <w:spacing w:before="120" w:after="283"/>
              <w:jc w:val="left"/>
              <w:rPr/>
            </w:pPr>
            <w:r>
              <w:rPr>
                <w:spacing w:val="4"/>
              </w:rPr>
              <w:t>Under Irish law one or more Weatherford shareholders representing not less than 10% of the paid-up share capital of Weatherford carrying voting rights may requisition Weatherford to convene an extraordinary general meeting at which a resolution to remove a director and appoint another person in his or her place may be proposed.</w:t>
            </w:r>
            <w:r>
              <w:rPr/>
              <w:t xml:space="preserve"> </w:t>
            </w:r>
          </w:p>
          <w:p>
            <w:pPr>
              <w:pStyle w:val="TableContents"/>
              <w:bidi w:val="0"/>
              <w:spacing w:before="120" w:after="283"/>
              <w:jc w:val="left"/>
              <w:rPr>
                <w:spacing w:val="4"/>
              </w:rPr>
            </w:pPr>
            <w:r>
              <w:rPr>
                <w:spacing w:val="4"/>
              </w:rPr>
              <w:t xml:space="preserve">The Weatherford Articles also provide that one or more Weatherford shareholders holding at least 25% of the outstanding ordinary shares may directly convene an extraordinary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pPr>
            <w:r>
              <w:rPr>
                <w:spacing w:val="4"/>
              </w:rPr>
              <w:t xml:space="preserve">Under NCS’s certificate of incorporation, subject to the terms of any one or more series or classes of NCS Preferred Stock, any director or the entire NCS Board may be removed from office at any time, but only for cause and only by the affirmative vote of the holders of at least a majority of the voting power of NCS’s outstanding shares of stock entitled to vote generally in the election of directors, voting together as a single class. For the purposes of director removal under NCS’s certificate of incorporation, “cause” means, with respect to any NCS director, (i) the willful failure by such director to perform, or the gross negligence of such director in performing, the duties of a director, (ii) the engaging by such director in willful or serious misconduct that is injurious to NCS or (iii) the conviction of such director of, or the entering by such director of a plea of </w:t>
            </w:r>
            <w:r>
              <w:rPr>
                <w:i/>
                <w:spacing w:val="4"/>
              </w:rPr>
              <w:t xml:space="preserve">nolo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1"/>
        <w:gridCol w:w="109"/>
        <w:gridCol w:w="109"/>
        <w:gridCol w:w="3042"/>
        <w:gridCol w:w="109"/>
        <w:gridCol w:w="109"/>
        <w:gridCol w:w="3708"/>
        <w:gridCol w:w="155"/>
      </w:tblGrid>
      <w:tr>
        <w:trPr/>
        <w:tc>
          <w:tcPr>
            <w:tcW w:w="147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283"/>
              <w:jc w:val="left"/>
              <w:rPr>
                <w:spacing w:val="4"/>
              </w:rPr>
            </w:pPr>
            <w:r>
              <w:rPr>
                <w:spacing w:val="4"/>
              </w:rPr>
              <w:t xml:space="preserve">general meeting, at which a resolution to remove a director and appoint another person in his or her place may be proposed.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283"/>
              <w:jc w:val="left"/>
              <w:rPr/>
            </w:pPr>
            <w:r>
              <w:rPr>
                <w:i/>
                <w:spacing w:val="4"/>
              </w:rPr>
              <w:t>contendere</w:t>
            </w:r>
            <w:r>
              <w:rPr>
                <w:spacing w:val="4"/>
              </w:rPr>
              <w:t xml:space="preserve"> to, a crime that constitutes a felony. </w:t>
            </w:r>
          </w:p>
        </w:tc>
        <w:tc>
          <w:tcPr>
            <w:tcW w:w="155" w:type="dxa"/>
            <w:tcBorders/>
            <w:tcMar>
              <w:bottom w:w="0"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0"/>
              <w:jc w:val="left"/>
              <w:rPr>
                <w:b/>
              </w:rPr>
            </w:pPr>
            <w:r>
              <w:rPr>
                <w:b/>
                <w:spacing w:val="-4"/>
              </w:rPr>
              <w:t>Duties of the Board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0"/>
              <w:jc w:val="left"/>
              <w:rPr/>
            </w:pPr>
            <w:r>
              <w:rPr>
                <w:spacing w:val="4"/>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r>
              <w:rPr/>
              <w:t xml:space="preserve"> </w:t>
            </w:r>
          </w:p>
          <w:p>
            <w:pPr>
              <w:pStyle w:val="TableContents"/>
              <w:bidi w:val="0"/>
              <w:spacing w:lineRule="atLeast" w:line="240" w:before="160" w:after="0"/>
              <w:ind w:left="480" w:right="0" w:hanging="0"/>
              <w:jc w:val="left"/>
              <w:rPr/>
            </w:pPr>
            <w:r>
              <w:rPr>
                <w:spacing w:val="4"/>
              </w:rPr>
              <w:t>to act in good faith in what the director considers to be the interests of the company;</w:t>
            </w:r>
            <w:r>
              <w:rPr/>
              <w:t xml:space="preserve"> </w:t>
            </w:r>
            <w:r>
              <mc:AlternateContent>
                <mc:Choice Requires="wps">
                  <w:drawing>
                    <wp:anchor behindDoc="0" distT="101600" distB="0" distL="0" distR="0" simplePos="0" locked="0" layoutInCell="1" allowOverlap="1" relativeHeight="322">
                      <wp:simplePos x="0" y="0"/>
                      <wp:positionH relativeFrom="column">
                        <wp:align>left</wp:align>
                      </wp:positionH>
                      <wp:positionV relativeFrom="line">
                        <wp:align>top</wp:align>
                      </wp:positionV>
                      <wp:extent cx="3048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honestly and responsibly in relation to the conduct of the affairs of the company;</w:t>
            </w:r>
            <w:r>
              <w:rPr/>
              <w:t xml:space="preserve"> </w:t>
            </w:r>
            <w:r>
              <mc:AlternateContent>
                <mc:Choice Requires="wps">
                  <w:drawing>
                    <wp:anchor behindDoc="0" distT="101600" distB="0" distL="0" distR="0" simplePos="0" locked="0" layoutInCell="1" allowOverlap="1" relativeHeight="323">
                      <wp:simplePos x="0" y="0"/>
                      <wp:positionH relativeFrom="column">
                        <wp:align>left</wp:align>
                      </wp:positionH>
                      <wp:positionV relativeFrom="line">
                        <wp:align>top</wp:align>
                      </wp:positionV>
                      <wp:extent cx="3048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in accordance with the company’s constitution and to exercise his or her powers only for the purposes allowed by law;</w:t>
            </w:r>
            <w:r>
              <w:rPr/>
              <w:t xml:space="preserve"> </w:t>
            </w:r>
            <w:r>
              <mc:AlternateContent>
                <mc:Choice Requires="wps">
                  <w:drawing>
                    <wp:anchor behindDoc="0" distT="101600" distB="0" distL="0" distR="0" simplePos="0" locked="0" layoutInCell="1" allowOverlap="1" relativeHeight="324">
                      <wp:simplePos x="0" y="0"/>
                      <wp:positionH relativeFrom="column">
                        <wp:align>left</wp:align>
                      </wp:positionH>
                      <wp:positionV relativeFrom="line">
                        <wp:align>top</wp:align>
                      </wp:positionV>
                      <wp:extent cx="3048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use the company’s property, information, or opportunities for his or her own benefit, or that of anyone else;</w:t>
            </w:r>
            <w:r>
              <w:rPr/>
              <w:t xml:space="preserve">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3048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agree to restrict the director’s power to exercise an independent judgement;</w:t>
            </w:r>
            <w:r>
              <w:rPr/>
              <w:t xml:space="preserve"> </w:t>
            </w:r>
            <w:r>
              <mc:AlternateContent>
                <mc:Choice Requires="wps">
                  <w:drawing>
                    <wp:anchor behindDoc="0" distT="101600" distB="0" distL="0" distR="0" simplePos="0" locked="0" layoutInCell="1" allowOverlap="1" relativeHeight="326">
                      <wp:simplePos x="0" y="0"/>
                      <wp:positionH relativeFrom="column">
                        <wp:align>left</wp:align>
                      </wp:positionH>
                      <wp:positionV relativeFrom="line">
                        <wp:align>top</wp:align>
                      </wp:positionV>
                      <wp:extent cx="3048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80" w:right="0" w:hanging="0"/>
              <w:jc w:val="left"/>
              <w:rPr/>
            </w:pPr>
            <w:r>
              <w:rPr>
                <w:spacing w:val="4"/>
              </w:rPr>
              <w:t>to avoid conflicts of interest;</w:t>
            </w:r>
            <w:r>
              <w:rPr/>
              <w:t xml:space="preserve"> </w:t>
            </w:r>
            <w:r>
              <mc:AlternateContent>
                <mc:Choice Requires="wps">
                  <w:drawing>
                    <wp:anchor behindDoc="0" distT="101600" distB="0" distL="0" distR="0" simplePos="0" locked="0" layoutInCell="1" allowOverlap="1" relativeHeight="327">
                      <wp:simplePos x="0" y="0"/>
                      <wp:positionH relativeFrom="column">
                        <wp:align>left</wp:align>
                      </wp:positionH>
                      <wp:positionV relativeFrom="line">
                        <wp:align>top</wp:align>
                      </wp:positionV>
                      <wp:extent cx="3048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exercise due care, skill and diligence;</w:t>
            </w:r>
            <w:r>
              <w:rPr/>
              <w:t xml:space="preserve"> </w:t>
            </w:r>
            <w:r>
              <mc:AlternateContent>
                <mc:Choice Requires="wps">
                  <w:drawing>
                    <wp:anchor behindDoc="0" distT="101600" distB="0" distL="0" distR="0" simplePos="0" locked="0" layoutInCell="1" allowOverlap="1" relativeHeight="328">
                      <wp:simplePos x="0" y="0"/>
                      <wp:positionH relativeFrom="column">
                        <wp:align>left</wp:align>
                      </wp:positionH>
                      <wp:positionV relativeFrom="line">
                        <wp:align>top</wp:align>
                      </wp:positionV>
                      <wp:extent cx="304800" cy="525780"/>
                      <wp:effectExtent l="0" t="0" r="0" b="0"/>
                      <wp:wrapSquare wrapText="right"/>
                      <wp:docPr id="313" name="Frame31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employees in general and its shareholders; and</w:t>
            </w:r>
            <w:r>
              <w:rPr/>
              <w:t xml:space="preserve"> </w:t>
            </w:r>
            <w:r>
              <mc:AlternateContent>
                <mc:Choice Requires="wps">
                  <w:drawing>
                    <wp:anchor behindDoc="0" distT="101600" distB="0" distL="0" distR="0" simplePos="0" locked="0" layoutInCell="1" allowOverlap="1" relativeHeight="329">
                      <wp:simplePos x="0" y="0"/>
                      <wp:positionH relativeFrom="column">
                        <wp:align>left</wp:align>
                      </wp:positionH>
                      <wp:positionV relativeFrom="line">
                        <wp:align>top</wp:align>
                      </wp:positionV>
                      <wp:extent cx="304800" cy="525780"/>
                      <wp:effectExtent l="0" t="0" r="0" b="0"/>
                      <wp:wrapSquare wrapText="right"/>
                      <wp:docPr id="314" name="Frame31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creditors, where a director believes, or has reasonable cause to believe the company is, or is likely to be, unable to pay its debts or where the directors become aware of the company’s insolvency.</w:t>
            </w:r>
            <w:r>
              <w:rPr/>
              <w:t xml:space="preserve"> </w:t>
            </w:r>
            <w:r>
              <mc:AlternateContent>
                <mc:Choice Requires="wps">
                  <w:drawing>
                    <wp:anchor behindDoc="0" distT="101600" distB="0" distL="0" distR="0" simplePos="0" locked="0" layoutInCell="1" allowOverlap="1" relativeHeight="330">
                      <wp:simplePos x="0" y="0"/>
                      <wp:positionH relativeFrom="column">
                        <wp:align>left</wp:align>
                      </wp:positionH>
                      <wp:positionV relativeFrom="line">
                        <wp:align>top</wp:align>
                      </wp:positionV>
                      <wp:extent cx="3048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Such duties are owed to Weatherford (not to individual shareholders or third parties) and only Weatherford may take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0"/>
              <w:jc w:val="left"/>
              <w:rPr/>
            </w:pPr>
            <w:r>
              <w:rPr>
                <w:spacing w:val="4"/>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r>
              <w:rPr/>
              <w:t xml:space="preserve"> </w:t>
            </w:r>
          </w:p>
          <w:p>
            <w:pPr>
              <w:pStyle w:val="TableContents"/>
              <w:bidi w:val="0"/>
              <w:spacing w:before="120" w:after="283"/>
              <w:jc w:val="left"/>
              <w:rPr>
                <w:spacing w:val="4"/>
              </w:rPr>
            </w:pPr>
            <w:r>
              <w:rPr>
                <w:spacing w:val="4"/>
              </w:rPr>
              <w:t xml:space="preserve">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member reasonably believes are within such other person’s professional or expert competence and who has been selected with reasonable care by or on behalf of the corporation.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739"/>
        <w:gridCol w:w="109"/>
        <w:gridCol w:w="109"/>
        <w:gridCol w:w="2938"/>
        <w:gridCol w:w="109"/>
        <w:gridCol w:w="109"/>
        <w:gridCol w:w="3544"/>
        <w:gridCol w:w="155"/>
      </w:tblGrid>
      <w:tr>
        <w:trPr/>
        <w:tc>
          <w:tcPr>
            <w:tcW w:w="173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4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before="0" w:after="283"/>
              <w:jc w:val="left"/>
              <w:rPr>
                <w:spacing w:val="4"/>
              </w:rPr>
            </w:pPr>
            <w:r>
              <w:rPr>
                <w:spacing w:val="4"/>
              </w:rPr>
              <w:t xml:space="preserve">an action for breach of duty against a director. In limited situations, shareholders may be able to bring a derivative action on behalf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0"/>
              <w:jc w:val="left"/>
              <w:rPr>
                <w:b/>
              </w:rPr>
            </w:pPr>
            <w:r>
              <w:rPr>
                <w:b/>
                <w:spacing w:val="-4"/>
              </w:rPr>
              <w:t>Indemnification of Directors and Officers; Advancement of Expenses; Insurance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lineRule="atLeast" w:line="228" w:before="0" w:after="0"/>
              <w:jc w:val="left"/>
              <w:rPr/>
            </w:pPr>
            <w:r>
              <w:rPr>
                <w:spacing w:val="4"/>
              </w:rPr>
              <w:t>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r>
              <w:rPr/>
              <w:t xml:space="preserve"> </w:t>
            </w:r>
          </w:p>
          <w:p>
            <w:pPr>
              <w:pStyle w:val="TableContents"/>
              <w:bidi w:val="0"/>
              <w:spacing w:lineRule="atLeast" w:line="228" w:before="120" w:after="283"/>
              <w:jc w:val="left"/>
              <w:rPr/>
            </w:pPr>
            <w:r>
              <w:rPr>
                <w:spacing w:val="4"/>
              </w:rPr>
              <w:t>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spacing w:val="4"/>
              </w:rPr>
              <w:t>Under NCS’s certificate of incorporation and bylaws, NCS shall indemnify, advance expenses to and hold harmless, to the fullest extent permitted by applicable law as it presently exists or may hereafter be amended, any person (such person, an “</w:t>
            </w:r>
            <w:r>
              <w:rPr>
                <w:b/>
                <w:spacing w:val="-4"/>
              </w:rPr>
              <w:t>Indemnitee</w:t>
            </w:r>
            <w:r>
              <w:rPr>
                <w:spacing w:val="4"/>
              </w:rPr>
              <w:t xml:space="preserv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NCS or otherwise and whether of a civil (including intentional or unintentional tort claims), criminal, administrative or investigative (formal or informal) nature, including appeal therefrom, in which such Indemnitee was, is, will or might be involved as a party, potential party, non-party witness or otherwise by reason of the fact that such Indemnitee is or was a director, officer, employee or agent of NCS, by reason of any action (or failure to act) taken by him or her of any action (or failure to act) on his or her part while acting as a director, officer, employee or agent of NCS, or by reason of the fact that such Indemnitee is or was serving at the request of NCS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NCS’s certificate of incorporation. NCS’s bylaws provide that nothing in NCS’s bylaws shall limit the right of NCS, to the extent and in the manner permitted by applicable law, to indemnify and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7"/>
        <w:gridCol w:w="109"/>
        <w:gridCol w:w="109"/>
        <w:gridCol w:w="3302"/>
        <w:gridCol w:w="109"/>
        <w:gridCol w:w="109"/>
        <w:gridCol w:w="3451"/>
        <w:gridCol w:w="156"/>
      </w:tblGrid>
      <w:tr>
        <w:trPr/>
        <w:tc>
          <w:tcPr>
            <w:tcW w:w="146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lineRule="atLeast" w:line="228" w:before="0" w:after="0"/>
              <w:jc w:val="left"/>
              <w:rPr/>
            </w:pPr>
            <w:r>
              <w:rPr>
                <w:spacing w:val="4"/>
              </w:rPr>
              <w:t>In addition, Weatherford and Weatherford International Ltd.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r>
              <w:rPr/>
              <w:t xml:space="preserve"> </w:t>
            </w:r>
          </w:p>
          <w:p>
            <w:pPr>
              <w:pStyle w:val="TableContents"/>
              <w:bidi w:val="0"/>
              <w:spacing w:lineRule="atLeast" w:line="228" w:before="120" w:after="283"/>
              <w:jc w:val="left"/>
              <w:rPr>
                <w:spacing w:val="4"/>
              </w:rPr>
            </w:pPr>
            <w:r>
              <w:rPr>
                <w:spacing w:val="4"/>
              </w:rPr>
              <w:t xml:space="preserve">As permitted by Irish law, Weatherford has also taken out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0"/>
              <w:jc w:val="left"/>
              <w:rPr/>
            </w:pPr>
            <w:r>
              <w:rPr>
                <w:spacing w:val="4"/>
              </w:rPr>
              <w:t>advance expenses to persons other than Indemnitees when and as authorized by appropriate corporate action, including that NCS may, to the extent authorized from time to time by the NCS Board, provide rights to indemnification and advancement of expenses to employees and agents of NCS.</w:t>
            </w:r>
            <w:r>
              <w:rPr/>
              <w:t xml:space="preserve"> </w:t>
            </w:r>
          </w:p>
          <w:p>
            <w:pPr>
              <w:pStyle w:val="TableContents"/>
              <w:bidi w:val="0"/>
              <w:spacing w:before="120" w:after="283"/>
              <w:jc w:val="left"/>
              <w:rPr/>
            </w:pPr>
            <w:r>
              <w:rPr>
                <w:spacing w:val="4"/>
              </w:rPr>
              <w:t>Delaware law generally provides that a corporation may indemnify any officer, director, employee, or agent who was or is made a party or is threatened to be made a party to any third party suit or proceeding on account of being a director, officer, employee, or agent of the corporation or serving at the request of the corporation as a director, officer, employee, or agent of another corporation or other entity against expenses, including attorneys’ fees, judgments, fines and amounts paid in settlement actually and reasonably incurred by such person in connection with the action if the officer, director, employee, or agent (i) acted in good faith and in a manner the person reasonably believed to be in or not opposed to the best interests of the corporation; and (ii) in a criminal action or proceeding, had no reasonable cause to believe the person’s conduct was unlawful.</w:t>
            </w:r>
            <w:r>
              <w:rPr/>
              <w:t xml:space="preserve"> </w:t>
            </w:r>
          </w:p>
          <w:p>
            <w:pPr>
              <w:pStyle w:val="TableContents"/>
              <w:bidi w:val="0"/>
              <w:spacing w:before="120" w:after="283"/>
              <w:jc w:val="left"/>
              <w:rPr>
                <w:spacing w:val="4"/>
              </w:rPr>
            </w:pPr>
            <w:r>
              <w:rPr>
                <w:spacing w:val="4"/>
              </w:rPr>
              <w:t xml:space="preserve">NCS’s bylaws provide that NCS is not obligated to provide indemnification or advancement in connection with, among other things, any proceeding initiated by an Indemnitee unless (i) NCS has joined in or, before initiation, the NCS Board authorized the proceeding, (ii) NCS provides indemnification or advancement in its sole discretion under applicable law, or (iii) the proceeding is brought to enforce indemnification, advancement or exculpation rights under the NCS bylaws, the NCS certificate of incorporation, applicable law or an agreement providing such rights. </w:t>
            </w:r>
          </w:p>
        </w:tc>
        <w:tc>
          <w:tcPr>
            <w:tcW w:w="156" w:type="dxa"/>
            <w:tcBorders/>
            <w:tcMar>
              <w:bottom w:w="0"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0"/>
              <w:jc w:val="left"/>
              <w:rPr>
                <w:b/>
              </w:rPr>
            </w:pPr>
            <w:r>
              <w:rPr>
                <w:b/>
                <w:spacing w:val="-4"/>
              </w:rPr>
              <w:t>Limitation on Director and Officer Liability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before="0" w:after="283"/>
              <w:jc w:val="left"/>
              <w:rPr>
                <w:spacing w:val="4"/>
              </w:rPr>
            </w:pPr>
            <w:r>
              <w:rPr>
                <w:spacing w:val="4"/>
              </w:rPr>
              <w:t xml:space="preserve">Irish law does not permit Weatherford to exempt directors and certain officers from liability in connection with their negligence, default, breach of duty,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provides that, to the fullest extent permitted by the DGCL, no director of NCS shall have any personal liability to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1"/>
        <w:gridCol w:w="109"/>
        <w:gridCol w:w="109"/>
        <w:gridCol w:w="3169"/>
        <w:gridCol w:w="109"/>
        <w:gridCol w:w="109"/>
        <w:gridCol w:w="3531"/>
        <w:gridCol w:w="155"/>
      </w:tblGrid>
      <w:tr>
        <w:trPr/>
        <w:tc>
          <w:tcPr>
            <w:tcW w:w="152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spacing w:val="4"/>
              </w:rPr>
            </w:pPr>
            <w:r>
              <w:rPr>
                <w:spacing w:val="4"/>
              </w:rPr>
              <w:t xml:space="preserve">breach of trust in relation to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NCS or its stockholders for monetary damages for any breach of fiduciary duty as a director and that, if the DGCL is amended to permit further elimination or limitation of director liability, the liability of an NCS director shall be eliminated or limited to the fullest extent permitted by the DGCL, as so amended, without further action by NCS.</w:t>
            </w:r>
            <w:r>
              <w:rPr/>
              <w:t xml:space="preserve"> </w:t>
            </w:r>
          </w:p>
          <w:p>
            <w:pPr>
              <w:pStyle w:val="TableContents"/>
              <w:bidi w:val="0"/>
              <w:spacing w:before="120" w:after="283"/>
              <w:jc w:val="left"/>
              <w:rPr>
                <w:spacing w:val="4"/>
              </w:rPr>
            </w:pPr>
            <w:r>
              <w:rPr>
                <w:spacing w:val="4"/>
              </w:rPr>
              <w:t xml:space="preserve">Under Delaware law, a corporation may not limit the personal liability of a director or officer for (i) any breach of the director’s or officer’s duty of loyalty to the corporation or its stockholders; (ii) acts or omissions not in good faith or that involve intentional misconduct or a knowing violation of law; (iii) any transaction from which the director or officer derived an improper personal benefit; (iv) with respect to a director, willful or negligent payment of unlawful dividends or stock purchases or redemptions; or (v) with respect to an officer, personal liability to the corporation or its stockholders in any action by or in the right of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0"/>
              <w:jc w:val="left"/>
              <w:rPr>
                <w:b/>
              </w:rPr>
            </w:pPr>
            <w:r>
              <w:rPr>
                <w:b/>
                <w:spacing w:val="-4"/>
              </w:rPr>
              <w:t>Shareholders’ Suits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Irish law, fiduciary duties are owed by Weatherford’s directors to Weatherford (not to individual shareholders or third parties) and only Weatherford may take an action for breach of fiduciary duty against a Weatherford director.</w:t>
            </w:r>
            <w:r>
              <w:rPr/>
              <w:t xml:space="preserve"> </w:t>
            </w:r>
          </w:p>
          <w:p>
            <w:pPr>
              <w:pStyle w:val="TableContents"/>
              <w:bidi w:val="0"/>
              <w:spacing w:before="120" w:after="283"/>
              <w:jc w:val="left"/>
              <w:rPr/>
            </w:pPr>
            <w:r>
              <w:rPr>
                <w:spacing w:val="4"/>
              </w:rPr>
              <w:t>In limited situations, the Weatherford shareholders may be able to bring a derivative action on behalf of Weatherford.</w:t>
            </w:r>
            <w:r>
              <w:rPr/>
              <w:t xml:space="preserve"> </w:t>
            </w:r>
          </w:p>
          <w:p>
            <w:pPr>
              <w:pStyle w:val="TableContents"/>
              <w:bidi w:val="0"/>
              <w:spacing w:before="120" w:after="283"/>
              <w:jc w:val="left"/>
              <w:rPr>
                <w:spacing w:val="4"/>
              </w:rPr>
            </w:pPr>
            <w:r>
              <w:rPr>
                <w:spacing w:val="4"/>
              </w:rPr>
              <w:t xml:space="preserve">While Irish law only permits a Weatherford shareholder to initiate a lawsuit on behalf of Weatherford in limited circumstances, it does permit a shareholder to apply for a court order where Weatherford’s affairs are being conducted or the powers of the Weatherford Board are being exercised (i) in a manner oppressive to him or her or any of the members, or (ii) in disregard of his or her or their interests as members.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Delaware law provides that a stockholder may bring a derivative action on behalf of the corporation to enforce the rights of the corporation. In Delaware, before a stockholder may bring a derivative action, it must make a demand on the board. The demand requirement may be excused where it would be futile due to the interests of a majority of the board. If demand is excused, the demanding stockholder may proceed with the derivative action; if demand is required, the court will assess the reasonableness of the board’s decision not to pursue the matter.</w:t>
            </w:r>
            <w:r>
              <w:rPr/>
              <w:t xml:space="preserve"> </w:t>
            </w:r>
          </w:p>
          <w:p>
            <w:pPr>
              <w:pStyle w:val="TableContents"/>
              <w:bidi w:val="0"/>
              <w:spacing w:before="120" w:after="283"/>
              <w:jc w:val="left"/>
              <w:rPr/>
            </w:pPr>
            <w:r>
              <w:rPr>
                <w:spacing w:val="4"/>
              </w:rPr>
              <w:t>An individual also may commence a class action suit on behalf of himself or herself and other similarly situated stockholders where the requirements for maintaining a class action have been met.</w:t>
            </w:r>
            <w:r>
              <w:rPr/>
              <w:t xml:space="preserve"> </w:t>
            </w:r>
          </w:p>
          <w:p>
            <w:pPr>
              <w:pStyle w:val="TableContents"/>
              <w:bidi w:val="0"/>
              <w:spacing w:before="120" w:after="283"/>
              <w:jc w:val="left"/>
              <w:rPr>
                <w:spacing w:val="4"/>
              </w:rPr>
            </w:pPr>
            <w:r>
              <w:rPr>
                <w:spacing w:val="4"/>
              </w:rPr>
              <w:t xml:space="preserve">A person may institute and maintain such a suit only if such person was a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7"/>
        <w:gridCol w:w="109"/>
        <w:gridCol w:w="109"/>
        <w:gridCol w:w="3739"/>
        <w:gridCol w:w="109"/>
        <w:gridCol w:w="109"/>
        <w:gridCol w:w="3005"/>
        <w:gridCol w:w="155"/>
      </w:tblGrid>
      <w:tr>
        <w:trPr/>
        <w:tc>
          <w:tcPr>
            <w:tcW w:w="147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0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283"/>
              <w:jc w:val="left"/>
              <w:rPr>
                <w:spacing w:val="4"/>
              </w:rPr>
            </w:pPr>
            <w:r>
              <w:rPr>
                <w:spacing w:val="4"/>
              </w:rPr>
              <w:t xml:space="preserve">stockholder at the time of the transaction which is the subject of the suit or his or her shares thereafter developed upon him or her by operation of law. Additionally, under Delaware case law, the plaintiff generally must be a stockholder not only at the time of the transaction which is the subject of the suit, but also through the duration of the derivative suit. Other than in the event of a voluntary dismissal by the plaintiff, the action will not be dismissed or compromised without the approval of the Delaware Court of Chancery. </w:t>
            </w:r>
          </w:p>
        </w:tc>
        <w:tc>
          <w:tcPr>
            <w:tcW w:w="155" w:type="dxa"/>
            <w:tcBorders/>
            <w:tcMar>
              <w:bottom w:w="0"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0"/>
              <w:jc w:val="left"/>
              <w:rPr>
                <w:b/>
              </w:rPr>
            </w:pPr>
            <w:r>
              <w:rPr>
                <w:b/>
                <w:spacing w:val="-4"/>
              </w:rPr>
              <w:t>Advance Notice for Shareholder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0"/>
              <w:jc w:val="left"/>
              <w:rPr/>
            </w:pPr>
            <w:r>
              <w:rPr>
                <w:spacing w:val="4"/>
              </w:rPr>
              <w:t>Under the Weatherford Articles, in addition to any other applicable requirements, for business or nominations to be properly brought before an annual general meeting by a member, such member must have given timely notice thereof in proper written form to Weatherford’s Secretary. Under the Weatherford Articles, any business other than the election of directors must be (i) brought before the meeting by or at the direction of the Weatherford Board, or (ii) properly brought before the meeting by a member in accordance with the provisions of the Weatherford Articles.</w:t>
            </w:r>
            <w:r>
              <w:rPr/>
              <w:t xml:space="preserve"> </w:t>
            </w:r>
          </w:p>
          <w:p>
            <w:pPr>
              <w:pStyle w:val="TableContents"/>
              <w:bidi w:val="0"/>
              <w:spacing w:before="120" w:after="283"/>
              <w:jc w:val="left"/>
              <w:rPr>
                <w:spacing w:val="4"/>
              </w:rPr>
            </w:pPr>
            <w:r>
              <w:rPr>
                <w:spacing w:val="4"/>
              </w:rPr>
              <w:t xml:space="preserve">To be timely for an annual general meeting, a member’s notice must be delivered to and received at Weatherford’s registered office, addressed to Weatherford’s Secretary, no earlier than 120 days and no later than 90 days before the first anniversary of the prior year’s annual general meeting. If the annual general meeting is advanced by more than 30 days or delayed by more than 60 days from that anniversary, or if no annual general meeting was held in the prior year, notice must be received no earlier than 120 days before the meeting and no later than the later of 90 days before the meeting and the 10th day after notice of the meeting was first made by mail or public disclosure. An adjournment or postponement does not commence a new time period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0"/>
              <w:jc w:val="left"/>
              <w:rPr/>
            </w:pPr>
            <w:r>
              <w:rPr>
                <w:spacing w:val="4"/>
              </w:rPr>
              <w:t>Under NCS’s certificate of incorporation and bylaws, in addition to any other applicable requirements, for business or nominations to be properly brought before a meeting of NCS stockholders by an NCS stockholder, such stockholder must have given timely notice thereof in proper written form to NCS’s Secretary. This procedure is the exclusive means by which a stockholder may make director nominations or submit other business to be transacted at a meeting of NCS’s stockholders (other than proposals made pursuant to Rule 14a-8 under the Exchange Act and included in NCS’s notice of meeting, which proposals are not governed by NCS’s bylaws).</w:t>
            </w:r>
            <w:r>
              <w:rPr/>
              <w:t xml:space="preserve"> </w:t>
            </w:r>
          </w:p>
          <w:p>
            <w:pPr>
              <w:pStyle w:val="TableContents"/>
              <w:bidi w:val="0"/>
              <w:spacing w:before="120" w:after="283"/>
              <w:jc w:val="left"/>
              <w:rPr>
                <w:spacing w:val="4"/>
              </w:rPr>
            </w:pPr>
            <w:r>
              <w:rPr>
                <w:spacing w:val="4"/>
              </w:rPr>
              <w:t xml:space="preserve">To timely propose business to be transacted at an annual meeting of NCS stockholders, a stockholder’s notice must be delivered to the Secretary at NCS’s principal executive offices no earlier than the close of business on the 120th day and no later than the close of business on the 90th day before the first anniversary of the preceding year’s annual meeting. If the date of an annual meeting of NCS stockholders is more than 30 days before or more than 60 days after such anniversary of the preceding year’s annual meeting, a stockholder’s notice must be delivered no earlier than the close of business on the 120th day before the meeting and no later than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29"/>
        <w:gridCol w:w="109"/>
        <w:gridCol w:w="109"/>
        <w:gridCol w:w="3688"/>
        <w:gridCol w:w="156"/>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8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9" w:type="dxa"/>
            <w:tcBorders/>
            <w:tcMar>
              <w:bottom w:w="0" w:type="dxa"/>
            </w:tcMar>
            <w:vAlign w:val="center"/>
          </w:tcPr>
          <w:p>
            <w:pPr>
              <w:pStyle w:val="TableContents"/>
              <w:bidi w:val="0"/>
              <w:spacing w:before="0" w:after="0"/>
              <w:jc w:val="left"/>
              <w:rPr/>
            </w:pPr>
            <w:r>
              <w:rPr>
                <w:spacing w:val="4"/>
              </w:rPr>
              <w:t>extend any time period for the giving of a member’s notice.</w:t>
            </w:r>
            <w:r>
              <w:rPr/>
              <w:t xml:space="preserve"> </w:t>
            </w:r>
          </w:p>
          <w:p>
            <w:pPr>
              <w:pStyle w:val="TableContents"/>
              <w:bidi w:val="0"/>
              <w:spacing w:before="120" w:after="283"/>
              <w:jc w:val="left"/>
              <w:rPr/>
            </w:pPr>
            <w:r>
              <w:rPr>
                <w:spacing w:val="4"/>
              </w:rPr>
              <w:t>A member’s notice must set forth, among other things: a brief description of the business desired to be brought before the meeting (including the text of any resolutions proposed and, if amending the Weatherford Articles, the text of the proposed amendment) and the reasons therefor; the name, address, and shareholding details of the proposing member and any associated persons; detailed information regarding the member’s and any associated person’s ownership interests, including derivatives, hedging arrangements, and proxy or voting agreements; any material interest in the proposed business; a representation as to whether the member intends to solicit proxies; and any other information reasonably requested by Weatherford.</w:t>
            </w:r>
            <w:r>
              <w:rPr/>
              <w:t xml:space="preserve"> </w:t>
            </w:r>
          </w:p>
          <w:p>
            <w:pPr>
              <w:pStyle w:val="TableContents"/>
              <w:bidi w:val="0"/>
              <w:spacing w:before="120" w:after="283"/>
              <w:jc w:val="left"/>
              <w:rPr>
                <w:spacing w:val="4"/>
              </w:rPr>
            </w:pPr>
            <w:r>
              <w:rPr>
                <w:spacing w:val="4"/>
              </w:rPr>
              <w:t xml:space="preserve">The proposing member must update and supplement such information as of specified dates prior to the meeting. The chairperson of the meeting shall have the power to determine whether any business proposed to be brought before the meeting was made in accordance with these procedures, and if any proposed business is not in compliance, to declare that such defective proposal shall be disregarded.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left"/>
              <w:rPr/>
            </w:pPr>
            <w:r>
              <w:rPr>
                <w:spacing w:val="4"/>
              </w:rPr>
              <w:t>the close of business on the later of the 90th day before the meeting or, if the first public announcement of the meeting date is less than 100 days before the meeting, the 10th day following the day on which NCS first publicly announces the meeting date.</w:t>
            </w:r>
            <w:r>
              <w:rPr/>
              <w:t xml:space="preserve"> </w:t>
            </w:r>
          </w:p>
          <w:p>
            <w:pPr>
              <w:pStyle w:val="TableContents"/>
              <w:bidi w:val="0"/>
              <w:spacing w:before="120" w:after="283"/>
              <w:jc w:val="left"/>
              <w:rPr/>
            </w:pPr>
            <w:r>
              <w:rPr>
                <w:spacing w:val="4"/>
              </w:rPr>
              <w:t>To timely propose business to be transacted at a special meeting of NCS stockholders called for the purpose of electing directors, a stockholder’s notice must be delivered no earlier than the close of business on the 120th day before the meeting and no later than the close of business on the later of the 90th day before the meeting or the 10th day following the date on which notice of the special meeting was mailed or public disclosure of the special meeting date was made, whichever first occurs.</w:t>
            </w:r>
            <w:r>
              <w:rPr/>
              <w:t xml:space="preserve"> </w:t>
            </w:r>
          </w:p>
          <w:p>
            <w:pPr>
              <w:pStyle w:val="TableContents"/>
              <w:bidi w:val="0"/>
              <w:spacing w:before="120" w:after="283"/>
              <w:jc w:val="left"/>
              <w:rPr/>
            </w:pPr>
            <w:r>
              <w:rPr>
                <w:spacing w:val="4"/>
              </w:rPr>
              <w:t>No adjournment or postponement of an NCS annual or special meeting of stockholders will commence a new time period for the giving of a stockholder’s notice as described above.</w:t>
            </w:r>
            <w:r>
              <w:rPr/>
              <w:t xml:space="preserve"> </w:t>
            </w:r>
          </w:p>
          <w:p>
            <w:pPr>
              <w:pStyle w:val="TableContents"/>
              <w:bidi w:val="0"/>
              <w:spacing w:before="120" w:after="283"/>
              <w:jc w:val="left"/>
              <w:rPr>
                <w:spacing w:val="4"/>
              </w:rPr>
            </w:pPr>
            <w:r>
              <w:rPr>
                <w:spacing w:val="4"/>
              </w:rPr>
              <w:t xml:space="preserve">A stockholder’s notice must set forth, among other things: the name, address, and ownership details of the noticing stockholder, beneficial owner, and any stockholder associated persons, including derivatives, voting arrangements, short interests, dividend rights, and performance-related fees; a representation that the stockholder intends to appear in person or by proxy and whether the stockholder intends to solicit proxies; for proposals other than nominations of directors for election at the meeting, a reasonably detailed description of (i) the business desired to be brought before the meeting (including the text of any resolutions proposed for consideration), the reasons for transacting such business at the meeting and any material direct or indirect interest of the noticing stockholder in such business and (ii) all agreements, arrangements and understandings, direct and indirect, between the noticing stockholder and any other person or persons (including their names) in connection with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60"/>
        <w:gridCol w:w="109"/>
        <w:gridCol w:w="109"/>
        <w:gridCol w:w="3232"/>
        <w:gridCol w:w="109"/>
        <w:gridCol w:w="109"/>
        <w:gridCol w:w="3328"/>
        <w:gridCol w:w="156"/>
      </w:tblGrid>
      <w:tr>
        <w:trPr/>
        <w:tc>
          <w:tcPr>
            <w:tcW w:w="166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2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0"/>
              <w:jc w:val="left"/>
              <w:rPr/>
            </w:pPr>
            <w:r>
              <w:rPr>
                <w:spacing w:val="4"/>
              </w:rPr>
              <w:t>proposal of such business; and for proposals to nominate a person or persons for election as a director, with respect to each person so proposed to be nominated, all information required in proxy solicitations under Section 14 of the Exchange Act, specified relationship and compensation information and a completed questionnaire and completed representation and agreement in the form required by NCS’s bylaws.</w:t>
            </w:r>
            <w:r>
              <w:rPr/>
              <w:t xml:space="preserve"> </w:t>
            </w:r>
          </w:p>
          <w:p>
            <w:pPr>
              <w:pStyle w:val="TableContents"/>
              <w:bidi w:val="0"/>
              <w:spacing w:before="120" w:after="283"/>
              <w:jc w:val="left"/>
              <w:rPr>
                <w:spacing w:val="4"/>
              </w:rPr>
            </w:pPr>
            <w:r>
              <w:rPr>
                <w:spacing w:val="4"/>
              </w:rPr>
              <w:t xml:space="preserve">The chairperson of any meeting of NCS stockholders shall have the power to determine whether any nomination or business proposal was made in compliance with the bylaws, and if not, to declare that such nomination or business shall be disregarded or not be transacted.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Extraordinary (Special) Meetings of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spacing w:val="4"/>
              </w:rPr>
            </w:pPr>
            <w:r>
              <w:rPr>
                <w:spacing w:val="4"/>
              </w:rPr>
              <w:t xml:space="preserve">Under Irish law, all general meetings of Weatherford other than annual general meetings are called extraordinary general meetings, and (i) may be convened by the Weatherford Board whenever it thinks fit, (ii) must be convened by the Weatherford Board upon the requisition of one or more shareholders holding at least 10% of the paid-up share capital, or (iii) may be convened by one or more Weatherford shareholders holding at least 25% of the outstanding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lineRule="atLeast" w:line="228" w:before="0" w:after="0"/>
              <w:jc w:val="left"/>
              <w:rPr>
                <w:spacing w:val="4"/>
              </w:rPr>
            </w:pPr>
            <w:r>
              <w:rPr>
                <w:spacing w:val="4"/>
              </w:rPr>
              <w:t xml:space="preserve">Subject to the terms of any one or more series or classes of NCS Preferred Stock, special meetings of NCS stockholders may be called at any time, but only by or at the direction of a majority of the NCS Board, by the Chairperson of the NCS Board or by NCS’s Chief Executive Officer. The ability of NCS stockholders to call a special meeting of stockholders is specifically denied under NCS’s bylaws.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Record Dates for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0"/>
              <w:jc w:val="left"/>
              <w:rPr/>
            </w:pPr>
            <w:r>
              <w:rPr>
                <w:spacing w:val="4"/>
              </w:rPr>
              <w:t>The Weatherford Articles provide that the Weatherford Board may fix in advance a date as the record date:</w:t>
            </w:r>
            <w:r>
              <w:rPr/>
              <w:t xml:space="preserve"> </w:t>
            </w:r>
          </w:p>
          <w:p>
            <w:pPr>
              <w:pStyle w:val="TableContents"/>
              <w:bidi w:val="0"/>
              <w:spacing w:lineRule="atLeast" w:line="240" w:before="160" w:after="0"/>
              <w:ind w:left="400" w:right="0" w:hanging="0"/>
              <w:jc w:val="left"/>
              <w:rPr/>
            </w:pPr>
            <w:r>
              <w:rPr>
                <w:spacing w:val="4"/>
              </w:rPr>
              <w:t>for any such determination of Weatherford shareholders entitled to notice of or to vote at a shareholders’ meeting, which record date shall not, subject to applicable law and the relevant exchange rules, be more than 90 days before the date of such meeting; and</w:t>
            </w:r>
            <w:r>
              <w:rPr/>
              <w:t xml:space="preserve"> </w:t>
            </w:r>
            <w:r>
              <mc:AlternateContent>
                <mc:Choice Requires="wps">
                  <w:drawing>
                    <wp:anchor behindDoc="0" distT="1016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for the purpose of determining the Weatherford shareholders entitled to receive payment of any dividend or other distribution, or in order to make a determination </w:t>
            </w:r>
            <w:r>
              <mc:AlternateContent>
                <mc:Choice Requires="wps">
                  <w:drawing>
                    <wp:anchor behindDoc="0" distT="101600" distB="0" distL="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283"/>
              <w:jc w:val="left"/>
              <w:rPr>
                <w:spacing w:val="4"/>
              </w:rPr>
            </w:pPr>
            <w:r>
              <w:rPr>
                <w:spacing w:val="4"/>
              </w:rPr>
              <w:t xml:space="preserve">Under NCS’s bylaws, the NCS Board may fix in advance a record date to determine the stockholders entitled to notice of or to vote at any meeting of NCS stockholders, which record date may not precede the date on which the resolution fixing the record date is adopted by the NCS Board and must not be more than 60 days before the meeting nor less than 10 days before the meeting (or, if a merger or consolidation is to be acted upon at the meeting, not less than 20 days before the meeting). If no record date is fixed by the NCS Board, the record date for determining stockholders entitled to notice of or to vote at a meeting is the close of business on the day before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4"/>
        <w:gridCol w:w="109"/>
        <w:gridCol w:w="109"/>
        <w:gridCol w:w="3315"/>
        <w:gridCol w:w="109"/>
        <w:gridCol w:w="109"/>
        <w:gridCol w:w="3382"/>
        <w:gridCol w:w="155"/>
      </w:tblGrid>
      <w:tr>
        <w:trPr/>
        <w:tc>
          <w:tcPr>
            <w:tcW w:w="152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1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0"/>
              <w:ind w:left="400" w:right="0" w:hanging="0"/>
              <w:jc w:val="left"/>
              <w:rPr>
                <w:spacing w:val="4"/>
              </w:rPr>
            </w:pPr>
            <w:r>
              <w:rPr>
                <w:spacing w:val="4"/>
              </w:rPr>
              <w:t xml:space="preserve">of Weatherford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 shareholders is relevant.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notice is given or, if notice is waived, the close of business on the day before the meeting. A determination of stockholders of record entitled to notice of or to vote at a meeting of NCS stockholders applies to any adjournment of such meeting, unless the NCS Board, in its discretion, fixes a new record date for the adjourned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Notice to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notice of an annual or extraordinary general meeting must be given to the persons entitled to notice, including Weatherford members, the Weatherford directors and secretary and, unless Weatherford has availed itself of the audit exemption under Irish law, the auditors. The Weatherford Articles provide that, subject to Irish law permitting shorter notice, an annual general meeting and an extraordinary general meeting called to pass a special resolution must be called on not less than 21 days’ notice, and all other extraordinary general meetings must be called on not less than 14 days’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Under NCS’s bylaws, written notice of each meeting of NCS stockholders must be given personally by mail or by electronic transmission not fewer than 10 nor more than 60 days before the meeting to each stockholder of record entitled to vote. The notice must state the place, if any, date, and hour of the meeting and, in the case of a special meeting, the purpose or purposes for which the meeting is called. In the case of a special meeting called to act on a merger or consolidation, notice must be given not fewer than 20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Quorum Requirements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one or more Weatherford shareholders present in person or by proxy and having the right to attend and vote at the meeting and together holding shares representing more than 50% of the votes that may be cast by all Weatherford shareholders at the relevant time shall be a quorum at a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lineRule="atLeast" w:line="226" w:before="0" w:after="0"/>
              <w:jc w:val="left"/>
              <w:rPr>
                <w:spacing w:val="4"/>
              </w:rPr>
            </w:pPr>
            <w:r>
              <w:rPr>
                <w:spacing w:val="4"/>
              </w:rPr>
              <w:t xml:space="preserve">NCS’s bylaws provide that, except as otherwise required by law or NCS’s certificate of incorporation, the presence in person or by proxy of holders of record of a majority in voting power of the shares entitled to vote at a stockholder meeting constitutes a quorum for the transaction of business. Where a separate vote by one or more classes or series of NCS capital stock is required, the presence in person or by proxy of holders of record of a majority in voting power of the shares entitled to vote constitutes a quorum entitled to take action with respect to that vote on that matter. Shares owned by NCS, or by another corporation, if NCS directly or indirectly holds a majority of the shares entitled to vote in that corporation’s director elections, are not entitled to vote and are not counted for quorum purposes, subject to the exception for stock held in a fiduciary capacity.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7"/>
        <w:gridCol w:w="109"/>
        <w:gridCol w:w="109"/>
        <w:gridCol w:w="2734"/>
        <w:gridCol w:w="109"/>
        <w:gridCol w:w="109"/>
        <w:gridCol w:w="3940"/>
        <w:gridCol w:w="155"/>
      </w:tblGrid>
      <w:tr>
        <w:trPr/>
        <w:tc>
          <w:tcPr>
            <w:tcW w:w="154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Adjournment of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chairperson of the meeting may, with the consent of the meeting (and shall if so directed by the meeting), adjourn the meeting from time to time and from place to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0"/>
              <w:jc w:val="left"/>
              <w:rPr/>
            </w:pPr>
            <w:r>
              <w:rPr>
                <w:spacing w:val="4"/>
              </w:rPr>
              <w:t>NCS’s certificate of incorporation provides that (i) the NCS Board may postpone any meeting of NCS stockholders at any time in advance of such meeting and (ii) at any meeting of NCS stockholders at which a quorum is not present, the Chairperson of the NCS Board may adjourn any such meeting of stockholders without a vote of stockholders.</w:t>
            </w:r>
            <w:r>
              <w:rPr/>
              <w:t xml:space="preserve"> </w:t>
            </w:r>
          </w:p>
          <w:p>
            <w:pPr>
              <w:pStyle w:val="TableContents"/>
              <w:bidi w:val="0"/>
              <w:spacing w:before="120" w:after="283"/>
              <w:jc w:val="left"/>
              <w:rPr/>
            </w:pPr>
            <w:r>
              <w:rPr>
                <w:spacing w:val="4"/>
              </w:rPr>
              <w:t>Notice of any adjourned meeting of NCS stockholders need not be given if the place, if any, date and hour of the adjourned meeting are announced at the meeting at which the adjournment is taken. However, if the adjournment is for more than 30 days, or if after the adjournment a new record date for the adjourned meeting is fixed pursuant to NCS’s bylaws, a notice of the adjourned meeting conforming to the requirements set forth above must be given to each stockholder of record entitled to vote at the adjourned meeting.</w:t>
            </w:r>
            <w:r>
              <w:rPr/>
              <w:t xml:space="preserve"> </w:t>
            </w:r>
          </w:p>
          <w:p>
            <w:pPr>
              <w:pStyle w:val="TableContents"/>
              <w:bidi w:val="0"/>
              <w:spacing w:before="120" w:after="283"/>
              <w:jc w:val="left"/>
              <w:rPr>
                <w:spacing w:val="4"/>
              </w:rPr>
            </w:pPr>
            <w:r>
              <w:rPr>
                <w:spacing w:val="4"/>
              </w:rPr>
              <w:t xml:space="preserve">At the adjourned meeting the corporation may transact any business which might have been transacted at the original meeting. </w:t>
            </w:r>
          </w:p>
        </w:tc>
        <w:tc>
          <w:tcPr>
            <w:tcW w:w="155" w:type="dxa"/>
            <w:tcBorders/>
            <w:tcMar>
              <w:bottom w:w="0"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0"/>
              <w:jc w:val="left"/>
              <w:rPr/>
            </w:pPr>
            <w:r>
              <w:rPr>
                <w:spacing w:val="4"/>
              </w:rPr>
              <w:t>Under the Weatherford Articles, each Weatherford shareholder who, being entitled to attend, is present (in person or by proxy) at a general meeting of Weatherford shall have one vote for each Weatherford Ordinary Share held by him or her on the record date of the meeting.</w:t>
            </w:r>
            <w:r>
              <w:rPr/>
              <w:t xml:space="preserve"> </w:t>
            </w:r>
          </w:p>
          <w:p>
            <w:pPr>
              <w:pStyle w:val="TableContents"/>
              <w:bidi w:val="0"/>
              <w:spacing w:before="120" w:after="283"/>
              <w:jc w:val="left"/>
              <w:rPr>
                <w:spacing w:val="4"/>
              </w:rPr>
            </w:pPr>
            <w:r>
              <w:rPr>
                <w:spacing w:val="4"/>
              </w:rPr>
              <w:t xml:space="preserve">Except where a greater majority is required by Irish law or the Weatherford Articles, any question proposed for a decision of the Weatherford shareholders at any general meeting of Weatherford or a decision of any class of Weatherford shareholders at a separate meeting will be decided by an ordinary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283"/>
              <w:jc w:val="left"/>
              <w:rPr>
                <w:spacing w:val="4"/>
              </w:rPr>
            </w:pPr>
            <w:r>
              <w:rPr>
                <w:spacing w:val="4"/>
              </w:rPr>
              <w:t xml:space="preserve">Under NCS’s certificate of incorporation and bylaws, subject to the terms of any one or more series or classes of NCS Preferred Stock then-outstanding, each holder of record of NCS Common Stock is entitled to vote for each share of NCS Common Stock held of record as of the applicable record date on any matter submitted to a vote of NCS stockholders at all meetings of NCS stockholders. However, NCS’s certificate of incorporation provides that, to the fullest extent permitted by law, holders of NCS Common Stock have no voting power with respect to, and are not entitled to vote on, any amendment to NCS’s certificate of incorporation or any certificate of designations relating to any series or class of preferred stock that relates solely to the terms of one or more outstanding series or classes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99"/>
        <w:gridCol w:w="109"/>
        <w:gridCol w:w="109"/>
        <w:gridCol w:w="2734"/>
        <w:gridCol w:w="109"/>
        <w:gridCol w:w="109"/>
        <w:gridCol w:w="3987"/>
        <w:gridCol w:w="156"/>
      </w:tblGrid>
      <w:tr>
        <w:trPr/>
        <w:tc>
          <w:tcPr>
            <w:tcW w:w="149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8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preferred stock if the holders of such affected preferred stock are entitled to vote thereon pursuant to applicable law or NCS’s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Shareholder Consent to Action Without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spacing w:val="4"/>
              </w:rPr>
              <w:t>Under Irish law, to be valid and effective, a resolution in writing requires to be signed by all the members (</w:t>
            </w:r>
            <w:r>
              <w:rPr>
                <w:i/>
                <w:spacing w:val="4"/>
              </w:rPr>
              <w:t>i.e.</w:t>
            </w:r>
            <w:r>
              <w:rPr>
                <w:spacing w:val="4"/>
              </w:rPr>
              <w:t xml:space="preserve">, registered shareholders) of Weatherford for the time being entitled to attend and vote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provide that, subject to the terms of any series or class of preferred stock, from and after the time that Advent and its affiliates collectively beneficially own less than 50.01% of the then-outstanding shares of NCS Common Stock, any action required or permitted to be taken by NCS stockholders must be effected at a duly called annual or special meeting and may not be effected by written consent in lieu of a meeting, unless the directors then in office unanimously recommend that such action be permitted to be taken by written consent of stockholders.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Director Nominations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Under the Weatherford Articles, director nominations may only be made at a meeting properly called for the election of directors and only (i) by or at the direction of the Weatherford Board or any committee thereof, or (ii) if properly nominated by a member in accordance with the provisions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0"/>
              <w:jc w:val="left"/>
              <w:rPr/>
            </w:pPr>
            <w:r>
              <w:rPr>
                <w:spacing w:val="4"/>
              </w:rPr>
              <w:t>NCS’s certificate of incorporation provides that advance notice of nominations for the election of directors made other than by the NCS Board, a duly authorized committee thereof or an authorized officer to whom the NCS Board or such committee has delegated such authority must be given in the manner provided in NCS’s bylaws. NCS’s bylaws provide that director nominations may be made by or at the direction of the NCS Board or a duly authorized committee thereof, or by a stockholder that complies with the notice procedures in NCS’s bylaws, which stockholder notice procedures are the exclusive means for an NCS stockholder to make director nominations before a stockholder meeting. Only persons nominated in accordance with the applicable procedures set forth in NCS’s certificate of incorporation and bylaws are eligible to serve as directors.</w:t>
            </w:r>
            <w:r>
              <w:rPr/>
              <w:t xml:space="preserve"> </w:t>
            </w:r>
          </w:p>
          <w:p>
            <w:pPr>
              <w:pStyle w:val="TableContents"/>
              <w:bidi w:val="0"/>
              <w:spacing w:before="120" w:after="283"/>
              <w:jc w:val="left"/>
              <w:rPr/>
            </w:pPr>
            <w:r>
              <w:rPr>
                <w:spacing w:val="4"/>
              </w:rPr>
              <w:t xml:space="preserve">See “— </w:t>
            </w:r>
            <w:r>
              <w:rPr>
                <w:i/>
                <w:spacing w:val="4"/>
              </w:rPr>
              <w:t>Advance Notice for Shareholder Proposals</w:t>
            </w:r>
            <w:r>
              <w:rPr>
                <w:spacing w:val="4"/>
              </w:rPr>
              <w:t xml:space="preserve">” above for a description of the advance notice requirements applicable to stockholder nominations for director elections and other stockholder proposals.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1"/>
        <w:gridCol w:w="109"/>
        <w:gridCol w:w="109"/>
        <w:gridCol w:w="3491"/>
        <w:gridCol w:w="109"/>
        <w:gridCol w:w="109"/>
        <w:gridCol w:w="3169"/>
        <w:gridCol w:w="155"/>
      </w:tblGrid>
      <w:tr>
        <w:trPr/>
        <w:tc>
          <w:tcPr>
            <w:tcW w:w="156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9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1" w:type="dxa"/>
            <w:tcBorders/>
            <w:tcMar>
              <w:bottom w:w="0" w:type="dxa"/>
            </w:tcMar>
            <w:vAlign w:val="center"/>
          </w:tcPr>
          <w:p>
            <w:pPr>
              <w:pStyle w:val="TableContents"/>
              <w:bidi w:val="0"/>
              <w:spacing w:before="0" w:after="0"/>
              <w:jc w:val="left"/>
              <w:rPr>
                <w:b/>
              </w:rPr>
            </w:pPr>
            <w:r>
              <w:rPr>
                <w:b/>
                <w:spacing w:val="-4"/>
              </w:rPr>
              <w:t>Shareholder Approval of Business Combinations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1" w:type="dxa"/>
            <w:tcBorders/>
            <w:tcMar>
              <w:bottom w:w="0" w:type="dxa"/>
            </w:tcMar>
            <w:vAlign w:val="center"/>
          </w:tcPr>
          <w:p>
            <w:pPr>
              <w:pStyle w:val="TableContents"/>
              <w:bidi w:val="0"/>
              <w:spacing w:before="0" w:after="0"/>
              <w:jc w:val="left"/>
              <w:rPr/>
            </w:pPr>
            <w:r>
              <w:rPr>
                <w:spacing w:val="4"/>
              </w:rPr>
              <w:t>Where Weatherford proposes to acquire another company, the approval of Weatherford shareholders is not required under Irish law unless (i) the acquisition is effected as a domestic merger by Weatherford or a cross-border merger with another company incorporated in the European Union, (ii) the acquisition involves the issuance of new Weatherford shares or other securities carrying voting rights, which would otherwise trigger the mandatory bid requirements of the Irish Takeover Panel Act, 1997, Takeover Rules, 2022 (the “</w:t>
            </w:r>
            <w:r>
              <w:rPr>
                <w:b/>
                <w:spacing w:val="-4"/>
              </w:rPr>
              <w:t>Irish Takeover Rules</w:t>
            </w:r>
            <w:r>
              <w:rPr>
                <w:spacing w:val="4"/>
              </w:rPr>
              <w:t>”), or (iii) the acquisition involves the issuance of new Weatherford shares or grant of convertible rights, and Weatherford has insufficient headroom in its authorized share capital or the Weatherford Board does not have sufficient general shareholder authority to issue such shares or to grant such convertible rights (or to issue or grant them unrestricted from the application of statutory pre-emption rights).</w:t>
            </w:r>
            <w:r>
              <w:rPr/>
              <w:t xml:space="preserve"> </w:t>
            </w:r>
          </w:p>
          <w:p>
            <w:pPr>
              <w:pStyle w:val="TableContents"/>
              <w:bidi w:val="0"/>
              <w:spacing w:before="120" w:after="283"/>
              <w:jc w:val="left"/>
              <w:rPr/>
            </w:pPr>
            <w:r>
              <w:rPr>
                <w:spacing w:val="4"/>
              </w:rPr>
              <w:t>Where another company proposes to acquire Weatherford, the approval of Weatherford shareholders is required under Irish law, with the approval threshold being dependent on the method of acquisition, as described in the following paragraphs.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pPr>
            <w:r>
              <w:rPr>
                <w:spacing w:val="4"/>
              </w:rPr>
              <w:t>Under a takeover offer, the bidder would make a general offer to Weatherford shareholders to acquire their ordinary shares. Under the Irish Takeover Rules, the offer must be conditional on the bidder acquiring, or having agreed to acquire, whether pursuant to the offer, or otherwise, ordinary shares conferring more than 50% of the voting rights of Weatherford (the “</w:t>
            </w:r>
            <w:r>
              <w:rPr>
                <w:b/>
                <w:spacing w:val="-4"/>
              </w:rPr>
              <w:t>acceptance condition</w:t>
            </w:r>
            <w:r>
              <w:rPr>
                <w:spacing w:val="4"/>
              </w:rPr>
              <w:t xml:space="preserve">”), although the acceptance condition may be set at a higher percentage. Where a bidder has acquired or contracted to acquire not less than 80% of the Weatherford Ordinary Shares to which the offer relates, the bidder may invoke statutory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r>
              <w:rPr/>
              <w:t xml:space="preserve"> </w:t>
            </w:r>
          </w:p>
          <w:p>
            <w:pPr>
              <w:pStyle w:val="TableContents"/>
              <w:bidi w:val="0"/>
              <w:spacing w:before="120" w:after="283"/>
              <w:jc w:val="left"/>
              <w:rPr/>
            </w:pPr>
            <w:r>
              <w:rPr>
                <w:spacing w:val="4"/>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r>
              <w:rPr/>
              <w:t xml:space="preserve"> </w:t>
            </w:r>
          </w:p>
          <w:p>
            <w:pPr>
              <w:pStyle w:val="TableContents"/>
              <w:bidi w:val="0"/>
              <w:spacing w:before="120" w:after="283"/>
              <w:jc w:val="left"/>
              <w:rPr>
                <w:spacing w:val="4"/>
              </w:rPr>
            </w:pPr>
            <w:r>
              <w:rPr>
                <w:spacing w:val="4"/>
              </w:rPr>
              <w:t xml:space="preserve">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6"/>
        <w:gridCol w:w="109"/>
        <w:gridCol w:w="109"/>
        <w:gridCol w:w="4489"/>
        <w:gridCol w:w="109"/>
        <w:gridCol w:w="109"/>
        <w:gridCol w:w="2266"/>
        <w:gridCol w:w="155"/>
      </w:tblGrid>
      <w:tr>
        <w:trPr/>
        <w:tc>
          <w:tcPr>
            <w:tcW w:w="146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squeeze-out rights under Irish law and require any non-accepting Weatherford shareholders to sell and transfer their ordinary shares to the bidder on the terms of the offer.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lineRule="atLeast" w:line="230" w:before="120" w:after="283"/>
              <w:jc w:val="left"/>
              <w:rPr/>
            </w:pPr>
            <w:r>
              <w:rPr>
                <w:spacing w:val="4"/>
              </w:rPr>
              <w:t>Under a statutory scheme of arrangement, Weatherford would make a proposal (</w:t>
            </w:r>
            <w:r>
              <w:rPr>
                <w:i/>
                <w:spacing w:val="4"/>
              </w:rPr>
              <w:t>i.e.</w:t>
            </w:r>
            <w:r>
              <w:rPr>
                <w:spacing w:val="4"/>
              </w:rPr>
              <w:t>, the scheme) to its shareholders to (i) transfer their shares to the bidder, or (ii) cancel their shares, in each case in exchange for the relevant consideration to be provided by the bidder, with the result that the bidder would become the 100% owner of Weatherford. A scheme requires the approval of a majority in number of the members (</w:t>
            </w:r>
            <w:r>
              <w:rPr>
                <w:i/>
                <w:spacing w:val="4"/>
              </w:rPr>
              <w:t>i.e.</w:t>
            </w:r>
            <w:r>
              <w:rPr>
                <w:spacing w:val="4"/>
              </w:rPr>
              <w:t>, registered shareholders) of each class of Weatherford’s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lineRule="atLeast" w:line="230" w:before="120" w:after="283"/>
              <w:jc w:val="left"/>
              <w:rPr>
                <w:spacing w:val="4"/>
              </w:rPr>
            </w:pPr>
            <w:r>
              <w:rPr>
                <w:spacing w:val="4"/>
              </w:rPr>
              <w:t xml:space="preserve">It is possible for Weatherford to be acquired by way of a domestic merger or cross-border merger with another company incorporated in the European Union. Such mergers must be approved by a special resolution passed by Weatherford shareholders and confirmed by the Irish High Court or, in the case of a cross-border merger, the relevant supervisory authority in the other European Union member state, as the case may 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0"/>
              <w:jc w:val="left"/>
              <w:rPr>
                <w:b/>
              </w:rPr>
            </w:pPr>
            <w:r>
              <w:rPr>
                <w:b/>
                <w:spacing w:val="-4"/>
              </w:rPr>
              <w:t>Inspection of Books and Records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Under Irish law, members have the right to:</w:t>
            </w:r>
            <w:r>
              <w:rPr/>
              <w:t xml:space="preserve"> </w:t>
            </w:r>
          </w:p>
          <w:p>
            <w:pPr>
              <w:pStyle w:val="TableContents"/>
              <w:bidi w:val="0"/>
              <w:spacing w:lineRule="atLeast" w:line="240" w:before="160" w:after="0"/>
              <w:ind w:left="380" w:right="0" w:hanging="0"/>
              <w:jc w:val="left"/>
              <w:rPr/>
            </w:pPr>
            <w:r>
              <w:rPr>
                <w:spacing w:val="4"/>
              </w:rPr>
              <w:t>receive a copy of Weatherford’s memorandum of association and the Weatherford Articles;</w:t>
            </w:r>
            <w:r>
              <w:rPr/>
              <w:t xml:space="preserve"> </w:t>
            </w:r>
            <w:r>
              <mc:AlternateContent>
                <mc:Choice Requires="wps">
                  <w:drawing>
                    <wp:anchor behindDoc="0" distT="101600" distB="0" distL="0" distR="0" simplePos="0" locked="0" layoutInCell="1" allowOverlap="1" relativeHeight="333">
                      <wp:simplePos x="0" y="0"/>
                      <wp:positionH relativeFrom="column">
                        <wp:align>left</wp:align>
                      </wp:positionH>
                      <wp:positionV relativeFrom="line">
                        <wp:align>top</wp:align>
                      </wp:positionV>
                      <wp:extent cx="2413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inspect and obtain copies of the minutes of Weatherford’s general meetings and resolutions;</w:t>
            </w:r>
            <w:r>
              <w:rPr/>
              <w:t xml:space="preserve"> </w:t>
            </w:r>
            <w:r>
              <mc:AlternateContent>
                <mc:Choice Requires="wps">
                  <w:drawing>
                    <wp:anchor behindDoc="0" distT="101600" distB="0" distL="0" distR="0" simplePos="0" locked="0" layoutInCell="1" allowOverlap="1" relativeHeight="334">
                      <wp:simplePos x="0" y="0"/>
                      <wp:positionH relativeFrom="column">
                        <wp:align>left</wp:align>
                      </wp:positionH>
                      <wp:positionV relativeFrom="line">
                        <wp:align>top</wp:align>
                      </wp:positionV>
                      <wp:extent cx="2413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spacing w:val="4"/>
              </w:rPr>
            </w:pPr>
            <w:r>
              <w:rPr>
                <w:spacing w:val="4"/>
              </w:rPr>
              <w:t xml:space="preserve">Under Delaware law,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8"/>
        <w:gridCol w:w="109"/>
        <w:gridCol w:w="109"/>
        <w:gridCol w:w="2850"/>
        <w:gridCol w:w="109"/>
        <w:gridCol w:w="109"/>
        <w:gridCol w:w="3903"/>
        <w:gridCol w:w="155"/>
      </w:tblGrid>
      <w:tr>
        <w:trPr/>
        <w:tc>
          <w:tcPr>
            <w:tcW w:w="146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5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40" w:before="0" w:after="0"/>
              <w:ind w:left="380" w:right="0" w:hanging="0"/>
              <w:jc w:val="left"/>
              <w:rPr/>
            </w:pPr>
            <w:r>
              <w:rPr>
                <w:spacing w:val="4"/>
              </w:rPr>
              <w:t>inspect and receive a copy of the register of members, register of directors and secretaries, register of directors’ interests and certain other statutory registers maintained by Weatherford;</w:t>
            </w:r>
            <w:r>
              <w:rPr/>
              <w:t xml:space="preserve"> </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241300" cy="525780"/>
                      <wp:effectExtent l="0" t="0" r="0" b="0"/>
                      <wp:wrapSquare wrapText="right"/>
                      <wp:docPr id="320" name="Frame319"/>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receive copies of Weatherford’s statutory financial statements together with the directors’ and auditors’ reports thereon for the most recent fiscal year; and</w:t>
            </w:r>
            <w:r>
              <w:rPr/>
              <w:t xml:space="preserve"> </w:t>
            </w:r>
            <w:r>
              <mc:AlternateContent>
                <mc:Choice Requires="wps">
                  <w:drawing>
                    <wp:anchor behindDoc="0" distT="101600" distB="0" distL="0" distR="0" simplePos="0" locked="0" layoutInCell="1" allowOverlap="1" relativeHeight="336">
                      <wp:simplePos x="0" y="0"/>
                      <wp:positionH relativeFrom="column">
                        <wp:align>left</wp:align>
                      </wp:positionH>
                      <wp:positionV relativeFrom="line">
                        <wp:align>top</wp:align>
                      </wp:positionV>
                      <wp:extent cx="241300" cy="525780"/>
                      <wp:effectExtent l="0" t="0" r="0" b="0"/>
                      <wp:wrapSquare wrapText="right"/>
                      <wp:docPr id="321" name="Frame320"/>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spacing w:val="4"/>
              </w:rPr>
            </w:pPr>
            <w:r>
              <w:rPr>
                <w:spacing w:val="4"/>
              </w:rPr>
              <w:t xml:space="preserve">receive copies of the balance sheets of any subsidiary of Weatherford that have previously been produced to an annual general meeting of such subsidiaries in the preceding ten years. </w:t>
            </w:r>
            <w:r>
              <mc:AlternateContent>
                <mc:Choice Requires="wps">
                  <w:drawing>
                    <wp:anchor behindDoc="0" distT="101600" distB="0" distL="0" distR="0" simplePos="0" locked="0" layoutInCell="1" allowOverlap="1" relativeHeight="337">
                      <wp:simplePos x="0" y="0"/>
                      <wp:positionH relativeFrom="column">
                        <wp:align>left</wp:align>
                      </wp:positionH>
                      <wp:positionV relativeFrom="line">
                        <wp:align>top</wp:align>
                      </wp:positionV>
                      <wp:extent cx="2413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hours the corporation’s stock ledger, list of stockholders, and its books and records, and may make copies or extracts therefrom.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Disclosure of Interests in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28" w:before="0" w:after="0"/>
              <w:jc w:val="left"/>
              <w:rPr/>
            </w:pPr>
            <w:r>
              <w:rPr>
                <w:spacing w:val="4"/>
              </w:rPr>
              <w:t>Under Irish law, a person is required to notify Weatherford if, as a result of a transaction, that person will be interested in 3% or more of Weatherford’s ordinary shares or if, as a result of a transaction, a person who was interested in more than 3% of Weatherford’s ordinary shares ceases to be so interested.</w:t>
            </w:r>
            <w:r>
              <w:rPr/>
              <w:t xml:space="preserve"> </w:t>
            </w:r>
          </w:p>
          <w:p>
            <w:pPr>
              <w:pStyle w:val="TableContents"/>
              <w:bidi w:val="0"/>
              <w:spacing w:lineRule="atLeast" w:line="228" w:before="120" w:after="283"/>
              <w:jc w:val="left"/>
              <w:rPr/>
            </w:pPr>
            <w:r>
              <w:rPr>
                <w:spacing w:val="4"/>
              </w:rPr>
              <w:t>Furthermore, where a person is interested in more than 3% of Weatherford’s ordinary shares, any alteration of that person’s interest that brings his or her total holding through the nearest whole percentage number, whether an increase or a reduction, must be notified to Weatherford.</w:t>
            </w:r>
            <w:r>
              <w:rPr/>
              <w:t xml:space="preserve"> </w:t>
            </w:r>
          </w:p>
          <w:p>
            <w:pPr>
              <w:pStyle w:val="TableContents"/>
              <w:bidi w:val="0"/>
              <w:spacing w:lineRule="atLeast" w:line="228" w:before="120" w:after="283"/>
              <w:jc w:val="left"/>
              <w:rPr>
                <w:spacing w:val="4"/>
              </w:rPr>
            </w:pPr>
            <w:r>
              <w:rPr>
                <w:spacing w:val="4"/>
              </w:rPr>
              <w:t xml:space="preserve">Notification is required to be made within five business days of the transaction or the alteration that gave rise to the notification requirement.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0"/>
              <w:jc w:val="left"/>
              <w:rPr/>
            </w:pPr>
            <w:r>
              <w:rPr>
                <w:spacing w:val="4"/>
              </w:rPr>
              <w:t>Neither Delaware law nor NCS’s certificate of incorporation or bylaws imposes a general obligation on NCS stockholders to notify NCS solely because they acquire, dispose of or hold a specified percentage of NCS shares.</w:t>
            </w:r>
            <w:r>
              <w:rPr/>
              <w:t xml:space="preserve"> </w:t>
            </w:r>
          </w:p>
          <w:p>
            <w:pPr>
              <w:pStyle w:val="TableContents"/>
              <w:bidi w:val="0"/>
              <w:spacing w:before="160" w:after="283"/>
              <w:jc w:val="left"/>
              <w:rPr>
                <w:spacing w:val="4"/>
              </w:rPr>
            </w:pPr>
            <w:r>
              <w:rPr>
                <w:spacing w:val="4"/>
              </w:rPr>
              <w:t xml:space="preserve">However, NCS’s bylaws require a stockholder seeking to propose business to be transacted a stockholder meeting or nominate directors for election to give advance notice and include specified information about the stockholder’s and its related persons’ beneficial ownership, derivative instrument, voting, dividend and other related interests, and to supplement that information as necessary within 10 business days after the record date. NCS stockholders are also subject to the applicable provisions of the Exchange Act with respect to beneficial ownership reporting and related matters.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Appraisal and Dissenters’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before="0" w:after="0"/>
              <w:jc w:val="left"/>
              <w:rPr/>
            </w:pPr>
            <w:r>
              <w:rPr>
                <w:spacing w:val="4"/>
              </w:rPr>
              <w:t>Irish law provides for dissenters’ rights in the event of certain mergers and acquisitions.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spacing w:val="4"/>
              </w:rPr>
            </w:pPr>
            <w:r>
              <w:rPr>
                <w:spacing w:val="4"/>
              </w:rPr>
              <w:t xml:space="preserve">In the case of a takeover offer for Weatherford, where a bidder has acquired or contracted to acquire not less than 80% of the Weatherford Ordinary Shares to which the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Under Delaware law, stockholders of Delaware corporations have appraisal rights provided by Section 262 of the DGCL, to the extent applicable, provided they satisfy the special criteria and conditions set forth in Section 262 of the DGCL.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41"/>
        <w:gridCol w:w="109"/>
        <w:gridCol w:w="109"/>
        <w:gridCol w:w="3168"/>
        <w:gridCol w:w="109"/>
        <w:gridCol w:w="109"/>
        <w:gridCol w:w="3612"/>
        <w:gridCol w:w="155"/>
      </w:tblGrid>
      <w:tr>
        <w:trPr/>
        <w:tc>
          <w:tcPr>
            <w:tcW w:w="144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relates, and has invoked the statutory squeeze-out procedure to require any non-accepting Weatherford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before="120" w:after="283"/>
              <w:jc w:val="left"/>
              <w:rPr/>
            </w:pPr>
            <w:r>
              <w:rPr>
                <w:spacing w:val="4"/>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before="120" w:after="283"/>
              <w:jc w:val="left"/>
              <w:rPr>
                <w:spacing w:val="4"/>
              </w:rPr>
            </w:pPr>
            <w:r>
              <w:rPr>
                <w:spacing w:val="4"/>
              </w:rPr>
              <w:t xml:space="preserve">In the case of a domestic merger or cross-border merger which has been approved by the requisite majority of Weatherford shareholders, if the consideration that is proposed to be paid to Weatherford shareholders is not all in the form of cash, dissenting Weatherford shareholders may require that their Weatherford shares be acquired for cash at a price determined in accordance with the share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0"/>
              <w:jc w:val="left"/>
              <w:rPr>
                <w:b/>
              </w:rPr>
            </w:pPr>
            <w:r>
              <w:rPr>
                <w:b/>
                <w:spacing w:val="-4"/>
              </w:rPr>
              <w:t>Regulation of Takeovers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Public takeovers of, and certain other transactions affecting, Weatherford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r>
              <w:rPr/>
              <w:t xml:space="preserve"> </w:t>
            </w:r>
          </w:p>
          <w:p>
            <w:pPr>
              <w:pStyle w:val="TableContents"/>
              <w:bidi w:val="0"/>
              <w:spacing w:before="120" w:after="283"/>
              <w:jc w:val="left"/>
              <w:rPr>
                <w:spacing w:val="4"/>
              </w:rPr>
            </w:pPr>
            <w:r>
              <w:rPr>
                <w:spacing w:val="4"/>
              </w:rPr>
              <w:t xml:space="preserve">In addition, as Weatherford shares are listed on Nasdaq, takeovers of, and certain other transactions affecting, Weatherford are also subject to applicable U.S. laws and regulations, including (i) the Exchange Act and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lineRule="atLeast" w:line="220" w:before="0" w:after="0"/>
              <w:jc w:val="left"/>
              <w:rPr>
                <w:spacing w:val="4"/>
              </w:rPr>
            </w:pPr>
            <w:r>
              <w:rPr>
                <w:spacing w:val="4"/>
              </w:rPr>
              <w:t xml:space="preserve">Under Delaware law, Section 203 of the DGCL generally prohibits a Delaware corporation from engaging in a broad range of business combinations with an interested stockholder for three years after the stockholder becomes an interested stockholder, unless specified conditions are satisfied. However, NCS’s certificate of incorporation provides that NCS is not governed by Section 203 and that the restrictions contained in Section 203 do not apply to NCS. Further, NCS’s certificate of incorporation provides that, for as long as Advent and its affiliates own at least 10% of the outstanding shares of NCS’s capital stock entitled to vote in the election of directors, such provision, among others, may not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4696"/>
        <w:gridCol w:w="109"/>
        <w:gridCol w:w="109"/>
        <w:gridCol w:w="2120"/>
        <w:gridCol w:w="155"/>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96"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96" w:type="dxa"/>
            <w:tcBorders/>
            <w:tcMar>
              <w:bottom w:w="0" w:type="dxa"/>
            </w:tcMar>
            <w:vAlign w:val="center"/>
          </w:tcPr>
          <w:p>
            <w:pPr>
              <w:pStyle w:val="TableContents"/>
              <w:bidi w:val="0"/>
              <w:spacing w:before="0" w:after="0"/>
              <w:jc w:val="left"/>
              <w:rPr/>
            </w:pPr>
            <w:r>
              <w:rPr>
                <w:spacing w:val="4"/>
              </w:rPr>
              <w:t>rules and regulations of the SEC promulgated thereunder, and (ii) Nasdaq listing rules.</w:t>
            </w:r>
            <w:r>
              <w:rPr/>
              <w:t xml:space="preserve"> </w:t>
            </w:r>
          </w:p>
          <w:p>
            <w:pPr>
              <w:pStyle w:val="TableContents"/>
              <w:bidi w:val="0"/>
              <w:spacing w:before="160" w:after="283"/>
              <w:jc w:val="left"/>
              <w:rPr/>
            </w:pPr>
            <w:r>
              <w:rPr>
                <w:spacing w:val="4"/>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r>
              <w:rPr/>
              <w:t xml:space="preserve"> </w:t>
            </w:r>
          </w:p>
          <w:p>
            <w:pPr>
              <w:pStyle w:val="TableContents"/>
              <w:bidi w:val="0"/>
              <w:spacing w:before="160" w:after="283"/>
              <w:jc w:val="left"/>
              <w:rPr/>
            </w:pPr>
            <w:r>
              <w:rPr>
                <w:spacing w:val="4"/>
              </w:rPr>
              <w:t>The Irish Takeover Rules are administered by the Irish Takeover Panel, a statutory body which has supervisory jurisdiction over takeovers and other relevant transactions which are subject to the Irish Takeover Rules.</w:t>
            </w:r>
            <w:r>
              <w:rPr/>
              <w:t xml:space="preserve"> </w:t>
            </w:r>
          </w:p>
          <w:p>
            <w:pPr>
              <w:pStyle w:val="TableContents"/>
              <w:bidi w:val="0"/>
              <w:spacing w:before="160" w:after="283"/>
              <w:jc w:val="left"/>
              <w:rPr/>
            </w:pPr>
            <w:r>
              <w:rPr>
                <w:spacing w:val="4"/>
              </w:rPr>
              <w:t>Some key provisions of the Irish Takeover Rules include the following:</w:t>
            </w:r>
            <w:r>
              <w:rPr/>
              <w:t xml:space="preserve"> </w:t>
            </w:r>
          </w:p>
          <w:p>
            <w:pPr>
              <w:pStyle w:val="TableContents"/>
              <w:bidi w:val="0"/>
              <w:spacing w:lineRule="atLeast" w:line="240" w:before="160" w:after="0"/>
              <w:ind w:left="480" w:right="0" w:hanging="0"/>
              <w:jc w:val="left"/>
              <w:rPr/>
            </w:pPr>
            <w:r>
              <w:rPr>
                <w:spacing w:val="4"/>
              </w:rPr>
              <w:t>All shareholders of the same class must be afforded equivalent treatment and save with Irish Takeover Panel consent (which may be given in limited circumstances), any offer must be made to shareholders on the same terms (including as to price).</w:t>
            </w:r>
            <w:r>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3048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competitive situation, a target company must, if specifically requested, provide each bidder with any information that it has already provided to another bidder.</w:t>
            </w:r>
            <w:r>
              <w:rPr/>
              <w:t xml:space="preserve"> </w:t>
            </w:r>
            <w:r>
              <mc:AlternateContent>
                <mc:Choice Requires="wps">
                  <w:drawing>
                    <wp:anchor behindDoc="0" distT="101600" distB="0" distL="0" distR="0" simplePos="0" locked="0" layoutInCell="1" allowOverlap="1" relativeHeight="339">
                      <wp:simplePos x="0" y="0"/>
                      <wp:positionH relativeFrom="column">
                        <wp:align>left</wp:align>
                      </wp:positionH>
                      <wp:positionV relativeFrom="line">
                        <wp:align>top</wp:align>
                      </wp:positionV>
                      <wp:extent cx="3048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A bidder may only announce a firm intention to make an offer when it and its financial adviser are satisfied, after careful and responsible consideration, that the bidder is and will at all relevant times be able to implement the offer. If the consideration comprises cash,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3048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220" w:before="0" w:after="0"/>
              <w:jc w:val="left"/>
              <w:rPr>
                <w:spacing w:val="4"/>
              </w:rPr>
            </w:pPr>
            <w:r>
              <w:rPr>
                <w:spacing w:val="4"/>
              </w:rPr>
              <w:t xml:space="preserve">amended, altered or revised, including by merger or otherwise, without Advent’s prior written consent (which consent was provided with respect to the Transaction on May 31,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5702"/>
        <w:gridCol w:w="109"/>
        <w:gridCol w:w="109"/>
        <w:gridCol w:w="1113"/>
        <w:gridCol w:w="156"/>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02" w:type="dxa"/>
            <w:tcBorders/>
            <w:tcMar>
              <w:bottom w:w="0" w:type="dxa"/>
            </w:tcMar>
            <w:vAlign w:val="center"/>
          </w:tcPr>
          <w:p>
            <w:pPr>
              <w:pStyle w:val="TableContents"/>
              <w:bidi w:val="0"/>
              <w:spacing w:before="0" w:after="0"/>
              <w:ind w:left="480" w:right="0" w:hanging="0"/>
              <w:jc w:val="left"/>
              <w:rPr/>
            </w:pPr>
            <w:r>
              <w:rPr>
                <w:spacing w:val="4"/>
              </w:rPr>
              <w:t>resources must be available and committed to satisfy full acceptance of the offer.</w:t>
            </w:r>
            <w:r>
              <w:rPr/>
              <w:t xml:space="preserve"> </w:t>
            </w:r>
          </w:p>
          <w:p>
            <w:pPr>
              <w:pStyle w:val="TableContents"/>
              <w:bidi w:val="0"/>
              <w:spacing w:lineRule="atLeast" w:line="240" w:before="160" w:after="0"/>
              <w:ind w:left="480" w:right="0" w:hanging="0"/>
              <w:jc w:val="left"/>
              <w:rPr/>
            </w:pPr>
            <w:r>
              <w:rPr>
                <w:spacing w:val="4"/>
              </w:rPr>
              <w:t>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r>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3048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r>
              <w:rPr/>
              <w:t xml:space="preserve">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3048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 be reasonable for the bidder or the target company to invoke the condition to cause the offer to lapse. With limited exception in the case of material competition law conditions, </w:t>
            </w:r>
            <w:r>
              <mc:AlternateContent>
                <mc:Choice Requires="wps">
                  <w:drawing>
                    <wp:anchor behindDoc="0" distT="101600" distB="0" distL="0" distR="0" simplePos="0" locked="0" layoutInCell="1" allowOverlap="1" relativeHeight="343">
                      <wp:simplePos x="0" y="0"/>
                      <wp:positionH relativeFrom="column">
                        <wp:align>left</wp:align>
                      </wp:positionH>
                      <wp:positionV relativeFrom="line">
                        <wp:align>top</wp:align>
                      </wp:positionV>
                      <wp:extent cx="3048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7"/>
        <w:gridCol w:w="109"/>
        <w:gridCol w:w="109"/>
        <w:gridCol w:w="5683"/>
        <w:gridCol w:w="109"/>
        <w:gridCol w:w="109"/>
        <w:gridCol w:w="1130"/>
        <w:gridCol w:w="156"/>
      </w:tblGrid>
      <w:tr>
        <w:trPr/>
        <w:tc>
          <w:tcPr>
            <w:tcW w:w="14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83"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83" w:type="dxa"/>
            <w:tcBorders/>
            <w:tcMar>
              <w:bottom w:w="0" w:type="dxa"/>
            </w:tcMar>
            <w:vAlign w:val="center"/>
          </w:tcPr>
          <w:p>
            <w:pPr>
              <w:pStyle w:val="TableContents"/>
              <w:bidi w:val="0"/>
              <w:spacing w:before="0" w:after="0"/>
              <w:ind w:left="480" w:right="0" w:hanging="0"/>
              <w:jc w:val="left"/>
              <w:rPr/>
            </w:pPr>
            <w:r>
              <w:rPr>
                <w:spacing w:val="4"/>
              </w:rPr>
              <w:t>subjective conditions are not permitted.</w:t>
            </w:r>
            <w:r>
              <w:rPr/>
              <w:t xml:space="preserve"> </w:t>
            </w:r>
          </w:p>
          <w:p>
            <w:pPr>
              <w:pStyle w:val="TableContents"/>
              <w:bidi w:val="0"/>
              <w:spacing w:lineRule="atLeast" w:line="240" w:before="160" w:after="0"/>
              <w:ind w:left="480" w:right="0" w:hanging="0"/>
              <w:jc w:val="left"/>
              <w:rPr/>
            </w:pPr>
            <w:r>
              <w:rPr>
                <w:spacing w:val="4"/>
              </w:rPr>
              <w:t>A bidder and target company and persons “acting in concert” with them are required to publicly disclose their holdings of, and dealings in, target company securities, and in the case of a securities exchange offer, in bidder securities also.</w:t>
            </w:r>
            <w:r>
              <w:rPr/>
              <w:t xml:space="preserve"> </w:t>
            </w:r>
            <w:r>
              <mc:AlternateContent>
                <mc:Choice Requires="wps">
                  <w:drawing>
                    <wp:anchor behindDoc="0" distT="101600" distB="0" distL="0" distR="0" simplePos="0" locked="0" layoutInCell="1" allowOverlap="1" relativeHeight="344">
                      <wp:simplePos x="0" y="0"/>
                      <wp:positionH relativeFrom="column">
                        <wp:align>left</wp:align>
                      </wp:positionH>
                      <wp:positionV relativeFrom="line">
                        <wp:align>top</wp:align>
                      </wp:positionV>
                      <wp:extent cx="304800" cy="525780"/>
                      <wp:effectExtent l="0" t="0" r="0" b="0"/>
                      <wp:wrapSquare wrapText="right"/>
                      <wp:docPr id="329" name="Frame32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r>
              <w:rPr/>
              <w:t xml:space="preserve"> </w:t>
            </w:r>
            <w:r>
              <mc:AlternateContent>
                <mc:Choice Requires="wps">
                  <w:drawing>
                    <wp:anchor behindDoc="0" distT="101600" distB="0" distL="0" distR="0" simplePos="0" locked="0" layoutInCell="1" allowOverlap="1" relativeHeight="345">
                      <wp:simplePos x="0" y="0"/>
                      <wp:positionH relativeFrom="column">
                        <wp:align>left</wp:align>
                      </wp:positionH>
                      <wp:positionV relativeFrom="line">
                        <wp:align>top</wp:align>
                      </wp:positionV>
                      <wp:extent cx="304800" cy="525780"/>
                      <wp:effectExtent l="0" t="0" r="0" b="0"/>
                      <wp:wrapSquare wrapText="right"/>
                      <wp:docPr id="330" name="Frame32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takeover offer, accepting shareholders may withdraw their acceptances of a takeover offer after 21 days from the first closing date of the offer (typically day 42) if the acceptance condition has not been satisfied by that date.</w:t>
            </w:r>
            <w:r>
              <w:rPr/>
              <w:t xml:space="preserve"> </w:t>
            </w:r>
            <w:r>
              <mc:AlternateContent>
                <mc:Choice Requires="wps">
                  <w:drawing>
                    <wp:anchor behindDoc="0" distT="101600" distB="0" distL="0" distR="0" simplePos="0" locked="0" layoutInCell="1" allowOverlap="1" relativeHeight="346">
                      <wp:simplePos x="0" y="0"/>
                      <wp:positionH relativeFrom="column">
                        <wp:align>left</wp:align>
                      </wp:positionH>
                      <wp:positionV relativeFrom="line">
                        <wp:align>top</wp:align>
                      </wp:positionV>
                      <wp:extent cx="3048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60" w:after="0"/>
              <w:ind w:left="480" w:right="0" w:hanging="0"/>
              <w:jc w:val="left"/>
              <w:rPr/>
            </w:pPr>
            <w:r>
              <w:rPr>
                <w:spacing w:val="4"/>
              </w:rPr>
              <w:t>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r>
              <w:rPr/>
              <w:t xml:space="preserve"> </w:t>
            </w:r>
            <w:r>
              <mc:AlternateContent>
                <mc:Choice Requires="wps">
                  <w:drawing>
                    <wp:anchor behindDoc="0" distT="101600" distB="0" distL="0" distR="0" simplePos="0" locked="0" layoutInCell="1" allowOverlap="1" relativeHeight="347">
                      <wp:simplePos x="0" y="0"/>
                      <wp:positionH relativeFrom="column">
                        <wp:align>left</wp:align>
                      </wp:positionH>
                      <wp:positionV relativeFrom="line">
                        <wp:align>top</wp:align>
                      </wp:positionV>
                      <wp:extent cx="3048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80" w:right="0" w:hanging="0"/>
              <w:jc w:val="left"/>
              <w:rPr>
                <w:spacing w:val="4"/>
              </w:rPr>
            </w:pPr>
            <w:r>
              <w:rPr>
                <w:spacing w:val="4"/>
              </w:rPr>
              <w:t xml:space="preserve">Except with the consent of the Irish Takeover Panel, if (a) any person, or persons acting in concert, acquire(s) shares carrying 30% or more in the voting rights in a target company, or (b) a person, or persons acting in concert, already holding more than 30% but less than 50% of </w:t>
            </w:r>
            <w:r>
              <mc:AlternateContent>
                <mc:Choice Requires="wps">
                  <w:drawing>
                    <wp:anchor behindDoc="0" distT="95250" distB="0" distL="0" distR="0" simplePos="0" locked="0" layoutInCell="1" allowOverlap="1" relativeHeight="348">
                      <wp:simplePos x="0" y="0"/>
                      <wp:positionH relativeFrom="column">
                        <wp:align>left</wp:align>
                      </wp:positionH>
                      <wp:positionV relativeFrom="line">
                        <wp:align>top</wp:align>
                      </wp:positionV>
                      <wp:extent cx="3048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93"/>
        <w:gridCol w:w="109"/>
        <w:gridCol w:w="109"/>
        <w:gridCol w:w="2834"/>
        <w:gridCol w:w="109"/>
        <w:gridCol w:w="109"/>
        <w:gridCol w:w="3793"/>
        <w:gridCol w:w="156"/>
      </w:tblGrid>
      <w:tr>
        <w:trPr/>
        <w:tc>
          <w:tcPr>
            <w:tcW w:w="159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9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lineRule="atLeast" w:line="230" w:before="0" w:after="0"/>
              <w:ind w:left="480" w:right="0" w:hanging="0"/>
              <w:jc w:val="left"/>
              <w:rPr/>
            </w:pPr>
            <w:r>
              <w:rPr>
                <w:spacing w:val="4"/>
              </w:rPr>
              <w:t>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r>
              <w:rPr/>
              <w:t xml:space="preserve"> </w:t>
            </w:r>
          </w:p>
          <w:p>
            <w:pPr>
              <w:pStyle w:val="TableContents"/>
              <w:bidi w:val="0"/>
              <w:spacing w:lineRule="atLeast" w:line="230" w:before="150" w:after="0"/>
              <w:ind w:left="480" w:right="0" w:hanging="0"/>
              <w:jc w:val="left"/>
              <w:rPr>
                <w:spacing w:val="4"/>
              </w:rPr>
            </w:pPr>
            <w:r>
              <w:rPr>
                <w:spacing w:val="4"/>
              </w:rPr>
              <w:t xml:space="preserve">Break fees are capped at 1% of the ascertainable deal value. Reverse break fees are permitted without a cap. </w:t>
            </w:r>
            <w:r>
              <mc:AlternateContent>
                <mc:Choice Requires="wps">
                  <w:drawing>
                    <wp:anchor behindDoc="0" distT="95250" distB="0" distL="0" distR="0" simplePos="0" locked="0" layoutInCell="1" allowOverlap="1" relativeHeight="349">
                      <wp:simplePos x="0" y="0"/>
                      <wp:positionH relativeFrom="column">
                        <wp:align>left</wp:align>
                      </wp:positionH>
                      <wp:positionV relativeFrom="line">
                        <wp:align>top</wp:align>
                      </wp:positionV>
                      <wp:extent cx="304800" cy="525780"/>
                      <wp:effectExtent l="0" t="0" r="0" b="0"/>
                      <wp:wrapSquare wrapText="right"/>
                      <wp:docPr id="334" name="Frame33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3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b/>
              </w:rPr>
            </w:pPr>
            <w:r>
              <w:rPr>
                <w:b/>
                <w:spacing w:val="-4"/>
              </w:rPr>
              <w:t>Anti-Takeover Measures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before="0" w:after="0"/>
              <w:jc w:val="left"/>
              <w:rPr/>
            </w:pPr>
            <w:r>
              <w:rPr>
                <w:spacing w:val="4"/>
              </w:rPr>
              <w:t>Subject to applicable law, the Weatherford Articles expressly authorize the Weatherford Board to adopt any shareholder rights plan or similar plan, agreement or arrangement pursuant to which, under circumstances provided therein, some or all Weatherford shareholders will have rights to acquire shares or interests in shares in the capital of Weatherford at a discounted price, upon such terms and conditions as the Weatherford Board deems expedient and in the best interests of Weatherford.</w:t>
            </w:r>
            <w:r>
              <w:rPr/>
              <w:t xml:space="preserve"> </w:t>
            </w:r>
          </w:p>
          <w:p>
            <w:pPr>
              <w:pStyle w:val="TableContents"/>
              <w:bidi w:val="0"/>
              <w:spacing w:before="120" w:after="283"/>
              <w:jc w:val="left"/>
              <w:rPr/>
            </w:pPr>
            <w:r>
              <w:rPr>
                <w:spacing w:val="4"/>
              </w:rPr>
              <w:t>However, once the Weatherford Board has received an approach which may lead to an offer for Weatherford or has reason to believe such an offer is, or may be, imminent, the Weatherford Board’s ability to adopt a rights’ plan or to take other anti-takeover measures would be restricted by the frustrating actions’ provisions of the Irish Takeover Rules.</w:t>
            </w:r>
            <w:r>
              <w:rPr/>
              <w:t xml:space="preserve"> </w:t>
            </w:r>
          </w:p>
          <w:p>
            <w:pPr>
              <w:pStyle w:val="TableContents"/>
              <w:bidi w:val="0"/>
              <w:spacing w:before="120" w:after="283"/>
              <w:jc w:val="left"/>
              <w:rPr>
                <w:spacing w:val="4"/>
              </w:rPr>
            </w:pPr>
            <w:r>
              <w:rPr>
                <w:spacing w:val="4"/>
              </w:rPr>
              <w:t xml:space="preserve">The frustrating actions’ provisions (which apply from when the Weatherford Board has received an approach which may lead to an offer for Weatherford or has reason to believe such an offer is, or may be, imminent) prohibit Weatherford from taking any action (other than seeking alternative offers) which might result 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0"/>
              <w:jc w:val="left"/>
              <w:rPr/>
            </w:pPr>
            <w:r>
              <w:rPr>
                <w:spacing w:val="4"/>
              </w:rPr>
              <w:t>NCS’s certificate of incorporation provides that NCS shall not be governed by Section 203 of the DGCL. For additional information, see “— </w:t>
            </w:r>
            <w:r>
              <w:rPr>
                <w:i/>
                <w:spacing w:val="4"/>
              </w:rPr>
              <w:t>Regulation of Takeovers</w:t>
            </w:r>
            <w:r>
              <w:rPr>
                <w:spacing w:val="4"/>
              </w:rPr>
              <w:t>” above.</w:t>
            </w:r>
            <w:r>
              <w:rPr/>
              <w:t xml:space="preserve"> </w:t>
            </w:r>
          </w:p>
          <w:p>
            <w:pPr>
              <w:pStyle w:val="TableContents"/>
              <w:bidi w:val="0"/>
              <w:spacing w:before="120" w:after="283"/>
              <w:jc w:val="left"/>
              <w:rPr>
                <w:spacing w:val="4"/>
              </w:rPr>
            </w:pPr>
            <w:r>
              <w:rPr>
                <w:spacing w:val="4"/>
              </w:rPr>
              <w:t xml:space="preserve">NCS’s certificate of incorporation and bylaws contain other provisions that may have the effect of delaying, deterring, or preventing a change in control or changes in the composition of the NCS Board, including (i) the NCS Board’s authority to issue one or more series or classes of NCS Preferred Stock and to determine the powers, preferences, rights, qualifications, limitations, and restrictions associated with any such series or classes; (ii) the classification of the NCS Board into three, staggered classes with three-year terms expiring in successive years at annual meetings of NCS stockholders; (iii) the limitation that directors may be removed only for cause and only by the affirmative vote of holders of at least a majority of the voting power of NCS’s outstanding shares entitled to vote generally in the election of directors, voting together as a single class; (iv) the authority of only the NCS Board to fill vacancies and newly created directorships; (v) the limitation on stockholder action by written consent after Advent and its affiliates collectively beneficially own less than 50.01% of the then outstanding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35"/>
        <w:gridCol w:w="109"/>
        <w:gridCol w:w="109"/>
        <w:gridCol w:w="3520"/>
        <w:gridCol w:w="109"/>
        <w:gridCol w:w="109"/>
        <w:gridCol w:w="3165"/>
        <w:gridCol w:w="156"/>
      </w:tblGrid>
      <w:tr>
        <w:trPr/>
        <w:tc>
          <w:tcPr>
            <w:tcW w:w="153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0"/>
              <w:jc w:val="left"/>
              <w:rPr/>
            </w:pPr>
            <w:r>
              <w:rPr>
                <w:spacing w:val="4"/>
              </w:rPr>
              <w:t>the frustration of an offer or possible offer or in Weatherford shareholders being denied the opportunity to decide on the merits of an offer or possible offer, save with the prior approval of independent Weatherford shareholders or, in the case of certain actions, with the prior written consent of the Irish Takeover Panel.</w:t>
            </w:r>
            <w:r>
              <w:rPr/>
              <w:t xml:space="preserve"> </w:t>
            </w:r>
          </w:p>
          <w:p>
            <w:pPr>
              <w:pStyle w:val="TableContents"/>
              <w:bidi w:val="0"/>
              <w:spacing w:before="120" w:after="283"/>
              <w:jc w:val="left"/>
              <w:rPr>
                <w:spacing w:val="4"/>
              </w:rPr>
            </w:pPr>
            <w:r>
              <w:rPr>
                <w:spacing w:val="4"/>
              </w:rPr>
              <w:t xml:space="preserve">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of NCS Common Stock, unless the directors then in office unanimously recommend that such action be permitted by written consent; (vi) the inability of stockholders to call special meetings; (vii) advance notice requirements for stockholder directors nominations and proposals to transact other business at meetings of NCS stockholders; and (viii) supermajority vote requirements to amend specified certificate provisions and bylaws.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Variation of Rights Attaching to a Class or Series of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the Weatherford Articles, where the shares in Weatherford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the holders of outstanding shares of a class of capital stock will be entitled to vote separately as a class in connection with a proposed amendment to a corporation’s certificate of incorporation, whether or not such class is entitled to vote thereon by the certificate of incorporation,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Amendments to Governing Documents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Irish law, a special resolution passed by the shareholders at a general meeting is required to amend any provision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amendments to a Delaware corporation’s certificate of incorporation must be approved by a resolution of the board of directors declaring the advisability of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1961"/>
        <w:gridCol w:w="109"/>
        <w:gridCol w:w="109"/>
        <w:gridCol w:w="4857"/>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7" w:type="dxa"/>
            <w:tcBorders/>
            <w:tcMar>
              <w:bottom w:w="0" w:type="dxa"/>
            </w:tcMar>
            <w:vAlign w:val="center"/>
          </w:tcPr>
          <w:p>
            <w:pPr>
              <w:pStyle w:val="TableContents"/>
              <w:bidi w:val="0"/>
              <w:spacing w:before="0" w:after="0"/>
              <w:jc w:val="left"/>
              <w:rPr/>
            </w:pPr>
            <w:r>
              <w:rPr>
                <w:spacing w:val="4"/>
              </w:rPr>
              <w:t>amendment, and in most cases by the affirmative vote of a majority of the voting power of the outstanding shares entitled to vote on the amendment. If an amendment would vary the rights of a series or class of capital stock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 See “— </w:t>
            </w:r>
            <w:r>
              <w:rPr>
                <w:i/>
                <w:spacing w:val="4"/>
              </w:rPr>
              <w:t>Variation of Rights Attaching to a Class or Series of Shares</w:t>
            </w:r>
            <w:r>
              <w:rPr>
                <w:spacing w:val="4"/>
              </w:rPr>
              <w:t>” above.</w:t>
            </w:r>
            <w:r>
              <w:rPr/>
              <w:t xml:space="preserve"> </w:t>
            </w:r>
          </w:p>
          <w:p>
            <w:pPr>
              <w:pStyle w:val="TableContents"/>
              <w:bidi w:val="0"/>
              <w:spacing w:before="120" w:after="283"/>
              <w:jc w:val="left"/>
              <w:rPr/>
            </w:pPr>
            <w:r>
              <w:rPr>
                <w:spacing w:val="4"/>
              </w:rPr>
              <w:t>NCS’s certificate of incorporation provides that NCS reserves the right, at any time and from time to time, to alter, amend, add to, or repeal any provision contained in its certificate of incorporation in any manner prescribed by Delaware law; provided, however, that, in addition to any other vote required by NCS’s certificate of incorporation or applicable law, the affirmative vote of holders of at least 66</w:t>
            </w:r>
            <w:r>
              <w:rPr>
                <w:spacing w:val="3"/>
                <w:sz w:val="12"/>
              </w:rPr>
              <w:t>2</w:t>
            </w:r>
            <w:r>
              <w:rPr>
                <w:spacing w:val="4"/>
              </w:rPr>
              <w:t>∕</w:t>
            </w:r>
            <w:r>
              <w:rPr>
                <w:spacing w:val="3"/>
                <w:sz w:val="14"/>
              </w:rPr>
              <w:t>3</w:t>
            </w:r>
            <w:r>
              <w:rPr>
                <w:spacing w:val="4"/>
              </w:rPr>
              <w:t>% of the voting power of NCS’s then outstanding shares of stock entitled to vote generally in the election of directors, voting together as a single class, is required to alter, amend, add to, or repeal, or to adopt any provision inconsistent with, the provisions relating to the classification of the NCS Board, removal of directors, vacancies, special meetings of stockholders, exclusive forum and the related supermajority amendment proviso. In addition, for as long as Advent and its affiliates collectively beneficially own shares representing at least 10% of NCS’s then outstanding shares entitled to vote generally in the election of directors, the provisions of NCS’s certificate of incorporation relating to NCS’s waiver of DGCL 203 and the corporate opportunities article may not be amended, altered, or revised, including by merger or otherwise, without Advent’s prior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16"/>
        <w:gridCol w:w="109"/>
        <w:gridCol w:w="109"/>
        <w:gridCol w:w="2939"/>
        <w:gridCol w:w="109"/>
        <w:gridCol w:w="109"/>
        <w:gridCol w:w="3766"/>
        <w:gridCol w:w="155"/>
      </w:tblGrid>
      <w:tr>
        <w:trPr/>
        <w:tc>
          <w:tcPr>
            <w:tcW w:w="151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NCS’s certificate of incorporation provides that the NCS Board is expressly authorized and empowered to make, alter, amend, add to, or repeal any and all NCS bylaws by a majority of the directors then in office. NCS’s bylaws further provide that, subject to the certificate of incorporation, the NCS Board may make, alter, amend, add to, or repeal any and all bylaws by resolution adopted by a majority of the directors then in office or by the affirmative vote of a majority of directors present at any regular or special meeting at which a quorum is present. Subject to the certificate of incorporation, the affirmative vote of holders of at least 66</w:t>
            </w:r>
            <w:r>
              <w:rPr>
                <w:spacing w:val="3"/>
                <w:sz w:val="12"/>
              </w:rPr>
              <w:t>2</w:t>
            </w:r>
            <w:r>
              <w:rPr>
                <w:spacing w:val="4"/>
              </w:rPr>
              <w:t>∕</w:t>
            </w:r>
            <w:r>
              <w:rPr>
                <w:spacing w:val="3"/>
                <w:sz w:val="14"/>
              </w:rPr>
              <w:t>3</w:t>
            </w:r>
            <w:r>
              <w:rPr>
                <w:spacing w:val="4"/>
              </w:rPr>
              <w:t xml:space="preserve">% of the voting power of NCS’s then outstanding shares entitled to vote generally in the election of directors, voting together as a single class, is required for stockholders to make, alter, amend, add to, or repeal any or all bylaws or to adopt any inconsistent provision.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Rights upon Liquidation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0"/>
              <w:jc w:val="left"/>
              <w:rPr/>
            </w:pPr>
            <w:r>
              <w:rPr>
                <w:spacing w:val="4"/>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r>
              <w:rPr/>
              <w:t xml:space="preserve"> </w:t>
            </w:r>
          </w:p>
          <w:p>
            <w:pPr>
              <w:pStyle w:val="TableContents"/>
              <w:bidi w:val="0"/>
              <w:spacing w:lineRule="atLeast" w:line="228" w:before="120" w:after="283"/>
              <w:jc w:val="left"/>
              <w:rPr>
                <w:spacing w:val="4"/>
              </w:rPr>
            </w:pPr>
            <w:r>
              <w:rPr>
                <w:spacing w:val="4"/>
              </w:rPr>
              <w:t xml:space="preserve">The Weatherford Articles operate to the effect that, on a winding-up, the remaining property and assets of Weatherford (after satisfaction of its debts and other liabilities) will be distributed among the holders of Weatherford Ordinary Shares ratably according to the number of Weatherford Ordinary Shares held by them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0"/>
              <w:jc w:val="left"/>
              <w:rPr/>
            </w:pPr>
            <w:r>
              <w:rPr>
                <w:spacing w:val="4"/>
              </w:rPr>
              <w:t>Under Delaware law, a corporation generally may be dissolved upon the approval of its board of directors and the affirmative vote of a majority of the outstanding shares entitled to vote thereon. Alternatively, dissolution may be authorized without action of the board if all stockholders entitled to vote consent in writing.</w:t>
            </w:r>
            <w:r>
              <w:rPr/>
              <w:t xml:space="preserve"> </w:t>
            </w:r>
          </w:p>
          <w:p>
            <w:pPr>
              <w:pStyle w:val="TableContents"/>
              <w:bidi w:val="0"/>
              <w:spacing w:before="120" w:after="283"/>
              <w:jc w:val="left"/>
              <w:rPr>
                <w:spacing w:val="4"/>
              </w:rPr>
            </w:pPr>
            <w:r>
              <w:rPr>
                <w:spacing w:val="4"/>
              </w:rPr>
              <w:t xml:space="preserve">NCS’s certificate of incorporation provides that, subject to the prior rights of NCS’s creditors and the holders of any class or series of stock then outstanding having prior rights as to distributions upon liquidation, dissolution, or winding up, in the event of any voluntary or involuntary liquidation, dissolution, or winding up of NCS, the holders of shares of NCS Common Stock will be entitled to receive their ratable and proportionate share of NCS’s remaining assets.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Enforcement of Civil Liabilities Against Foreign Persons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spacing w:val="4"/>
              </w:rPr>
              <w:t>There is some uncertainty whether the Irish courts would recognize or enforce judgments obtained against Weatherford or its directors or officers in a U.S. court based on the civil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A judgment for the payment of money rendered by a court in the United States based on civil liability generally would be enforceable elsewhere in the United States.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6"/>
        <w:gridCol w:w="109"/>
        <w:gridCol w:w="109"/>
        <w:gridCol w:w="5695"/>
        <w:gridCol w:w="109"/>
        <w:gridCol w:w="109"/>
        <w:gridCol w:w="1120"/>
        <w:gridCol w:w="155"/>
      </w:tblGrid>
      <w:tr>
        <w:trPr/>
        <w:tc>
          <w:tcPr>
            <w:tcW w:w="140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283"/>
              <w:jc w:val="left"/>
              <w:rPr/>
            </w:pPr>
            <w:r>
              <w:rPr>
                <w:spacing w:val="4"/>
              </w:rPr>
              <w:t>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0"/>
              <w:jc w:val="left"/>
              <w:rPr/>
            </w:pPr>
            <w:r>
              <w:rPr>
                <w:spacing w:val="4"/>
              </w:rPr>
              <w:t>A judgment of a U.S. federal or state court obtained against Weatherford or its directors and officers will be enforced by the Irish courts only if the following general requirements are met:</w:t>
            </w:r>
            <w:r>
              <w:rPr/>
              <w:t xml:space="preserve"> </w:t>
            </w:r>
          </w:p>
          <w:p>
            <w:pPr>
              <w:pStyle w:val="TableContents"/>
              <w:bidi w:val="0"/>
              <w:spacing w:lineRule="atLeast" w:line="240" w:before="160" w:after="0"/>
              <w:ind w:left="200" w:right="0" w:hanging="0"/>
              <w:jc w:val="left"/>
              <w:rPr/>
            </w:pPr>
            <w:r>
              <w:rPr>
                <w:spacing w:val="4"/>
              </w:rPr>
              <w:t>the U.S. federal or state court must have had jurisdiction in relation to the particular defendant according to Irish conflict of law rules (the voluntary submission to jurisdiction by the defendant would satisfy this rule); and</w:t>
            </w:r>
            <w:r>
              <w:rPr/>
              <w:t xml:space="preserve"> </w:t>
            </w:r>
            <w:r>
              <mc:AlternateContent>
                <mc:Choice Requires="wps">
                  <w:drawing>
                    <wp:anchor behindDoc="0" distT="101600" distB="0" distL="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judgment must be final and conclusive and the decree must be final and unalterable in the court which pronounces it.</w:t>
            </w:r>
            <w:r>
              <w:rPr/>
              <w:t xml:space="preserve"> </w:t>
            </w:r>
            <w:r>
              <mc:AlternateContent>
                <mc:Choice Requires="wps">
                  <w:drawing>
                    <wp:anchor behindDoc="0" distT="101600" distB="0" distL="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a U.S. federal or state court which meets the above requirements for one of the following reasons:</w:t>
            </w:r>
            <w:r>
              <w:rPr/>
              <w:t xml:space="preserve"> </w:t>
            </w:r>
          </w:p>
          <w:p>
            <w:pPr>
              <w:pStyle w:val="TableContents"/>
              <w:bidi w:val="0"/>
              <w:spacing w:lineRule="atLeast" w:line="240" w:before="160" w:after="0"/>
              <w:ind w:left="200" w:right="0" w:hanging="0"/>
              <w:jc w:val="left"/>
              <w:rPr/>
            </w:pPr>
            <w:r>
              <w:rPr>
                <w:spacing w:val="4"/>
              </w:rPr>
              <w:t>the judgment is not for a definite sum of money;</w:t>
            </w:r>
            <w:r>
              <w:rPr/>
              <w:t xml:space="preserve"> </w:t>
            </w:r>
            <w:r>
              <mc:AlternateContent>
                <mc:Choice Requires="wps">
                  <w:drawing>
                    <wp:anchor behindDoc="0" distT="101600" distB="0" distL="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the judgment was obtained by fraud;</w:t>
            </w:r>
            <w:r>
              <w:rPr/>
              <w:t xml:space="preserve"> </w:t>
            </w:r>
            <w:r>
              <mc:AlternateContent>
                <mc:Choice Requires="wps">
                  <w:drawing>
                    <wp:anchor behindDoc="0" distT="101600" distB="0" distL="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enforcement of the judgment in Ireland would be contrary to natural or constitutional justice;</w:t>
            </w:r>
            <w:r>
              <w:rPr/>
              <w:t xml:space="preserve"> </w:t>
            </w:r>
            <w:r>
              <mc:AlternateContent>
                <mc:Choice Requires="wps">
                  <w:drawing>
                    <wp:anchor behindDoc="0" distT="101600" distB="0" distL="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13"/>
        <w:gridCol w:w="109"/>
        <w:gridCol w:w="109"/>
        <w:gridCol w:w="5608"/>
        <w:gridCol w:w="109"/>
        <w:gridCol w:w="109"/>
        <w:gridCol w:w="1199"/>
        <w:gridCol w:w="156"/>
      </w:tblGrid>
      <w:tr>
        <w:trPr/>
        <w:tc>
          <w:tcPr>
            <w:tcW w:w="141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0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08" w:type="dxa"/>
            <w:tcBorders/>
            <w:tcMar>
              <w:bottom w:w="0" w:type="dxa"/>
            </w:tcMar>
            <w:vAlign w:val="center"/>
          </w:tcPr>
          <w:p>
            <w:pPr>
              <w:pStyle w:val="TableContents"/>
              <w:bidi w:val="0"/>
              <w:spacing w:lineRule="atLeast" w:line="240" w:before="0" w:after="0"/>
              <w:ind w:left="160" w:right="0" w:hanging="0"/>
              <w:jc w:val="left"/>
              <w:rPr/>
            </w:pPr>
            <w:r>
              <w:rPr>
                <w:spacing w:val="4"/>
              </w:rPr>
              <w:t>the judgment is contrary to Irish public policy or involves certain U.S. laws which will not be enforced in Ireland;</w:t>
            </w:r>
            <w:r>
              <w:rPr/>
              <w:t xml:space="preserve"> </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1016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jurisdiction cannot be obtained by the Irish courts over the judgment debtors in the enforcement proceedings by personal service in Ireland or outside Ireland under Order 11 of the Rules of the Irish Superior Courts;</w:t>
            </w:r>
            <w:r>
              <w:rPr/>
              <w:t xml:space="preserve"> </w:t>
            </w:r>
            <w:r>
              <mc:AlternateContent>
                <mc:Choice Requires="wps">
                  <w:drawing>
                    <wp:anchor behindDoc="0" distT="101600" distB="0" distL="0" distR="0" simplePos="0" locked="0" layoutInCell="1" allowOverlap="1" relativeHeight="356">
                      <wp:simplePos x="0" y="0"/>
                      <wp:positionH relativeFrom="column">
                        <wp:align>left</wp:align>
                      </wp:positionH>
                      <wp:positionV relativeFrom="line">
                        <wp:align>top</wp:align>
                      </wp:positionV>
                      <wp:extent cx="1016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judgment is irreconcilable with an earlier judgment of the Irish courts; or</w:t>
            </w:r>
            <w:r>
              <w:rPr/>
              <w:t xml:space="preserve"> </w:t>
            </w:r>
            <w:r>
              <mc:AlternateContent>
                <mc:Choice Requires="wps">
                  <w:drawing>
                    <wp:anchor behindDoc="0" distT="101600" distB="0" distL="0" distR="0" simplePos="0" locked="0" layoutInCell="1" allowOverlap="1" relativeHeight="357">
                      <wp:simplePos x="0" y="0"/>
                      <wp:positionH relativeFrom="column">
                        <wp:align>left</wp:align>
                      </wp:positionH>
                      <wp:positionV relativeFrom="line">
                        <wp:align>top</wp:align>
                      </wp:positionV>
                      <wp:extent cx="1016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enforcement proceedings are not instituted in Ireland within six years of the date of the judgment of the state or federal courts of the United States.</w:t>
            </w:r>
            <w:r>
              <w:rPr/>
              <w:t xml:space="preserve"> </w:t>
            </w:r>
            <w:r>
              <mc:AlternateContent>
                <mc:Choice Requires="wps">
                  <w:drawing>
                    <wp:anchor behindDoc="0" distT="101600" distB="0" distL="0" distR="0" simplePos="0" locked="0" layoutInCell="1" allowOverlap="1" relativeHeight="358">
                      <wp:simplePos x="0" y="0"/>
                      <wp:positionH relativeFrom="column">
                        <wp:align>left</wp:align>
                      </wp:positionH>
                      <wp:positionV relativeFrom="line">
                        <wp:align>top</wp:align>
                      </wp:positionV>
                      <wp:extent cx="1016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ACN"/>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CERTAIN NCS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as of July 14, 2026, regarding the beneficial ownership of NCS Common Stock by: (i) each person or group who is known by NCS to beneficially own more than 5% of the issued and outstanding shares of NCS Common Stock; (ii) each member of the NCS Board and each of NCS’s NEOs identified in NCS’s Annual Report on Form 10-K for the year ended December 31, 2025; and (iii) all members of the NCS Board and NCS’s executive officers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NCS believes based on the information provided to NCS that the people and entities named in the table below have sole voting and investment power with respect to all shares of NCS Common Stock shown as beneficially owned by them. Percentage of beneficial ownership is based on 2,624,523 shares of NCS Common Stock outstanding as of July 14, 2026. Shares of NCS Common Stock subject to options currently exercisable or exercisable within 60 days of June 30, 2026, and shares of NCS Common Stock underlying restricted stock units subject to vesting and settlement within 60 days of July 14, 2026, are deemed to be outstanding and beneficially owned by the person holding the options or restricted stock units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people named in the table below have sole voting and investment power with respect to all shares of NCS Common Stock held by them. Unless otherwise indicated, the address for each holder listed below is c/o NCS Multistage Holdings, Inc., 19350 State Highway 249, Suite 600, Houston, Texas 77070. </w:t>
      </w:r>
    </w:p>
    <w:tbl>
      <w:tblPr>
        <w:tblW w:w="8812" w:type="dxa"/>
        <w:jc w:val="left"/>
        <w:tblInd w:w="1393" w:type="dxa"/>
        <w:tblLayout w:type="fixed"/>
        <w:tblCellMar>
          <w:top w:w="0" w:type="dxa"/>
          <w:left w:w="0" w:type="dxa"/>
          <w:bottom w:w="43" w:type="dxa"/>
          <w:right w:w="0" w:type="dxa"/>
        </w:tblCellMar>
      </w:tblPr>
      <w:tblGrid>
        <w:gridCol w:w="4327"/>
        <w:gridCol w:w="109"/>
        <w:gridCol w:w="109"/>
        <w:gridCol w:w="166"/>
        <w:gridCol w:w="166"/>
        <w:gridCol w:w="1634"/>
        <w:gridCol w:w="166"/>
        <w:gridCol w:w="109"/>
        <w:gridCol w:w="109"/>
        <w:gridCol w:w="224"/>
        <w:gridCol w:w="224"/>
        <w:gridCol w:w="1085"/>
        <w:gridCol w:w="225"/>
        <w:gridCol w:w="159"/>
      </w:tblGrid>
      <w:tr>
        <w:trPr/>
        <w:tc>
          <w:tcPr>
            <w:tcW w:w="4327"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2" w:type="dxa"/>
            <w:gridSpan w:val="4"/>
            <w:tcBorders>
              <w:bottom w:val="single" w:sz="2" w:space="0" w:color="000000"/>
            </w:tcBorders>
            <w:vAlign w:val="center"/>
          </w:tcPr>
          <w:p>
            <w:pPr>
              <w:pStyle w:val="TableContents"/>
              <w:bidi w:val="0"/>
              <w:spacing w:lineRule="atLeast" w:line="142" w:before="0" w:after="0"/>
              <w:jc w:val="center"/>
              <w:rPr/>
            </w:pPr>
            <w:r>
              <w:rPr>
                <w:spacing w:val="-3"/>
              </w:rPr>
              <w:t>Shares of NCS Common</w:t>
            </w:r>
            <w:r>
              <w:rPr/>
              <w:t xml:space="preserve"> </w:t>
              <w:br/>
            </w:r>
            <w:r>
              <w:rPr>
                <w:spacing w:val="-3"/>
              </w:rPr>
              <w:t>Stock Beneficially</w:t>
            </w:r>
            <w:r>
              <w:rPr/>
              <w:t xml:space="preserve"> </w:t>
              <w:br/>
            </w:r>
            <w:r>
              <w:rPr>
                <w:spacing w:val="-3"/>
              </w:rPr>
              <w:t>Owned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8" w:type="dxa"/>
            <w:gridSpan w:val="4"/>
            <w:tcBorders>
              <w:bottom w:val="single" w:sz="2" w:space="0" w:color="000000"/>
            </w:tcBorders>
            <w:vAlign w:val="center"/>
          </w:tcPr>
          <w:p>
            <w:pPr>
              <w:pStyle w:val="TableContents"/>
              <w:bidi w:val="0"/>
              <w:spacing w:before="0" w:after="0"/>
              <w:jc w:val="center"/>
              <w:rPr/>
            </w:pPr>
            <w:r>
              <w:rPr>
                <w:spacing w:val="-3"/>
              </w:rPr>
              <w:t>Outstanding</w:t>
            </w:r>
            <w:r>
              <w:rPr/>
              <w:t xml:space="preserve"> </w:t>
              <w:br/>
            </w:r>
            <w:r>
              <w:rPr>
                <w:spacing w:val="-3"/>
              </w:rPr>
              <w:t xml:space="preserve">Common Stock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Funds Affiliated with Advent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1,478,426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56.3%</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48,389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1.8%</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27,241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1.0%</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11,049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pPr>
            <w:r>
              <w:rPr>
                <w:spacing w:val="4"/>
              </w:rPr>
              <w:t>Robert Nipper</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122,051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4.7%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John Deane</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40,281</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1.5%</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45,557</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2,588</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4,339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 directors and executive officers as a group (10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312,885</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11.9%</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of outstanding NCS Common Stock. </w:t>
      </w:r>
      <w:r>
        <mc:AlternateContent>
          <mc:Choice Requires="wps">
            <w:drawing>
              <wp:anchor behindDoc="0" distT="9906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include the following vested NCS DSUs that settle for shares of NCS Common Stock on a one-for-one basis within thirty days following the earliest of (i) the termination of the person’s service for any reason or (ii) a change of control: Mr. Grewal — 17,698, Mr. Ralls — 25,256 and Ms. Mitchell — 19,212. </w:t>
      </w:r>
      <w:r>
        <mc:AlternateContent>
          <mc:Choice Requires="wps">
            <w:drawing>
              <wp:anchor behindDoc="0" distT="4826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Schedule 13G filed on May 15, 2025. Includes 184,655 shares indirectly owned by Advent International GPE VII Limited Partnership, 170,906 shares indirectly owned by Advent International GPE VII-A Limited Partnership, 429,483 shares indirectly owned by Advent International GPE VII-B Limited Partnership, 136,459 shares indirectly owned by Advent International GPE VII-C Limited Partnership, 110,586 shares indirectly owned by Advent International GPE VII-D Limited Partnership, 309,435 shares indirectly owned by Advent International GPE VII-E Limited Partnership, 39,918 shares indirectly owned by Advent International GPE VII-F Limited Partnership, 39,918 </w:t>
      </w:r>
      <w:r>
        <mc:AlternateContent>
          <mc:Choice Requires="wps">
            <w:drawing>
              <wp:anchor behindDoc="0" distT="4953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indirectly owned by Advent International GPE VII-G Limited Partnership, 24,098 shares indirectly owned by Advent International GPE VII-H Limited Partnership, 591 shares indirectly owned by Advent Partners GPE VII Limited Partnership, 1,478 shares indirectly owned by Advent Partners GPE VII-A Limited Partnership, 14,489 shares indirectly owned by Advent Partners GPE VII-B Cayman Limited Partnership, 13,010 shares indirectly owned by Advent Partners GPE VII Cayman Limited Partnership and 3,400 shares indirectly owned by Advent Partners GPE VII-A Cayman Limited Partnership. Advent-NCS Acquisition L.P. directly owns 1,478,426 shares. The general partner of Advent-NCS Acquisition L.P. is Advent-NCS GP LLC. Advent International GPE VII Limited Partnership, Advent International GPE VII-A Limited Partnership, Advent International GPE VII-B Limited Partnership, Advent International GPE VII-C Limited Partnership, Advent International GPE VII-D Limited Partnership, Advent International GPE VII-E Limited Partnership, Advent International GPE VII-F Limited Partnership, Advent International GPE VII-G Limited Partnership, Advent International GPE VII-H Limited Partnership, Advent Partners GPE VII Limited Partnership, Advent Partners GPE VII-A Limited Partnership, Advent Partners GPE VII-B Cayman Limited Partnership, Advent Partners GPE VII Cayman Limited Partnership and Advent Partners GPE VII-A Cayman Limited Partnership collectively own 100% of Advent-NCS Acquisition L.P. in pro rata proportion to the number of shares above disclosed as owned by each fund.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 is the manager of Advent International GPE VII LLC, which is the general partner of Advent Partners GPE VII Limited Partnership, Advent Partners GPE VII-A Limited Partnership, Advent Partners GPE VII Cayman Limited Partnership, Advent Partners GPE VII-A Cayman Limited Partnership, and Advent Partners GPE VII-B Cayman Limited Partnership; and, GPE VII GP Limited Partnership, which in turn is the general partner of Advent International GPE VII-A Limited Partnership, Advent International GPE VII-E Limited Partnership and Advent International GPE VII-H Limited Partnership; and GPE VII GP (Cayman) Limited Partnership and GPE VII GP S.à r.l. which are respectively the special general partner and general partner of Advent International GPE VII Limited Partnership, Advent International GPE VII-B Limited Partnership, Advent International GPE VII-C Limited Partnership, Advent International GPE VII-D Limited Partnership, Advent International GPE VII-F Limited Partnership and Advent International GPE VII-G Limited Partnership. Advent exercises voting and investment power over the shares held by each of these entities and may be deemed to have beneficial ownership of these shares. With respect to the shares held by the Advent Funds, a number of individuals currently composed of John L. Maldonado, David M. Mussafer and Bryan M. Taylor, none of whom have individual voting or investment power, exercise voting and investment power over the shares beneficially owned by Advent. The address of Advent and each of the funds and other entities listed above is c/o Advent International, L.P., Prudential Tower, 800 Boylston St., Suite 3300, Boston, MA 02199.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88,596 shares held by the Nipper Family Limited Partnership. Mr. Nipper exercises sole voting and investment power over the shares beneficially owned by the Nipper Family Limited Partnership. </w:t>
      </w:r>
      <w:r>
        <mc:AlternateContent>
          <mc:Choice Requires="wps">
            <w:drawing>
              <wp:anchor behindDoc="0" distT="508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10,731 shares held by the Deane Family Partnership Limited. Mr. Deane holds sole voting and investment power over the shares beneficially owned by the Deane Family Partnership Limited. </w:t>
      </w:r>
      <w:r>
        <mc:AlternateContent>
          <mc:Choice Requires="wps">
            <w:drawing>
              <wp:anchor behindDoc="0" distT="508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NA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262 of the Delaware General Corporation Law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provides that stockholders have the right, in some circumstances, to dissent from a merger or consolidation and to instead demand payment of the fair value of their shares (appraisal). However, appraisal rights are not available in all circumstances. Pursuant to Section 262 of the DGCL, stockholders of a constituent corporation in a merger or consolidation do not have rights to dissent or demand payment with respect to shares of any class or series of stock if, prior to the merger or consolidation, such shares of stock, or depositary receipts in respect thereof, are listed on a national securities exchange and such stockholders receive, in exchange for such shares pursuant to such merger or consolidation, shares of stock of a corporation that will be listed on a national securities exchange. Therefore, because the shares of NCS Common Stock are currently listed on the Nasdaq Capital Market, a national securities exchange, and the stockholders of NCS Common Stock may elect to receive, in connection with the Transaction, only Weatherford Ordinary Shares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shares which will also be listed on the Nasdaq Global Select Market, a national securities exchange), holders of NCS Common Stock will not have rights under the DGCL to dissent from, or demand payment for their shares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EM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legality of the Weatherford Ordinary Shares issuable in the Transaction will be passed upon for Weatherford by Matheson LLP. Certain U.S. federal income tax matters described under “</w:t>
      </w:r>
      <w:r>
        <w:rPr>
          <w:rFonts w:ascii="Times New Roman;Times;serif" w:hAnsi="Times New Roman;Times;serif"/>
          <w:b w:val="false"/>
          <w:i/>
          <w:caps w:val="false"/>
          <w:smallCaps w:val="false"/>
          <w:color w:val="000000"/>
          <w:spacing w:val="4"/>
          <w:sz w:val="20"/>
        </w:rPr>
        <w:t xml:space="preserve">The Transaction —  Material U.S. Federal Income Tax Consequences to U.S. Holders — U.S. Federal Income Tax Consequences to U.S. Holders of the Transaction” </w:t>
      </w:r>
      <w:r>
        <w:rPr>
          <w:rFonts w:ascii="Times New Roman;Times;serif" w:hAnsi="Times New Roman;Times;serif"/>
          <w:b w:val="false"/>
          <w:i w:val="false"/>
          <w:caps w:val="false"/>
          <w:smallCaps w:val="false"/>
          <w:color w:val="000000"/>
          <w:spacing w:val="4"/>
          <w:sz w:val="20"/>
        </w:rPr>
        <w:t xml:space="preserve">regarding the tax consequences of the Transaction will be passed upon for NCS by Baker Botts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X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Weatherford International plc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NCS Multistage Holdings, Inc. incorporated by reference in this prospectus and elsewhere in the registration statement have been so incorporated by reference in reliance upon the report of Grant Thornton LLP, independent registered public accountants,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HOI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information statements, proxy statements and annual reports with respect to two or more stockholders sharing the same address by delivering a single information statement/prospectus, proxy statement or annual report, as applicable, addressed to those stockholders. As permitted by the Exchange Act, only one copy of this information statement/prospectus is being delivered to stockholders residing at the same address, unless stockholders have notified NCS whose shares they hold of their desire to receive multiple copies of this information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Two or more stockholders sharing an address can request delivery of a single copy of NCS’s annual disclosure documents and this information statement/prospectus if they are receiving multiple copies by calling the Householding Department of Broadridge Financial Solutions, Inc. (“</w:t>
      </w:r>
      <w:r>
        <w:rPr>
          <w:rFonts w:ascii="Times New Roman;Times;serif" w:hAnsi="Times New Roman;Times;serif"/>
          <w:b/>
          <w:i w:val="false"/>
          <w:caps w:val="false"/>
          <w:smallCaps w:val="false"/>
          <w:color w:val="000000"/>
          <w:spacing w:val="-4"/>
          <w:sz w:val="20"/>
        </w:rPr>
        <w:t>Broadridge</w:t>
      </w:r>
      <w:r>
        <w:rPr>
          <w:rFonts w:ascii="Times New Roman;Times;serif" w:hAnsi="Times New Roman;Times;serif"/>
          <w:b w:val="false"/>
          <w:i w:val="false"/>
          <w:caps w:val="false"/>
          <w:smallCaps w:val="false"/>
          <w:color w:val="000000"/>
          <w:spacing w:val="4"/>
          <w:sz w:val="20"/>
        </w:rPr>
        <w:t xml:space="preserve">”) at 1-866-540-7095, or writing to them at Broadridge Householding Department, 51 Mercedes Way, Edgewood, New York, 11717. In the same way, two or more stockholders sharing an address and receiving only a single copy of NCS’s annual disclosure documents and this information statement/prospectus can request to each receive a separate copy of the disclosure documents and this information statement/prospectus, and we will promptly send additional copies of such documents upon receipt of such request. If a broker or other nominee holds your shares, please contact the Broadridge Householding Department at the telephone number and address above and inform them of your request. You may also contact your broker or nominee to make such a request. Please be sure to include your name, the name of your brokerage firm, and your account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WYC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each file annual, quarterly, and current reports, proxy statements, and other information with the SEC under the Exchange Act. The SEC maintains a website that contains reports, proxy, and information statements, and other information regarding issuers, including Weatherford and NCS, who file electronically with the SEC. The address of that site is www.sec.gov.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also consult Weatherford’s or NCS’s website for additional information about Weatherford or NCS, respectively. Weatherford’s website is https://www.weatherford.com. NCS’s website is https://www.ncsmultistage.com. Information included on these websites is not incorporated by reference into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has filed with the SEC a registration statement of which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The registration statement registers the Weatherford Ordinary Shares to be issued to NCS stockholders in the Transaction (other than such Weatherford Ordinary Shares that are expected to be beneficially owned by the Specified Stockholder). The registration statement, including the attached exhibits, contains additional relevant information about Weatherford and Weatherford Ordinary Shares. The rules and regulations of the SEC allow Weatherford and NCS to omit certain information included in the Registration Statement from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SEC allows Weatherford and NCS to disclose important information to you by referring you to other documents filed separately with the SEC. This information is considered to be a part of this information statement/prospectus, except for any information that is superseded by information included directly in this information statement/prospectus or incorporated by reference subsequent to the date of this information statement/prospectus as described below. This information statement/prospectus also contains summaries of certain provisions contained in some of the Weatherford or NCS documents described herein, but reference is made to the actual documents for complete information. All of the summaries are qualified in their entirety by reference to the actual documents. Some documents or information, such as that called for by Items 2.02 and 7.01 of Form 8-K, or the exhibits related thereto under Item 9.01 of Form 8-K, are deemed furnished and not filed in accordance with SEC rules. None of those documents and none of that information is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incorporates by reference the documents listed below that Weatherford and NCS have previously filed with the SEC. These documents contain important information about the companies, their respective financial condition and other matters. </w:t>
      </w:r>
    </w:p>
    <w:tbl>
      <w:tblPr>
        <w:tblW w:w="8812" w:type="dxa"/>
        <w:jc w:val="left"/>
        <w:tblInd w:w="1393" w:type="dxa"/>
        <w:tblLayout w:type="fixed"/>
        <w:tblCellMar>
          <w:top w:w="0" w:type="dxa"/>
          <w:left w:w="0" w:type="dxa"/>
          <w:bottom w:w="43" w:type="dxa"/>
          <w:right w:w="0" w:type="dxa"/>
        </w:tblCellMar>
      </w:tblPr>
      <w:tblGrid>
        <w:gridCol w:w="5630"/>
        <w:gridCol w:w="109"/>
        <w:gridCol w:w="109"/>
        <w:gridCol w:w="2809"/>
        <w:gridCol w:w="155"/>
      </w:tblGrid>
      <w:tr>
        <w:trPr/>
        <w:tc>
          <w:tcPr>
            <w:tcW w:w="5630" w:type="dxa"/>
            <w:tcBorders>
              <w:bottom w:val="single" w:sz="2" w:space="0" w:color="000000"/>
            </w:tcBorders>
            <w:vAlign w:val="center"/>
          </w:tcPr>
          <w:p>
            <w:pPr>
              <w:pStyle w:val="TableContents"/>
              <w:bidi w:val="0"/>
              <w:spacing w:before="0" w:after="283"/>
              <w:jc w:val="left"/>
              <w:rPr/>
            </w:pPr>
            <w:r>
              <w:rPr>
                <w:spacing w:val="-3"/>
              </w:rPr>
              <w:t>Weatherford SEC Filings</w:t>
            </w:r>
            <w:r>
              <w:rPr/>
              <w:t xml:space="preserve"> </w:t>
              <w:br/>
            </w:r>
            <w:r>
              <w:rPr>
                <w:spacing w:val="-3"/>
              </w:rPr>
              <w:t xml:space="preserve">(File No. 001-36504)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9"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Weatherford’s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1">
              <w:r>
                <w:rPr>
                  <w:rStyle w:val="InternetLink"/>
                  <w:spacing w:val="4"/>
                </w:rPr>
                <w:t>Year ended December 31, 2025, filed on February 4,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pPr>
            <w:r>
              <w:rPr>
                <w:spacing w:val="4"/>
              </w:rPr>
              <w:t xml:space="preserve">Filed on </w:t>
            </w:r>
            <w:hyperlink r:id="rId12">
              <w:r>
                <w:rPr>
                  <w:rStyle w:val="InternetLink"/>
                  <w:spacing w:val="4"/>
                </w:rPr>
                <w:t>April 2, 2026</w:t>
              </w:r>
            </w:hyperlink>
            <w:r>
              <w:rPr>
                <w:spacing w:val="4"/>
              </w:rPr>
              <w:t xml:space="preserve">, </w:t>
            </w:r>
            <w:hyperlink r:id="rId13">
              <w:r>
                <w:rPr>
                  <w:rStyle w:val="InternetLink"/>
                  <w:spacing w:val="4"/>
                </w:rPr>
                <w:t>June 1, 2026</w:t>
              </w:r>
            </w:hyperlink>
            <w:r>
              <w:rPr>
                <w:spacing w:val="4"/>
              </w:rPr>
              <w:t xml:space="preserve">, and on </w:t>
            </w:r>
            <w:hyperlink r:id="rId14">
              <w:r>
                <w:rPr>
                  <w:rStyle w:val="InternetLink"/>
                  <w:spacing w:val="4"/>
                </w:rPr>
                <w:t>June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Proxy Statements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pPr>
            <w:hyperlink r:id="rId15">
              <w:r>
                <w:rPr>
                  <w:rStyle w:val="InternetLink"/>
                  <w:spacing w:val="4"/>
                </w:rPr>
                <w:t>Filed on April 21, 2026</w:t>
              </w:r>
            </w:hyperlink>
            <w:r>
              <w:rPr>
                <w:spacing w:val="4"/>
              </w:rPr>
              <w:t xml:space="preserve">, and on </w:t>
            </w:r>
            <w:hyperlink r:id="rId16">
              <w:r>
                <w:rPr>
                  <w:rStyle w:val="InternetLink"/>
                  <w:spacing w:val="4"/>
                </w:rPr>
                <w:t>July 13,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pPr>
            <w:hyperlink r:id="rId17">
              <w:r>
                <w:rPr>
                  <w:rStyle w:val="InternetLink"/>
                  <w:spacing w:val="4"/>
                </w:rPr>
                <w:t>Exhibit 4.1</w:t>
              </w:r>
            </w:hyperlink>
            <w:r>
              <w:rPr>
                <w:spacing w:val="4"/>
              </w:rPr>
              <w:t xml:space="preserve"> to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spacing w:val="4"/>
              </w:rPr>
            </w:pPr>
            <w:r>
              <w:rPr>
                <w:spacing w:val="4"/>
              </w:rPr>
              <w:t xml:space="preserve">Year ended December 31, 2021, filed on February 17, 2022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8">
              <w:r>
                <w:rPr>
                  <w:rStyle w:val="InternetLink"/>
                  <w:spacing w:val="4"/>
                </w:rPr>
                <w:t>Quarter ended March 31, 2026, filed on 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661"/>
        <w:gridCol w:w="109"/>
        <w:gridCol w:w="109"/>
        <w:gridCol w:w="2778"/>
        <w:gridCol w:w="155"/>
      </w:tblGrid>
      <w:tr>
        <w:trPr/>
        <w:tc>
          <w:tcPr>
            <w:tcW w:w="5661" w:type="dxa"/>
            <w:tcBorders>
              <w:bottom w:val="single" w:sz="2" w:space="0" w:color="000000"/>
            </w:tcBorders>
            <w:vAlign w:val="center"/>
          </w:tcPr>
          <w:p>
            <w:pPr>
              <w:pStyle w:val="TableContents"/>
              <w:bidi w:val="0"/>
              <w:spacing w:before="0" w:after="283"/>
              <w:jc w:val="left"/>
              <w:rPr/>
            </w:pPr>
            <w:r>
              <w:rPr>
                <w:spacing w:val="-3"/>
              </w:rPr>
              <w:t>NCS SEC Filings</w:t>
            </w:r>
            <w:r>
              <w:rPr/>
              <w:t xml:space="preserve"> </w:t>
              <w:br/>
            </w:r>
            <w:r>
              <w:rPr>
                <w:spacing w:val="-3"/>
              </w:rPr>
              <w:t xml:space="preserve">(File No. 001-38071)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78"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NCS’s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19">
              <w:r>
                <w:rPr>
                  <w:rStyle w:val="InternetLink"/>
                  <w:spacing w:val="4"/>
                </w:rPr>
                <w:t>Year ended December 31, 2025, filed on March 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283"/>
              <w:jc w:val="left"/>
              <w:rPr/>
            </w:pPr>
            <w:r>
              <w:rPr>
                <w:spacing w:val="4"/>
              </w:rPr>
              <w:t xml:space="preserve">Filed on </w:t>
            </w:r>
            <w:hyperlink r:id="rId20">
              <w:r>
                <w:rPr>
                  <w:rStyle w:val="InternetLink"/>
                  <w:spacing w:val="4"/>
                </w:rPr>
                <w:t>May 27, 2026</w:t>
              </w:r>
            </w:hyperlink>
            <w:r>
              <w:rPr>
                <w:spacing w:val="4"/>
              </w:rPr>
              <w:t xml:space="preserve">, and on </w:t>
            </w:r>
            <w:hyperlink r:id="rId21">
              <w:r>
                <w:rPr>
                  <w:rStyle w:val="InternetLink"/>
                  <w:spacing w:val="4"/>
                </w:rPr>
                <w:t>June 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2">
              <w:r>
                <w:rPr>
                  <w:rStyle w:val="InternetLink"/>
                  <w:spacing w:val="4"/>
                </w:rPr>
                <w:t>Filed on April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3">
              <w:r>
                <w:rPr>
                  <w:rStyle w:val="InternetLink"/>
                  <w:spacing w:val="4"/>
                </w:rPr>
                <w:t>Quarter ended March 31, 2026, filed on April 30,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NCS incorporate by reference any future filings they make with the SEC under Section 13(a), 13(c), 14, or 15(d) of the Exchange Act after the date of the initial filing and prior to the completion of the Transaction (excluding, in each case, any current reports on Form 8-K to the extent disclosure is furnished and not filed). Such documents are considered to be a part of this information statement/prospectus, effective as of the date such documents are filed.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these documents from the SEC, through the SEC’s website at the address described above. You can also obtain any of these documents free of charge by requesting them in writing at the following addresses and telephone numbers: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conflicting information in this information statement/prospectus in comparison to any document incorporated by reference into this information statement/prospectus, or among documents incorporated by reference, the information in the latest filed document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incorporated document. Neither NCS’s mailing of this information statement/prospectus to NCS stockholders nor the issuance by Weatherford of Weatherford Ordinary Shares in the Transaction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contains a description of the representations and warranties that each of Weatherford, Merger Sub, and NCS made in the Merger Agreement. Representations and warranties made by Weatherford, Merger Sub, and NCS are also set forth in contracts and other documents that are attached or filed as exhibits to this information statement/prospectus or are incorporated by reference into this information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incorporated by reference into this information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AN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May 31,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C3"/>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3"/>
        <w:gridCol w:w="109"/>
        <w:gridCol w:w="109"/>
        <w:gridCol w:w="109"/>
        <w:gridCol w:w="109"/>
        <w:gridCol w:w="499"/>
        <w:gridCol w:w="109"/>
        <w:gridCol w:w="155"/>
      </w:tblGrid>
      <w:tr>
        <w:trPr/>
        <w:tc>
          <w:tcPr>
            <w:tcW w:w="7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A-2</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TM">
              <w:r>
                <w:rPr>
                  <w:rStyle w:val="InternetLink"/>
                  <w:spacing w:val="4"/>
                </w:rPr>
                <w:t xml:space="preserve">The Merger </w:t>
              </w:r>
            </w:hyperlink>
            <w:r>
              <mc:AlternateContent>
                <mc:Choice Requires="wps">
                  <w:drawing>
                    <wp:anchor behindDoc="0" distT="0" distB="0" distL="127000" distR="0" simplePos="0" locked="0" layoutInCell="1" allowOverlap="1" relativeHeight="364">
                      <wp:simplePos x="0" y="0"/>
                      <wp:positionH relativeFrom="column">
                        <wp:align>left</wp:align>
                      </wp:positionH>
                      <wp:positionV relativeFrom="line">
                        <wp:posOffset>635</wp:posOffset>
                      </wp:positionV>
                      <wp:extent cx="8001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TM">
              <w:r>
                <w:rPr>
                  <w:rStyle w:val="InternetLink"/>
                  <w:spacing w:val="4"/>
                </w:rPr>
                <w:t>A-2</w:t>
              </w:r>
            </w:hyperlink>
            <w:hyperlink w:anchor="tS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CT">
              <w:r>
                <w:rPr>
                  <w:rStyle w:val="InternetLink"/>
                  <w:spacing w:val="4"/>
                </w:rPr>
                <w:t xml:space="preserve">Closing </w:t>
              </w:r>
            </w:hyperlink>
            <w:r>
              <mc:AlternateContent>
                <mc:Choice Requires="wps">
                  <w:drawing>
                    <wp:anchor behindDoc="0" distT="0" distB="0" distL="127000" distR="0" simplePos="0" locked="0" layoutInCell="1" allowOverlap="1" relativeHeight="365">
                      <wp:simplePos x="0" y="0"/>
                      <wp:positionH relativeFrom="column">
                        <wp:align>left</wp:align>
                      </wp:positionH>
                      <wp:positionV relativeFrom="line">
                        <wp:posOffset>635</wp:posOffset>
                      </wp:positionV>
                      <wp:extent cx="8001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CT">
              <w:r>
                <w:rPr>
                  <w:rStyle w:val="InternetLink"/>
                  <w:spacing w:val="4"/>
                </w:rPr>
                <w:t>A-2</w:t>
              </w:r>
            </w:hyperlink>
            <w:hyperlink w:anchor="tS1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ET">
              <w:r>
                <w:rPr>
                  <w:rStyle w:val="InternetLink"/>
                  <w:spacing w:val="4"/>
                </w:rPr>
                <w:t xml:space="preserve">Effective Time </w:t>
              </w:r>
            </w:hyperlink>
            <w:r>
              <mc:AlternateContent>
                <mc:Choice Requires="wps">
                  <w:drawing>
                    <wp:anchor behindDoc="0" distT="0" distB="0" distL="127000" distR="0" simplePos="0" locked="0" layoutInCell="1" allowOverlap="1" relativeHeight="366">
                      <wp:simplePos x="0" y="0"/>
                      <wp:positionH relativeFrom="column">
                        <wp:align>left</wp:align>
                      </wp:positionH>
                      <wp:positionV relativeFrom="line">
                        <wp:posOffset>635</wp:posOffset>
                      </wp:positionV>
                      <wp:extent cx="8001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ET">
              <w:r>
                <w:rPr>
                  <w:rStyle w:val="InternetLink"/>
                  <w:spacing w:val="4"/>
                </w:rPr>
                <w:t>A-2</w:t>
              </w:r>
            </w:hyperlink>
            <w:hyperlink w:anchor="tS1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EO">
              <w:r>
                <w:rPr>
                  <w:rStyle w:val="InternetLink"/>
                  <w:spacing w:val="4"/>
                </w:rPr>
                <w:t xml:space="preserve">Effects of the Merger </w:t>
              </w:r>
            </w:hyperlink>
            <w:r>
              <mc:AlternateContent>
                <mc:Choice Requires="wps">
                  <w:drawing>
                    <wp:anchor behindDoc="0" distT="0" distB="0" distL="127000" distR="0" simplePos="0" locked="0" layoutInCell="1" allowOverlap="1" relativeHeight="367">
                      <wp:simplePos x="0" y="0"/>
                      <wp:positionH relativeFrom="column">
                        <wp:align>left</wp:align>
                      </wp:positionH>
                      <wp:positionV relativeFrom="line">
                        <wp:posOffset>635</wp:posOffset>
                      </wp:positionV>
                      <wp:extent cx="8001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EO">
              <w:r>
                <w:rPr>
                  <w:rStyle w:val="InternetLink"/>
                  <w:spacing w:val="4"/>
                </w:rPr>
                <w:t>A-2</w:t>
              </w:r>
            </w:hyperlink>
            <w:hyperlink w:anchor="tS1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CO">
              <w:r>
                <w:rPr>
                  <w:rStyle w:val="InternetLink"/>
                  <w:spacing w:val="4"/>
                </w:rPr>
                <w:t xml:space="preserve">Certificate of Incorporation; Bylaws </w:t>
              </w:r>
            </w:hyperlink>
            <w:r>
              <mc:AlternateContent>
                <mc:Choice Requires="wps">
                  <w:drawing>
                    <wp:anchor behindDoc="0" distT="0" distB="0" distL="127000" distR="0" simplePos="0" locked="0" layoutInCell="1" allowOverlap="1" relativeHeight="368">
                      <wp:simplePos x="0" y="0"/>
                      <wp:positionH relativeFrom="column">
                        <wp:align>left</wp:align>
                      </wp:positionH>
                      <wp:positionV relativeFrom="line">
                        <wp:posOffset>635</wp:posOffset>
                      </wp:positionV>
                      <wp:extent cx="8001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CO">
              <w:r>
                <w:rPr>
                  <w:rStyle w:val="InternetLink"/>
                  <w:spacing w:val="4"/>
                </w:rPr>
                <w:t>A-2</w:t>
              </w:r>
            </w:hyperlink>
            <w:hyperlink w:anchor="tS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DF">
              <w:r>
                <w:rPr>
                  <w:rStyle w:val="InternetLink"/>
                  <w:spacing w:val="4"/>
                </w:rPr>
                <w:t xml:space="preserve">Directors </w:t>
              </w:r>
            </w:hyperlink>
            <w:r>
              <mc:AlternateContent>
                <mc:Choice Requires="wps">
                  <w:drawing>
                    <wp:anchor behindDoc="0" distT="0" distB="0" distL="127000" distR="0" simplePos="0" locked="0" layoutInCell="1" allowOverlap="1" relativeHeight="369">
                      <wp:simplePos x="0" y="0"/>
                      <wp:positionH relativeFrom="column">
                        <wp:align>left</wp:align>
                      </wp:positionH>
                      <wp:positionV relativeFrom="line">
                        <wp:posOffset>635</wp:posOffset>
                      </wp:positionV>
                      <wp:extent cx="8001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DF">
              <w:r>
                <w:rPr>
                  <w:rStyle w:val="InternetLink"/>
                  <w:spacing w:val="4"/>
                </w:rPr>
                <w:t>A-3</w:t>
              </w:r>
            </w:hyperlink>
            <w:hyperlink w:anchor="tS1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OF">
              <w:r>
                <w:rPr>
                  <w:rStyle w:val="InternetLink"/>
                  <w:spacing w:val="4"/>
                </w:rPr>
                <w:t xml:space="preserve">Officers </w:t>
              </w:r>
            </w:hyperlink>
            <w:r>
              <mc:AlternateContent>
                <mc:Choice Requires="wps">
                  <w:drawing>
                    <wp:anchor behindDoc="0" distT="0" distB="0" distL="127000" distR="0" simplePos="0" locked="0" layoutInCell="1" allowOverlap="1" relativeHeight="370">
                      <wp:simplePos x="0" y="0"/>
                      <wp:positionH relativeFrom="column">
                        <wp:align>left</wp:align>
                      </wp:positionH>
                      <wp:positionV relativeFrom="line">
                        <wp:posOffset>635</wp:posOffset>
                      </wp:positionV>
                      <wp:extent cx="8001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OF">
              <w:r>
                <w:rPr>
                  <w:rStyle w:val="InternetLink"/>
                  <w:spacing w:val="4"/>
                </w:rPr>
                <w:t>A-3</w:t>
              </w:r>
            </w:hyperlink>
            <w:hyperlink w:anchor="tS1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ind w:left="200" w:right="0" w:hanging="200"/>
              <w:jc w:val="left"/>
              <w:rPr/>
            </w:pPr>
            <w:hyperlink w:anchor="tARII">
              <w:r>
                <w:rPr>
                  <w:rStyle w:val="InternetLink"/>
                  <w:spacing w:val="4"/>
                </w:rPr>
                <w:t xml:space="preserve">ARTICLE II EFFECT ON THE CAPITAL STOCK OF THE CONSTITUENT CORPORATIONS; EXCHANGE OF CERTIFICATES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RII">
              <w:r>
                <w:rPr>
                  <w:rStyle w:val="InternetLink"/>
                  <w:spacing w:val="4"/>
                </w:rPr>
                <w:t>A-3</w:t>
              </w:r>
            </w:hyperlink>
            <w:hyperlink w:anchor="tARI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CO">
              <w:r>
                <w:rPr>
                  <w:rStyle w:val="InternetLink"/>
                  <w:spacing w:val="4"/>
                </w:rPr>
                <w:t xml:space="preserve">Conversion of Capital Stock </w:t>
              </w:r>
            </w:hyperlink>
            <w:r>
              <mc:AlternateContent>
                <mc:Choice Requires="wps">
                  <w:drawing>
                    <wp:anchor behindDoc="0" distT="0" distB="0" distL="127000" distR="0" simplePos="0" locked="0" layoutInCell="1" allowOverlap="1" relativeHeight="371">
                      <wp:simplePos x="0" y="0"/>
                      <wp:positionH relativeFrom="column">
                        <wp:align>left</wp:align>
                      </wp:positionH>
                      <wp:positionV relativeFrom="line">
                        <wp:posOffset>635</wp:posOffset>
                      </wp:positionV>
                      <wp:extent cx="8001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CO">
              <w:r>
                <w:rPr>
                  <w:rStyle w:val="InternetLink"/>
                  <w:spacing w:val="4"/>
                </w:rPr>
                <w:t>A-3</w:t>
              </w:r>
            </w:hyperlink>
            <w:hyperlink w:anchor="tS2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O">
              <w:r>
                <w:rPr>
                  <w:rStyle w:val="InternetLink"/>
                  <w:spacing w:val="4"/>
                </w:rPr>
                <w:t xml:space="preserve">Treatment of Equity-Based Awards </w:t>
              </w:r>
            </w:hyperlink>
            <w:r>
              <mc:AlternateContent>
                <mc:Choice Requires="wps">
                  <w:drawing>
                    <wp:anchor behindDoc="0" distT="0" distB="0" distL="127000" distR="0" simplePos="0" locked="0" layoutInCell="1" allowOverlap="1" relativeHeight="372">
                      <wp:simplePos x="0" y="0"/>
                      <wp:positionH relativeFrom="column">
                        <wp:align>left</wp:align>
                      </wp:positionH>
                      <wp:positionV relativeFrom="line">
                        <wp:posOffset>635</wp:posOffset>
                      </wp:positionV>
                      <wp:extent cx="8001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TO">
              <w:r>
                <w:rPr>
                  <w:rStyle w:val="InternetLink"/>
                  <w:spacing w:val="4"/>
                </w:rPr>
                <w:t>A-4</w:t>
              </w:r>
            </w:hyperlink>
            <w:hyperlink w:anchor="tS2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
              <w:r>
                <w:rPr>
                  <w:rStyle w:val="InternetLink"/>
                  <w:spacing w:val="4"/>
                </w:rPr>
                <w:t xml:space="preserve">Exchange </w:t>
              </w:r>
            </w:hyperlink>
            <w:r>
              <mc:AlternateContent>
                <mc:Choice Requires="wps">
                  <w:drawing>
                    <wp:anchor behindDoc="0" distT="0" distB="0" distL="127000" distR="0" simplePos="0" locked="0" layoutInCell="1" allowOverlap="1" relativeHeight="373">
                      <wp:simplePos x="0" y="0"/>
                      <wp:positionH relativeFrom="column">
                        <wp:align>left</wp:align>
                      </wp:positionH>
                      <wp:positionV relativeFrom="line">
                        <wp:posOffset>635</wp:posOffset>
                      </wp:positionV>
                      <wp:extent cx="8001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
              <w:r>
                <w:rPr>
                  <w:rStyle w:val="InternetLink"/>
                  <w:spacing w:val="4"/>
                </w:rPr>
                <w:t>A-6</w:t>
              </w:r>
            </w:hyperlink>
            <w:hyperlink w:anchor="tS2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A">
              <w:r>
                <w:rPr>
                  <w:rStyle w:val="InternetLink"/>
                  <w:spacing w:val="4"/>
                </w:rPr>
                <w:t xml:space="preserve">No Appraisal Rights </w:t>
              </w:r>
            </w:hyperlink>
            <w:r>
              <mc:AlternateContent>
                <mc:Choice Requires="wps">
                  <w:drawing>
                    <wp:anchor behindDoc="0" distT="0" distB="0" distL="127000" distR="0" simplePos="0" locked="0" layoutInCell="1" allowOverlap="1" relativeHeight="374">
                      <wp:simplePos x="0" y="0"/>
                      <wp:positionH relativeFrom="column">
                        <wp:align>left</wp:align>
                      </wp:positionH>
                      <wp:positionV relativeFrom="line">
                        <wp:posOffset>635</wp:posOffset>
                      </wp:positionV>
                      <wp:extent cx="8001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NA">
              <w:r>
                <w:rPr>
                  <w:rStyle w:val="InternetLink"/>
                  <w:spacing w:val="4"/>
                </w:rPr>
                <w:t>A-8</w:t>
              </w:r>
            </w:hyperlink>
            <w:hyperlink w:anchor="tS2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P">
              <w:r>
                <w:rPr>
                  <w:rStyle w:val="InternetLink"/>
                  <w:spacing w:val="4"/>
                </w:rPr>
                <w:t xml:space="preserve">Election Procedures </w:t>
              </w:r>
            </w:hyperlink>
            <w:r>
              <mc:AlternateContent>
                <mc:Choice Requires="wps">
                  <w:drawing>
                    <wp:anchor behindDoc="0" distT="0" distB="0" distL="127000" distR="0" simplePos="0" locked="0" layoutInCell="1" allowOverlap="1" relativeHeight="375">
                      <wp:simplePos x="0" y="0"/>
                      <wp:positionH relativeFrom="column">
                        <wp:align>left</wp:align>
                      </wp:positionH>
                      <wp:positionV relativeFrom="line">
                        <wp:posOffset>635</wp:posOffset>
                      </wp:positionV>
                      <wp:extent cx="8001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P">
              <w:r>
                <w:rPr>
                  <w:rStyle w:val="InternetLink"/>
                  <w:spacing w:val="4"/>
                </w:rPr>
                <w:t>A-8</w:t>
              </w:r>
            </w:hyperlink>
            <w:hyperlink w:anchor="tS2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IT">
              <w:r>
                <w:rPr>
                  <w:rStyle w:val="InternetLink"/>
                  <w:spacing w:val="4"/>
                </w:rPr>
                <w:t xml:space="preserve">Intended Tax Treatment </w:t>
              </w:r>
            </w:hyperlink>
            <w:r>
              <mc:AlternateContent>
                <mc:Choice Requires="wps">
                  <w:drawing>
                    <wp:anchor behindDoc="0" distT="0" distB="0" distL="127000" distR="0" simplePos="0" locked="0" layoutInCell="1" allowOverlap="1" relativeHeight="376">
                      <wp:simplePos x="0" y="0"/>
                      <wp:positionH relativeFrom="column">
                        <wp:align>left</wp:align>
                      </wp:positionH>
                      <wp:positionV relativeFrom="line">
                        <wp:posOffset>635</wp:posOffset>
                      </wp:positionV>
                      <wp:extent cx="8001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IT">
              <w:r>
                <w:rPr>
                  <w:rStyle w:val="InternetLink"/>
                  <w:spacing w:val="4"/>
                </w:rPr>
                <w:t>A-9</w:t>
              </w:r>
            </w:hyperlink>
            <w:hyperlink w:anchor="tS2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ARII1">
              <w:r>
                <w:rPr>
                  <w:rStyle w:val="InternetLink"/>
                  <w:spacing w:val="4"/>
                </w:rPr>
                <w:t>A-10</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77">
                      <wp:simplePos x="0" y="0"/>
                      <wp:positionH relativeFrom="column">
                        <wp:align>left</wp:align>
                      </wp:positionH>
                      <wp:positionV relativeFrom="line">
                        <wp:posOffset>635</wp:posOffset>
                      </wp:positionV>
                      <wp:extent cx="8001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OS">
              <w:r>
                <w:rPr>
                  <w:rStyle w:val="InternetLink"/>
                  <w:spacing w:val="4"/>
                </w:rPr>
                <w:t>A-10</w:t>
              </w:r>
            </w:hyperlink>
            <w:hyperlink w:anchor="tS3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S">
              <w:r>
                <w:rPr>
                  <w:rStyle w:val="InternetLink"/>
                  <w:spacing w:val="4"/>
                </w:rPr>
                <w:t xml:space="preserve">Capital Stock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8001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S">
              <w:r>
                <w:rPr>
                  <w:rStyle w:val="InternetLink"/>
                  <w:spacing w:val="4"/>
                </w:rPr>
                <w:t>A-11</w:t>
              </w:r>
            </w:hyperlink>
            <w:hyperlink w:anchor="tS3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SS">
              <w:r>
                <w:rPr>
                  <w:rStyle w:val="InternetLink"/>
                  <w:spacing w:val="4"/>
                </w:rPr>
                <w:t xml:space="preserve">Subsidiaries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8001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SS">
              <w:r>
                <w:rPr>
                  <w:rStyle w:val="InternetLink"/>
                  <w:spacing w:val="4"/>
                </w:rPr>
                <w:t>A-12</w:t>
              </w:r>
            </w:hyperlink>
            <w:hyperlink w:anchor="tS3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A">
              <w:r>
                <w:rPr>
                  <w:rStyle w:val="InternetLink"/>
                  <w:spacing w:val="4"/>
                </w:rPr>
                <w:t xml:space="preserve">Authority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8001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A">
              <w:r>
                <w:rPr>
                  <w:rStyle w:val="InternetLink"/>
                  <w:spacing w:val="4"/>
                </w:rPr>
                <w:t>A-12</w:t>
              </w:r>
            </w:hyperlink>
            <w:hyperlink w:anchor="tS3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8001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C">
              <w:r>
                <w:rPr>
                  <w:rStyle w:val="InternetLink"/>
                  <w:spacing w:val="4"/>
                </w:rPr>
                <w:t>A-13</w:t>
              </w:r>
            </w:hyperlink>
            <w:hyperlink w:anchor="tS3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8001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R">
              <w:r>
                <w:rPr>
                  <w:rStyle w:val="InternetLink"/>
                  <w:spacing w:val="4"/>
                </w:rPr>
                <w:t>A-14</w:t>
              </w:r>
            </w:hyperlink>
            <w:hyperlink w:anchor="tS3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8001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U">
              <w:r>
                <w:rPr>
                  <w:rStyle w:val="InternetLink"/>
                  <w:spacing w:val="4"/>
                </w:rPr>
                <w:t>A-15</w:t>
              </w:r>
            </w:hyperlink>
            <w:hyperlink w:anchor="tS3N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I">
              <w:r>
                <w:rPr>
                  <w:rStyle w:val="InternetLink"/>
                  <w:spacing w:val="4"/>
                </w:rPr>
                <w:t xml:space="preserve">Certain Information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8001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I">
              <w:r>
                <w:rPr>
                  <w:rStyle w:val="InternetLink"/>
                  <w:spacing w:val="4"/>
                </w:rPr>
                <w:t>A-15</w:t>
              </w:r>
            </w:hyperlink>
            <w:hyperlink w:anchor="tS3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8001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AO">
              <w:r>
                <w:rPr>
                  <w:rStyle w:val="InternetLink"/>
                  <w:spacing w:val="4"/>
                </w:rPr>
                <w:t>A-15</w:t>
              </w:r>
            </w:hyperlink>
            <w:hyperlink w:anchor="tS3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LE">
              <w:r>
                <w:rPr>
                  <w:rStyle w:val="InternetLink"/>
                  <w:spacing w:val="4"/>
                </w:rPr>
                <w:t xml:space="preserve">Litigation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800100" cy="525780"/>
                      <wp:effectExtent l="0" t="0" r="0" b="0"/>
                      <wp:wrapSquare wrapText="right"/>
                      <wp:docPr id="371" name="Frame37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LE">
              <w:r>
                <w:rPr>
                  <w:rStyle w:val="InternetLink"/>
                  <w:spacing w:val="4"/>
                </w:rPr>
                <w:t>A-15</w:t>
              </w:r>
            </w:hyperlink>
            <w:hyperlink w:anchor="tS3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W">
              <w:r>
                <w:rPr>
                  <w:rStyle w:val="InternetLink"/>
                  <w:spacing w:val="4"/>
                </w:rPr>
                <w:t xml:space="preserve">Compliance with Laws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800100" cy="525780"/>
                      <wp:effectExtent l="0" t="0" r="0" b="0"/>
                      <wp:wrapSquare wrapText="right"/>
                      <wp:docPr id="372" name="Frame37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CW">
              <w:r>
                <w:rPr>
                  <w:rStyle w:val="InternetLink"/>
                  <w:spacing w:val="4"/>
                </w:rPr>
                <w:t>A-16</w:t>
              </w:r>
            </w:hyperlink>
            <w:hyperlink w:anchor="tS3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BP">
              <w:r>
                <w:rPr>
                  <w:rStyle w:val="InternetLink"/>
                  <w:spacing w:val="4"/>
                </w:rPr>
                <w:t xml:space="preserve">Benefit Plans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800100" cy="525780"/>
                      <wp:effectExtent l="0" t="0" r="0" b="0"/>
                      <wp:wrapSquare wrapText="right"/>
                      <wp:docPr id="373" name="Frame37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BP">
              <w:r>
                <w:rPr>
                  <w:rStyle w:val="InternetLink"/>
                  <w:spacing w:val="4"/>
                </w:rPr>
                <w:t>A-16</w:t>
              </w:r>
            </w:hyperlink>
            <w:hyperlink w:anchor="tS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LM">
              <w:r>
                <w:rPr>
                  <w:rStyle w:val="InternetLink"/>
                  <w:spacing w:val="4"/>
                </w:rPr>
                <w:t xml:space="preserve">Labor Matters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800100" cy="525780"/>
                      <wp:effectExtent l="0" t="0" r="0" b="0"/>
                      <wp:wrapSquare wrapText="right"/>
                      <wp:docPr id="374" name="Frame37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LM">
              <w:r>
                <w:rPr>
                  <w:rStyle w:val="InternetLink"/>
                  <w:spacing w:val="4"/>
                </w:rPr>
                <w:t>A-18</w:t>
              </w:r>
            </w:hyperlink>
            <w:hyperlink w:anchor="tS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800100" cy="525780"/>
                      <wp:effectExtent l="0" t="0" r="0" b="0"/>
                      <wp:wrapSquare wrapText="right"/>
                      <wp:docPr id="375" name="Frame37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EM">
              <w:r>
                <w:rPr>
                  <w:rStyle w:val="InternetLink"/>
                  <w:spacing w:val="4"/>
                </w:rPr>
                <w:t>A-19</w:t>
              </w:r>
            </w:hyperlink>
            <w:hyperlink w:anchor="tS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TE">
              <w:r>
                <w:rPr>
                  <w:rStyle w:val="InternetLink"/>
                  <w:spacing w:val="4"/>
                </w:rPr>
                <w:t xml:space="preserve">Taxes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800100" cy="525780"/>
                      <wp:effectExtent l="0" t="0" r="0" b="0"/>
                      <wp:wrapSquare wrapText="right"/>
                      <wp:docPr id="376" name="Frame3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TE">
              <w:r>
                <w:rPr>
                  <w:rStyle w:val="InternetLink"/>
                  <w:spacing w:val="4"/>
                </w:rPr>
                <w:t>A-20</w:t>
              </w:r>
            </w:hyperlink>
            <w:hyperlink w:anchor="tS3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
              <w:r>
                <w:rPr>
                  <w:rStyle w:val="InternetLink"/>
                  <w:spacing w:val="4"/>
                </w:rPr>
                <w:t xml:space="preserve">Contracts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800100" cy="525780"/>
                      <wp:effectExtent l="0" t="0" r="0" b="0"/>
                      <wp:wrapSquare wrapText="right"/>
                      <wp:docPr id="377" name="Frame3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
              <w:r>
                <w:rPr>
                  <w:rStyle w:val="InternetLink"/>
                  <w:spacing w:val="4"/>
                </w:rPr>
                <w:t>A-21</w:t>
              </w:r>
            </w:hyperlink>
            <w:hyperlink w:anchor="t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T">
              <w:r>
                <w:rPr>
                  <w:rStyle w:val="InternetLink"/>
                  <w:spacing w:val="4"/>
                </w:rPr>
                <w:t xml:space="preserve">Insurance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800100" cy="525780"/>
                      <wp:effectExtent l="0" t="0" r="0" b="0"/>
                      <wp:wrapSquare wrapText="right"/>
                      <wp:docPr id="378" name="Frame3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T">
              <w:r>
                <w:rPr>
                  <w:rStyle w:val="InternetLink"/>
                  <w:spacing w:val="4"/>
                </w:rPr>
                <w:t>A-22</w:t>
              </w:r>
            </w:hyperlink>
            <w:hyperlink w:anchor="tS3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
              <w:r>
                <w:rPr>
                  <w:rStyle w:val="InternetLink"/>
                  <w:spacing w:val="4"/>
                </w:rPr>
                <w:t xml:space="preserve">Real Property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800100" cy="525780"/>
                      <wp:effectExtent l="0" t="0" r="0" b="0"/>
                      <wp:wrapSquare wrapText="right"/>
                      <wp:docPr id="379" name="Frame3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
              <w:r>
                <w:rPr>
                  <w:rStyle w:val="InternetLink"/>
                  <w:spacing w:val="4"/>
                </w:rPr>
                <w:t>A-23</w:t>
              </w:r>
            </w:hyperlink>
            <w:hyperlink w:anchor="tS3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800100" cy="525780"/>
                      <wp:effectExtent l="0" t="0" r="0" b="0"/>
                      <wp:wrapSquare wrapText="right"/>
                      <wp:docPr id="380" name="Frame3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P">
              <w:r>
                <w:rPr>
                  <w:rStyle w:val="InternetLink"/>
                  <w:spacing w:val="4"/>
                </w:rPr>
                <w:t>A-23</w:t>
              </w:r>
            </w:hyperlink>
            <w:hyperlink w:anchor="tS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800100" cy="525780"/>
                      <wp:effectExtent l="0" t="0" r="0" b="0"/>
                      <wp:wrapSquare wrapText="right"/>
                      <wp:docPr id="381" name="Frame3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T">
              <w:r>
                <w:rPr>
                  <w:rStyle w:val="InternetLink"/>
                  <w:spacing w:val="4"/>
                </w:rPr>
                <w:t>A-24</w:t>
              </w:r>
            </w:hyperlink>
            <w:hyperlink w:anchor="tS3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R">
              <w:r>
                <w:rPr>
                  <w:rStyle w:val="InternetLink"/>
                  <w:spacing w:val="4"/>
                </w:rPr>
                <w:t xml:space="preserve">No Rights Plan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800100" cy="525780"/>
                      <wp:effectExtent l="0" t="0" r="0" b="0"/>
                      <wp:wrapSquare wrapText="right"/>
                      <wp:docPr id="382" name="Frame3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R">
              <w:r>
                <w:rPr>
                  <w:rStyle w:val="InternetLink"/>
                  <w:spacing w:val="4"/>
                </w:rPr>
                <w:t>A-24</w:t>
              </w:r>
            </w:hyperlink>
            <w:hyperlink w:anchor="tS3N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800100" cy="525780"/>
                      <wp:effectExtent l="0" t="0" r="0" b="0"/>
                      <wp:wrapSquare wrapText="right"/>
                      <wp:docPr id="383" name="Frame3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1">
              <w:r>
                <w:rPr>
                  <w:rStyle w:val="InternetLink"/>
                  <w:spacing w:val="4"/>
                </w:rPr>
                <w:t>A-24</w:t>
              </w:r>
            </w:hyperlink>
            <w:hyperlink w:anchor="tS3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C4"/>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7"/>
        <w:gridCol w:w="109"/>
        <w:gridCol w:w="109"/>
        <w:gridCol w:w="109"/>
        <w:gridCol w:w="109"/>
        <w:gridCol w:w="505"/>
        <w:gridCol w:w="109"/>
        <w:gridCol w:w="155"/>
      </w:tblGrid>
      <w:tr>
        <w:trPr/>
        <w:tc>
          <w:tcPr>
            <w:tcW w:w="76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PA">
              <w:r>
                <w:rPr>
                  <w:rStyle w:val="InternetLink"/>
                  <w:spacing w:val="4"/>
                </w:rPr>
                <w:t xml:space="preserve">Privacy and Security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800100" cy="525780"/>
                      <wp:effectExtent l="0" t="0" r="0" b="0"/>
                      <wp:wrapSquare wrapText="right"/>
                      <wp:docPr id="384" name="Frame3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PA">
              <w:r>
                <w:rPr>
                  <w:rStyle w:val="InternetLink"/>
                  <w:spacing w:val="4"/>
                </w:rPr>
                <w:t>A-24</w:t>
              </w:r>
            </w:hyperlink>
            <w:hyperlink w:anchor="tS3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40" w:before="0" w:after="0"/>
              <w:ind w:left="1460" w:right="0" w:hanging="0"/>
              <w:jc w:val="left"/>
              <w:rPr/>
            </w:pPr>
            <w:hyperlink w:anchor="tS3RW">
              <w:r>
                <w:rPr>
                  <w:rStyle w:val="InternetLink"/>
                  <w:spacing w:val="4"/>
                </w:rPr>
                <w:t xml:space="preserve">Relations With Governments, etc.; International Trade Matters; Anti-Corruption Matters; Anti-Money Laundering Matters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800100" cy="525780"/>
                      <wp:effectExtent l="0" t="0" r="0" b="0"/>
                      <wp:wrapSquare wrapText="right"/>
                      <wp:docPr id="385" name="Frame3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RW">
              <w:r>
                <w:rPr>
                  <w:rStyle w:val="InternetLink"/>
                  <w:spacing w:val="4"/>
                </w:rPr>
                <w:t>A-25</w:t>
              </w:r>
            </w:hyperlink>
            <w:hyperlink w:anchor="tS3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BE">
              <w:r>
                <w:rPr>
                  <w:rStyle w:val="InternetLink"/>
                  <w:spacing w:val="4"/>
                </w:rPr>
                <w:t xml:space="preserve">Brokers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800100" cy="525780"/>
                      <wp:effectExtent l="0" t="0" r="0" b="0"/>
                      <wp:wrapSquare wrapText="right"/>
                      <wp:docPr id="386" name="Frame38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BE">
              <w:r>
                <w:rPr>
                  <w:rStyle w:val="InternetLink"/>
                  <w:spacing w:val="4"/>
                </w:rPr>
                <w:t>A-26</w:t>
              </w:r>
            </w:hyperlink>
            <w:hyperlink w:anchor="tS3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OO">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800100" cy="525780"/>
                      <wp:effectExtent l="0" t="0" r="0" b="0"/>
                      <wp:wrapSquare wrapText="right"/>
                      <wp:docPr id="387" name="Frame38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OO">
              <w:r>
                <w:rPr>
                  <w:rStyle w:val="InternetLink"/>
                  <w:spacing w:val="4"/>
                </w:rPr>
                <w:t>A-27</w:t>
              </w:r>
            </w:hyperlink>
            <w:hyperlink w:anchor="t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800100" cy="525780"/>
                      <wp:effectExtent l="0" t="0" r="0" b="0"/>
                      <wp:wrapSquare wrapText="right"/>
                      <wp:docPr id="388" name="Frame38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RQ">
              <w:r>
                <w:rPr>
                  <w:rStyle w:val="InternetLink"/>
                  <w:spacing w:val="4"/>
                </w:rPr>
                <w:t>A-27</w:t>
              </w:r>
            </w:hyperlink>
            <w:hyperlink w:anchor="tS3R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TC">
              <w:r>
                <w:rPr>
                  <w:rStyle w:val="InternetLink"/>
                  <w:spacing w:val="4"/>
                </w:rPr>
                <w:t xml:space="preserve">Top Customers and Suppliers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800100" cy="525780"/>
                      <wp:effectExtent l="0" t="0" r="0" b="0"/>
                      <wp:wrapSquare wrapText="right"/>
                      <wp:docPr id="389" name="Frame38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TC">
              <w:r>
                <w:rPr>
                  <w:rStyle w:val="InternetLink"/>
                  <w:spacing w:val="4"/>
                </w:rPr>
                <w:t>A-27</w:t>
              </w:r>
            </w:hyperlink>
            <w:hyperlink w:anchor="tS3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EP">
              <w:r>
                <w:rPr>
                  <w:rStyle w:val="InternetLink"/>
                  <w:spacing w:val="4"/>
                </w:rPr>
                <w:t xml:space="preserve">EU Prospectus Regulation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800100" cy="525780"/>
                      <wp:effectExtent l="0" t="0" r="0" b="0"/>
                      <wp:wrapSquare wrapText="right"/>
                      <wp:docPr id="390" name="Frame38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EP">
              <w:r>
                <w:rPr>
                  <w:rStyle w:val="InternetLink"/>
                  <w:spacing w:val="4"/>
                </w:rPr>
                <w:t>A-27</w:t>
              </w:r>
            </w:hyperlink>
            <w:hyperlink w:anchor="tS3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800100" cy="525780"/>
                      <wp:effectExtent l="0" t="0" r="0" b="0"/>
                      <wp:wrapSquare wrapText="right"/>
                      <wp:docPr id="391" name="Frame39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NO">
              <w:r>
                <w:rPr>
                  <w:rStyle w:val="InternetLink"/>
                  <w:spacing w:val="4"/>
                </w:rPr>
                <w:t>A-27</w:t>
              </w:r>
            </w:hyperlink>
            <w:hyperlink w:anchor="t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200"/>
              <w:jc w:val="left"/>
              <w:rPr/>
            </w:pPr>
            <w:hyperlink w:anchor="tARIV">
              <w:r>
                <w:rPr>
                  <w:rStyle w:val="InternetLink"/>
                  <w:spacing w:val="4"/>
                </w:rPr>
                <w:t>ARTICLE IV REPRESENTATIONS AND WARRANTIES OF PARENT AND MERGER</w:t>
              </w:r>
            </w:hyperlink>
            <w:hyperlink w:anchor="tARIV">
              <w:r>
                <w:rPr>
                  <w:rStyle w:val="InternetLink"/>
                </w:rPr>
                <w:t xml:space="preserve"> </w:t>
                <w:br/>
              </w:r>
            </w:hyperlink>
            <w:hyperlink w:anchor="tARIV">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RIV">
              <w:r>
                <w:rPr>
                  <w:rStyle w:val="InternetLink"/>
                  <w:spacing w:val="4"/>
                </w:rPr>
                <w:t>A-28</w:t>
              </w:r>
            </w:hyperlink>
            <w:hyperlink w:anchor="tAR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8001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OS">
              <w:r>
                <w:rPr>
                  <w:rStyle w:val="InternetLink"/>
                  <w:spacing w:val="4"/>
                </w:rPr>
                <w:t>A-28</w:t>
              </w:r>
            </w:hyperlink>
            <w:hyperlink w:anchor="tS4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S">
              <w:r>
                <w:rPr>
                  <w:rStyle w:val="InternetLink"/>
                  <w:spacing w:val="4"/>
                </w:rPr>
                <w:t xml:space="preserve">Capital Stock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8001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S">
              <w:r>
                <w:rPr>
                  <w:rStyle w:val="InternetLink"/>
                  <w:spacing w:val="4"/>
                </w:rPr>
                <w:t>A-29</w:t>
              </w:r>
            </w:hyperlink>
            <w:hyperlink w:anchor="tS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AE">
              <w:r>
                <w:rPr>
                  <w:rStyle w:val="InternetLink"/>
                  <w:spacing w:val="4"/>
                </w:rPr>
                <w:t xml:space="preserve">Authority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8001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AE">
              <w:r>
                <w:rPr>
                  <w:rStyle w:val="InternetLink"/>
                  <w:spacing w:val="4"/>
                </w:rPr>
                <w:t>A-29</w:t>
              </w:r>
            </w:hyperlink>
            <w:hyperlink w:anchor="tS4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8001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C">
              <w:r>
                <w:rPr>
                  <w:rStyle w:val="InternetLink"/>
                  <w:spacing w:val="4"/>
                </w:rPr>
                <w:t>A-30</w:t>
              </w:r>
            </w:hyperlink>
            <w:hyperlink w:anchor="tS4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8001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R">
              <w:r>
                <w:rPr>
                  <w:rStyle w:val="InternetLink"/>
                  <w:spacing w:val="4"/>
                </w:rPr>
                <w:t>A-30</w:t>
              </w:r>
            </w:hyperlink>
            <w:hyperlink w:anchor="tS4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LE">
              <w:r>
                <w:rPr>
                  <w:rStyle w:val="InternetLink"/>
                  <w:spacing w:val="4"/>
                </w:rPr>
                <w:t xml:space="preserve">Listing Exchange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8001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LE">
              <w:r>
                <w:rPr>
                  <w:rStyle w:val="InternetLink"/>
                  <w:spacing w:val="4"/>
                </w:rPr>
                <w:t>A-31</w:t>
              </w:r>
            </w:hyperlink>
            <w:hyperlink w:anchor="tS4L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CI">
              <w:r>
                <w:rPr>
                  <w:rStyle w:val="InternetLink"/>
                  <w:spacing w:val="4"/>
                </w:rPr>
                <w:t xml:space="preserve">Certain Information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8001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CI">
              <w:r>
                <w:rPr>
                  <w:rStyle w:val="InternetLink"/>
                  <w:spacing w:val="4"/>
                </w:rPr>
                <w:t>A-31</w:t>
              </w:r>
            </w:hyperlink>
            <w:hyperlink w:anchor="tS4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O">
              <w:r>
                <w:rPr>
                  <w:rStyle w:val="InternetLink"/>
                  <w:spacing w:val="4"/>
                </w:rPr>
                <w:t xml:space="preserve">Absence of Certain Changes of Events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8001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AO">
              <w:r>
                <w:rPr>
                  <w:rStyle w:val="InternetLink"/>
                  <w:spacing w:val="4"/>
                </w:rPr>
                <w:t>A-32</w:t>
              </w:r>
            </w:hyperlink>
            <w:hyperlink w:anchor="tS4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LE1">
              <w:r>
                <w:rPr>
                  <w:rStyle w:val="InternetLink"/>
                  <w:spacing w:val="4"/>
                </w:rPr>
                <w:t xml:space="preserve">Litigation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8001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LE1">
              <w:r>
                <w:rPr>
                  <w:rStyle w:val="InternetLink"/>
                  <w:spacing w:val="4"/>
                </w:rPr>
                <w:t>A-32</w:t>
              </w:r>
            </w:hyperlink>
            <w:hyperlink w:anchor="tS4L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800100" cy="525780"/>
                      <wp:effectExtent l="0" t="0" r="0" b="0"/>
                      <wp:wrapSquare wrapText="right"/>
                      <wp:docPr id="401" name="Frame40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W">
              <w:r>
                <w:rPr>
                  <w:rStyle w:val="InternetLink"/>
                  <w:spacing w:val="4"/>
                </w:rPr>
                <w:t>A-32</w:t>
              </w:r>
            </w:hyperlink>
            <w:hyperlink w:anchor="tS4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800100" cy="525780"/>
                      <wp:effectExtent l="0" t="0" r="0" b="0"/>
                      <wp:wrapSquare wrapText="right"/>
                      <wp:docPr id="402" name="Frame4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T">
              <w:r>
                <w:rPr>
                  <w:rStyle w:val="InternetLink"/>
                  <w:spacing w:val="4"/>
                </w:rPr>
                <w:t>A-32</w:t>
              </w:r>
            </w:hyperlink>
            <w:hyperlink w:anchor="tS4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MS">
              <w:r>
                <w:rPr>
                  <w:rStyle w:val="InternetLink"/>
                  <w:spacing w:val="4"/>
                </w:rPr>
                <w:t xml:space="preserve">Merger Sub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800100" cy="525780"/>
                      <wp:effectExtent l="0" t="0" r="0" b="0"/>
                      <wp:wrapSquare wrapText="right"/>
                      <wp:docPr id="403" name="Frame4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MS">
              <w:r>
                <w:rPr>
                  <w:rStyle w:val="InternetLink"/>
                  <w:spacing w:val="4"/>
                </w:rPr>
                <w:t>A-32</w:t>
              </w:r>
            </w:hyperlink>
            <w:hyperlink w:anchor="tS4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800100" cy="525780"/>
                      <wp:effectExtent l="0" t="0" r="0" b="0"/>
                      <wp:wrapSquare wrapText="right"/>
                      <wp:docPr id="404" name="Frame4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Q">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RQ">
              <w:r>
                <w:rPr>
                  <w:rStyle w:val="InternetLink"/>
                  <w:spacing w:val="4"/>
                </w:rPr>
                <w:t>A-32</w:t>
              </w:r>
            </w:hyperlink>
            <w:hyperlink w:anchor="tS4R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800100" cy="525780"/>
                      <wp:effectExtent l="0" t="0" r="0" b="0"/>
                      <wp:wrapSquare wrapText="right"/>
                      <wp:docPr id="405" name="Frame4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O">
              <w:r>
                <w:rPr>
                  <w:rStyle w:val="InternetLink"/>
                  <w:spacing w:val="4"/>
                </w:rPr>
                <w:t>A-32</w:t>
              </w:r>
            </w:hyperlink>
            <w:hyperlink w:anchor="tS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ARV">
              <w:r>
                <w:rPr>
                  <w:rStyle w:val="InternetLink"/>
                  <w:spacing w:val="4"/>
                </w:rPr>
                <w:t xml:space="preserve">ARTICLE V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RV">
              <w:r>
                <w:rPr>
                  <w:rStyle w:val="InternetLink"/>
                  <w:spacing w:val="4"/>
                </w:rPr>
                <w:t>A-33</w:t>
              </w:r>
            </w:hyperlink>
            <w:hyperlink w:anchor="tAR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O">
              <w:r>
                <w:rPr>
                  <w:rStyle w:val="InternetLink"/>
                  <w:spacing w:val="4"/>
                </w:rPr>
                <w:t xml:space="preserve">Conduct of Business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800100" cy="350520"/>
                      <wp:effectExtent l="0" t="0" r="0" b="0"/>
                      <wp:wrapSquare wrapText="right"/>
                      <wp:docPr id="406" name="Frame40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O">
              <w:r>
                <w:rPr>
                  <w:rStyle w:val="InternetLink"/>
                  <w:spacing w:val="4"/>
                </w:rPr>
                <w:t>A-33</w:t>
              </w:r>
            </w:hyperlink>
            <w:hyperlink w:anchor="tS5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S">
              <w:r>
                <w:rPr>
                  <w:rStyle w:val="InternetLink"/>
                  <w:spacing w:val="4"/>
                </w:rPr>
                <w:t xml:space="preserve">No Solicitation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800100" cy="350520"/>
                      <wp:effectExtent l="0" t="0" r="0" b="0"/>
                      <wp:wrapSquare wrapText="right"/>
                      <wp:docPr id="407" name="Frame40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S">
              <w:r>
                <w:rPr>
                  <w:rStyle w:val="InternetLink"/>
                  <w:spacing w:val="4"/>
                </w:rPr>
                <w:t>A-37</w:t>
              </w:r>
            </w:hyperlink>
            <w:hyperlink w:anchor="tS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B">
              <w:r>
                <w:rPr>
                  <w:rStyle w:val="InternetLink"/>
                  <w:spacing w:val="4"/>
                </w:rPr>
                <w:t xml:space="preserve">Company Board Recommendation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800100" cy="350520"/>
                      <wp:effectExtent l="0" t="0" r="0" b="0"/>
                      <wp:wrapSquare wrapText="right"/>
                      <wp:docPr id="408" name="Frame40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B">
              <w:r>
                <w:rPr>
                  <w:rStyle w:val="InternetLink"/>
                  <w:spacing w:val="4"/>
                </w:rPr>
                <w:t>A-38</w:t>
              </w:r>
            </w:hyperlink>
            <w:hyperlink w:anchor="tS5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O">
              <w:r>
                <w:rPr>
                  <w:rStyle w:val="InternetLink"/>
                  <w:spacing w:val="4"/>
                </w:rPr>
                <w:t xml:space="preserve">Preparation of Form S-4, Information Statement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800100" cy="350520"/>
                      <wp:effectExtent l="0" t="0" r="0" b="0"/>
                      <wp:wrapSquare wrapText="right"/>
                      <wp:docPr id="409" name="Frame40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O">
              <w:r>
                <w:rPr>
                  <w:rStyle w:val="InternetLink"/>
                  <w:spacing w:val="4"/>
                </w:rPr>
                <w:t>A-39</w:t>
              </w:r>
            </w:hyperlink>
            <w:hyperlink w:anchor="tS5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T">
              <w:r>
                <w:rPr>
                  <w:rStyle w:val="InternetLink"/>
                  <w:spacing w:val="4"/>
                </w:rPr>
                <w:t xml:space="preserve">Access to Information; Confidentiality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800100" cy="350520"/>
                      <wp:effectExtent l="0" t="0" r="0" b="0"/>
                      <wp:wrapSquare wrapText="right"/>
                      <wp:docPr id="410" name="Frame40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AT">
              <w:r>
                <w:rPr>
                  <w:rStyle w:val="InternetLink"/>
                  <w:spacing w:val="4"/>
                </w:rPr>
                <w:t>A-40</w:t>
              </w:r>
            </w:hyperlink>
            <w:hyperlink w:anchor="tS5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Written Consent &amp; Support Agreement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800100" cy="350520"/>
                      <wp:effectExtent l="0" t="0" r="0" b="0"/>
                      <wp:wrapSquare wrapText="right"/>
                      <wp:docPr id="411" name="Frame41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WC">
              <w:r>
                <w:rPr>
                  <w:rStyle w:val="InternetLink"/>
                  <w:spacing w:val="4"/>
                </w:rPr>
                <w:t>A-40</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MS">
              <w:r>
                <w:rPr>
                  <w:rStyle w:val="InternetLink"/>
                  <w:spacing w:val="4"/>
                </w:rPr>
                <w:t xml:space="preserve">Merger Sub Sole Stockholder Consent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800100" cy="350520"/>
                      <wp:effectExtent l="0" t="0" r="0" b="0"/>
                      <wp:wrapSquare wrapText="right"/>
                      <wp:docPr id="412" name="Frame41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MS">
              <w:r>
                <w:rPr>
                  <w:rStyle w:val="InternetLink"/>
                  <w:spacing w:val="4"/>
                </w:rPr>
                <w:t>A-41</w:t>
              </w:r>
            </w:hyperlink>
            <w:hyperlink w:anchor="tS5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RA">
              <w:r>
                <w:rPr>
                  <w:rStyle w:val="InternetLink"/>
                  <w:spacing w:val="4"/>
                </w:rPr>
                <w:t xml:space="preserve">Regulatory Approval; Efforts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800100" cy="350520"/>
                      <wp:effectExtent l="0" t="0" r="0" b="0"/>
                      <wp:wrapSquare wrapText="right"/>
                      <wp:docPr id="413" name="Frame41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RA">
              <w:r>
                <w:rPr>
                  <w:rStyle w:val="InternetLink"/>
                  <w:spacing w:val="4"/>
                </w:rPr>
                <w:t>A-41</w:t>
              </w:r>
            </w:hyperlink>
            <w:hyperlink w:anchor="tS5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L">
              <w:r>
                <w:rPr>
                  <w:rStyle w:val="InternetLink"/>
                  <w:spacing w:val="4"/>
                </w:rPr>
                <w:t xml:space="preserve">Takeover Laws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14" name="Frame41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TL">
              <w:r>
                <w:rPr>
                  <w:rStyle w:val="InternetLink"/>
                  <w:spacing w:val="4"/>
                </w:rPr>
                <w:t>A-42</w:t>
              </w:r>
            </w:hyperlink>
            <w:hyperlink w:anchor="tS5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O">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800100" cy="525780"/>
                      <wp:effectExtent l="0" t="0" r="0" b="0"/>
                      <wp:wrapSquare wrapText="right"/>
                      <wp:docPr id="415" name="Frame41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O">
              <w:r>
                <w:rPr>
                  <w:rStyle w:val="InternetLink"/>
                  <w:spacing w:val="4"/>
                </w:rPr>
                <w:t>A-42</w:t>
              </w:r>
            </w:hyperlink>
            <w:hyperlink w:anchor="tS5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IE">
              <w:r>
                <w:rPr>
                  <w:rStyle w:val="InternetLink"/>
                  <w:spacing w:val="4"/>
                </w:rPr>
                <w:t xml:space="preserve">Indemnification, Exculpation and Insurance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800100" cy="525780"/>
                      <wp:effectExtent l="0" t="0" r="0" b="0"/>
                      <wp:wrapSquare wrapText="right"/>
                      <wp:docPr id="416" name="Frame41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IE">
              <w:r>
                <w:rPr>
                  <w:rStyle w:val="InternetLink"/>
                  <w:spacing w:val="4"/>
                </w:rPr>
                <w:t>A-43</w:t>
              </w:r>
            </w:hyperlink>
            <w:hyperlink w:anchor="tS5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SL">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800100" cy="525780"/>
                      <wp:effectExtent l="0" t="0" r="0" b="0"/>
                      <wp:wrapSquare wrapText="right"/>
                      <wp:docPr id="417" name="Frame41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SL">
              <w:r>
                <w:rPr>
                  <w:rStyle w:val="InternetLink"/>
                  <w:spacing w:val="4"/>
                </w:rPr>
                <w:t>A-43</w:t>
              </w:r>
            </w:hyperlink>
            <w:hyperlink w:anchor="tS5S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E">
              <w:r>
                <w:rPr>
                  <w:rStyle w:val="InternetLink"/>
                  <w:spacing w:val="4"/>
                </w:rPr>
                <w:t xml:space="preserve">Stock Exchange; Deregistration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800100" cy="525780"/>
                      <wp:effectExtent l="0" t="0" r="0" b="0"/>
                      <wp:wrapSquare wrapText="right"/>
                      <wp:docPr id="418" name="Frame41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E">
              <w:r>
                <w:rPr>
                  <w:rStyle w:val="InternetLink"/>
                  <w:spacing w:val="4"/>
                </w:rPr>
                <w:t>A-44</w:t>
              </w:r>
            </w:hyperlink>
            <w:hyperlink w:anchor="tS5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800100" cy="525780"/>
                      <wp:effectExtent l="0" t="0" r="0" b="0"/>
                      <wp:wrapSquare wrapText="right"/>
                      <wp:docPr id="419" name="Frame41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A">
              <w:r>
                <w:rPr>
                  <w:rStyle w:val="InternetLink"/>
                  <w:spacing w:val="4"/>
                </w:rPr>
                <w:t>A-44</w:t>
              </w:r>
            </w:hyperlink>
            <w:hyperlink w:anchor="tS5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1">
              <w:r>
                <w:rPr>
                  <w:rStyle w:val="InternetLink"/>
                  <w:spacing w:val="4"/>
                </w:rPr>
                <w:t xml:space="preserve">Section 16 Matters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800100" cy="525780"/>
                      <wp:effectExtent l="0" t="0" r="0" b="0"/>
                      <wp:wrapSquare wrapText="right"/>
                      <wp:docPr id="420" name="Frame41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1">
              <w:r>
                <w:rPr>
                  <w:rStyle w:val="InternetLink"/>
                  <w:spacing w:val="4"/>
                </w:rPr>
                <w:t>A-44</w:t>
              </w:r>
            </w:hyperlink>
            <w:hyperlink w:anchor="tS5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5"/>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34" w:type="dxa"/>
        <w:jc w:val="left"/>
        <w:tblInd w:w="1393" w:type="dxa"/>
        <w:tblLayout w:type="fixed"/>
        <w:tblCellMar>
          <w:top w:w="0" w:type="dxa"/>
          <w:left w:w="0" w:type="dxa"/>
          <w:bottom w:w="28" w:type="dxa"/>
          <w:right w:w="0" w:type="dxa"/>
        </w:tblCellMar>
      </w:tblPr>
      <w:tblGrid>
        <w:gridCol w:w="7370"/>
        <w:gridCol w:w="109"/>
        <w:gridCol w:w="109"/>
        <w:gridCol w:w="109"/>
        <w:gridCol w:w="109"/>
        <w:gridCol w:w="665"/>
        <w:gridCol w:w="109"/>
        <w:gridCol w:w="154"/>
      </w:tblGrid>
      <w:tr>
        <w:trPr/>
        <w:tc>
          <w:tcPr>
            <w:tcW w:w="7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EM">
              <w:r>
                <w:rPr>
                  <w:rStyle w:val="InternetLink"/>
                  <w:spacing w:val="4"/>
                </w:rPr>
                <w:t xml:space="preserve">Employee Matters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800100" cy="525780"/>
                      <wp:effectExtent l="0" t="0" r="0" b="0"/>
                      <wp:wrapSquare wrapText="right"/>
                      <wp:docPr id="421" name="Frame42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EM">
              <w:r>
                <w:rPr>
                  <w:rStyle w:val="InternetLink"/>
                  <w:spacing w:val="4"/>
                </w:rPr>
                <w:t>A-44</w:t>
              </w:r>
            </w:hyperlink>
            <w:hyperlink w:anchor="tS5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EC">
              <w:r>
                <w:rPr>
                  <w:rStyle w:val="InternetLink"/>
                  <w:spacing w:val="4"/>
                </w:rPr>
                <w:t xml:space="preserve">Equity Consideration Matters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800100" cy="525780"/>
                      <wp:effectExtent l="0" t="0" r="0" b="0"/>
                      <wp:wrapSquare wrapText="right"/>
                      <wp:docPr id="422" name="Frame42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EC">
              <w:r>
                <w:rPr>
                  <w:rStyle w:val="InternetLink"/>
                  <w:spacing w:val="4"/>
                </w:rPr>
                <w:t>A-46</w:t>
              </w:r>
            </w:hyperlink>
            <w:hyperlink w:anchor="tS5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O">
              <w:r>
                <w:rPr>
                  <w:rStyle w:val="InternetLink"/>
                  <w:spacing w:val="4"/>
                </w:rPr>
                <w:t xml:space="preserve">Treatment of Company Indebtedness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800100" cy="525780"/>
                      <wp:effectExtent l="0" t="0" r="0" b="0"/>
                      <wp:wrapSquare wrapText="right"/>
                      <wp:docPr id="423" name="Frame42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O">
              <w:r>
                <w:rPr>
                  <w:rStyle w:val="InternetLink"/>
                  <w:spacing w:val="4"/>
                </w:rPr>
                <w:t>A-49</w:t>
              </w:r>
            </w:hyperlink>
            <w:hyperlink w:anchor="tS5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AB">
              <w:r>
                <w:rPr>
                  <w:rStyle w:val="InternetLink"/>
                  <w:spacing w:val="4"/>
                </w:rPr>
                <w:t xml:space="preserve">Assignment by Parent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800100" cy="525780"/>
                      <wp:effectExtent l="0" t="0" r="0" b="0"/>
                      <wp:wrapSquare wrapText="right"/>
                      <wp:docPr id="424" name="Frame42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AB">
              <w:r>
                <w:rPr>
                  <w:rStyle w:val="InternetLink"/>
                  <w:spacing w:val="4"/>
                </w:rPr>
                <w:t>A-49</w:t>
              </w:r>
            </w:hyperlink>
            <w:hyperlink w:anchor="tS5A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R">
              <w:r>
                <w:rPr>
                  <w:rStyle w:val="InternetLink"/>
                  <w:spacing w:val="4"/>
                </w:rPr>
                <w:t xml:space="preserve">Tax Remittance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800100" cy="525780"/>
                      <wp:effectExtent l="0" t="0" r="0" b="0"/>
                      <wp:wrapSquare wrapText="right"/>
                      <wp:docPr id="425" name="Frame42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R">
              <w:r>
                <w:rPr>
                  <w:rStyle w:val="InternetLink"/>
                  <w:spacing w:val="4"/>
                </w:rPr>
                <w:t>A-49</w:t>
              </w:r>
            </w:hyperlink>
            <w:hyperlink w:anchor="tS5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PRECEDENT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RVI">
              <w:r>
                <w:rPr>
                  <w:rStyle w:val="InternetLink"/>
                  <w:spacing w:val="4"/>
                </w:rPr>
                <w:t>A-50</w:t>
              </w:r>
            </w:hyperlink>
            <w:hyperlink w:anchor="tARV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26"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
              <w:r>
                <w:rPr>
                  <w:rStyle w:val="InternetLink"/>
                  <w:spacing w:val="4"/>
                </w:rPr>
                <w:t>A-50</w:t>
              </w:r>
            </w:hyperlink>
            <w:hyperlink w:anchor="tS6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800100" cy="350520"/>
                      <wp:effectExtent l="0" t="0" r="0" b="0"/>
                      <wp:wrapSquare wrapText="right"/>
                      <wp:docPr id="427"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CT1">
              <w:r>
                <w:rPr>
                  <w:rStyle w:val="InternetLink"/>
                  <w:spacing w:val="4"/>
                </w:rPr>
                <w:t>A-50</w:t>
              </w:r>
            </w:hyperlink>
            <w:hyperlink w:anchor="tS6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800100" cy="350520"/>
                      <wp:effectExtent l="0" t="0" r="0" b="0"/>
                      <wp:wrapSquare wrapText="right"/>
                      <wp:docPr id="428"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2">
              <w:r>
                <w:rPr>
                  <w:rStyle w:val="InternetLink"/>
                  <w:spacing w:val="4"/>
                </w:rPr>
                <w:t>A-51</w:t>
              </w:r>
            </w:hyperlink>
            <w:hyperlink w:anchor="tS6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FO">
              <w:r>
                <w:rPr>
                  <w:rStyle w:val="InternetLink"/>
                  <w:spacing w:val="4"/>
                </w:rPr>
                <w:t xml:space="preserve">Frustration of Closing Conditions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800100" cy="350520"/>
                      <wp:effectExtent l="0" t="0" r="0" b="0"/>
                      <wp:wrapSquare wrapText="right"/>
                      <wp:docPr id="429"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FO">
              <w:r>
                <w:rPr>
                  <w:rStyle w:val="InternetLink"/>
                  <w:spacing w:val="4"/>
                </w:rPr>
                <w:t>A-52</w:t>
              </w:r>
            </w:hyperlink>
            <w:hyperlink w:anchor="tS6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A-52</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T">
              <w:r>
                <w:rPr>
                  <w:rStyle w:val="InternetLink"/>
                  <w:spacing w:val="4"/>
                </w:rPr>
                <w:t xml:space="preserve">Termination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800100" cy="350520"/>
                      <wp:effectExtent l="0" t="0" r="0" b="0"/>
                      <wp:wrapSquare wrapText="right"/>
                      <wp:docPr id="430"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T">
              <w:r>
                <w:rPr>
                  <w:rStyle w:val="InternetLink"/>
                  <w:spacing w:val="4"/>
                </w:rPr>
                <w:t>A-52</w:t>
              </w:r>
            </w:hyperlink>
            <w:hyperlink w:anchor="tS7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O">
              <w:r>
                <w:rPr>
                  <w:rStyle w:val="InternetLink"/>
                  <w:spacing w:val="4"/>
                </w:rPr>
                <w:t xml:space="preserve">Effect of Termination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800100" cy="350520"/>
                      <wp:effectExtent l="0" t="0" r="0" b="0"/>
                      <wp:wrapSquare wrapText="right"/>
                      <wp:docPr id="431"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EO">
              <w:r>
                <w:rPr>
                  <w:rStyle w:val="InternetLink"/>
                  <w:spacing w:val="4"/>
                </w:rPr>
                <w:t>A-53</w:t>
              </w:r>
            </w:hyperlink>
            <w:hyperlink w:anchor="tS7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F">
              <w:r>
                <w:rPr>
                  <w:rStyle w:val="InternetLink"/>
                  <w:spacing w:val="4"/>
                </w:rPr>
                <w:t xml:space="preserve">Termination Fees and Expenses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800100" cy="350520"/>
                      <wp:effectExtent l="0" t="0" r="0" b="0"/>
                      <wp:wrapSquare wrapText="right"/>
                      <wp:docPr id="432"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F">
              <w:r>
                <w:rPr>
                  <w:rStyle w:val="InternetLink"/>
                  <w:spacing w:val="4"/>
                </w:rPr>
                <w:t>A-53</w:t>
              </w:r>
            </w:hyperlink>
            <w:hyperlink w:anchor="tS7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O">
              <w:r>
                <w:rPr>
                  <w:rStyle w:val="InternetLink"/>
                  <w:spacing w:val="4"/>
                </w:rPr>
                <w:t xml:space="preserve">Amendment or Supplement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800100" cy="350520"/>
                      <wp:effectExtent l="0" t="0" r="0" b="0"/>
                      <wp:wrapSquare wrapText="right"/>
                      <wp:docPr id="433"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AO">
              <w:r>
                <w:rPr>
                  <w:rStyle w:val="InternetLink"/>
                  <w:spacing w:val="4"/>
                </w:rPr>
                <w:t>A-55</w:t>
              </w:r>
            </w:hyperlink>
            <w:hyperlink w:anchor="tS7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EO1">
              <w:r>
                <w:rPr>
                  <w:rStyle w:val="InternetLink"/>
                  <w:spacing w:val="4"/>
                </w:rPr>
                <w:t xml:space="preserve">Extension of Time; Waiver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800100" cy="350520"/>
                      <wp:effectExtent l="0" t="0" r="0" b="0"/>
                      <wp:wrapSquare wrapText="right"/>
                      <wp:docPr id="434"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EO1">
              <w:r>
                <w:rPr>
                  <w:rStyle w:val="InternetLink"/>
                  <w:spacing w:val="4"/>
                </w:rPr>
                <w:t>A-55</w:t>
              </w:r>
            </w:hyperlink>
            <w:hyperlink w:anchor="tS7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A-56</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NO">
              <w:r>
                <w:rPr>
                  <w:rStyle w:val="InternetLink"/>
                  <w:spacing w:val="4"/>
                </w:rPr>
                <w:t xml:space="preserve">Nonsurvival of Representations and Warranties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800100" cy="350520"/>
                      <wp:effectExtent l="0" t="0" r="0" b="0"/>
                      <wp:wrapSquare wrapText="right"/>
                      <wp:docPr id="435"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NO">
              <w:r>
                <w:rPr>
                  <w:rStyle w:val="InternetLink"/>
                  <w:spacing w:val="4"/>
                </w:rPr>
                <w:t>A-56</w:t>
              </w:r>
            </w:hyperlink>
            <w:hyperlink w:anchor="tS8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A">
              <w:r>
                <w:rPr>
                  <w:rStyle w:val="InternetLink"/>
                  <w:spacing w:val="4"/>
                </w:rPr>
                <w:t xml:space="preserve">Notices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800100" cy="350520"/>
                      <wp:effectExtent l="0" t="0" r="0" b="0"/>
                      <wp:wrapSquare wrapText="right"/>
                      <wp:docPr id="436"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A">
              <w:r>
                <w:rPr>
                  <w:rStyle w:val="InternetLink"/>
                  <w:spacing w:val="4"/>
                </w:rPr>
                <w:t>A-56</w:t>
              </w:r>
            </w:hyperlink>
            <w:hyperlink w:anchor="tS8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CD">
              <w:r>
                <w:rPr>
                  <w:rStyle w:val="InternetLink"/>
                  <w:spacing w:val="4"/>
                </w:rPr>
                <w:t xml:space="preserve">Certain Definitions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800100" cy="350520"/>
                      <wp:effectExtent l="0" t="0" r="0" b="0"/>
                      <wp:wrapSquare wrapText="right"/>
                      <wp:docPr id="437"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CD">
              <w:r>
                <w:rPr>
                  <w:rStyle w:val="InternetLink"/>
                  <w:spacing w:val="4"/>
                </w:rPr>
                <w:t>A-57</w:t>
              </w:r>
            </w:hyperlink>
            <w:hyperlink w:anchor="tS8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IW">
              <w:r>
                <w:rPr>
                  <w:rStyle w:val="InternetLink"/>
                  <w:spacing w:val="4"/>
                </w:rPr>
                <w:t xml:space="preserve">Interpretation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800100" cy="350520"/>
                      <wp:effectExtent l="0" t="0" r="0" b="0"/>
                      <wp:wrapSquare wrapText="right"/>
                      <wp:docPr id="438" name="Frame4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I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IW">
              <w:r>
                <w:rPr>
                  <w:rStyle w:val="InternetLink"/>
                  <w:spacing w:val="4"/>
                </w:rPr>
                <w:t>A-61</w:t>
              </w:r>
            </w:hyperlink>
            <w:hyperlink w:anchor="tS8I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EA">
              <w:r>
                <w:rPr>
                  <w:rStyle w:val="InternetLink"/>
                  <w:spacing w:val="4"/>
                </w:rPr>
                <w:t xml:space="preserve">Entire Agreement </w:t>
              </w:r>
            </w:hyperlink>
            <w:r>
              <mc:AlternateContent>
                <mc:Choice Requires="wps">
                  <w:drawing>
                    <wp:anchor behindDoc="0" distT="0" distB="0" distL="127000" distR="0" simplePos="0" locked="0" layoutInCell="1" allowOverlap="1" relativeHeight="454">
                      <wp:simplePos x="0" y="0"/>
                      <wp:positionH relativeFrom="column">
                        <wp:align>left</wp:align>
                      </wp:positionH>
                      <wp:positionV relativeFrom="line">
                        <wp:posOffset>635</wp:posOffset>
                      </wp:positionV>
                      <wp:extent cx="800100" cy="350520"/>
                      <wp:effectExtent l="0" t="0" r="0" b="0"/>
                      <wp:wrapSquare wrapText="right"/>
                      <wp:docPr id="439" name="Frame4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EA">
              <w:r>
                <w:rPr>
                  <w:rStyle w:val="InternetLink"/>
                  <w:spacing w:val="4"/>
                </w:rPr>
                <w:t>A-61</w:t>
              </w:r>
            </w:hyperlink>
            <w:hyperlink w:anchor="tS8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T">
              <w:r>
                <w:rPr>
                  <w:rStyle w:val="InternetLink"/>
                  <w:spacing w:val="4"/>
                </w:rPr>
                <w:t xml:space="preserve">No Third-Party Beneficiaries </w:t>
              </w:r>
            </w:hyperlink>
            <w:r>
              <mc:AlternateContent>
                <mc:Choice Requires="wps">
                  <w:drawing>
                    <wp:anchor behindDoc="0" distT="0" distB="0" distL="12700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40" name="Frame4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T">
              <w:r>
                <w:rPr>
                  <w:rStyle w:val="InternetLink"/>
                  <w:spacing w:val="4"/>
                </w:rPr>
                <w:t>A-62</w:t>
              </w:r>
            </w:hyperlink>
            <w:hyperlink w:anchor="tS8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GL">
              <w:r>
                <w:rPr>
                  <w:rStyle w:val="InternetLink"/>
                  <w:spacing w:val="4"/>
                </w:rPr>
                <w:t xml:space="preserve">Governing Law </w:t>
              </w:r>
            </w:hyperlink>
            <w:r>
              <mc:AlternateContent>
                <mc:Choice Requires="wps">
                  <w:drawing>
                    <wp:anchor behindDoc="0" distT="0" distB="0" distL="127000" distR="0" simplePos="0" locked="0" layoutInCell="1" allowOverlap="1" relativeHeight="456">
                      <wp:simplePos x="0" y="0"/>
                      <wp:positionH relativeFrom="column">
                        <wp:align>left</wp:align>
                      </wp:positionH>
                      <wp:positionV relativeFrom="line">
                        <wp:posOffset>635</wp:posOffset>
                      </wp:positionV>
                      <wp:extent cx="800100" cy="350520"/>
                      <wp:effectExtent l="0" t="0" r="0" b="0"/>
                      <wp:wrapSquare wrapText="right"/>
                      <wp:docPr id="441" name="Frame4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GL">
              <w:r>
                <w:rPr>
                  <w:rStyle w:val="InternetLink"/>
                  <w:spacing w:val="4"/>
                </w:rPr>
                <w:t>A-62</w:t>
              </w:r>
            </w:hyperlink>
            <w:hyperlink w:anchor="tS8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T">
              <w:r>
                <w:rPr>
                  <w:rStyle w:val="InternetLink"/>
                  <w:spacing w:val="4"/>
                </w:rPr>
                <w:t xml:space="preserve">Submission to Jurisdiction </w:t>
              </w:r>
            </w:hyperlink>
            <w:r>
              <mc:AlternateContent>
                <mc:Choice Requires="wps">
                  <w:drawing>
                    <wp:anchor behindDoc="0" distT="0" distB="0" distL="127000" distR="0" simplePos="0" locked="0" layoutInCell="1" allowOverlap="1" relativeHeight="457">
                      <wp:simplePos x="0" y="0"/>
                      <wp:positionH relativeFrom="column">
                        <wp:align>left</wp:align>
                      </wp:positionH>
                      <wp:positionV relativeFrom="line">
                        <wp:posOffset>635</wp:posOffset>
                      </wp:positionV>
                      <wp:extent cx="800100" cy="350520"/>
                      <wp:effectExtent l="0" t="0" r="0" b="0"/>
                      <wp:wrapSquare wrapText="right"/>
                      <wp:docPr id="442" name="Frame4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T">
              <w:r>
                <w:rPr>
                  <w:rStyle w:val="InternetLink"/>
                  <w:spacing w:val="4"/>
                </w:rPr>
                <w:t>A-62</w:t>
              </w:r>
            </w:hyperlink>
            <w:hyperlink w:anchor="tS8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AS">
              <w:r>
                <w:rPr>
                  <w:rStyle w:val="InternetLink"/>
                  <w:spacing w:val="4"/>
                </w:rPr>
                <w:t xml:space="preserve">Assignment; Successors </w:t>
              </w:r>
            </w:hyperlink>
            <w:r>
              <mc:AlternateContent>
                <mc:Choice Requires="wps">
                  <w:drawing>
                    <wp:anchor behindDoc="0" distT="0" distB="0" distL="127000" distR="0" simplePos="0" locked="0" layoutInCell="1" allowOverlap="1" relativeHeight="458">
                      <wp:simplePos x="0" y="0"/>
                      <wp:positionH relativeFrom="column">
                        <wp:align>left</wp:align>
                      </wp:positionH>
                      <wp:positionV relativeFrom="line">
                        <wp:posOffset>635</wp:posOffset>
                      </wp:positionV>
                      <wp:extent cx="800100" cy="350520"/>
                      <wp:effectExtent l="0" t="0" r="0" b="0"/>
                      <wp:wrapSquare wrapText="right"/>
                      <wp:docPr id="443" name="Frame4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AS">
              <w:r>
                <w:rPr>
                  <w:rStyle w:val="InternetLink"/>
                  <w:spacing w:val="4"/>
                </w:rPr>
                <w:t>A-62</w:t>
              </w:r>
            </w:hyperlink>
            <w:hyperlink w:anchor="tS8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P">
              <w:r>
                <w:rPr>
                  <w:rStyle w:val="InternetLink"/>
                  <w:spacing w:val="4"/>
                </w:rPr>
                <w:t xml:space="preserve">Specific Performance </w:t>
              </w:r>
            </w:hyperlink>
            <w:r>
              <mc:AlternateContent>
                <mc:Choice Requires="wps">
                  <w:drawing>
                    <wp:anchor behindDoc="0" distT="0" distB="0" distL="127000" distR="0" simplePos="0" locked="0" layoutInCell="1" allowOverlap="1" relativeHeight="459">
                      <wp:simplePos x="0" y="0"/>
                      <wp:positionH relativeFrom="column">
                        <wp:align>left</wp:align>
                      </wp:positionH>
                      <wp:positionV relativeFrom="line">
                        <wp:posOffset>635</wp:posOffset>
                      </wp:positionV>
                      <wp:extent cx="800100" cy="525780"/>
                      <wp:effectExtent l="0" t="0" r="0" b="0"/>
                      <wp:wrapSquare wrapText="right"/>
                      <wp:docPr id="444"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P">
              <w:r>
                <w:rPr>
                  <w:rStyle w:val="InternetLink"/>
                  <w:spacing w:val="4"/>
                </w:rPr>
                <w:t>A-63</w:t>
              </w:r>
            </w:hyperlink>
            <w:hyperlink w:anchor="tS8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SW">
              <w:r>
                <w:rPr>
                  <w:rStyle w:val="InternetLink"/>
                  <w:spacing w:val="4"/>
                </w:rPr>
                <w:t xml:space="preserve">Severability </w:t>
              </w:r>
            </w:hyperlink>
            <w:r>
              <mc:AlternateContent>
                <mc:Choice Requires="wps">
                  <w:drawing>
                    <wp:anchor behindDoc="0" distT="0" distB="0" distL="127000" distR="0" simplePos="0" locked="0" layoutInCell="1" allowOverlap="1" relativeHeight="460">
                      <wp:simplePos x="0" y="0"/>
                      <wp:positionH relativeFrom="column">
                        <wp:align>left</wp:align>
                      </wp:positionH>
                      <wp:positionV relativeFrom="line">
                        <wp:posOffset>635</wp:posOffset>
                      </wp:positionV>
                      <wp:extent cx="800100" cy="525780"/>
                      <wp:effectExtent l="0" t="0" r="0" b="0"/>
                      <wp:wrapSquare wrapText="right"/>
                      <wp:docPr id="445" name="Frame44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SW">
              <w:r>
                <w:rPr>
                  <w:rStyle w:val="InternetLink"/>
                  <w:spacing w:val="4"/>
                </w:rPr>
                <w:t>A-63</w:t>
              </w:r>
            </w:hyperlink>
            <w:hyperlink w:anchor="tS8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DL">
              <w:r>
                <w:rPr>
                  <w:rStyle w:val="InternetLink"/>
                  <w:spacing w:val="4"/>
                </w:rPr>
                <w:t xml:space="preserve">Disclosure Letters </w:t>
              </w:r>
            </w:hyperlink>
            <w:r>
              <mc:AlternateContent>
                <mc:Choice Requires="wps">
                  <w:drawing>
                    <wp:anchor behindDoc="0" distT="0" distB="0" distL="127000" distR="0" simplePos="0" locked="0" layoutInCell="1" allowOverlap="1" relativeHeight="461">
                      <wp:simplePos x="0" y="0"/>
                      <wp:positionH relativeFrom="column">
                        <wp:align>left</wp:align>
                      </wp:positionH>
                      <wp:positionV relativeFrom="line">
                        <wp:posOffset>635</wp:posOffset>
                      </wp:positionV>
                      <wp:extent cx="800100" cy="414655"/>
                      <wp:effectExtent l="0" t="0" r="0" b="0"/>
                      <wp:wrapSquare wrapText="right"/>
                      <wp:docPr id="446" name="Frame445"/>
                      <a:graphic xmlns:a="http://schemas.openxmlformats.org/drawingml/2006/main">
                        <a:graphicData uri="http://schemas.microsoft.com/office/word/2010/wordprocessingShape">
                          <wps:wsp>
                            <wps:cNvSpPr txBox="1"/>
                            <wps:spPr>
                              <a:xfrm>
                                <a:off x="0" y="0"/>
                                <a:ext cx="800100" cy="414655"/>
                              </a:xfrm>
                              <a:prstGeom prst="rect"/>
                              <a:solidFill>
                                <a:srgbClr val="FFFFFF"/>
                              </a:solidFill>
                            </wps:spPr>
                            <wps:txb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32.65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D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DL">
              <w:r>
                <w:rPr>
                  <w:rStyle w:val="InternetLink"/>
                  <w:spacing w:val="4"/>
                </w:rPr>
                <w:t>A-63</w:t>
              </w:r>
            </w:hyperlink>
            <w:hyperlink w:anchor="tS8D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62">
                      <wp:simplePos x="0" y="0"/>
                      <wp:positionH relativeFrom="column">
                        <wp:align>left</wp:align>
                      </wp:positionH>
                      <wp:positionV relativeFrom="line">
                        <wp:posOffset>635</wp:posOffset>
                      </wp:positionV>
                      <wp:extent cx="800100" cy="525780"/>
                      <wp:effectExtent l="0" t="0" r="0" b="0"/>
                      <wp:wrapSquare wrapText="right"/>
                      <wp:docPr id="447" name="Frame44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W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WO">
              <w:r>
                <w:rPr>
                  <w:rStyle w:val="InternetLink"/>
                  <w:spacing w:val="4"/>
                </w:rPr>
                <w:t>A-64</w:t>
              </w:r>
            </w:hyperlink>
            <w:hyperlink w:anchor="tS8W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CT">
              <w:r>
                <w:rPr>
                  <w:rStyle w:val="InternetLink"/>
                  <w:spacing w:val="4"/>
                </w:rPr>
                <w:t xml:space="preserve">Counterparts </w:t>
              </w:r>
            </w:hyperlink>
            <w:r>
              <mc:AlternateContent>
                <mc:Choice Requires="wps">
                  <w:drawing>
                    <wp:anchor behindDoc="0" distT="0" distB="0" distL="127000" distR="0" simplePos="0" locked="0" layoutInCell="1" allowOverlap="1" relativeHeight="463">
                      <wp:simplePos x="0" y="0"/>
                      <wp:positionH relativeFrom="column">
                        <wp:align>left</wp:align>
                      </wp:positionH>
                      <wp:positionV relativeFrom="line">
                        <wp:posOffset>635</wp:posOffset>
                      </wp:positionV>
                      <wp:extent cx="800100" cy="525780"/>
                      <wp:effectExtent l="0" t="0" r="0" b="0"/>
                      <wp:wrapSquare wrapText="right"/>
                      <wp:docPr id="448" name="Frame44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CT">
              <w:r>
                <w:rPr>
                  <w:rStyle w:val="InternetLink"/>
                  <w:spacing w:val="4"/>
                </w:rPr>
                <w:t>A-64</w:t>
              </w:r>
            </w:hyperlink>
            <w:hyperlink w:anchor="tS8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PS">
              <w:r>
                <w:rPr>
                  <w:rStyle w:val="InternetLink"/>
                  <w:spacing w:val="4"/>
                </w:rPr>
                <w:t xml:space="preserve">.pdf Signature </w:t>
              </w:r>
            </w:hyperlink>
            <w:r>
              <mc:AlternateContent>
                <mc:Choice Requires="wps">
                  <w:drawing>
                    <wp:anchor behindDoc="0" distT="0" distB="0" distL="127000" distR="0" simplePos="0" locked="0" layoutInCell="1" allowOverlap="1" relativeHeight="464">
                      <wp:simplePos x="0" y="0"/>
                      <wp:positionH relativeFrom="column">
                        <wp:align>left</wp:align>
                      </wp:positionH>
                      <wp:positionV relativeFrom="line">
                        <wp:posOffset>635</wp:posOffset>
                      </wp:positionV>
                      <wp:extent cx="800100" cy="525780"/>
                      <wp:effectExtent l="0" t="0" r="0" b="0"/>
                      <wp:wrapSquare wrapText="right"/>
                      <wp:docPr id="449" name="Frame44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P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PS">
              <w:r>
                <w:rPr>
                  <w:rStyle w:val="InternetLink"/>
                  <w:spacing w:val="4"/>
                </w:rPr>
                <w:t>A-64</w:t>
              </w:r>
            </w:hyperlink>
            <w:hyperlink w:anchor="tS8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P">
              <w:r>
                <w:rPr>
                  <w:rStyle w:val="InternetLink"/>
                  <w:spacing w:val="4"/>
                </w:rPr>
                <w:t xml:space="preserve">No Presumption Against Drafting Party </w:t>
              </w:r>
            </w:hyperlink>
            <w:r>
              <mc:AlternateContent>
                <mc:Choice Requires="wps">
                  <w:drawing>
                    <wp:anchor behindDoc="0" distT="0" distB="0" distL="127000" distR="0" simplePos="0" locked="0" layoutInCell="1" allowOverlap="1" relativeHeight="465">
                      <wp:simplePos x="0" y="0"/>
                      <wp:positionH relativeFrom="column">
                        <wp:align>left</wp:align>
                      </wp:positionH>
                      <wp:positionV relativeFrom="line">
                        <wp:posOffset>635</wp:posOffset>
                      </wp:positionV>
                      <wp:extent cx="800100" cy="525780"/>
                      <wp:effectExtent l="0" t="0" r="0" b="0"/>
                      <wp:wrapSquare wrapText="right"/>
                      <wp:docPr id="450" name="Frame44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P">
              <w:r>
                <w:rPr>
                  <w:rStyle w:val="InternetLink"/>
                  <w:spacing w:val="4"/>
                </w:rPr>
                <w:t>A-64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421" w:type="dxa"/>
        <w:jc w:val="left"/>
        <w:tblInd w:w="1393" w:type="dxa"/>
        <w:tblLayout w:type="fixed"/>
        <w:tblCellMar>
          <w:top w:w="0" w:type="dxa"/>
          <w:left w:w="0" w:type="dxa"/>
          <w:bottom w:w="0" w:type="dxa"/>
          <w:right w:w="0" w:type="dxa"/>
        </w:tblCellMar>
      </w:tblPr>
      <w:tblGrid>
        <w:gridCol w:w="124"/>
        <w:gridCol w:w="481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A1">
              <w:r>
                <w:rPr>
                  <w:rStyle w:val="InternetLink"/>
                </w:rPr>
                <w:t>Form of Written Consent</w:t>
              </w:r>
            </w:hyperlink>
            <w:r>
              <w:rPr/>
              <w:t xml:space="preserve"> </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800100" cy="350520"/>
                      <wp:effectExtent l="0" t="0" r="0" b="0"/>
                      <wp:wrapSquare wrapText="right"/>
                      <wp:docPr id="451"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A1">
                                    <w:r>
                                      <w:rPr>
                                        <w:rStyle w:val="InternetLink"/>
                                      </w:rPr>
                                      <w:t>Exhibit A</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A1">
                              <w:r>
                                <w:rPr>
                                  <w:rStyle w:val="InternetLink"/>
                                </w:rPr>
                                <w:t>Exhibit A</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B1">
              <w:r>
                <w:rPr>
                  <w:rStyle w:val="InternetLink"/>
                </w:rPr>
                <w:t>Form of Support Agreement</w:t>
              </w:r>
            </w:hyperlink>
            <w:r>
              <w:rPr/>
              <w:t xml:space="preserve"> </w: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800100" cy="350520"/>
                      <wp:effectExtent l="0" t="0" r="0" b="0"/>
                      <wp:wrapSquare wrapText="right"/>
                      <wp:docPr id="452" name="Frame4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B1">
                                    <w:r>
                                      <w:rPr>
                                        <w:rStyle w:val="InternetLink"/>
                                      </w:rPr>
                                      <w:t>Exhibit B</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B1">
                              <w:r>
                                <w:rPr>
                                  <w:rStyle w:val="InternetLink"/>
                                </w:rPr>
                                <w:t>Exhibit B</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C1">
              <w:r>
                <w:rPr>
                  <w:rStyle w:val="InternetLink"/>
                </w:rPr>
                <w:t>Form of Certificate of Incorporation</w:t>
              </w:r>
            </w:hyperlink>
            <w:r>
              <w:rPr/>
              <w:t xml:space="preserve"> </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800100" cy="350520"/>
                      <wp:effectExtent l="0" t="0" r="0" b="0"/>
                      <wp:wrapSquare wrapText="right"/>
                      <wp:docPr id="453" name="Frame4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C1">
                                    <w:r>
                                      <w:rPr>
                                        <w:rStyle w:val="InternetLink"/>
                                      </w:rPr>
                                      <w:t>Exhibit C</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C1">
                              <w:r>
                                <w:rPr>
                                  <w:rStyle w:val="InternetLink"/>
                                </w:rPr>
                                <w:t>Exhibit C</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D1">
              <w:r>
                <w:rPr>
                  <w:rStyle w:val="InternetLink"/>
                </w:rPr>
                <w:t>Form of Assignment and Novation</w:t>
              </w:r>
            </w:hyperlink>
            <w:r>
              <w:rPr/>
              <w:t xml:space="preserve"> </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800100" cy="350520"/>
                      <wp:effectExtent l="0" t="0" r="0" b="0"/>
                      <wp:wrapSquare wrapText="right"/>
                      <wp:docPr id="454" name="Frame4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D1">
                                    <w:r>
                                      <w:rPr>
                                        <w:rStyle w:val="InternetLink"/>
                                      </w:rPr>
                                      <w:t>Exhibit D</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D1">
                              <w:r>
                                <w:rPr>
                                  <w:rStyle w:val="InternetLink"/>
                                </w:rPr>
                                <w:t>Exhibit D</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96" w:type="dxa"/>
        <w:jc w:val="left"/>
        <w:tblInd w:w="1393" w:type="dxa"/>
        <w:tblLayout w:type="fixed"/>
        <w:tblCellMar>
          <w:top w:w="0" w:type="dxa"/>
          <w:left w:w="0" w:type="dxa"/>
          <w:bottom w:w="50" w:type="dxa"/>
          <w:right w:w="0" w:type="dxa"/>
        </w:tblCellMar>
      </w:tblPr>
      <w:tblGrid>
        <w:gridCol w:w="3950"/>
        <w:gridCol w:w="109"/>
        <w:gridCol w:w="109"/>
        <w:gridCol w:w="1274"/>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5.16(e)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Division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Base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Beneficial Ownership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8.3(d)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COBRA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3.12(d)(vii)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Collective Bargaining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8.3(f)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8.3(g)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8.3(h)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8.3(j)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35" w:type="dxa"/>
        <w:jc w:val="left"/>
        <w:tblInd w:w="1393" w:type="dxa"/>
        <w:tblLayout w:type="fixed"/>
        <w:tblCellMar>
          <w:top w:w="0" w:type="dxa"/>
          <w:left w:w="0" w:type="dxa"/>
          <w:bottom w:w="50" w:type="dxa"/>
          <w:right w:w="0" w:type="dxa"/>
        </w:tblCellMar>
      </w:tblPr>
      <w:tblGrid>
        <w:gridCol w:w="3077"/>
        <w:gridCol w:w="109"/>
        <w:gridCol w:w="109"/>
        <w:gridCol w:w="1086"/>
        <w:gridCol w:w="154"/>
      </w:tblGrid>
      <w:tr>
        <w:trPr/>
        <w:tc>
          <w:tcPr>
            <w:tcW w:w="3077"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8.3(k)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8.3(l)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8.3(m)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8.3(n)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Customer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5.6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Consenting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8.3(q)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5.16(a)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8.3(o)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8.3(p)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Credit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8.3(r)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Default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Delaware Secretary of 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Elected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Deadline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Form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Eligible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Excess Cash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Export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3.24(b)(i)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FDI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8.3(t)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Form S-4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30" w:type="dxa"/>
        <w:jc w:val="left"/>
        <w:tblInd w:w="1393" w:type="dxa"/>
        <w:tblLayout w:type="fixed"/>
        <w:tblCellMar>
          <w:top w:w="0" w:type="dxa"/>
          <w:left w:w="0" w:type="dxa"/>
          <w:bottom w:w="50" w:type="dxa"/>
          <w:right w:w="0" w:type="dxa"/>
        </w:tblCellMar>
      </w:tblPr>
      <w:tblGrid>
        <w:gridCol w:w="4720"/>
        <w:gridCol w:w="109"/>
        <w:gridCol w:w="109"/>
        <w:gridCol w:w="1338"/>
        <w:gridCol w:w="154"/>
      </w:tblGrid>
      <w:tr>
        <w:trPr/>
        <w:tc>
          <w:tcPr>
            <w:tcW w:w="472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Hazardous Substance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5.8(a)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8.3(u)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Information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International Trade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Irish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8.3(w)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3.18(b)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8.3(x)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Legal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8.3(y)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Mailing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3.16(a)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Maximum Cash Election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Nasdaq Global Select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2.3(f)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nonassessable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8.3(z)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Non-U.S.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3.12(d)(viii)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7.1(b)(i)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8.3(aa)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Closing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4.1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8.3(bb)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Redomestication Shareholder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8.3(cc)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92" w:type="dxa"/>
        <w:jc w:val="left"/>
        <w:tblInd w:w="1393" w:type="dxa"/>
        <w:tblLayout w:type="fixed"/>
        <w:tblCellMar>
          <w:top w:w="0" w:type="dxa"/>
          <w:left w:w="0" w:type="dxa"/>
          <w:bottom w:w="50" w:type="dxa"/>
          <w:right w:w="0" w:type="dxa"/>
        </w:tblCellMar>
      </w:tblPr>
      <w:tblGrid>
        <w:gridCol w:w="4292"/>
        <w:gridCol w:w="109"/>
        <w:gridCol w:w="109"/>
        <w:gridCol w:w="1128"/>
        <w:gridCol w:w="154"/>
      </w:tblGrid>
      <w:tr>
        <w:trPr/>
        <w:tc>
          <w:tcPr>
            <w:tcW w:w="4292"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4.5(a)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7.3(b)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8.3(dd)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8.3(ee)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8.3(ff)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8.3(gg)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Public Official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8.3(hh)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8.3(jj)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Registration Statement 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(kk)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Repeat Precision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Rewind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8.3(ll)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8.3(mm)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8.3(nn)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5.2(e)(ii)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Support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Takeover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Counsel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2.5(c)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8.3(oo)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8.3(pp)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Tolling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8.3(qq)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8.3(rr)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US 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VAT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8.3(ss)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3.13(d)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May 31, 2026, by and among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Trinity Bell Sub, Inc., a Delaware corporation and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Each of Parent, Merger Sub and the Company is referred to herein individually as a “Party” and collectively as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intend to effect the merger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of Merger Sub with and into the Company, with the Company surviving the Merger, on the terms and subject to the conditions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unanimously approved this Agreement and declared it advisable for Parent to enter into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and (iv) resolved to recommend that the sole stockholder of Merger Sub approve and adopt this Agreement and the transactions contemplated hereby,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will cause the sole stockholder of Merger Sub, to approve and adopt this Agreement and the transactions contemplated hereby, including the Merger, immediately following the execution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and (ii) a support agreement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agree that (i) the Merger is intended, for U.S. federal and applicable state and local income tax purposes (the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to (A) be treated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also to prescribe certain conditions to the Merger as specified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IM"/>
      <w:bookmarkEnd w:id="47"/>
      <w:r>
        <w:rPr>
          <w:rFonts w:ascii="calibri;arial;sans-serif" w:hAnsi="calibri;arial;sans-serif"/>
          <w:b w:val="false"/>
          <w:i w:val="false"/>
          <w:caps w:val="false"/>
          <w:smallCaps w:val="false"/>
          <w:color w:val="000000"/>
          <w:sz w:val="16"/>
        </w:rPr>
        <w:t>​</w:t>
      </w:r>
      <w:bookmarkStart w:id="48" w:name="tS1TM"/>
      <w:bookmarkEnd w:id="48"/>
      <w:r>
        <w:rPr>
          <w:rFonts w:ascii="calibri;arial;sans-serif" w:hAnsi="calibri;arial;sans-serif"/>
          <w:b w:val="false"/>
          <w:i w:val="false"/>
          <w:caps w:val="false"/>
          <w:smallCaps w:val="false"/>
          <w:color w:val="000000"/>
          <w:sz w:val="16"/>
        </w:rPr>
        <w:t>​</w:t>
      </w:r>
      <w:bookmarkStart w:id="49" w:name="tS1CT"/>
      <w:bookmarkEnd w:id="49"/>
      <w:r>
        <w:rPr>
          <w:rFonts w:ascii="calibri;arial;sans-serif" w:hAnsi="calibri;arial;sans-serif"/>
          <w:b w:val="false"/>
          <w:i w:val="false"/>
          <w:caps w:val="false"/>
          <w:smallCaps w:val="false"/>
          <w:color w:val="000000"/>
          <w:sz w:val="16"/>
        </w:rPr>
        <w:t>​</w:t>
      </w:r>
      <w:bookmarkStart w:id="50" w:name="tS1ET"/>
      <w:bookmarkEnd w:id="50"/>
      <w:r>
        <w:rPr>
          <w:rFonts w:ascii="calibri;arial;sans-serif" w:hAnsi="calibri;arial;sans-serif"/>
          <w:b w:val="false"/>
          <w:i w:val="false"/>
          <w:caps w:val="false"/>
          <w:smallCaps w:val="false"/>
          <w:color w:val="000000"/>
          <w:sz w:val="16"/>
        </w:rPr>
        <w:t>​</w:t>
      </w:r>
      <w:bookmarkStart w:id="51" w:name="tS1EO"/>
      <w:bookmarkEnd w:id="51"/>
      <w:r>
        <w:rPr>
          <w:rFonts w:ascii="calibri;arial;sans-serif" w:hAnsi="calibri;arial;sans-serif"/>
          <w:b w:val="false"/>
          <w:i w:val="false"/>
          <w:caps w:val="false"/>
          <w:smallCaps w:val="false"/>
          <w:color w:val="000000"/>
          <w:sz w:val="16"/>
        </w:rPr>
        <w:t>​</w:t>
      </w:r>
      <w:bookmarkStart w:id="52" w:name="tS1CO"/>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premises, and of the representations, warranties, covenants and agreements contained herein, and intending to be legally bound hereby, the Parties hereby agree as follows: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and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at 10:00 a.m., Central time, on the second Business Day following the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Times;serif" w:hAnsi="Times New Roman;Times;serif"/>
          <w:b w:val="false"/>
          <w:i w:val="false"/>
          <w:caps w:val="false"/>
          <w:smallCaps w:val="false"/>
          <w:color w:val="000000"/>
          <w:spacing w:val="4"/>
          <w:sz w:val="20"/>
          <w:u w:val="single"/>
        </w:rPr>
        <w:t>Tolling Period</w:t>
      </w:r>
      <w:r>
        <w:rPr>
          <w:rFonts w:ascii="Times New Roman;Times;serif" w:hAnsi="Times New Roman;Times;serif"/>
          <w:b w:val="false"/>
          <w:i w:val="false"/>
          <w:caps w:val="false"/>
          <w:smallCaps w:val="false"/>
          <w:color w:val="000000"/>
          <w:spacing w:val="4"/>
          <w:sz w:val="20"/>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the Outside Date shall be automatically 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as of the commencement of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Upon the terms and subject to the conditions of this Agreement, as soon as practicable on the Closing Date, the Parties shall file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with the Secretary of State of the State of Delaware (the “</w:t>
      </w:r>
      <w:r>
        <w:rPr>
          <w:rFonts w:ascii="Times New Roman;Times;serif" w:hAnsi="Times New Roman;Times;serif"/>
          <w:b w:val="false"/>
          <w:i w:val="false"/>
          <w:caps w:val="false"/>
          <w:smallCaps w:val="false"/>
          <w:color w:val="000000"/>
          <w:spacing w:val="4"/>
          <w:sz w:val="20"/>
          <w:u w:val="single"/>
        </w:rPr>
        <w:t>Delaware Secretary of State</w:t>
      </w:r>
      <w:r>
        <w:rPr>
          <w:rFonts w:ascii="Times New Roman;Times;serif" w:hAnsi="Times New Roman;Times;serif"/>
          <w:b w:val="false"/>
          <w:i w:val="false"/>
          <w:caps w:val="false"/>
          <w:smallCaps w:val="false"/>
          <w:color w:val="000000"/>
          <w:spacing w:val="4"/>
          <w:sz w:val="20"/>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Certificate of Incorporation; Bylaws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Effective Time, the Company Charter shall be amended and restated so that it reads in its entirety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shall be the certificate of incorporation of the Surviving Corporation until thereafter amended in accordance with its terms and as provided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S1DF"/>
      <w:bookmarkEnd w:id="53"/>
      <w:r>
        <w:rPr>
          <w:rFonts w:ascii="calibri;arial;sans-serif" w:hAnsi="calibri;arial;sans-serif"/>
          <w:b w:val="false"/>
          <w:i w:val="false"/>
          <w:caps w:val="false"/>
          <w:smallCaps w:val="false"/>
          <w:color w:val="000000"/>
          <w:sz w:val="16"/>
        </w:rPr>
        <w:t>​</w:t>
      </w:r>
      <w:bookmarkStart w:id="54" w:name="tS1OF"/>
      <w:bookmarkEnd w:id="54"/>
      <w:r>
        <w:rPr>
          <w:rFonts w:ascii="calibri;arial;sans-serif" w:hAnsi="calibri;arial;sans-serif"/>
          <w:b w:val="false"/>
          <w:i w:val="false"/>
          <w:caps w:val="false"/>
          <w:smallCaps w:val="false"/>
          <w:color w:val="000000"/>
          <w:sz w:val="16"/>
        </w:rPr>
        <w:t>​</w:t>
      </w:r>
      <w:bookmarkStart w:id="55" w:name="tARII"/>
      <w:bookmarkEnd w:id="55"/>
      <w:r>
        <w:rPr>
          <w:rFonts w:ascii="calibri;arial;sans-serif" w:hAnsi="calibri;arial;sans-serif"/>
          <w:b w:val="false"/>
          <w:i w:val="false"/>
          <w:caps w:val="false"/>
          <w:smallCaps w:val="false"/>
          <w:color w:val="000000"/>
          <w:sz w:val="16"/>
        </w:rPr>
        <w:t>​</w:t>
      </w:r>
      <w:bookmarkStart w:id="56" w:name="tS2C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w:t>
      </w:r>
      <w:r>
        <w:rPr>
          <w:rFonts w:ascii="Times New Roman;Times;serif" w:hAnsi="Times New Roman;Times;serif"/>
          <w:b w:val="false"/>
          <w:i w:val="false"/>
          <w:caps w:val="false"/>
          <w:smallCaps w:val="false"/>
          <w:color w:val="000000"/>
          <w:spacing w:val="4"/>
          <w:sz w:val="20"/>
        </w:rPr>
        <w:t xml:space="preserve">.   From and after the Effective Time, the directors of Merger Sub immediately prior to the Effective Time shall be the directors of the Surviving Corporation until the earlier of their resignation or removal or until their respective successors are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1.7   </w:t>
      </w:r>
      <w:r>
        <w:rPr>
          <w:rFonts w:ascii="Times New Roman;Times;serif" w:hAnsi="Times New Roman;Times;serif"/>
          <w:b w:val="false"/>
          <w:i w:val="false"/>
          <w:caps w:val="false"/>
          <w:smallCaps w:val="false"/>
          <w:color w:val="000000"/>
          <w:spacing w:val="4"/>
          <w:sz w:val="20"/>
          <w:u w:val="single"/>
        </w:rPr>
        <w:t>Officers</w:t>
      </w:r>
      <w:r>
        <w:rPr>
          <w:rFonts w:ascii="Times New Roman;Times;serif" w:hAnsi="Times New Roman;Times;serif"/>
          <w:b w:val="false"/>
          <w:i w:val="false"/>
          <w:caps w:val="false"/>
          <w:smallCaps w:val="false"/>
          <w:color w:val="000000"/>
          <w:spacing w:val="4"/>
          <w:sz w:val="20"/>
        </w:rPr>
        <w:t xml:space="preserve">.   From and after the Effective Time, the officers of Merger Sub immediately prior to the Effective Time shall be the officers of the Surviving Corporation until the earlier of their resignation or removal or until their respective successors are duly elected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EFFECT ON THE CAPITAL STOCK OF THE CONSTITUENT CORPORATIONS;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Conversion of Capital Stock</w:t>
      </w:r>
      <w:r>
        <w:rPr>
          <w:rFonts w:ascii="Times New Roman;Times;serif" w:hAnsi="Times New Roman;Times;serif"/>
          <w:b w:val="false"/>
          <w:i w:val="false"/>
          <w:caps w:val="false"/>
          <w:smallCaps w:val="false"/>
          <w:color w:val="000000"/>
          <w:spacing w:val="4"/>
          <w:sz w:val="20"/>
        </w:rPr>
        <w:t xml:space="preserve">.   At the Effective Time, by virtue of the Merger and operation of Delaware law and without any action on the part of the Company, Parent, Merger Sub or the holders of any shares of capital stock of the Company, Parent or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each share (such shares,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issued and outstanding immediately prior to the Effective Time (excluding any Excluded Shares) (such shares, the “</w:t>
      </w:r>
      <w:r>
        <w:rPr>
          <w:rFonts w:ascii="Times New Roman;Times;serif" w:hAnsi="Times New Roman;Times;serif"/>
          <w:b w:val="false"/>
          <w:i w:val="false"/>
          <w:caps w:val="false"/>
          <w:smallCaps w:val="false"/>
          <w:color w:val="000000"/>
          <w:spacing w:val="4"/>
          <w:sz w:val="20"/>
          <w:u w:val="single"/>
        </w:rPr>
        <w:t>Eligible Shares</w:t>
      </w:r>
      <w:r>
        <w:rPr>
          <w:rFonts w:ascii="Times New Roman;Times;serif" w:hAnsi="Times New Roman;Times;serif"/>
          <w:b w:val="false"/>
          <w:i w:val="false"/>
          <w:caps w:val="false"/>
          <w:smallCaps w:val="false"/>
          <w:color w:val="000000"/>
          <w:spacing w:val="4"/>
          <w:sz w:val="20"/>
        </w:rPr>
        <w:t>”) shall thereupon automatically be cancelled and converted into and shall thereafter represent the right to receive the following consideration from Parent (such consideration,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for each Share of Company Common Stock with respect to which an election to receive only share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Share Election Stock</w:t>
      </w:r>
      <w:r>
        <w:rPr>
          <w:rFonts w:ascii="Times New Roman;Times;serif" w:hAnsi="Times New Roman;Times;serif"/>
          <w:b w:val="false"/>
          <w:i w:val="false"/>
          <w:caps w:val="false"/>
          <w:smallCaps w:val="false"/>
          <w:color w:val="000000"/>
          <w:spacing w:val="4"/>
          <w:sz w:val="20"/>
        </w:rPr>
        <w:t>”), that number of Parent Ordinary Shares equal to the Share Consideration Exchange Ratio (the “</w:t>
      </w:r>
      <w:r>
        <w:rPr>
          <w:rFonts w:ascii="Times New Roman;Times;serif" w:hAnsi="Times New Roman;Times;serif"/>
          <w:b w:val="false"/>
          <w:i w:val="false"/>
          <w:caps w:val="false"/>
          <w:smallCaps w:val="false"/>
          <w:color w:val="000000"/>
          <w:spacing w:val="4"/>
          <w:sz w:val="20"/>
          <w:u w:val="single"/>
        </w:rPr>
        <w:t>Share Consideration</w:t>
      </w:r>
      <w:r>
        <w:rPr>
          <w:rFonts w:ascii="Times New Roman;Times;serif" w:hAnsi="Times New Roman;Times;serif"/>
          <w:b w:val="false"/>
          <w:i w:val="false"/>
          <w:caps w:val="false"/>
          <w:smallCaps w:val="false"/>
          <w:color w:val="000000"/>
          <w:spacing w:val="4"/>
          <w:sz w:val="20"/>
        </w:rPr>
        <w:t>”). As used in this Agreement, “</w:t>
      </w:r>
      <w:r>
        <w:rPr>
          <w:rFonts w:ascii="Times New Roman;Times;serif" w:hAnsi="Times New Roman;Times;serif"/>
          <w:b w:val="false"/>
          <w:i w:val="false"/>
          <w:caps w:val="false"/>
          <w:smallCaps w:val="false"/>
          <w:color w:val="000000"/>
          <w:spacing w:val="4"/>
          <w:sz w:val="20"/>
          <w:u w:val="single"/>
        </w:rPr>
        <w:t>Share Consideration Exchange Ratio</w:t>
      </w:r>
      <w:r>
        <w:rPr>
          <w:rFonts w:ascii="Times New Roman;Times;serif" w:hAnsi="Times New Roman;Times;serif"/>
          <w:b w:val="false"/>
          <w:i w:val="false"/>
          <w:caps w:val="false"/>
          <w:smallCaps w:val="false"/>
          <w:color w:val="000000"/>
          <w:spacing w:val="4"/>
          <w:sz w:val="20"/>
        </w:rPr>
        <w:t xml:space="preserve">” means 0.5537;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for each Share of Company Common Stock with respect to which an election to receive mixed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Mixed Election Stock</w:t>
      </w:r>
      <w:r>
        <w:rPr>
          <w:rFonts w:ascii="Times New Roman;Times;serif" w:hAnsi="Times New Roman;Times;serif"/>
          <w:b w:val="false"/>
          <w:i w:val="false"/>
          <w:caps w:val="false"/>
          <w:smallCaps w:val="false"/>
          <w:color w:val="000000"/>
          <w:spacing w:val="4"/>
          <w:sz w:val="20"/>
        </w:rPr>
        <w:t xml:space="preserve">”), (A) subject to the Maximum Cash Election Amount and </w:t>
      </w:r>
      <w:r>
        <w:rPr>
          <w:rFonts w:ascii="Times New Roman;Times;serif" w:hAnsi="Times New Roman;Times;serif"/>
          <w:b w:val="false"/>
          <w:i w:val="false"/>
          <w:caps w:val="false"/>
          <w:smallCaps w:val="false"/>
          <w:color w:val="000000"/>
          <w:spacing w:val="4"/>
          <w:sz w:val="20"/>
          <w:u w:val="single"/>
        </w:rPr>
        <w:t>Section 2.5(e)</w:t>
      </w:r>
      <w:r>
        <w:rPr>
          <w:rFonts w:ascii="Times New Roman;Times;serif" w:hAnsi="Times New Roman;Times;serif"/>
          <w:b w:val="false"/>
          <w:i w:val="false"/>
          <w:caps w:val="false"/>
          <w:smallCaps w:val="false"/>
          <w:color w:val="000000"/>
          <w:spacing w:val="4"/>
          <w:sz w:val="20"/>
        </w:rPr>
        <w:t>, the Cash Consideration and (B) that number of Parent Ordinary Shares equal to the Mixed Share Consideration Exchange Ratio (the “</w:t>
      </w:r>
      <w:r>
        <w:rPr>
          <w:rFonts w:ascii="Times New Roman;Times;serif" w:hAnsi="Times New Roman;Times;serif"/>
          <w:b w:val="false"/>
          <w:i w:val="false"/>
          <w:caps w:val="false"/>
          <w:smallCaps w:val="false"/>
          <w:color w:val="000000"/>
          <w:spacing w:val="4"/>
          <w:sz w:val="20"/>
          <w:u w:val="single"/>
        </w:rPr>
        <w:t>Mixed Share Consideration</w:t>
      </w:r>
      <w:r>
        <w:rPr>
          <w:rFonts w:ascii="Times New Roman;Times;serif" w:hAnsi="Times New Roman;Times;serif"/>
          <w:b w:val="false"/>
          <w:i w:val="false"/>
          <w:caps w:val="false"/>
          <w:smallCaps w:val="false"/>
          <w:color w:val="000000"/>
          <w:spacing w:val="4"/>
          <w:sz w:val="20"/>
        </w:rPr>
        <w:t>” and together with the Cash Consideration, the “</w:t>
      </w:r>
      <w:r>
        <w:rPr>
          <w:rFonts w:ascii="Times New Roman;Times;serif" w:hAnsi="Times New Roman;Times;serif"/>
          <w:b w:val="false"/>
          <w:i w:val="false"/>
          <w:caps w:val="false"/>
          <w:smallCaps w:val="false"/>
          <w:color w:val="000000"/>
          <w:spacing w:val="4"/>
          <w:sz w:val="20"/>
          <w:u w:val="single"/>
        </w:rPr>
        <w:t>Mixed Consideration</w:t>
      </w:r>
      <w:r>
        <w:rPr>
          <w:rFonts w:ascii="Times New Roman;Times;serif" w:hAnsi="Times New Roman;Times;serif"/>
          <w:b w:val="false"/>
          <w:i w:val="false"/>
          <w:caps w:val="false"/>
          <w:smallCaps w:val="false"/>
          <w:color w:val="000000"/>
          <w:spacing w:val="4"/>
          <w:sz w:val="20"/>
        </w:rPr>
        <w:t xml:space="preserve">”). As used in this Agreement: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Maximum Cash Election Amount</w:t>
      </w:r>
      <w:r>
        <w:rPr>
          <w:rFonts w:ascii="Times New Roman;Times;serif" w:hAnsi="Times New Roman;Times;serif"/>
          <w:b w:val="false"/>
          <w:i w:val="false"/>
          <w:caps w:val="false"/>
          <w:smallCaps w:val="false"/>
          <w:color w:val="000000"/>
          <w:spacing w:val="4"/>
          <w:sz w:val="20"/>
        </w:rPr>
        <w:t xml:space="preserve">” means an amount equal to the lesser of (I) the product of (x)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quotient of (1) 0.199,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(2) the quotient of (A) the aggregate number of shares of Mixed Election Stock,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(B) the number of Eligible Shares,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(z) the sum of (1) the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(2) the Mixed Share Consideration Value, and (II) the maximum amount of cash that may be delivered in the Merger without violating Section 368(a)(2)(E)(ii) of the Code (as reasonably determined by Tax Counsel in consultation with Parent).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Cash Consideration”</w:t>
      </w:r>
      <w:r>
        <w:rPr>
          <w:rFonts w:ascii="Times New Roman;Times;serif" w:hAnsi="Times New Roman;Times;serif"/>
          <w:b w:val="false"/>
          <w:i w:val="false"/>
          <w:caps w:val="false"/>
          <w:smallCaps w:val="false"/>
          <w:color w:val="000000"/>
          <w:spacing w:val="4"/>
          <w:sz w:val="20"/>
        </w:rPr>
        <w:t xml:space="preserve"> means cash in an amount equal to the product of (x) the Cash Exchange Ratio, multiplied by (y) the Parent Closing Price.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Cash Exchange Ratio”</w:t>
      </w:r>
      <w:r>
        <w:rPr>
          <w:rFonts w:ascii="Times New Roman;Times;serif" w:hAnsi="Times New Roman;Times;serif"/>
          <w:b w:val="false"/>
          <w:i w:val="false"/>
          <w:caps w:val="false"/>
          <w:smallCaps w:val="false"/>
          <w:color w:val="000000"/>
          <w:spacing w:val="4"/>
          <w:sz w:val="20"/>
        </w:rPr>
        <w:t xml:space="preserve"> means 0.1371.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Mixed Share Consideration Value</w:t>
      </w:r>
      <w:r>
        <w:rPr>
          <w:rFonts w:ascii="Times New Roman;Times;serif" w:hAnsi="Times New Roman;Times;serif"/>
          <w:b w:val="false"/>
          <w:i w:val="false"/>
          <w:caps w:val="false"/>
          <w:smallCaps w:val="false"/>
          <w:color w:val="000000"/>
          <w:spacing w:val="4"/>
          <w:sz w:val="20"/>
        </w:rPr>
        <w:t xml:space="preserve">” means the product of (x) the Mixed Share Consideration Exchange Ratio,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Parent Closing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S2TO"/>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Closing Price</w:t>
      </w:r>
      <w:r>
        <w:rPr>
          <w:rFonts w:ascii="Times New Roman;Times;serif" w:hAnsi="Times New Roman;Times;serif"/>
          <w:b w:val="false"/>
          <w:i w:val="false"/>
          <w:caps w:val="false"/>
          <w:smallCaps w:val="false"/>
          <w:color w:val="000000"/>
          <w:spacing w:val="4"/>
          <w:sz w:val="20"/>
        </w:rPr>
        <w:t xml:space="preserve">” means the closing price per share of Parent Ordinary Shares on the Nasdaq Global Select on the last complete trading day prior to the Closing Date.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Elected Cash Consideration</w:t>
      </w:r>
      <w:r>
        <w:rPr>
          <w:rFonts w:ascii="Times New Roman;Times;serif" w:hAnsi="Times New Roman;Times;serif"/>
          <w:b w:val="false"/>
          <w:i w:val="false"/>
          <w:caps w:val="false"/>
          <w:smallCaps w:val="false"/>
          <w:color w:val="000000"/>
          <w:spacing w:val="4"/>
          <w:sz w:val="20"/>
        </w:rPr>
        <w:t xml:space="preserve">” means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Cash Consideration.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Mixed Share Consideration Exchange Ratio</w:t>
      </w:r>
      <w:r>
        <w:rPr>
          <w:rFonts w:ascii="Times New Roman;Times;serif" w:hAnsi="Times New Roman;Times;serif"/>
          <w:b w:val="false"/>
          <w:i w:val="false"/>
          <w:caps w:val="false"/>
          <w:smallCaps w:val="false"/>
          <w:color w:val="000000"/>
          <w:spacing w:val="4"/>
          <w:sz w:val="20"/>
        </w:rPr>
        <w:t xml:space="preserve">” means 0.2392.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for each Share of Company Common Stock with respect to which no election to receive Share Consideration or Mixed Consideration has been made (the “</w:t>
      </w:r>
      <w:r>
        <w:rPr>
          <w:rFonts w:ascii="Times New Roman;Times;serif" w:hAnsi="Times New Roman;Times;serif"/>
          <w:b w:val="false"/>
          <w:i w:val="false"/>
          <w:caps w:val="false"/>
          <w:smallCaps w:val="false"/>
          <w:color w:val="000000"/>
          <w:spacing w:val="4"/>
          <w:sz w:val="20"/>
          <w:u w:val="single"/>
        </w:rPr>
        <w:t>Default Stock</w:t>
      </w:r>
      <w:r>
        <w:rPr>
          <w:rFonts w:ascii="Times New Roman;Times;serif" w:hAnsi="Times New Roman;Times;serif"/>
          <w:b w:val="false"/>
          <w:i w:val="false"/>
          <w:caps w:val="false"/>
          <w:smallCaps w:val="false"/>
          <w:color w:val="000000"/>
          <w:spacing w:val="4"/>
          <w:sz w:val="20"/>
        </w:rPr>
        <w:t xml:space="preserve">”), the Share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in each case to be issued or paid in accordance with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Share held in the treasury of the Company or owned, directly or indirectly, by Parent or Merger Sub immediately prior to the Effective Time (collectively, “</w:t>
      </w:r>
      <w:r>
        <w:rPr>
          <w:rFonts w:ascii="Times New Roman;Times;serif" w:hAnsi="Times New Roman;Times;serif"/>
          <w:b w:val="false"/>
          <w:i w:val="false"/>
          <w:caps w:val="false"/>
          <w:smallCaps w:val="false"/>
          <w:color w:val="000000"/>
          <w:spacing w:val="4"/>
          <w:sz w:val="20"/>
          <w:u w:val="single"/>
        </w:rPr>
        <w:t>Excluded Shares</w:t>
      </w:r>
      <w:r>
        <w:rPr>
          <w:rFonts w:ascii="Times New Roman;Times;serif" w:hAnsi="Times New Roman;Times;serif"/>
          <w:b w:val="false"/>
          <w:i w:val="false"/>
          <w:caps w:val="false"/>
          <w:smallCaps w:val="false"/>
          <w:color w:val="000000"/>
          <w:spacing w:val="4"/>
          <w:sz w:val="20"/>
        </w:rPr>
        <w:t xml:space="preserve">”) shall automatically be cancelled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nothing in this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shall be construed to permit or authorize Parent or the Company to take any action with respect 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Equity-Based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Times;serif" w:hAnsi="Times New Roman;Times;serif"/>
          <w:b w:val="false"/>
          <w:i w:val="false"/>
          <w:caps w:val="false"/>
          <w:smallCaps w:val="false"/>
          <w:color w:val="000000"/>
          <w:spacing w:val="4"/>
          <w:sz w:val="20"/>
          <w:u w:val="single"/>
        </w:rPr>
        <w:t>Assumed RSUs</w:t>
      </w:r>
      <w:r>
        <w:rPr>
          <w:rFonts w:ascii="Times New Roman;Times;serif" w:hAnsi="Times New Roman;Times;serif"/>
          <w:b w:val="false"/>
          <w:i w:val="false"/>
          <w:caps w:val="false"/>
          <w:smallCaps w:val="false"/>
          <w:color w:val="000000"/>
          <w:spacing w:val="4"/>
          <w:sz w:val="20"/>
        </w:rPr>
        <w:t xml:space="preserve">”). Each Assumed RSU will continue to have,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subject to, the same terms and conditions of such Assumed RSU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Times;serif" w:hAnsi="Times New Roman;Times;serif"/>
          <w:b w:val="false"/>
          <w:i w:val="false"/>
          <w:caps w:val="false"/>
          <w:smallCaps w:val="false"/>
          <w:color w:val="000000"/>
          <w:spacing w:val="4"/>
          <w:sz w:val="20"/>
          <w:u w:val="single"/>
        </w:rPr>
        <w:t>Assumed Options</w:t>
      </w:r>
      <w:r>
        <w:rPr>
          <w:rFonts w:ascii="Times New Roman;Times;serif" w:hAnsi="Times New Roman;Times;serif"/>
          <w:b w:val="false"/>
          <w:i w:val="false"/>
          <w:caps w:val="false"/>
          <w:smallCaps w:val="false"/>
          <w:color w:val="000000"/>
          <w:spacing w:val="4"/>
          <w:sz w:val="20"/>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Times;serif" w:hAnsi="Times New Roman;Times;serif"/>
          <w:b w:val="false"/>
          <w:i w:val="false"/>
          <w:caps w:val="false"/>
          <w:smallCaps w:val="false"/>
          <w:color w:val="000000"/>
          <w:spacing w:val="4"/>
          <w:sz w:val="20"/>
          <w:u w:val="single"/>
        </w:rPr>
        <w:t>Assumed PSUs</w:t>
      </w:r>
      <w:r>
        <w:rPr>
          <w:rFonts w:ascii="Times New Roman;Times;serif" w:hAnsi="Times New Roman;Times;serif"/>
          <w:b w:val="false"/>
          <w:i w:val="false"/>
          <w:caps w:val="false"/>
          <w:smallCaps w:val="false"/>
          <w:color w:val="000000"/>
          <w:spacing w:val="4"/>
          <w:sz w:val="20"/>
        </w:rPr>
        <w:t xml:space="preserve">”). Each Assumed PSU will continue to have, and be subject to, the same terms and conditions of such Assumed PSU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2E"/>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enter into an agreement in form reasonably acceptable to the Company with a bank or trust company designated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xml:space="preserve">”) to act as nominee and agent for the holders of Company Common Stock in connection with the Merger and to receive the Merger Consideration to which such holders shall become entitled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Parent shall make available to the Exchange Agent, as required, for exchange in accordance with this Article II, the number of Parent Ordinary Shares to be delivered as Share Consideration and Mixed Share Consideration in respect of Eligible Shares cancelled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with respect to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All Parent Ordinary Shares and cash made available or deposited with the Exchange Agent (including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are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Exchange Fund shall not be used for any other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in each case of the foregoing clauses (i) and (ii),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(after taking into account all Eligible Shares then held by such holder) and (iii) as the case may be, a check or wire transfer in the amount equal to (1) the Cash Consideration that such holder has the right to receive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plus (2)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cash payable in lieu of any fractional Parent Ordinary Shares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each Certificate or Book-Entry Share shall be deemed after the Effective Time to represent only the right to receive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Following the surrender of a Certificate by a record holder of Eligible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anything in the foregoing to the contrary, holders of Book-Entry Shares who are entitled to receive Parent Ordinary Shares under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paid (A) at the time of delivery of such Parent Ordinary Shares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and a payment date subsequent to the time of such delivery payable with respect to such whole Parent Ordinary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Merger Consideration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issued and paid in accordance with the terms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herein, no certificates or scrip representing fractional Parent Ordinary Shares shall be issued upon the surrender for exchange of Certificates or Book-Entry Shares, no dividends with respect to the Parent Ordinary Shares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2NA"/>
      <w:bookmarkEnd w:id="59"/>
      <w:r>
        <w:rPr>
          <w:rFonts w:ascii="calibri;arial;sans-serif" w:hAnsi="calibri;arial;sans-serif"/>
          <w:b w:val="false"/>
          <w:i w:val="false"/>
          <w:caps w:val="false"/>
          <w:smallCaps w:val="false"/>
          <w:color w:val="000000"/>
          <w:sz w:val="16"/>
        </w:rPr>
        <w:t>​</w:t>
      </w:r>
      <w:bookmarkStart w:id="60" w:name="tS2E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by (ii) the average of the volume weighted average price per share of Parent Ordinary Shares on the Nasdaq Global Select Market (“</w:t>
      </w:r>
      <w:r>
        <w:rPr>
          <w:rFonts w:ascii="Times New Roman;Times;serif" w:hAnsi="Times New Roman;Times;serif"/>
          <w:b w:val="false"/>
          <w:i w:val="false"/>
          <w:caps w:val="false"/>
          <w:smallCaps w:val="false"/>
          <w:color w:val="000000"/>
          <w:spacing w:val="4"/>
          <w:sz w:val="20"/>
          <w:u w:val="single"/>
        </w:rPr>
        <w:t>Nasdaq Global Select</w:t>
      </w:r>
      <w:r>
        <w:rPr>
          <w:rFonts w:ascii="Times New Roman;Times;serif" w:hAnsi="Times New Roman;Times;serif"/>
          <w:b w:val="false"/>
          <w:i w:val="false"/>
          <w:caps w:val="false"/>
          <w:smallCaps w:val="false"/>
          <w:color w:val="000000"/>
          <w:spacing w:val="4"/>
          <w:sz w:val="20"/>
        </w:rPr>
        <w:t xml:space="preserve">”) (as reported by Bloomberg, L.P. or, if not reported by Bloomberg, L.P., by another authoritative source mutually selected by Parent and the Company) for the 10 consecutive trading days ending with the last complete trading day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(subject to abandoned property, escheat or other similar laws),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the Surviving Corporation, the Exchange Agent or any other Person shall be liable to any Person in respect of any portion of the Exchange Fund properly delivered to a public official pursuant to any applicable abandoned property, escheat or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No dissenters’ or appraisal rights shall be available with respect to the Merger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Election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 less than 30 days prior to the anticipated Effective Time or on such other date as Parent and the Company mutually agree (the “</w:t>
      </w:r>
      <w:r>
        <w:rPr>
          <w:rFonts w:ascii="Times New Roman;Times;serif" w:hAnsi="Times New Roman;Times;serif"/>
          <w:b w:val="false"/>
          <w:i w:val="false"/>
          <w:caps w:val="false"/>
          <w:smallCaps w:val="false"/>
          <w:color w:val="000000"/>
          <w:spacing w:val="4"/>
          <w:sz w:val="20"/>
          <w:u w:val="single"/>
        </w:rPr>
        <w:t>Mailing Date</w:t>
      </w:r>
      <w:r>
        <w:rPr>
          <w:rFonts w:ascii="Times New Roman;Times;serif" w:hAnsi="Times New Roman;Times;serif"/>
          <w:b w:val="false"/>
          <w:i w:val="false"/>
          <w:caps w:val="false"/>
          <w:smallCaps w:val="false"/>
          <w:color w:val="000000"/>
          <w:spacing w:val="4"/>
          <w:sz w:val="20"/>
        </w:rPr>
        <w:t>”), the Company shall cause to be mailed an election form and other appropriate and customary transmittal materials, in such form as the Company shall reasonably specify and as shall be reasonably acceptable to Parent (the “</w:t>
      </w:r>
      <w:r>
        <w:rPr>
          <w:rFonts w:ascii="Times New Roman;Times;serif" w:hAnsi="Times New Roman;Times;serif"/>
          <w:b w:val="false"/>
          <w:i w:val="false"/>
          <w:caps w:val="false"/>
          <w:smallCaps w:val="false"/>
          <w:color w:val="000000"/>
          <w:spacing w:val="4"/>
          <w:sz w:val="20"/>
          <w:u w:val="single"/>
        </w:rPr>
        <w:t>Election Form</w:t>
      </w:r>
      <w:r>
        <w:rPr>
          <w:rFonts w:ascii="Times New Roman;Times;serif" w:hAnsi="Times New Roman;Times;serif"/>
          <w:b w:val="false"/>
          <w:i w:val="false"/>
          <w:caps w:val="false"/>
          <w:smallCaps w:val="false"/>
          <w:color w:val="000000"/>
          <w:spacing w:val="4"/>
          <w:sz w:val="20"/>
        </w:rPr>
        <w:t xml:space="preserve">”), to each record holder of Company Common Stock (other than Excluded Shares) as of a record date that is five Business Days prior to the Mailing Date or such other date as mutually agreed to by Parent and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Times;serif" w:hAnsi="Times New Roman;Times;serif"/>
          <w:b w:val="false"/>
          <w:i w:val="false"/>
          <w:caps w:val="false"/>
          <w:smallCaps w:val="false"/>
          <w:color w:val="000000"/>
          <w:spacing w:val="4"/>
          <w:sz w:val="20"/>
          <w:u w:val="single"/>
        </w:rPr>
        <w:t>Election Period</w:t>
      </w:r>
      <w:r>
        <w:rPr>
          <w:rFonts w:ascii="Times New Roman;Times;serif" w:hAnsi="Times New Roman;Times;serif"/>
          <w:b w:val="false"/>
          <w:i w:val="false"/>
          <w:caps w:val="false"/>
          <w:smallCaps w:val="false"/>
          <w:color w:val="000000"/>
          <w:spacing w:val="4"/>
          <w:sz w:val="20"/>
        </w:rPr>
        <w:t>”) from the Mailing Date to 5:00 p.m., New York City time, on the Business Day that is five Business Days prior to the Closing Date or such other date as Parent and the Company shall, prior to the Closing, mutually agree (the “</w:t>
      </w:r>
      <w:r>
        <w:rPr>
          <w:rFonts w:ascii="Times New Roman;Times;serif" w:hAnsi="Times New Roman;Times;serif"/>
          <w:b w:val="false"/>
          <w:i w:val="false"/>
          <w:caps w:val="false"/>
          <w:smallCaps w:val="false"/>
          <w:color w:val="000000"/>
          <w:spacing w:val="4"/>
          <w:sz w:val="20"/>
          <w:u w:val="single"/>
        </w:rPr>
        <w:t>Election Deadline</w:t>
      </w:r>
      <w:r>
        <w:rPr>
          <w:rFonts w:ascii="Times New Roman;Times;serif" w:hAnsi="Times New Roman;Times;serif"/>
          <w:b w:val="false"/>
          <w:i w:val="false"/>
          <w:caps w:val="false"/>
          <w:smallCaps w:val="false"/>
          <w:color w:val="000000"/>
          <w:spacing w:val="4"/>
          <w:sz w:val="20"/>
        </w:rPr>
        <w:t xml:space="preserve">”) shall be deemed to have made no election. Parent and the Company shall publicly announce the anticipated Election Deadline at least five Business Days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S2IT"/>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Closing Date.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Any election made pursuant to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if the Elected Cash Consideration, is greater than the Maximum Cash Election Amount (the difference between the Elected Cash Consideration and the Maximum Cash Election Amount being the “</w:t>
      </w:r>
      <w:r>
        <w:rPr>
          <w:rFonts w:ascii="Times New Roman;Times;serif" w:hAnsi="Times New Roman;Times;serif"/>
          <w:b w:val="false"/>
          <w:i w:val="false"/>
          <w:caps w:val="false"/>
          <w:smallCaps w:val="false"/>
          <w:color w:val="000000"/>
          <w:spacing w:val="4"/>
          <w:sz w:val="20"/>
          <w:u w:val="single"/>
        </w:rPr>
        <w:t>Excess Cash Amount</w:t>
      </w:r>
      <w:r>
        <w:rPr>
          <w:rFonts w:ascii="Times New Roman;Times;serif" w:hAnsi="Times New Roman;Times;serif"/>
          <w:b w:val="false"/>
          <w:i w:val="false"/>
          <w:caps w:val="false"/>
          <w:smallCaps w:val="false"/>
          <w:color w:val="000000"/>
          <w:spacing w:val="4"/>
          <w:sz w:val="20"/>
        </w:rPr>
        <w:t xml:space="preserve">”),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 (x) 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RII1"/>
      <w:bookmarkEnd w:id="62"/>
      <w:r>
        <w:rPr>
          <w:rFonts w:ascii="calibri;arial;sans-serif" w:hAnsi="calibri;arial;sans-serif"/>
          <w:b w:val="false"/>
          <w:i w:val="false"/>
          <w:caps w:val="false"/>
          <w:smallCaps w:val="false"/>
          <w:color w:val="000000"/>
          <w:sz w:val="16"/>
        </w:rPr>
        <w:t>​</w:t>
      </w:r>
      <w:bookmarkStart w:id="63" w:name="tS3OS"/>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the Merger from qualifying for, cause a failure of the Merger to qualify for or otherwise impede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Times;serif" w:hAnsi="Times New Roman;Times;serif"/>
          <w:b w:val="false"/>
          <w:i w:val="false"/>
          <w:caps w:val="false"/>
          <w:smallCaps w:val="false"/>
          <w:color w:val="000000"/>
          <w:spacing w:val="4"/>
          <w:sz w:val="20"/>
          <w:u w:val="single"/>
        </w:rPr>
        <w:t>Tax Counsel</w:t>
      </w:r>
      <w:r>
        <w:rPr>
          <w:rFonts w:ascii="Times New Roman;Times;serif" w:hAnsi="Times New Roman;Times;serif"/>
          <w:b w:val="false"/>
          <w:i w:val="false"/>
          <w:caps w:val="false"/>
          <w:smallCaps w:val="false"/>
          <w:color w:val="000000"/>
          <w:spacing w:val="4"/>
          <w:sz w:val="20"/>
        </w:rPr>
        <w:t xml:space="preserve">”),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Parties hereby adopt this Agreement as a “plan of reorganization” within the meaning of Treasury Regulation Sections 1.368-2(g) and 1.368-3(a) for purposes of Sections 354, 361 and 368 of the Code.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Company SEC Document filed with or furnished to the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(Capital Stock)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(Brokers) or (b) the disclosure letter delivered by the Company to Parent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the Company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items set forth on Section 3.1(a) of the Company Disclosure Letter result in a Material Adverse Effect;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3CS"/>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previously made available to Parent true and complete copies of the Company’s certificate of incorporation (the “</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and bylaws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The Company is not in violation of any provision of the Company Charter or Company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5:00 p.m. Central Time on May 29, 2026 (the “</w:t>
      </w:r>
      <w:r>
        <w:rPr>
          <w:rFonts w:ascii="Times New Roman;Times;serif" w:hAnsi="Times New Roman;Times;serif"/>
          <w:b w:val="false"/>
          <w:i w:val="false"/>
          <w:caps w:val="false"/>
          <w:smallCaps w:val="false"/>
          <w:color w:val="000000"/>
          <w:spacing w:val="4"/>
          <w:sz w:val="20"/>
          <w:u w:val="single"/>
        </w:rPr>
        <w:t>Company Measurement Time</w:t>
      </w:r>
      <w:r>
        <w:rPr>
          <w:rFonts w:ascii="Times New Roman;Times;serif" w:hAnsi="Times New Roman;Times;serif"/>
          <w:b w:val="false"/>
          <w:i w:val="false"/>
          <w:caps w:val="false"/>
          <w:smallCaps w:val="false"/>
          <w:color w:val="000000"/>
          <w:spacing w:val="4"/>
          <w:sz w:val="20"/>
        </w:rPr>
        <w:t xml:space="preserve">”),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3SS"/>
      <w:bookmarkEnd w:id="65"/>
      <w:r>
        <w:rPr>
          <w:rFonts w:ascii="calibri;arial;sans-serif" w:hAnsi="calibri;arial;sans-serif"/>
          <w:b w:val="false"/>
          <w:i w:val="false"/>
          <w:caps w:val="false"/>
          <w:smallCaps w:val="false"/>
          <w:color w:val="000000"/>
          <w:sz w:val="16"/>
        </w:rPr>
        <w:t>​</w:t>
      </w:r>
      <w:bookmarkStart w:id="66" w:name="tS3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encumbrances and security interests of any kind or nature whatsoever (including any limitation on voting, sale, transfer or other disposition or exercise of any other attribute of ownership) (collectively,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3N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Written Consent is the only approval of the holders of any class or series of the Company’s capital stock or other securities required in connection with the adoption of this Agreement and consummation of the Merger and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3.5(b)(i), (ii) and (iii)</w:t>
      </w:r>
      <w:r>
        <w:rPr>
          <w:rFonts w:ascii="Times New Roman;Times;serif" w:hAnsi="Times New Roman;Times;serif"/>
          <w:b w:val="false"/>
          <w:i w:val="false"/>
          <w:caps w:val="false"/>
          <w:smallCaps w:val="false"/>
          <w:color w:val="000000"/>
          <w:spacing w:val="4"/>
          <w:sz w:val="20"/>
        </w:rPr>
        <w:t>, any federal, state, local or foreign law (including common law), statute, ordinance, rule, code, regulation, order, judgment, injunction, decree or other legally enforceable requirement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 legislative, executive, regulatory or self-regulatory authority, instrumentality, agency, commission or body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3S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3NU"/>
      <w:bookmarkEnd w:id="69"/>
      <w:r>
        <w:rPr>
          <w:rFonts w:ascii="calibri;arial;sans-serif" w:hAnsi="calibri;arial;sans-serif"/>
          <w:b w:val="false"/>
          <w:i w:val="false"/>
          <w:caps w:val="false"/>
          <w:smallCaps w:val="false"/>
          <w:color w:val="000000"/>
          <w:sz w:val="16"/>
        </w:rPr>
        <w:t>​</w:t>
      </w:r>
      <w:bookmarkStart w:id="70" w:name="tS3CI"/>
      <w:bookmarkEnd w:id="70"/>
      <w:r>
        <w:rPr>
          <w:rFonts w:ascii="calibri;arial;sans-serif" w:hAnsi="calibri;arial;sans-serif"/>
          <w:b w:val="false"/>
          <w:i w:val="false"/>
          <w:caps w:val="false"/>
          <w:smallCaps w:val="false"/>
          <w:color w:val="000000"/>
          <w:sz w:val="16"/>
        </w:rPr>
        <w:t>​</w:t>
      </w:r>
      <w:bookmarkStart w:id="71" w:name="tS3AO"/>
      <w:bookmarkEnd w:id="71"/>
      <w:r>
        <w:rPr>
          <w:rFonts w:ascii="calibri;arial;sans-serif" w:hAnsi="calibri;arial;sans-serif"/>
          <w:b w:val="false"/>
          <w:i w:val="false"/>
          <w:caps w:val="false"/>
          <w:smallCaps w:val="false"/>
          <w:color w:val="000000"/>
          <w:sz w:val="16"/>
        </w:rPr>
        <w:t>​</w:t>
      </w:r>
      <w:bookmarkStart w:id="72" w:name="tS3LE"/>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is in compliance in all material respects with the provisions of the Sarbanes-Oxley Act that are applicable to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Subsidiary of the Company is required to file any form, report, schedule, statement or other document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and (c) there has not been or occurred 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(or basis therefor) pending or, to the knowledge of the Company, threatened against or affecting the Company or any of its Subsidiaries, any of their respective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3CW"/>
      <w:bookmarkEnd w:id="73"/>
      <w:r>
        <w:rPr>
          <w:rFonts w:ascii="calibri;arial;sans-serif" w:hAnsi="calibri;arial;sans-serif"/>
          <w:b w:val="false"/>
          <w:i w:val="false"/>
          <w:caps w:val="false"/>
          <w:smallCaps w:val="false"/>
          <w:color w:val="000000"/>
          <w:sz w:val="16"/>
        </w:rPr>
        <w:t>​</w:t>
      </w:r>
      <w:bookmarkStart w:id="74" w:name="tS3BP"/>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used herein,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means each material (i)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(iii) 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within the meaning of ERISA Section 210 or Code Section 413(c), (v) any “voluntary employees beneficiary association” within the meaning of Section 501(c)(9) of the Code, or (vi) any “welfare benefit fund” within the meaning of Section 419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3.12(d)</w:t>
      </w:r>
      <w:r>
        <w:rPr>
          <w:rFonts w:ascii="Times New Roman;Times;serif" w:hAnsi="Times New Roman;Times;serif"/>
          <w:b w:val="false"/>
          <w:i w:val="false"/>
          <w:caps w:val="false"/>
          <w:smallCaps w:val="false"/>
          <w:color w:val="000000"/>
          <w:spacing w:val="4"/>
          <w:sz w:val="20"/>
        </w:rPr>
        <w:t xml:space="preserve"> of the Company Disclosure Letter, with respect to the Company Plans, except as has not had and would not reasonably be expected to have a Material Adverse Effect, since January 1, 2024: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Section 4980B(b) of the Code;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none of the Company Plans currently provides, or reflects or represents any liability to provide, post-termination or retiree welfare benefits to any individual for any reason, except as may be required by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and Section 4980B(b) of the Code or other applicable similar law regarding health care coverage continuation (collectively “</w:t>
      </w:r>
      <w:r>
        <w:rPr>
          <w:rFonts w:ascii="Times New Roman;Times;serif" w:hAnsi="Times New Roman;Times;serif"/>
          <w:b w:val="false"/>
          <w:i w:val="false"/>
          <w:caps w:val="false"/>
          <w:smallCaps w:val="false"/>
          <w:color w:val="000000"/>
          <w:spacing w:val="4"/>
          <w:sz w:val="20"/>
          <w:u w:val="single"/>
        </w:rPr>
        <w:t>COBRA</w:t>
      </w:r>
      <w:r>
        <w:rPr>
          <w:rFonts w:ascii="Times New Roman;Times;serif" w:hAnsi="Times New Roman;Times;serif"/>
          <w:b w:val="false"/>
          <w:i w:val="false"/>
          <w:caps w:val="false"/>
          <w:smallCaps w:val="false"/>
          <w:color w:val="000000"/>
          <w:spacing w:val="4"/>
          <w:sz w:val="20"/>
        </w:rPr>
        <w:t xml:space="preserve">”)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with respect to each Company Plan that is not subject exclusively to United States Law (each, a “</w:t>
      </w:r>
      <w:r>
        <w:rPr>
          <w:rFonts w:ascii="Times New Roman;Times;serif" w:hAnsi="Times New Roman;Times;serif"/>
          <w:b w:val="false"/>
          <w:i w:val="false"/>
          <w:caps w:val="false"/>
          <w:smallCaps w:val="false"/>
          <w:color w:val="000000"/>
          <w:spacing w:val="4"/>
          <w:sz w:val="20"/>
          <w:u w:val="single"/>
        </w:rPr>
        <w:t>Non-U.S. Benefit Plan</w:t>
      </w:r>
      <w:r>
        <w:rPr>
          <w:rFonts w:ascii="Times New Roman;Times;serif" w:hAnsi="Times New Roman;Times;serif"/>
          <w:b w:val="false"/>
          <w:i w:val="false"/>
          <w:caps w:val="false"/>
          <w:smallCaps w:val="false"/>
          <w:color w:val="000000"/>
          <w:spacing w:val="4"/>
          <w:sz w:val="20"/>
        </w:rPr>
        <w:t xml:space="preserve">”), (i) all employer and employee contributions to each Non-U.S. Benefit Plan required by applicable Law or by the terms of such Non-U.S. Benefit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S3LM"/>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execution and delivery of this Agreement nor the consummation of the Transactions is reasonably expected to result, separately or in the aggregate, in the payment of any “excess parachute payments” within the meaning of Section 280G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Person is entitled to any gross-up, make-whole or other additional payment from the Company or any of its Subsidiaries in respect of any Taxes (including Taxes imposed under Section 409A or 4999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Material Adverse Effect, since January 1, 2025: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 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S3EM"/>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 consultant, leased employee or other non-employee service provider, is and has been properly classified and treated as such for all applicable purposes.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3.13(d)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that would trigger the notice requirements of the WARN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no employee or other individual service provider with annual base compensation in excess of $150,000 intends to terminate his or her employment or engagement with the Company or any of its Subsidiaries prior to the one-year anniversary of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obtained, are in compliance with, and for the past three years have complied with, all Permits of all Governmental Entities and any other Person that are required under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3T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its Subsidiaries are currently subject to any suit, settlement, court order, administrative order, regulatory requirement, judgment or claim relating to a violation of, or liability under, any Environmental Law;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release, spill, emission, leaking, dumping, injection, pouring, deposit, disposal, discharge, dispersal, leaching or migration into or through the environment (including ambient air, surface water, groundwater, land surface or subsurface strata).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have timely paid in full all income and other Taxes due and owing by it whether or not shown as due on such Tax Returns, including any such Taxes required to be withheld, collected or deposited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outstanding or pending audits, examinations, investigations or other proceedings in respect of income or other Taxes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S3C"/>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such extension or waiver) has not yet expired (in each case other than pursuant to extensions of time to file Tax Returns obtained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there are no Liens for Taxes upon any property of the Company or any of its Subsidiaries, except for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has been a “controlled corporation” or a “distributing corporation” in any distribution that was purported or intended to be governed by Section 355 of the Code occurring during the two-year period ending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has entered into any “listed transaction” within the meaning of Section 6707A(c)(2) of the Code and Treasury Regulation Section 1.6011-4(b)(2) (or any similar provision of state, local or foreign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written claim has been made by any Governmental Entity within the past three years in a jurisdiction where the Company or any of its Subsidiaries does not file Tax Returns of a certain type that such entity is or may be subject to Taxes in that jurisdiction of such type;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3.16 of the Company Disclosure Letter lists each Contract (other than a Company Plan) of the following types to which the Company or any of its Subsidiaries is a party or by which any of their respective properties or assets is bound: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Contract required to be filed by the Company as a “material contract” pursuant to Item 601(b)(10) of Regulation S-K under the Securities Act or disclosed by the Company on a Current Report on Form 8-K;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with respect to the formation, creation, operation, management or control of a joint venture, partnership or other similar agreement or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relating to Indebtedness (other than such Contracts solely between or among the Company and its Subsidiaries) and having an outstanding principal amount in excess of $250,000;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that by its terms calls for aggregate payment or receipt by the Company and its Subsidiaries under such Contract of more than $750,000 over the remaining term of such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3IT"/>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pursuant to which the Company or any of its Subsidiaries has provided funds to or made any loan, capital contribution or other investment in, or assumed any liability or obligation of, any Person, in excess of $250,000, including take-or-pay contracts or keepwell agreements;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material Contract not entered into in the ordinary course of business between the Company or any of its Subsidiaries, on the one hand, and any Affiliate thereof other than any Subsidiary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material Contract with a former executive officer or director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Collective Bargaining Agreement;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relating to settlement or other final disposition of any material Action since January 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contract of the type described in clauses (i) through (xiii) is referred to herein as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S3RP"/>
      <w:bookmarkEnd w:id="80"/>
      <w:r>
        <w:rPr>
          <w:rFonts w:ascii="calibri;arial;sans-serif" w:hAnsi="calibri;arial;sans-serif"/>
          <w:b w:val="false"/>
          <w:i w:val="false"/>
          <w:caps w:val="false"/>
          <w:smallCaps w:val="false"/>
          <w:color w:val="000000"/>
          <w:sz w:val="16"/>
        </w:rPr>
        <w:t>​</w:t>
      </w:r>
      <w:bookmarkStart w:id="81" w:name="tS3I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Material Adverse Effect, with respect to each such insurance policy, (a) 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3.18(a)(i)</w:t>
      </w:r>
      <w:r>
        <w:rPr>
          <w:rFonts w:ascii="Times New Roman;Times;serif" w:hAnsi="Times New Roman;Times;serif"/>
          <w:b w:val="false"/>
          <w:i w:val="false"/>
          <w:caps w:val="false"/>
          <w:smallCaps w:val="false"/>
          <w:color w:val="000000"/>
          <w:spacing w:val="4"/>
          <w:sz w:val="20"/>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Times;serif" w:hAnsi="Times New Roman;Times;serif"/>
          <w:b w:val="false"/>
          <w:i w:val="false"/>
          <w:caps w:val="false"/>
          <w:smallCaps w:val="false"/>
          <w:color w:val="000000"/>
          <w:spacing w:val="4"/>
          <w:sz w:val="20"/>
          <w:u w:val="single"/>
        </w:rPr>
        <w:t>Section 3.18(a)(ii)</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3.18(b)</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Times;serif" w:hAnsi="Times New Roman;Times;serif"/>
          <w:b w:val="false"/>
          <w:i w:val="false"/>
          <w:caps w:val="false"/>
          <w:smallCaps w:val="false"/>
          <w:color w:val="000000"/>
          <w:spacing w:val="4"/>
          <w:sz w:val="20"/>
          <w:u w:val="single"/>
        </w:rPr>
        <w:t>Lease Agreement</w:t>
      </w:r>
      <w:r>
        <w:rPr>
          <w:rFonts w:ascii="Times New Roman;Times;serif" w:hAnsi="Times New Roman;Times;serif"/>
          <w:b w:val="false"/>
          <w:i w:val="false"/>
          <w:caps w:val="false"/>
          <w:smallCaps w:val="false"/>
          <w:color w:val="000000"/>
          <w:spacing w:val="4"/>
          <w:sz w:val="20"/>
        </w:rPr>
        <w:t xml:space="preserve">”). True, correct and complete copies of all Lease Agreements have been made available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Owned Real Property and Leased Real Property constitute all of the material real property used or necessary for use in connection with the conduct of the business of the Company and its Subsidiaries as presently conducted.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S3ST"/>
      <w:bookmarkEnd w:id="82"/>
      <w:r>
        <w:rPr>
          <w:rFonts w:ascii="calibri;arial;sans-serif" w:hAnsi="calibri;arial;sans-serif"/>
          <w:b w:val="false"/>
          <w:i w:val="false"/>
          <w:caps w:val="false"/>
          <w:smallCaps w:val="false"/>
          <w:color w:val="000000"/>
          <w:sz w:val="16"/>
        </w:rPr>
        <w:t>​</w:t>
      </w:r>
      <w:bookmarkStart w:id="83" w:name="tS3NR"/>
      <w:bookmarkEnd w:id="83"/>
      <w:r>
        <w:rPr>
          <w:rFonts w:ascii="calibri;arial;sans-serif" w:hAnsi="calibri;arial;sans-serif"/>
          <w:b w:val="false"/>
          <w:i w:val="false"/>
          <w:caps w:val="false"/>
          <w:smallCaps w:val="false"/>
          <w:color w:val="000000"/>
          <w:sz w:val="16"/>
        </w:rPr>
        <w:t>​</w:t>
      </w:r>
      <w:bookmarkStart w:id="84" w:name="tS3RP1"/>
      <w:bookmarkEnd w:id="84"/>
      <w:r>
        <w:rPr>
          <w:rFonts w:ascii="calibri;arial;sans-serif" w:hAnsi="calibri;arial;sans-serif"/>
          <w:b w:val="false"/>
          <w:i w:val="false"/>
          <w:caps w:val="false"/>
          <w:smallCaps w:val="false"/>
          <w:color w:val="000000"/>
          <w:sz w:val="16"/>
        </w:rPr>
        <w:t>​</w:t>
      </w:r>
      <w:bookmarkStart w:id="85" w:name="tS3PA"/>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 (iii) copyrights owned by the Company or any of its Subsidiaries, and any other equivalent rights in works of authorship, and registrations and applications for registration for any of the foregoing; (iv) intellectual property rights in software; and (v) trade secrets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used in their respective businesses as currently conducted (collectively, the “</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No “moratorium,” “fair price,” “business combination,” “control share acquisition” or similar provision of any state anti-takeover Law (collectively, “</w:t>
      </w:r>
      <w:r>
        <w:rPr>
          <w:rFonts w:ascii="Times New Roman;Times;serif" w:hAnsi="Times New Roman;Times;serif"/>
          <w:b w:val="false"/>
          <w:i w:val="false"/>
          <w:caps w:val="false"/>
          <w:smallCaps w:val="false"/>
          <w:color w:val="000000"/>
          <w:spacing w:val="4"/>
          <w:sz w:val="20"/>
          <w:u w:val="single"/>
        </w:rPr>
        <w:t>Takeover Law</w:t>
      </w:r>
      <w:r>
        <w:rPr>
          <w:rFonts w:ascii="Times New Roman;Times;serif" w:hAnsi="Times New Roman;Times;serif"/>
          <w:b w:val="false"/>
          <w:i w:val="false"/>
          <w:caps w:val="false"/>
          <w:smallCaps w:val="false"/>
          <w:color w:val="000000"/>
          <w:spacing w:val="4"/>
          <w:sz w:val="20"/>
        </w:rPr>
        <w:t xml:space="preserve">”) or any similar anti-takeover provision in the Company Charter or Company Bylaws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No Rights Plan</w:t>
      </w:r>
      <w:r>
        <w:rPr>
          <w:rFonts w:ascii="Times New Roman;Times;serif" w:hAnsi="Times New Roman;Times;serif"/>
          <w:b w:val="false"/>
          <w:i w:val="false"/>
          <w:caps w:val="false"/>
          <w:smallCaps w:val="false"/>
          <w:color w:val="000000"/>
          <w:spacing w:val="4"/>
          <w:sz w:val="20"/>
        </w:rPr>
        <w:t xml:space="preserve">.   There is no stockholder rights plan, “poison pill,” anti-takeover plan or other similar device in effect to which the Company is a party or is otherwise bound.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Privacy and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its Subsidiaries have experienced any material data security incident or breach in which Personal Information maintained or processed by or on behalf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3RW"/>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Relations With Governments, etc.; International Trade Matters; Anti-Corruption Matters; Anti-Money Laundering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the United Kingdom’s Bribery Act of 2010, and the rules and regulations thereunder; or any other anticorruption Laws applicable to the Company or any of its Subsidiaries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 (i) influencing any act or decision of a Public Official in his official capacity, including a decision or omission to fail to perform official functions, (ii) 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 regulations or restrictive measures relating to economic or trade sanctions or embargoes, including those administered or enforced by the U.S. Department of Treasury Office of Foreign Assets Control (“</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Times;serif" w:hAnsi="Times New Roman;Times;serif"/>
          <w:b w:val="false"/>
          <w:i w:val="false"/>
          <w:caps w:val="false"/>
          <w:smallCaps w:val="false"/>
          <w:color w:val="000000"/>
          <w:spacing w:val="4"/>
          <w:sz w:val="20"/>
          <w:u w:val="single"/>
        </w:rPr>
        <w:t>International Trade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foregoing: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Times;serif" w:hAnsi="Times New Roman;Times;serif"/>
          <w:b w:val="false"/>
          <w:i w:val="false"/>
          <w:caps w:val="false"/>
          <w:smallCaps w:val="false"/>
          <w:color w:val="000000"/>
          <w:spacing w:val="4"/>
          <w:sz w:val="20"/>
          <w:u w:val="single"/>
        </w:rPr>
        <w:t>Export Approvals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3BE"/>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are in compliance, in all material respects, with the terms of any Export Approvals.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 (iii) 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3.25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of the Company Disclosure Letter, no broker, investment banker, financial advisor or other Person is entitled to any broker’s, finder’s,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3OO"/>
      <w:bookmarkEnd w:id="88"/>
      <w:r>
        <w:rPr>
          <w:rFonts w:ascii="calibri;arial;sans-serif" w:hAnsi="calibri;arial;sans-serif"/>
          <w:b w:val="false"/>
          <w:i w:val="false"/>
          <w:caps w:val="false"/>
          <w:smallCaps w:val="false"/>
          <w:color w:val="000000"/>
          <w:sz w:val="16"/>
        </w:rPr>
        <w:t>​</w:t>
      </w:r>
      <w:bookmarkStart w:id="89" w:name="tS3RQ"/>
      <w:bookmarkEnd w:id="89"/>
      <w:r>
        <w:rPr>
          <w:rFonts w:ascii="calibri;arial;sans-serif" w:hAnsi="calibri;arial;sans-serif"/>
          <w:b w:val="false"/>
          <w:i w:val="false"/>
          <w:caps w:val="false"/>
          <w:smallCaps w:val="false"/>
          <w:color w:val="000000"/>
          <w:sz w:val="16"/>
        </w:rPr>
        <w:t>​</w:t>
      </w:r>
      <w:bookmarkStart w:id="90" w:name="tS3TC"/>
      <w:bookmarkEnd w:id="90"/>
      <w:r>
        <w:rPr>
          <w:rFonts w:ascii="calibri;arial;sans-serif" w:hAnsi="calibri;arial;sans-serif"/>
          <w:b w:val="false"/>
          <w:i w:val="false"/>
          <w:caps w:val="false"/>
          <w:smallCaps w:val="false"/>
          <w:color w:val="000000"/>
          <w:sz w:val="16"/>
        </w:rPr>
        <w:t>​</w:t>
      </w:r>
      <w:bookmarkStart w:id="91" w:name="tS3EP"/>
      <w:bookmarkEnd w:id="91"/>
      <w:r>
        <w:rPr>
          <w:rFonts w:ascii="calibri;arial;sans-serif" w:hAnsi="calibri;arial;sans-serif"/>
          <w:b w:val="false"/>
          <w:i w:val="false"/>
          <w:caps w:val="false"/>
          <w:smallCaps w:val="false"/>
          <w:color w:val="000000"/>
          <w:sz w:val="16"/>
        </w:rPr>
        <w:t>​</w:t>
      </w:r>
      <w:bookmarkStart w:id="92" w:name="tS3NO"/>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advisor’s or other similar fee or commission in connection with the Transactions based upon arrangements made by or on behalf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3.26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3.27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taken any action or knows of any fact, agreement, plan or other circumstance that would reasonably be expected to prevent or preclude the Merger from qualifying for the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not an “investment company” within the meaning of Section 368(a)(2)(F)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3.28   </w:t>
      </w:r>
      <w:r>
        <w:rPr>
          <w:rFonts w:ascii="Times New Roman;Times;serif" w:hAnsi="Times New Roman;Times;serif"/>
          <w:b w:val="false"/>
          <w:i w:val="false"/>
          <w:caps w:val="false"/>
          <w:smallCaps w:val="false"/>
          <w:color w:val="000000"/>
          <w:spacing w:val="4"/>
          <w:sz w:val="20"/>
          <w:u w:val="single"/>
        </w:rPr>
        <w:t>Top Customers and Suppliers</w:t>
      </w:r>
      <w:r>
        <w:rPr>
          <w:rFonts w:ascii="Times New Roman;Times;serif" w:hAnsi="Times New Roman;Times;serif"/>
          <w:b w:val="false"/>
          <w:i w:val="false"/>
          <w:caps w:val="false"/>
          <w:smallCaps w:val="false"/>
          <w:color w:val="000000"/>
          <w:spacing w:val="4"/>
          <w:sz w:val="20"/>
        </w:rPr>
        <w:t>.   Section 3.28 of the Company Disclosure Letter sets forth a true and complete list of (i) the top ten suppliers (each a “</w:t>
      </w:r>
      <w:r>
        <w:rPr>
          <w:rFonts w:ascii="Times New Roman;Times;serif" w:hAnsi="Times New Roman;Times;serif"/>
          <w:b w:val="false"/>
          <w:i w:val="false"/>
          <w:caps w:val="false"/>
          <w:smallCaps w:val="false"/>
          <w:color w:val="000000"/>
          <w:spacing w:val="4"/>
          <w:sz w:val="20"/>
          <w:u w:val="single"/>
        </w:rPr>
        <w:t>Company Top Supplier</w:t>
      </w:r>
      <w:r>
        <w:rPr>
          <w:rFonts w:ascii="Times New Roman;Times;serif" w:hAnsi="Times New Roman;Times;serif"/>
          <w:b w:val="false"/>
          <w:i w:val="false"/>
          <w:caps w:val="false"/>
          <w:smallCaps w:val="false"/>
          <w:color w:val="000000"/>
          <w:spacing w:val="4"/>
          <w:sz w:val="20"/>
        </w:rPr>
        <w:t>), and (ii) the top ten customers (each a “</w:t>
      </w:r>
      <w:r>
        <w:rPr>
          <w:rFonts w:ascii="Times New Roman;Times;serif" w:hAnsi="Times New Roman;Times;serif"/>
          <w:b w:val="false"/>
          <w:i w:val="false"/>
          <w:caps w:val="false"/>
          <w:smallCaps w:val="false"/>
          <w:color w:val="000000"/>
          <w:spacing w:val="4"/>
          <w:sz w:val="20"/>
          <w:u w:val="single"/>
        </w:rPr>
        <w:t>Company Top Customer</w:t>
      </w:r>
      <w:r>
        <w:rPr>
          <w:rFonts w:ascii="Times New Roman;Times;serif" w:hAnsi="Times New Roman;Times;serif"/>
          <w:b w:val="false"/>
          <w:i w:val="false"/>
          <w:caps w:val="false"/>
          <w:smallCaps w:val="false"/>
          <w:color w:val="000000"/>
          <w:spacing w:val="4"/>
          <w:sz w:val="20"/>
        </w:rPr>
        <w:t xml:space="preserve">), respectively, by the aggregate dollar amount of payments to or from, as applicable, such supplier or dealer, for each of calendar year 2025 and the first calendar quarter of 2026, in each case of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3.29   </w:t>
      </w:r>
      <w:r>
        <w:rPr>
          <w:rFonts w:ascii="Times New Roman;Times;serif" w:hAnsi="Times New Roman;Times;serif"/>
          <w:b w:val="false"/>
          <w:i w:val="false"/>
          <w:caps w:val="false"/>
          <w:smallCaps w:val="false"/>
          <w:color w:val="000000"/>
          <w:spacing w:val="4"/>
          <w:sz w:val="20"/>
          <w:u w:val="single"/>
        </w:rPr>
        <w:t>EU Prospectus Regulation</w:t>
      </w:r>
      <w:r>
        <w:rPr>
          <w:rFonts w:ascii="Times New Roman;Times;serif" w:hAnsi="Times New Roman;Times;serif"/>
          <w:b w:val="false"/>
          <w:i w:val="false"/>
          <w:caps w:val="false"/>
          <w:smallCaps w:val="false"/>
          <w:color w:val="000000"/>
          <w:spacing w:val="4"/>
          <w:sz w:val="20"/>
        </w:rPr>
        <w:t xml:space="preserve">.   There are not more than 149 beneficial owners of Company Common Stock in any member state of the European Economic Area (comprising the 27 member states of the European Union, plus Iceland, Liechtenstein, and Norway).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3.30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HAS CONDUCTED, TO ITS SATISFACTION, ITS OWN INDEPENDENT INVESTIGATION, REVIEW AND ANALYSIS OF THE BUSINESS, RESULTS OF OPERATIONS, PROSPECTS, CONDITION (FINANCIAL OR OTHERWISE) OR ASSETS OF PARENT AND ITS SUBSIDIARIES. IN MAKING ITS DETERMINATION TO PROCEED WITH THE TRANSACTIONS CONTEMPLATED BY THIS AGREEMENT, INCLUDING THE MERGER, THE COMPANY HAS RELIED SOLELY ON THE RESULTS OF ITS OWN INDEPENDENT REVIEW AND ANALYSIS AND THE COVENANTS,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THE COMPANY ACKNOWLEDGES AND AGREES THAT NEITHER PARENT, MERGER SUB NOR ANY OTHER PERSON MAKES ANY EXPRESS OR IMPLIED REPRESENTATION OR WARRANTY ON BEHALF OF PARENT, MERGER SUB OR ANY OF ITS SUBSIDIARIES, AND NEITHER PARENT, MERGER SUB NOR ANY OTHER PERSON WILL HAVE OR BE SUBJECT TO ANY LIABILITY TO THE COMPANY OR ANY OTHER PERSON RESULTING FROM THE DISTRIBUTION TO THE COMPANY OR THE COMPANY’S USE OF, ANY INFORMATION, DOCUMENTS, PROJECTIONS, FORECASTS, OR OTHER MATERIAL MADE AVAILABLE TO THE COMPANY, WHETHER IN CERTAIN “DATA ROOMS” OR MANAGEMENT PRESENTATIONS OR OTHERWISE. THE COMPANY ACKNOWLEDGES AND AGREES THAT NONE OF PARENT, MERGER SUB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AND THE COMPANY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ARIV"/>
      <w:bookmarkEnd w:id="93"/>
      <w:r>
        <w:rPr>
          <w:rFonts w:ascii="calibri;arial;sans-serif" w:hAnsi="calibri;arial;sans-serif"/>
          <w:b w:val="false"/>
          <w:i w:val="false"/>
          <w:caps w:val="false"/>
          <w:smallCaps w:val="false"/>
          <w:color w:val="000000"/>
          <w:sz w:val="16"/>
        </w:rPr>
        <w:t>​</w:t>
      </w:r>
      <w:bookmarkStart w:id="94" w:name="tS4OS"/>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Parent and Merger Sub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4CS"/>
      <w:bookmarkEnd w:id="95"/>
      <w:r>
        <w:rPr>
          <w:rFonts w:ascii="calibri;arial;sans-serif" w:hAnsi="calibri;arial;sans-serif"/>
          <w:b w:val="false"/>
          <w:i w:val="false"/>
          <w:caps w:val="false"/>
          <w:smallCaps w:val="false"/>
          <w:color w:val="000000"/>
          <w:sz w:val="16"/>
        </w:rPr>
        <w:t>​</w:t>
      </w:r>
      <w:bookmarkStart w:id="96" w:name="tS4AE"/>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the date of this Agreement, the authorized share capital of Parent consists of 1,356,000,000 Parent Ordinary Shares. As of 5:00 p.m. Central Time on May 28, 2026 (the “</w:t>
      </w:r>
      <w:r>
        <w:rPr>
          <w:rFonts w:ascii="Times New Roman;Times;serif" w:hAnsi="Times New Roman;Times;serif"/>
          <w:b w:val="false"/>
          <w:i w:val="false"/>
          <w:caps w:val="false"/>
          <w:smallCaps w:val="false"/>
          <w:color w:val="000000"/>
          <w:spacing w:val="4"/>
          <w:sz w:val="20"/>
          <w:u w:val="single"/>
        </w:rPr>
        <w:t>Parent Measurement Time</w:t>
      </w:r>
      <w:r>
        <w:rPr>
          <w:rFonts w:ascii="Times New Roman;Times;serif" w:hAnsi="Times New Roman;Times;serif"/>
          <w:b w:val="false"/>
          <w:i w:val="false"/>
          <w:caps w:val="false"/>
          <w:smallCaps w:val="false"/>
          <w:color w:val="000000"/>
          <w:spacing w:val="4"/>
          <w:sz w:val="20"/>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or (z) in the Parent SEC Documents, as of the Parent Measurement Time, there are no outstanding (A) shares of capital stock or other voting securities or equity interests of Parent, (B) 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authorized capital stock of Merger Sub consists of 1,000 shares of common stock, par value $0.001 per share, of which 1,000 shares are issued and outstanding, all of which shares are directly or indirectly owned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 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4NC"/>
      <w:bookmarkEnd w:id="97"/>
      <w:r>
        <w:rPr>
          <w:rFonts w:ascii="calibri;arial;sans-serif" w:hAnsi="calibri;arial;sans-serif"/>
          <w:b w:val="false"/>
          <w:i w:val="false"/>
          <w:caps w:val="false"/>
          <w:smallCaps w:val="false"/>
          <w:color w:val="000000"/>
          <w:sz w:val="16"/>
        </w:rPr>
        <w:t>​</w:t>
      </w:r>
      <w:bookmarkStart w:id="98" w:name="tS4S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4.4(b)(i), (ii) and (iii)</w:t>
      </w:r>
      <w:r>
        <w:rPr>
          <w:rFonts w:ascii="Times New Roman;Times;serif" w:hAnsi="Times New Roman;Times;serif"/>
          <w:b w:val="false"/>
          <w:i w:val="false"/>
          <w:caps w:val="false"/>
          <w:smallCaps w:val="false"/>
          <w:color w:val="000000"/>
          <w:spacing w:val="4"/>
          <w:sz w:val="20"/>
        </w:rPr>
        <w:t xml:space="preserve">,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 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Parent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4LE"/>
      <w:bookmarkEnd w:id="99"/>
      <w:r>
        <w:rPr>
          <w:rFonts w:ascii="calibri;arial;sans-serif" w:hAnsi="calibri;arial;sans-serif"/>
          <w:b w:val="false"/>
          <w:i w:val="false"/>
          <w:caps w:val="false"/>
          <w:smallCaps w:val="false"/>
          <w:color w:val="000000"/>
          <w:sz w:val="16"/>
        </w:rPr>
        <w:t>​</w:t>
      </w:r>
      <w:bookmarkStart w:id="100" w:name="tS4CI"/>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is in compliance in all material respects with the (i) provisions of the Sarbanes-Oxley Act and (ii) the rules and regulations of Nasdaq Global Select, in each case, that are applicable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Subsidiary of Parent is required to file any form, report, schedule, statement or other document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Listing Exchange</w:t>
      </w:r>
      <w:r>
        <w:rPr>
          <w:rFonts w:ascii="Times New Roman;Times;serif" w:hAnsi="Times New Roman;Times;serif"/>
          <w:b w:val="false"/>
          <w:i w:val="false"/>
          <w:caps w:val="false"/>
          <w:smallCaps w:val="false"/>
          <w:color w:val="000000"/>
          <w:spacing w:val="4"/>
          <w:sz w:val="20"/>
        </w:rPr>
        <w:t xml:space="preserve">.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3.8</w:t>
      </w:r>
      <w:r>
        <w:rPr>
          <w:rFonts w:ascii="Times New Roman;Times;serif" w:hAnsi="Times New Roman;Times;serif"/>
          <w:b w:val="false"/>
          <w:i w:val="false"/>
          <w:caps w:val="false"/>
          <w:smallCaps w:val="false"/>
          <w:color w:val="000000"/>
          <w:spacing w:val="4"/>
          <w:sz w:val="20"/>
        </w:rPr>
        <w:t xml:space="preserve">, the Form S-4 and the Information Statement will comply as to form in all material respects with the provisions of the Exchange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4AO"/>
      <w:bookmarkEnd w:id="101"/>
      <w:r>
        <w:rPr>
          <w:rFonts w:ascii="calibri;arial;sans-serif" w:hAnsi="calibri;arial;sans-serif"/>
          <w:b w:val="false"/>
          <w:i w:val="false"/>
          <w:caps w:val="false"/>
          <w:smallCaps w:val="false"/>
          <w:color w:val="000000"/>
          <w:sz w:val="16"/>
        </w:rPr>
        <w:t>​</w:t>
      </w:r>
      <w:bookmarkStart w:id="102" w:name="tS4LE1"/>
      <w:bookmarkEnd w:id="102"/>
      <w:r>
        <w:rPr>
          <w:rFonts w:ascii="calibri;arial;sans-serif" w:hAnsi="calibri;arial;sans-serif"/>
          <w:b w:val="false"/>
          <w:i w:val="false"/>
          <w:caps w:val="false"/>
          <w:smallCaps w:val="false"/>
          <w:color w:val="000000"/>
          <w:sz w:val="16"/>
        </w:rPr>
        <w:t>​</w:t>
      </w:r>
      <w:bookmarkStart w:id="103" w:name="tS4CW"/>
      <w:bookmarkEnd w:id="103"/>
      <w:r>
        <w:rPr>
          <w:rFonts w:ascii="calibri;arial;sans-serif" w:hAnsi="calibri;arial;sans-serif"/>
          <w:b w:val="false"/>
          <w:i w:val="false"/>
          <w:caps w:val="false"/>
          <w:smallCaps w:val="false"/>
          <w:color w:val="000000"/>
          <w:sz w:val="16"/>
        </w:rPr>
        <w:t>​</w:t>
      </w:r>
      <w:bookmarkStart w:id="104" w:name="tS4ST"/>
      <w:bookmarkEnd w:id="104"/>
      <w:r>
        <w:rPr>
          <w:rFonts w:ascii="calibri;arial;sans-serif" w:hAnsi="calibri;arial;sans-serif"/>
          <w:b w:val="false"/>
          <w:i w:val="false"/>
          <w:caps w:val="false"/>
          <w:smallCaps w:val="false"/>
          <w:color w:val="000000"/>
          <w:sz w:val="16"/>
        </w:rPr>
        <w:t>​</w:t>
      </w:r>
      <w:bookmarkStart w:id="105" w:name="tS4MS"/>
      <w:bookmarkEnd w:id="105"/>
      <w:r>
        <w:rPr>
          <w:rFonts w:ascii="calibri;arial;sans-serif" w:hAnsi="calibri;arial;sans-serif"/>
          <w:b w:val="false"/>
          <w:i w:val="false"/>
          <w:caps w:val="false"/>
          <w:smallCaps w:val="false"/>
          <w:color w:val="000000"/>
          <w:sz w:val="16"/>
        </w:rPr>
        <w:t>​</w:t>
      </w:r>
      <w:bookmarkStart w:id="106" w:name="tS4RQ"/>
      <w:bookmarkEnd w:id="106"/>
      <w:r>
        <w:rPr>
          <w:rFonts w:ascii="calibri;arial;sans-serif" w:hAnsi="calibri;arial;sans-serif"/>
          <w:b w:val="false"/>
          <w:i w:val="false"/>
          <w:caps w:val="false"/>
          <w:smallCaps w:val="false"/>
          <w:color w:val="000000"/>
          <w:sz w:val="16"/>
        </w:rPr>
        <w:t>​</w:t>
      </w:r>
      <w:bookmarkStart w:id="107" w:name="tS4NO"/>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Absence of Certain Changes of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there has not been or occurred any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xml:space="preserve">.   Except as has not and would not reasonably be expected to have a Parent Material Adverse Effect, Parent and each of its Subsidiaries, as applicable, are and, since January 1, 2024 have been, in compliance with all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xml:space="preserve">.   No Takeover Laws or any similar anti-takeover provision in the organizational documents of Parent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owned directly or indirectly by Parent and directly by US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Merger Sub or any of their respective Affiliates has taken any action or knows of any fact, agreement, plan or other circumstance that would reasonably be expected to prevent or preclude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Merger Sub is a direct, wholly owned Subsidiary of US Parent and is classified as an association taxable as a corporation for U.S. federal income tax purposes (and applicable state and local Tax purposes) and no election has been filed or made to change such classification.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Parent nor Merger Sub is an “investment company” within the meaning of Section 368(a)(2)(F)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Parent is a foreign corporation for U.S. federal income tax purposes, Parent and its Subsidiaries will satisfy the “active trade or business test” ​(within the meaning of Treasury Regulation Section 1.367(a)-3(c)(3)) applicable with respect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EACH OF PARENT AND MERGER SUB HAS CONDUCTED, TO ITS SATISFACTION, ITS OWN INDEPENDENT INVESTIGATION, REVIEW AND ANALYSIS OF THE BUSINESS, RESULTS OF OPERATIONS,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ARV"/>
      <w:bookmarkEnd w:id="108"/>
      <w:r>
        <w:rPr>
          <w:rFonts w:ascii="calibri;arial;sans-serif" w:hAnsi="calibri;arial;sans-serif"/>
          <w:b w:val="false"/>
          <w:i w:val="false"/>
          <w:caps w:val="false"/>
          <w:smallCaps w:val="false"/>
          <w:color w:val="000000"/>
          <w:sz w:val="16"/>
        </w:rPr>
        <w:t>​</w:t>
      </w:r>
      <w:bookmarkStart w:id="109" w:name="tS5CO"/>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CONDITION (FINANCIAL OR OTHERWISE) OR ASSETS OF THE COMPANY AND ITS SUBSIDIARIES. IN MAKING ITS DETERMINATION TO PROCEED WITH THE TRANSACTIONS CONTEMPLATED BY THIS AGREEMENT, INCLUDING THE MERGER, EACH OF PARENT AND MERGER SUB HAS RELIED SOLELY ON THE RESULTS OF ITS OWN INDEPENDENT REVIEW AND ANALYSIS AND THE COVENANTS,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EACH OF PARENT AND MERGER SUB ACKNOWLEDGES AND AGREES THAT NEITHER THE COMPANY NOR ANY OTHER PERSON MAKES ANY EXPRESS OR IMPLIED REPRESENTATION OR WARRANTY ON BEHALF OF THE COMPANY OR ANY OF ITS SUBSIDIARIES, AND NEITHER THE COMPANY NOR ANY OTHER PERSON WILL HAVE OR BE SUBJECT TO ANY LIABILITY TO PARENT OR MERGER SUB OR ANY OTHER PERSON RESULTING FROM THE DISTRIBUTION TO PARENT OR MERGER SUB, OR PARENT OR MERGER SUB’S USE OF, ANY INFORMATION, DOCUMENTS, PROJECTIONS, FORECASTS, OR OTHER MATERIAL MADE AVAILABLE TO PARENT OR MERGER SUB, WHETHER IN CERTAIN “DATA ROOMS” OR MANAGEMENT PRESENTATIONS OR OTHERWISE. EACH OF PARENT AND MERGER SUB ACKNOWLEDGES AND AGREES THAT NONE OF THE COMPANY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AND EACH OF PARENT AND MERGER SUB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set forth in 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other than as set forth on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amend or otherwise change, or authorize or propose to amend or otherwise change, the Company Charter or the Company Bylaws (or similar organizational documents);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other than as forth on </w:t>
      </w:r>
      <w:r>
        <w:rPr>
          <w:rFonts w:ascii="Times New Roman;Times;serif" w:hAnsi="Times New Roman;Times;serif"/>
          <w:b w:val="false"/>
          <w:i w:val="false"/>
          <w:caps w:val="false"/>
          <w:smallCaps w:val="false"/>
          <w:color w:val="000000"/>
          <w:spacing w:val="4"/>
          <w:sz w:val="20"/>
          <w:u w:val="single"/>
        </w:rPr>
        <w:t>Section 5.1(a)(v)</w:t>
      </w:r>
      <w:r>
        <w:rPr>
          <w:rFonts w:ascii="Times New Roman;Times;serif" w:hAnsi="Times New Roman;Times;serif"/>
          <w:b w:val="false"/>
          <w:i w:val="false"/>
          <w:caps w:val="false"/>
          <w:smallCaps w:val="false"/>
          <w:color w:val="000000"/>
          <w:spacing w:val="4"/>
          <w:sz w:val="20"/>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 except as set forth in </w:t>
      </w:r>
      <w:r>
        <w:rPr>
          <w:rFonts w:ascii="Times New Roman;Times;serif" w:hAnsi="Times New Roman;Times;serif"/>
          <w:b w:val="false"/>
          <w:i w:val="false"/>
          <w:caps w:val="false"/>
          <w:smallCaps w:val="false"/>
          <w:color w:val="000000"/>
          <w:spacing w:val="4"/>
          <w:sz w:val="20"/>
          <w:u w:val="single"/>
        </w:rPr>
        <w:t>Section 5.1(a)(vii)</w:t>
      </w:r>
      <w:r>
        <w:rPr>
          <w:rFonts w:ascii="Times New Roman;Times;serif" w:hAnsi="Times New Roman;Times;serif"/>
          <w:b w:val="false"/>
          <w:i w:val="false"/>
          <w:caps w:val="false"/>
          <w:smallCaps w:val="false"/>
          <w:color w:val="000000"/>
          <w:spacing w:val="4"/>
          <w:sz w:val="20"/>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change its financial accounting methods, principles, periods or practices in any material respect, except insofar as may have been required by a change in GAAP;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as otherwise required by GAAP, change its fiscal year;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 (C) 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employee layoffs, plant closing or other personnel actions that would reasonably be expected to trigger the notice requirements of the WARN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enter into, terminate, extend or otherwise modify any Collective Bargaining Agreement, or recognize or certify any Union or group of employees as the bargaining representative for any employees or other individual service providers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any waiver or release any noncompetition, nonsolicitation, nondisclosure or other restrictive covenant obligation of any current or former employee or other individual service provider;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enter into any non-compete, exclusivity, non-solicitation or similar agreement that would restrict or limit, in any material respect, the operations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into any new line of business outside of its existing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enter into any new lease in any material respect or amend the terms of any existing lease of real property (other than any renewal in the ordinary course of business consistent with the existing terms of such lease other than reasonable increases in pricing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except in the ordinary course of business, sell, lease, license, sublicense, modify, terminate, abandon or permit to lapse, transfer or dispose of, create or incur any Lien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Permitted Lien) on, or otherwise fail to take any action reasonably necessary to maintain, enforce or protect, any Company Intellectual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abandon, withdraw, terminate, suspend, abrogate, amend or modify in any material respect any material Permits of the Company and its Subsidiaries in a manner adverse to the business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engage in any sale-leaseback or similar transaction with respect to the Owned Real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engage in any transaction with, or enter into any agreement, arrangement or understanding with, any Affiliate of the Company or other Person covered by Item 404 of Regulation S-K promulgated by the SEC, in each case,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adopt or enter into a plan of complete or partial liquidation, dissolution, restructuring, recapitalization or other reorganization other than such transactions among wholly owned Subsidiaries of the Company;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(xxvii)   authorize any of, or commit, resolve or agree to take any of, the foregoing 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Agreement, including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nothing in this Agreement shall be construed to give Parent, directly or indirectly, the right to control or direct the operations, business, or affairs of the Company or any of its Subsidiaries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except as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declare, set aside or pay any extraordinary dividends or distributions in respect of, any of its capital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adopt or enter into a plan of complete or partial liquidation, dissolution, restructuring, recapitalization or other reorganization other than such transactions among wholly owned Subsidiaries of Parent;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authorize any of, or commit, resolve or agree to take any of, the foregoing 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period from the date of this Agreement to the Effective Time, except as specifically required by this Agreement or applicable Law, Parent shall not, and shall not permit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S5NS"/>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without the Company’s prior written consent (such consent not to be unreasonably withheld, conditioned or delayed) take any of the actions set forth on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acknowledge and agree that any determination or action by the Company or the Company Board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shall not be deemed to be a breach or violation of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 of the foregoing, if prior to the Company’s receipt of the duly executed Written Consent, the Company receives a bona fide unsolicited Acquisition Proposal from a Person that did not result from a breach of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or access has previously been made available to Parent (or shall be made available to Parent) prior to, or substantially concurrent with (and in any event within 48 hours of), the time such information is made available to such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S5CB"/>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to the extent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Times;serif" w:hAnsi="Times New Roman;Times;serif"/>
          <w:b w:val="false"/>
          <w:i w:val="false"/>
          <w:caps w:val="false"/>
          <w:smallCaps w:val="false"/>
          <w:color w:val="000000"/>
          <w:spacing w:val="4"/>
          <w:sz w:val="20"/>
          <w:u w:val="single"/>
        </w:rPr>
        <w:t>Adverse Recommendation Change</w:t>
      </w:r>
      <w:r>
        <w:rPr>
          <w:rFonts w:ascii="Times New Roman;Times;serif" w:hAnsi="Times New Roman;Times;serif"/>
          <w:b w:val="false"/>
          <w:i w:val="false"/>
          <w:caps w:val="false"/>
          <w:smallCaps w:val="false"/>
          <w:color w:val="000000"/>
          <w:spacing w:val="4"/>
          <w:sz w:val="20"/>
        </w:rPr>
        <w:t xml:space="preserve">”), or (ii) cause or permit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S5PO"/>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any of its Subsidiaries to enter into any letter of intent, acquisition agreement or other agreement in principle related to an Acquisition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or the Company’s receipt of the duly executed Written Consent, if in response to an Acquisition Proposal that the Company considers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the Company Board determines that such Acquisition Proposal is a Superior Proposal, then, subject to the remainder of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Preparation of Form S-4, Information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information statement constituting a part thereof relating to the Written Consent (the “</w:t>
      </w:r>
      <w:r>
        <w:rPr>
          <w:rFonts w:ascii="Times New Roman;Times;serif" w:hAnsi="Times New Roman;Times;serif"/>
          <w:b w:val="false"/>
          <w:i w:val="false"/>
          <w:caps w:val="false"/>
          <w:smallCaps w:val="false"/>
          <w:color w:val="000000"/>
          <w:spacing w:val="4"/>
          <w:sz w:val="20"/>
          <w:u w:val="single"/>
        </w:rPr>
        <w:t>Information Statement</w:t>
      </w:r>
      <w:r>
        <w:rPr>
          <w:rFonts w:ascii="Times New Roman;Times;serif" w:hAnsi="Times New Roman;Times;serif"/>
          <w:b w:val="false"/>
          <w:i w:val="false"/>
          <w:caps w:val="false"/>
          <w:smallCaps w:val="false"/>
          <w:color w:val="000000"/>
          <w:spacing w:val="4"/>
          <w:sz w:val="20"/>
        </w:rPr>
        <w:t xml:space="preserve">”)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5AT"/>
      <w:bookmarkEnd w:id="113"/>
      <w:r>
        <w:rPr>
          <w:rFonts w:ascii="calibri;arial;sans-serif" w:hAnsi="calibri;arial;sans-serif"/>
          <w:b w:val="false"/>
          <w:i w:val="false"/>
          <w:caps w:val="false"/>
          <w:smallCaps w:val="false"/>
          <w:color w:val="000000"/>
          <w:sz w:val="16"/>
        </w:rPr>
        <w:t>​</w:t>
      </w:r>
      <w:bookmarkStart w:id="114" w:name="tS5WC"/>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 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such notice and the filing of any such amendment or supplement shall not affect or be deemed to modify any representation or warranty made by any Party or otherwise affect the remedies available hereunder to any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5.5(a)</w:t>
      </w:r>
      <w:r>
        <w:rPr>
          <w:rFonts w:ascii="Times New Roman;Times;serif" w:hAnsi="Times New Roman;Times;serif"/>
          <w:b w:val="false"/>
          <w:i w:val="false"/>
          <w:caps w:val="false"/>
          <w:smallCaps w:val="false"/>
          <w:color w:val="000000"/>
          <w:spacing w:val="4"/>
          <w:sz w:val="20"/>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No investigation pursuant to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information provided, made available or delivered to Parent pursuant to this Agreement shall affect any of the representations, warranties, covenants, rights or remedies, or the conditions to the obligations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Written Consent &amp; Support Agreement</w:t>
      </w:r>
      <w:r>
        <w:rPr>
          <w:rFonts w:ascii="Times New Roman;Times;serif" w:hAnsi="Times New Roman;Times;serif"/>
          <w:b w:val="false"/>
          <w:i w:val="false"/>
          <w:caps w:val="false"/>
          <w:smallCaps w:val="false"/>
          <w:color w:val="000000"/>
          <w:spacing w:val="4"/>
          <w:sz w:val="20"/>
        </w:rPr>
        <w:t xml:space="preserve">.   Immediately after the execution of this Agreement and in lieu of calling a meeting of the Company’s stockholders, the Company shall submit the form of Written Consent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Times;serif" w:hAnsi="Times New Roman;Times;serif"/>
          <w:b w:val="false"/>
          <w:i w:val="false"/>
          <w:caps w:val="false"/>
          <w:smallCaps w:val="false"/>
          <w:color w:val="000000"/>
          <w:spacing w:val="4"/>
          <w:sz w:val="20"/>
          <w:u w:val="single"/>
        </w:rPr>
        <w:t>Consent Time</w:t>
      </w:r>
      <w:r>
        <w:rPr>
          <w:rFonts w:ascii="Times New Roman;Times;serif" w:hAnsi="Times New Roman;Times;serif"/>
          <w:b w:val="false"/>
          <w:i w:val="false"/>
          <w:caps w:val="false"/>
          <w:smallCaps w:val="false"/>
          <w:color w:val="000000"/>
          <w:spacing w:val="4"/>
          <w:sz w:val="20"/>
        </w:rPr>
        <w:t xml:space="preserve">”).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5MS"/>
      <w:bookmarkEnd w:id="115"/>
      <w:r>
        <w:rPr>
          <w:rFonts w:ascii="calibri;arial;sans-serif" w:hAnsi="calibri;arial;sans-serif"/>
          <w:b w:val="false"/>
          <w:i w:val="false"/>
          <w:caps w:val="false"/>
          <w:smallCaps w:val="false"/>
          <w:color w:val="000000"/>
          <w:sz w:val="16"/>
        </w:rPr>
        <w:t>​</w:t>
      </w:r>
      <w:bookmarkStart w:id="116" w:name="tS5RA"/>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Merger Sub Sole Stockholder Consent</w:t>
      </w:r>
      <w:r>
        <w:rPr>
          <w:rFonts w:ascii="Times New Roman;Times;serif" w:hAnsi="Times New Roman;Times;serif"/>
          <w:b w:val="false"/>
          <w:i w:val="false"/>
          <w:caps w:val="false"/>
          <w:smallCaps w:val="false"/>
          <w:color w:val="000000"/>
          <w:spacing w:val="4"/>
          <w:sz w:val="20"/>
        </w:rPr>
        <w:t xml:space="preserve">.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Regulatory Approval;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 the event of any disagreement between Parent and the Company regarding the strategy, timing, or substance of any filing, submission, or communication contemplated by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shall use its reasonable best efforts to resolve such objections, if any, as may be asserted with respect to the Transactions under any applicable Law. Without limiting the foregoing, the Company and Parent shall, (i) as soon as practicable, and in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5TL"/>
      <w:bookmarkEnd w:id="117"/>
      <w:r>
        <w:rPr>
          <w:rFonts w:ascii="calibri;arial;sans-serif" w:hAnsi="calibri;arial;sans-serif"/>
          <w:b w:val="false"/>
          <w:i w:val="false"/>
          <w:caps w:val="false"/>
          <w:smallCaps w:val="false"/>
          <w:color w:val="000000"/>
          <w:sz w:val="16"/>
        </w:rPr>
        <w:t>​</w:t>
      </w:r>
      <w:bookmarkStart w:id="118" w:name="tS5NO"/>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event within 10 Business Days, file Notification and Report Forms under the HSR Act with the Federal Trade Commission (the “</w:t>
      </w:r>
      <w:r>
        <w:rPr>
          <w:rFonts w:ascii="Times New Roman;Times;serif" w:hAnsi="Times New Roman;Times;serif"/>
          <w:b w:val="false"/>
          <w:i w:val="false"/>
          <w:caps w:val="false"/>
          <w:smallCaps w:val="false"/>
          <w:color w:val="000000"/>
          <w:spacing w:val="4"/>
          <w:sz w:val="20"/>
          <w:u w:val="single"/>
        </w:rPr>
        <w:t>FTC</w:t>
      </w:r>
      <w:r>
        <w:rPr>
          <w:rFonts w:ascii="Times New Roman;Times;serif" w:hAnsi="Times New Roman;Times;serif"/>
          <w:b w:val="false"/>
          <w:i w:val="false"/>
          <w:caps w:val="false"/>
          <w:smallCaps w:val="false"/>
          <w:color w:val="000000"/>
          <w:spacing w:val="4"/>
          <w:sz w:val="20"/>
        </w:rPr>
        <w:t>”) and the Antitrust Division of the United States Department of Justice (the “</w:t>
      </w:r>
      <w:r>
        <w:rPr>
          <w:rFonts w:ascii="Times New Roman;Times;serif" w:hAnsi="Times New Roman;Times;serif"/>
          <w:b w:val="false"/>
          <w:i w:val="false"/>
          <w:caps w:val="false"/>
          <w:smallCaps w:val="false"/>
          <w:color w:val="000000"/>
          <w:spacing w:val="4"/>
          <w:sz w:val="20"/>
          <w:u w:val="single"/>
        </w:rPr>
        <w:t>Antitrust Division</w:t>
      </w:r>
      <w:r>
        <w:rPr>
          <w:rFonts w:ascii="Times New Roman;Times;serif" w:hAnsi="Times New Roman;Times;serif"/>
          <w:b w:val="false"/>
          <w:i w:val="false"/>
          <w:caps w:val="false"/>
          <w:smallCaps w:val="false"/>
          <w:color w:val="000000"/>
          <w:spacing w:val="4"/>
          <w:sz w:val="20"/>
        </w:rPr>
        <w:t xml:space="preserve">”)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case at any time after the Effective Time any further action is necessary or desirable to carry out the purposes of this Agreement, the proper officers and/or directors of the Surviving Corporation shall take or cause to be taken all such necessary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but subject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notification shall affect any of the representations, warranties, covenants, rights or remedies, or the conditions to the obligations of, the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5IE"/>
      <w:bookmarkEnd w:id="119"/>
      <w:r>
        <w:rPr>
          <w:rFonts w:ascii="calibri;arial;sans-serif" w:hAnsi="calibri;arial;sans-serif"/>
          <w:b w:val="false"/>
          <w:i w:val="false"/>
          <w:caps w:val="false"/>
          <w:smallCaps w:val="false"/>
          <w:color w:val="000000"/>
          <w:sz w:val="16"/>
        </w:rPr>
        <w:t>​</w:t>
      </w:r>
      <w:bookmarkStart w:id="120" w:name="tS5SL"/>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agree that all rights to indemnification, advancement and exculpation existing in favor of the current or former directors and officers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of the Company Disclosure Letter, for the Company’s current policies of directors’ and officers’ liability insurance and fiduciary liability insurance (the “</w:t>
      </w:r>
      <w:r>
        <w:rPr>
          <w:rFonts w:ascii="Times New Roman;Times;serif" w:hAnsi="Times New Roman;Times;serif"/>
          <w:b w:val="false"/>
          <w:i w:val="false"/>
          <w:caps w:val="false"/>
          <w:smallCaps w:val="false"/>
          <w:color w:val="000000"/>
          <w:spacing w:val="4"/>
          <w:sz w:val="20"/>
          <w:u w:val="single"/>
        </w:rPr>
        <w:t>Base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any indemnified party unless the affected indemnified party shall have consented in writing to such termination or modification.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rights of the Indemnified Parties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5SE"/>
      <w:bookmarkEnd w:id="121"/>
      <w:r>
        <w:rPr>
          <w:rFonts w:ascii="calibri;arial;sans-serif" w:hAnsi="calibri;arial;sans-serif"/>
          <w:b w:val="false"/>
          <w:i w:val="false"/>
          <w:caps w:val="false"/>
          <w:smallCaps w:val="false"/>
          <w:color w:val="000000"/>
          <w:sz w:val="16"/>
        </w:rPr>
        <w:t>​</w:t>
      </w:r>
      <w:bookmarkStart w:id="122" w:name="tS5PA"/>
      <w:bookmarkEnd w:id="122"/>
      <w:r>
        <w:rPr>
          <w:rFonts w:ascii="calibri;arial;sans-serif" w:hAnsi="calibri;arial;sans-serif"/>
          <w:b w:val="false"/>
          <w:i w:val="false"/>
          <w:caps w:val="false"/>
          <w:smallCaps w:val="false"/>
          <w:color w:val="000000"/>
          <w:sz w:val="16"/>
        </w:rPr>
        <w:t>​</w:t>
      </w:r>
      <w:bookmarkStart w:id="123" w:name="tS5S1"/>
      <w:bookmarkEnd w:id="123"/>
      <w:r>
        <w:rPr>
          <w:rFonts w:ascii="calibri;arial;sans-serif" w:hAnsi="calibri;arial;sans-serif"/>
          <w:b w:val="false"/>
          <w:i w:val="false"/>
          <w:caps w:val="false"/>
          <w:smallCaps w:val="false"/>
          <w:color w:val="000000"/>
          <w:sz w:val="16"/>
        </w:rPr>
        <w:t>​</w:t>
      </w:r>
      <w:bookmarkStart w:id="124" w:name="tS5EM"/>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Stock Exchange; Deregistration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shall use its reasonable best efforts to cause the Parent Ordinary Shares to be issued in the Merger or in connection with the Merger (including in respect of Assumed RSUs, Assumed Options and Assumed PSUs) as provided for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to be approved for listing on Nasdaq Global Select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For the avoidance of doubt, nothing in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 (B) 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The press release announcing the execution and delivery of this Agreement shall be a joint release of Parent and the Company, and shall not be issued prior to the approval of each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5.15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12 month period following the Effective Time, Parent shall, or shall cause its Affiliates to, provide each employee of the Company or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 (B) 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prior service shall be taken into account to the extent it would result in the duplication of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Times;serif" w:hAnsi="Times New Roman;Times;serif"/>
          <w:b w:val="false"/>
          <w:i w:val="false"/>
          <w:caps w:val="false"/>
          <w:smallCaps w:val="false"/>
          <w:color w:val="000000"/>
          <w:spacing w:val="4"/>
          <w:sz w:val="20"/>
          <w:u w:val="single"/>
        </w:rPr>
        <w:t>401(k) Plans</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5E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Times;serif" w:hAnsi="Times New Roman;Times;serif"/>
          <w:b w:val="false"/>
          <w:i w:val="false"/>
          <w:caps w:val="false"/>
          <w:smallCaps w:val="false"/>
          <w:color w:val="000000"/>
          <w:spacing w:val="4"/>
          <w:sz w:val="20"/>
          <w:u w:val="single"/>
        </w:rPr>
        <w:t>Section 5.16(e)</w:t>
      </w:r>
      <w:r>
        <w:rPr>
          <w:rFonts w:ascii="Times New Roman;Times;serif" w:hAnsi="Times New Roman;Times;serif"/>
          <w:b w:val="false"/>
          <w:i w:val="false"/>
          <w:caps w:val="false"/>
          <w:smallCaps w:val="false"/>
          <w:color w:val="000000"/>
          <w:spacing w:val="4"/>
          <w:sz w:val="20"/>
        </w:rPr>
        <w:t xml:space="preserve">, each Continuing Employee shall be eligible to participate in a defined contribution plan that is qualified under Section 401(a) of the Code (subject to the eligibility requirements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5.16(d)</w:t>
      </w:r>
      <w:r>
        <w:rPr>
          <w:rFonts w:ascii="Times New Roman;Times;serif" w:hAnsi="Times New Roman;Times;serif"/>
          <w:b w:val="false"/>
          <w:i w:val="false"/>
          <w:caps w:val="false"/>
          <w:smallCaps w:val="false"/>
          <w:color w:val="000000"/>
          <w:spacing w:val="4"/>
          <w:sz w:val="20"/>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5.17   </w:t>
      </w:r>
      <w:r>
        <w:rPr>
          <w:rFonts w:ascii="Times New Roman;Times;serif" w:hAnsi="Times New Roman;Times;serif"/>
          <w:b w:val="false"/>
          <w:i w:val="false"/>
          <w:caps w:val="false"/>
          <w:smallCaps w:val="false"/>
          <w:color w:val="000000"/>
          <w:spacing w:val="4"/>
          <w:sz w:val="20"/>
          <w:u w:val="single"/>
        </w:rPr>
        <w:t>Equity Consideration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 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From and after the Closing Date and until the date on which all Registrable Securities covered by such Registration Statement have been sold, Parent shall use its commercially reasonable efforts to (a) maintain the listing of the Parent Ordinary Shares on Nasdaq Global Select, (b) comply in all material respects with all listing and maintenance requirements of Nasdaq Global Select, (c) timely file all reports required to be filed with the SEC pursuant to the Exchange Act, (d) remain in compliance with the current public 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hereby acknowledges that there shall be no transfer restrictions (other than transfer restrictions arising under applicable securities Laws) with respect to the Parent Ordinary Shares issued to each Specified Stockholder.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Times;serif" w:hAnsi="Times New Roman;Times;serif"/>
          <w:b w:val="false"/>
          <w:i w:val="false"/>
          <w:caps w:val="false"/>
          <w:smallCaps w:val="false"/>
          <w:color w:val="000000"/>
          <w:spacing w:val="4"/>
          <w:sz w:val="20"/>
          <w:u w:val="single"/>
        </w:rPr>
        <w:t>Specified Stockholder Indemnified Party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Specified Stockholder Indemnified Parties</w:t>
      </w:r>
      <w:r>
        <w:rPr>
          <w:rFonts w:ascii="Times New Roman;Times;serif" w:hAnsi="Times New Roman;Times;serif"/>
          <w:b w:val="false"/>
          <w:i w:val="false"/>
          <w:caps w:val="false"/>
          <w:smallCaps w:val="false"/>
          <w:color w:val="000000"/>
          <w:spacing w:val="4"/>
          <w:sz w:val="20"/>
        </w:rPr>
        <w:t>”), against any and all losses, claims, damages or liabilities, joint or several, 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Times;serif" w:hAnsi="Times New Roman;Times;serif"/>
          <w:b w:val="false"/>
          <w:i w:val="false"/>
          <w:caps w:val="false"/>
          <w:smallCaps w:val="false"/>
          <w:color w:val="000000"/>
          <w:spacing w:val="4"/>
          <w:sz w:val="20"/>
          <w:u w:val="single"/>
        </w:rPr>
        <w:t>Specified Stockholder Claims</w:t>
      </w:r>
      <w:r>
        <w:rPr>
          <w:rFonts w:ascii="Times New Roman;Times;serif" w:hAnsi="Times New Roman;Times;serif"/>
          <w:b w:val="false"/>
          <w:i w:val="false"/>
          <w:caps w:val="false"/>
          <w:smallCaps w:val="false"/>
          <w:color w:val="000000"/>
          <w:spacing w:val="4"/>
          <w:sz w:val="20"/>
        </w:rPr>
        <w:t xml:space="preserve">”):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Each Specified Stockholder shall, severally and not jointly, indemnify and hold harmless (in the same manner and to the same extent as set forth in </w:t>
      </w:r>
      <w:r>
        <w:rPr>
          <w:rFonts w:ascii="Times New Roman;Times;serif" w:hAnsi="Times New Roman;Times;serif"/>
          <w:b w:val="false"/>
          <w:i w:val="false"/>
          <w:caps w:val="false"/>
          <w:smallCaps w:val="false"/>
          <w:color w:val="000000"/>
          <w:spacing w:val="4"/>
          <w:sz w:val="20"/>
          <w:u w:val="single"/>
        </w:rPr>
        <w:t>Section 5.17(k)</w:t>
      </w:r>
      <w:r>
        <w:rPr>
          <w:rFonts w:ascii="Times New Roman;Times;serif" w:hAnsi="Times New Roman;Times;serif"/>
          <w:b w:val="false"/>
          <w:i w:val="false"/>
          <w:caps w:val="false"/>
          <w:smallCaps w:val="false"/>
          <w:color w:val="000000"/>
          <w:spacing w:val="4"/>
          <w:sz w:val="20"/>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Times;serif" w:hAnsi="Times New Roman;Times;serif"/>
          <w:b w:val="false"/>
          <w:i w:val="false"/>
          <w:caps w:val="false"/>
          <w:smallCaps w:val="false"/>
          <w:color w:val="000000"/>
          <w:spacing w:val="4"/>
          <w:sz w:val="20"/>
          <w:u w:val="single"/>
        </w:rPr>
        <w:t>Section 5.17(l)</w:t>
      </w:r>
      <w:r>
        <w:rPr>
          <w:rFonts w:ascii="Times New Roman;Times;serif" w:hAnsi="Times New Roman;Times;serif"/>
          <w:b w:val="false"/>
          <w:i w:val="false"/>
          <w:caps w:val="false"/>
          <w:smallCaps w:val="false"/>
          <w:color w:val="000000"/>
          <w:spacing w:val="4"/>
          <w:sz w:val="20"/>
        </w:rPr>
        <w:t xml:space="preserve"> shall in no case be greater than the amount of the net proceeds actually received by such Specified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S5TO"/>
      <w:bookmarkEnd w:id="126"/>
      <w:r>
        <w:rPr>
          <w:rFonts w:ascii="calibri;arial;sans-serif" w:hAnsi="calibri;arial;sans-serif"/>
          <w:b w:val="false"/>
          <w:i w:val="false"/>
          <w:caps w:val="false"/>
          <w:smallCaps w:val="false"/>
          <w:color w:val="000000"/>
          <w:sz w:val="16"/>
        </w:rPr>
        <w:t>​</w:t>
      </w:r>
      <w:bookmarkStart w:id="127" w:name="tS5AB"/>
      <w:bookmarkEnd w:id="127"/>
      <w:r>
        <w:rPr>
          <w:rFonts w:ascii="calibri;arial;sans-serif" w:hAnsi="calibri;arial;sans-serif"/>
          <w:b w:val="false"/>
          <w:i w:val="false"/>
          <w:caps w:val="false"/>
          <w:smallCaps w:val="false"/>
          <w:color w:val="000000"/>
          <w:sz w:val="16"/>
        </w:rPr>
        <w:t>​</w:t>
      </w:r>
      <w:bookmarkStart w:id="128" w:name="tS5TR"/>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 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5.18   </w:t>
      </w:r>
      <w:r>
        <w:rPr>
          <w:rFonts w:ascii="Times New Roman;Times;serif" w:hAnsi="Times New Roman;Times;serif"/>
          <w:b w:val="false"/>
          <w:i w:val="false"/>
          <w:caps w:val="false"/>
          <w:smallCaps w:val="false"/>
          <w:color w:val="000000"/>
          <w:spacing w:val="4"/>
          <w:sz w:val="20"/>
          <w:u w:val="single"/>
        </w:rPr>
        <w:t>Treatment of Company Indebtedness</w:t>
      </w:r>
      <w:r>
        <w:rPr>
          <w:rFonts w:ascii="Times New Roman;Times;serif" w:hAnsi="Times New Roman;Times;serif"/>
          <w:b w:val="false"/>
          <w:i w:val="false"/>
          <w:caps w:val="false"/>
          <w:smallCaps w:val="false"/>
          <w:color w:val="000000"/>
          <w:spacing w:val="4"/>
          <w:sz w:val="20"/>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Times;serif" w:hAnsi="Times New Roman;Times;serif"/>
          <w:b w:val="false"/>
          <w:i w:val="false"/>
          <w:caps w:val="false"/>
          <w:smallCaps w:val="false"/>
          <w:color w:val="000000"/>
          <w:spacing w:val="4"/>
          <w:sz w:val="20"/>
          <w:u w:val="single"/>
        </w:rPr>
        <w:t>Payoff Amount</w:t>
      </w:r>
      <w:r>
        <w:rPr>
          <w:rFonts w:ascii="Times New Roman;Times;serif" w:hAnsi="Times New Roman;Times;serif"/>
          <w:b w:val="false"/>
          <w:i w:val="false"/>
          <w:caps w:val="false"/>
          <w:smallCaps w:val="false"/>
          <w:color w:val="000000"/>
          <w:spacing w:val="4"/>
          <w:sz w:val="20"/>
        </w:rPr>
        <w:t xml:space="preserve">”),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5.19   </w:t>
      </w:r>
      <w:r>
        <w:rPr>
          <w:rFonts w:ascii="Times New Roman;Times;serif" w:hAnsi="Times New Roman;Times;serif"/>
          <w:b w:val="false"/>
          <w:i w:val="false"/>
          <w:caps w:val="false"/>
          <w:smallCaps w:val="false"/>
          <w:color w:val="000000"/>
          <w:spacing w:val="4"/>
          <w:sz w:val="20"/>
          <w:u w:val="single"/>
        </w:rPr>
        <w:t>Assignment by Parent</w:t>
      </w:r>
      <w:r>
        <w:rPr>
          <w:rFonts w:ascii="Times New Roman;Times;serif" w:hAnsi="Times New Roman;Times;serif"/>
          <w:b w:val="false"/>
          <w:i w:val="false"/>
          <w:caps w:val="false"/>
          <w:smallCaps w:val="false"/>
          <w:color w:val="000000"/>
          <w:spacing w:val="4"/>
          <w:sz w:val="20"/>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Times;serif" w:hAnsi="Times New Roman;Times;serif"/>
          <w:b w:val="false"/>
          <w:i w:val="false"/>
          <w:caps w:val="false"/>
          <w:smallCaps w:val="false"/>
          <w:color w:val="000000"/>
          <w:spacing w:val="4"/>
          <w:sz w:val="20"/>
          <w:u w:val="single"/>
        </w:rPr>
        <w:t>US Parent</w:t>
      </w:r>
      <w:r>
        <w:rPr>
          <w:rFonts w:ascii="Times New Roman;Times;serif" w:hAnsi="Times New Roman;Times;serif"/>
          <w:b w:val="false"/>
          <w:i w:val="false"/>
          <w:caps w:val="false"/>
          <w:smallCaps w:val="false"/>
          <w:color w:val="000000"/>
          <w:spacing w:val="4"/>
          <w:sz w:val="20"/>
        </w:rPr>
        <w:t xml:space="preserve">”) and cause US Parent to assume this Agreement (including all of Parent’s rights, duties and obligations hereunder) in the form attached hereto as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Times;serif" w:hAnsi="Times New Roman;Times;serif"/>
          <w:b w:val="false"/>
          <w:i w:val="false"/>
          <w:caps w:val="false"/>
          <w:smallCaps w:val="false"/>
          <w:color w:val="000000"/>
          <w:spacing w:val="4"/>
          <w:sz w:val="20"/>
          <w:u w:val="single"/>
        </w:rPr>
        <w:t>Novation</w:t>
      </w:r>
      <w:r>
        <w:rPr>
          <w:rFonts w:ascii="Times New Roman;Times;serif" w:hAnsi="Times New Roman;Times;serif"/>
          <w:b w:val="false"/>
          <w:i w:val="false"/>
          <w:caps w:val="false"/>
          <w:smallCaps w:val="false"/>
          <w:color w:val="000000"/>
          <w:spacing w:val="4"/>
          <w:sz w:val="20"/>
        </w:rPr>
        <w:t xml:space="preserve">”).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5.20   </w:t>
      </w:r>
      <w:r>
        <w:rPr>
          <w:rFonts w:ascii="Times New Roman;Times;serif" w:hAnsi="Times New Roman;Times;serif"/>
          <w:b w:val="false"/>
          <w:i w:val="false"/>
          <w:caps w:val="false"/>
          <w:smallCaps w:val="false"/>
          <w:color w:val="000000"/>
          <w:spacing w:val="4"/>
          <w:sz w:val="20"/>
          <w:u w:val="single"/>
        </w:rPr>
        <w:t>Tax Remittance</w:t>
      </w:r>
      <w:r>
        <w:rPr>
          <w:rFonts w:ascii="Times New Roman;Times;serif" w:hAnsi="Times New Roman;Times;serif"/>
          <w:b w:val="false"/>
          <w:i w:val="false"/>
          <w:caps w:val="false"/>
          <w:smallCaps w:val="false"/>
          <w:color w:val="000000"/>
          <w:spacing w:val="4"/>
          <w:sz w:val="20"/>
        </w:rPr>
        <w:t xml:space="preserve">.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VI"/>
      <w:bookmarkEnd w:id="129"/>
      <w:r>
        <w:rPr>
          <w:rFonts w:ascii="calibri;arial;sans-serif" w:hAnsi="calibri;arial;sans-serif"/>
          <w:b w:val="false"/>
          <w:i w:val="false"/>
          <w:caps w:val="false"/>
          <w:smallCaps w:val="false"/>
          <w:color w:val="000000"/>
          <w:sz w:val="16"/>
        </w:rPr>
        <w:t>​</w:t>
      </w:r>
      <w:bookmarkStart w:id="130" w:name="tS6CT"/>
      <w:bookmarkEnd w:id="130"/>
      <w:r>
        <w:rPr>
          <w:rFonts w:ascii="calibri;arial;sans-serif" w:hAnsi="calibri;arial;sans-serif"/>
          <w:b w:val="false"/>
          <w:i w:val="false"/>
          <w:caps w:val="false"/>
          <w:smallCaps w:val="false"/>
          <w:color w:val="000000"/>
          <w:sz w:val="16"/>
        </w:rPr>
        <w:t>​</w:t>
      </w:r>
      <w:bookmarkStart w:id="131" w:name="tS6CT1"/>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obligation of each Party to effect the Merger is subject to the satisfaction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Written Consent shall have been obtained and delivered to the Company and shall not have been amended, modified, withdrawn, terminated or revoked.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No Injunctions or Legal Restraints; Illegality</w:t>
      </w:r>
      <w:r>
        <w:rPr>
          <w:rFonts w:ascii="Times New Roman;Times;serif" w:hAnsi="Times New Roman;Times;serif"/>
          <w:b w:val="false"/>
          <w:i w:val="false"/>
          <w:caps w:val="false"/>
          <w:smallCaps w:val="false"/>
          <w:color w:val="000000"/>
          <w:spacing w:val="4"/>
          <w:sz w:val="20"/>
        </w:rPr>
        <w:t xml:space="preserve">.   No temporary restraining order, preliminary or permanent injunction or other judgment, 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Regulatory Approvals</w:t>
      </w:r>
      <w:r>
        <w:rPr>
          <w:rFonts w:ascii="Times New Roman;Times;serif" w:hAnsi="Times New Roman;Times;serif"/>
          <w:b w:val="false"/>
          <w:i w:val="false"/>
          <w:caps w:val="false"/>
          <w:smallCaps w:val="false"/>
          <w:color w:val="000000"/>
          <w:spacing w:val="4"/>
          <w:sz w:val="20"/>
        </w:rPr>
        <w:t xml:space="preserve">.   Any waiting period (and any extension thereof) applicable to the Transactions under the HSR Act shall have been terminated or shall have expired and the approvals or waiting period expirations, as the case may be, specified on Section 6.1(c) of the Company Disclosure Letter have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Nasdaq Global Select Listing</w:t>
      </w:r>
      <w:r>
        <w:rPr>
          <w:rFonts w:ascii="Times New Roman;Times;serif" w:hAnsi="Times New Roman;Times;serif"/>
          <w:b w:val="false"/>
          <w:i w:val="false"/>
          <w:caps w:val="false"/>
          <w:smallCaps w:val="false"/>
          <w:color w:val="000000"/>
          <w:spacing w:val="4"/>
          <w:sz w:val="20"/>
        </w:rPr>
        <w:t xml:space="preserve">.   The Parent Ordinary Shares to be issued in the Merger or in connection with the Merger (including in respect of Assumed RSUs, Assumed Options and Assumed PSUs) shall have been approved for listing on Nasdaq Global Select, subject to official notice of issuance.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Form S-4</w:t>
      </w:r>
      <w:r>
        <w:rPr>
          <w:rFonts w:ascii="Times New Roman;Times;serif" w:hAnsi="Times New Roman;Times;serif"/>
          <w:b w:val="false"/>
          <w:i w:val="false"/>
          <w:caps w:val="false"/>
          <w:smallCaps w:val="false"/>
          <w:color w:val="000000"/>
          <w:spacing w:val="4"/>
          <w:sz w:val="20"/>
        </w:rPr>
        <w:t xml:space="preserve">.   The Form S-4 shall have been declared effective by the SEC under the Securities Act and shall not be the subject of any stop order suspending the effectiveness of the Form S-4 and no Action seeking a stop order shall have been initiated or threatened by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Information Statement</w:t>
      </w:r>
      <w:r>
        <w:rPr>
          <w:rFonts w:ascii="Times New Roman;Times;serif" w:hAnsi="Times New Roman;Times;serif"/>
          <w:b w:val="false"/>
          <w:i w:val="false"/>
          <w:caps w:val="false"/>
          <w:smallCaps w:val="false"/>
          <w:color w:val="000000"/>
          <w:spacing w:val="4"/>
          <w:sz w:val="20"/>
        </w:rPr>
        <w:t xml:space="preserve">.   The Information Statement shall have been mailed to all holders of the Company Common Stock following effectiveness of the Form S-4 and at least 20 Business Days prior to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6CT2"/>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Parent shall have received a certificate signed by an executive officer of the Company certifying as to the matters set forth in </w:t>
      </w:r>
      <w:r>
        <w:rPr>
          <w:rFonts w:ascii="Times New Roman;Times;serif" w:hAnsi="Times New Roman;Times;serif"/>
          <w:b w:val="false"/>
          <w:i w:val="false"/>
          <w:caps w:val="false"/>
          <w:smallCaps w:val="false"/>
          <w:color w:val="000000"/>
          <w:spacing w:val="4"/>
          <w:sz w:val="20"/>
          <w:u w:val="single"/>
        </w:rPr>
        <w:t>Section 6.2(a) 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6.2(d)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4.4(a)(i)</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(iii) 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Parent and Merger Sub</w:t>
      </w:r>
      <w:r>
        <w:rPr>
          <w:rFonts w:ascii="Times New Roman;Times;serif" w:hAnsi="Times New Roman;Times;serif"/>
          <w:b w:val="false"/>
          <w:i w:val="false"/>
          <w:caps w:val="false"/>
          <w:smallCaps w:val="false"/>
          <w:color w:val="000000"/>
          <w:spacing w:val="4"/>
          <w:sz w:val="20"/>
        </w:rPr>
        <w:t xml:space="preserve">.   Parent and Merger Sub shall have performed in all material respects all obligations required to be performed by them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The Company shall have received a certificate signed by an executive officer of Parent certifying as to the matters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The Company shall have received, on the Closing Date, but before the Effective Time, an opinion, in form and substance reasonably satisfactory to the Company (the “</w:t>
      </w:r>
      <w:r>
        <w:rPr>
          <w:rFonts w:ascii="Times New Roman;Times;serif" w:hAnsi="Times New Roman;Times;serif"/>
          <w:b w:val="false"/>
          <w:i w:val="false"/>
          <w:caps w:val="false"/>
          <w:smallCaps w:val="false"/>
          <w:color w:val="000000"/>
          <w:spacing w:val="4"/>
          <w:sz w:val="20"/>
          <w:u w:val="single"/>
        </w:rPr>
        <w:t>Closing Tax Opinion</w:t>
      </w:r>
      <w:r>
        <w:rPr>
          <w:rFonts w:ascii="Times New Roman;Times;serif" w:hAnsi="Times New Roman;Times;serif"/>
          <w:b w:val="false"/>
          <w:i w:val="false"/>
          <w:caps w:val="false"/>
          <w:smallCaps w:val="false"/>
          <w:color w:val="000000"/>
          <w:spacing w:val="4"/>
          <w:sz w:val="20"/>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Tax Remittance</w:t>
      </w:r>
      <w:r>
        <w:rPr>
          <w:rFonts w:ascii="Times New Roman;Times;serif" w:hAnsi="Times New Roman;Times;serif"/>
          <w:b w:val="false"/>
          <w:i w:val="false"/>
          <w:caps w:val="false"/>
          <w:smallCaps w:val="false"/>
          <w:color w:val="000000"/>
          <w:spacing w:val="4"/>
          <w:sz w:val="20"/>
        </w:rPr>
        <w:t xml:space="preserve">.   The Company shall have timely remitted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6FO"/>
      <w:bookmarkEnd w:id="133"/>
      <w:r>
        <w:rPr>
          <w:rFonts w:ascii="calibri;arial;sans-serif" w:hAnsi="calibri;arial;sans-serif"/>
          <w:b w:val="false"/>
          <w:i w:val="false"/>
          <w:caps w:val="false"/>
          <w:smallCaps w:val="false"/>
          <w:color w:val="000000"/>
          <w:sz w:val="16"/>
        </w:rPr>
        <w:t>​</w:t>
      </w:r>
      <w:bookmarkStart w:id="134" w:name="tARVI1"/>
      <w:bookmarkEnd w:id="134"/>
      <w:r>
        <w:rPr>
          <w:rFonts w:ascii="calibri;arial;sans-serif" w:hAnsi="calibri;arial;sans-serif"/>
          <w:b w:val="false"/>
          <w:i w:val="false"/>
          <w:caps w:val="false"/>
          <w:smallCaps w:val="false"/>
          <w:color w:val="000000"/>
          <w:sz w:val="16"/>
        </w:rPr>
        <w:t>​</w:t>
      </w:r>
      <w:bookmarkStart w:id="135" w:name="tS7TT"/>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None of Parent, Merger Sub or the Company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if such failure was caused by such Party’s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TERMINATION, 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the Written Consent has been obtained (with any termination by Parent also being an effective termination by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the Merger shall not have been consummated on or before May 31, 2027 at 5:00 p.m. (Central Time) or such later date as Parent and the Company shall agree in writing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shall not be available to any Party whose failure to fulfill in any material respect any of its obligations under this Agreement has been the primary cause of, or the primary factor that resulted in, the failure of the Merger to be consummated by the Outside Date;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7.1(b)(ii)</w:t>
      </w:r>
      <w:r>
        <w:rPr>
          <w:rFonts w:ascii="Times New Roman;Times;serif" w:hAnsi="Times New Roman;Times;serif"/>
          <w:b w:val="false"/>
          <w:i w:val="false"/>
          <w:caps w:val="false"/>
          <w:smallCaps w:val="false"/>
          <w:color w:val="000000"/>
          <w:spacing w:val="4"/>
          <w:sz w:val="20"/>
        </w:rPr>
        <w:t xml:space="preserve"> shall have used its reasonable best efforts to contest, appeal and remove such judgment, order, injunction, rule, decree, ruling or other action in accordance with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if Parent or Merger Sub is then in material breach of any of its covenants or agreements set forth in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effected an Adverse Recommendation Change;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shall expire upon the delivery of the Written Consent;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Written Consent,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shall expire upon the delivery and effectiveness of the Written Consent;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if the Support Agreement,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shall expire upon the delivery of executed counterparts of the Support Agreement by the Consenting Stockholders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S7EO"/>
      <w:bookmarkEnd w:id="136"/>
      <w:r>
        <w:rPr>
          <w:rFonts w:ascii="calibri;arial;sans-serif" w:hAnsi="calibri;arial;sans-serif"/>
          <w:b w:val="false"/>
          <w:i w:val="false"/>
          <w:caps w:val="false"/>
          <w:smallCaps w:val="false"/>
          <w:color w:val="000000"/>
          <w:sz w:val="16"/>
        </w:rPr>
        <w:t>​</w:t>
      </w:r>
      <w:bookmarkStart w:id="137" w:name="tS7TF"/>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if the Company is then in material breach of any of its covenants or agreements set forth in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authorized the Company to enter into a definitive agreement providing for a Superior Proposal; provided, (A) the Company has complied with its obligations under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provided, further,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shall expire upon the delivery of the Written Consent;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Novation contemplated by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(Assignment by Parent) is not effective by 11:59 p.m. Central Time on the day following the date on which the closing of Rewind occurs; provided,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shall expire upon the delivery and effectiveness of the Novation.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Party desiring to terminate this Agreement pursuant to this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(other than pursuant to </w:t>
      </w:r>
      <w:r>
        <w:rPr>
          <w:rFonts w:ascii="Times New Roman;Times;serif" w:hAnsi="Times New Roman;Times;serif"/>
          <w:b w:val="false"/>
          <w:i w:val="false"/>
          <w:caps w:val="false"/>
          <w:smallCaps w:val="false"/>
          <w:color w:val="000000"/>
          <w:spacing w:val="4"/>
          <w:sz w:val="20"/>
          <w:u w:val="single"/>
        </w:rPr>
        <w:t>Section 7.1(a)</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Party, specifying the provision hereof pursuant to which such termination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that this Agreement is validly terminated and the Merger abandoned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Confidentiality Agreement (as amended hereby) and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(Public Announcements),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(Termination Fees and Expenses),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(Notices),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(Entire Agreement),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(No Third Party Beneficiaries),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(Governing Law), </w:t>
      </w:r>
      <w:r>
        <w:rPr>
          <w:rFonts w:ascii="Times New Roman;Times;serif" w:hAnsi="Times New Roman;Times;serif"/>
          <w:b w:val="false"/>
          <w:i w:val="false"/>
          <w:caps w:val="false"/>
          <w:smallCaps w:val="false"/>
          <w:color w:val="000000"/>
          <w:spacing w:val="4"/>
          <w:sz w:val="20"/>
          <w:u w:val="single"/>
        </w:rPr>
        <w:t>Section 8.8</w:t>
      </w:r>
      <w:r>
        <w:rPr>
          <w:rFonts w:ascii="Times New Roman;Times;serif" w:hAnsi="Times New Roman;Times;serif"/>
          <w:b w:val="false"/>
          <w:i w:val="false"/>
          <w:caps w:val="false"/>
          <w:smallCaps w:val="false"/>
          <w:color w:val="000000"/>
          <w:spacing w:val="4"/>
          <w:sz w:val="20"/>
        </w:rPr>
        <w:t xml:space="preserve"> (Submission to Jurisdiction),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(Assignment; Successors),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(Specific Performance),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(Severability),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(Waiver of Jury Trial) and </w:t>
      </w:r>
      <w:r>
        <w:rPr>
          <w:rFonts w:ascii="Times New Roman;Times;serif" w:hAnsi="Times New Roman;Times;serif"/>
          <w:b w:val="false"/>
          <w:i w:val="false"/>
          <w:caps w:val="false"/>
          <w:smallCaps w:val="false"/>
          <w:color w:val="000000"/>
          <w:spacing w:val="4"/>
          <w:sz w:val="20"/>
          <w:u w:val="single"/>
        </w:rPr>
        <w:t>Section 8.16</w:t>
      </w:r>
      <w:r>
        <w:rPr>
          <w:rFonts w:ascii="Times New Roman;Times;serif" w:hAnsi="Times New Roman;Times;serif"/>
          <w:b w:val="false"/>
          <w:i w:val="false"/>
          <w:caps w:val="false"/>
          <w:smallCaps w:val="false"/>
          <w:color w:val="000000"/>
          <w:spacing w:val="4"/>
          <w:sz w:val="20"/>
        </w:rPr>
        <w:t xml:space="preserve"> (No Presumption Against Drafting Party) shall survive the termination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the non-breaching Party shall be entitled to all rights and remedies available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Termination Fees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this Agreement is terminated by Parent pursuant to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(Company’s Breach) or either the Company or Parent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(Outside Date), (B) at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all references to “20%” in the definition of Acquisition Proposal shall be deemed to be references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(Superior Proposal);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terminated by Parent pursuant to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(Adverse Recommendation Change),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(Written Consent) or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(Support Agreement),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to the account or entity designated in writing by Parent, an amount equal to $5,500,000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(Failure to Timely Effect Novation);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(Parent’s Breach) due to Parent’s breach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shall promptly pay, or cause to be paid, by wire transfer of immediately available funds, to the account or entity designated in writing by the Company, an amount equal to $9,700,000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provided, however, that in the event the Parent Termination Fee becomes payable pursuant to this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(i) Parent’s right to receive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in circumstances where the Company Termination Fee is owed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except in the case of fraud or willful and material breach, shall constitute the sole and exclusive remedy of Parent and Merger Sub and their respective Subsidiaries against the Company and its Subsidiaries and any of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7AO"/>
      <w:bookmarkEnd w:id="138"/>
      <w:r>
        <w:rPr>
          <w:rFonts w:ascii="calibri;arial;sans-serif" w:hAnsi="calibri;arial;sans-serif"/>
          <w:b w:val="false"/>
          <w:i w:val="false"/>
          <w:caps w:val="false"/>
          <w:smallCaps w:val="false"/>
          <w:color w:val="000000"/>
          <w:sz w:val="16"/>
        </w:rPr>
        <w:t>​</w:t>
      </w:r>
      <w:bookmarkStart w:id="139" w:name="tS7EO1"/>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and (ii) the Company’s right to receive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 circumstances where the Parent Termination Fee is owed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While Parent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Parties acknowledges that (i) the agreements contained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expressly set forth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 Section 6.1(c)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Amendment or Supplement</w:t>
      </w:r>
      <w:r>
        <w:rPr>
          <w:rFonts w:ascii="Times New Roman;Times;serif" w:hAnsi="Times New Roman;Times;serif"/>
          <w:b w:val="false"/>
          <w:i w:val="false"/>
          <w:caps w:val="false"/>
          <w:smallCaps w:val="false"/>
          <w:color w:val="000000"/>
          <w:spacing w:val="4"/>
          <w:sz w:val="20"/>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Extension of Time; Waiver</w:t>
      </w:r>
      <w:r>
        <w:rPr>
          <w:rFonts w:ascii="Times New Roman;Times;serif" w:hAnsi="Times New Roman;Times;serif"/>
          <w:b w:val="false"/>
          <w:i w:val="false"/>
          <w:caps w:val="false"/>
          <w:smallCaps w:val="false"/>
          <w:color w:val="000000"/>
          <w:spacing w:val="4"/>
          <w:sz w:val="20"/>
        </w:rPr>
        <w:t xml:space="preserve">.   At any time prior to the Effective Time, the Parties may, by action taken or authorized by their respective Boards of Directors, to the extent permitted by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RVI2"/>
      <w:bookmarkEnd w:id="140"/>
      <w:r>
        <w:rPr>
          <w:rFonts w:ascii="calibri;arial;sans-serif" w:hAnsi="calibri;arial;sans-serif"/>
          <w:b w:val="false"/>
          <w:i w:val="false"/>
          <w:caps w:val="false"/>
          <w:smallCaps w:val="false"/>
          <w:color w:val="000000"/>
          <w:sz w:val="16"/>
        </w:rPr>
        <w:t>​</w:t>
      </w:r>
      <w:bookmarkStart w:id="141" w:name="tS8NO"/>
      <w:bookmarkEnd w:id="141"/>
      <w:r>
        <w:rPr>
          <w:rFonts w:ascii="calibri;arial;sans-serif" w:hAnsi="calibri;arial;sans-serif"/>
          <w:b w:val="false"/>
          <w:i w:val="false"/>
          <w:caps w:val="false"/>
          <w:smallCaps w:val="false"/>
          <w:color w:val="000000"/>
          <w:sz w:val="16"/>
        </w:rPr>
        <w:t>​</w:t>
      </w:r>
      <w:bookmarkStart w:id="142" w:name="tS8NA"/>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Nonsurvival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to Parent, Merger Sub or the Surviving Corporation,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2000 St. James Place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77056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Separately Supplied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Separately Supplied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1100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4100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Jonathan Newton; Robert Leclerc</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jnewton@kslaw.com; rleclerc@kslaw.com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to Company,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Ori Lev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olev@ncsmultistage.com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S8CD"/>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Baker Botts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910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James Marshall; Jamie L. Yarbrough</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james.marshall@bakerbotts.com;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jamie.yarbrough@bakerbotts.com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of any Person means any other Person that directly or indirectly, through one or more intermediaries, controls, is controlled by, or is under common control with, such first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Beneficial Ownership</w:t>
      </w:r>
      <w:r>
        <w:rPr>
          <w:rFonts w:ascii="Times New Roman;Times;serif" w:hAnsi="Times New Roman;Times;serif"/>
          <w:b w:val="false"/>
          <w:i w:val="false"/>
          <w:caps w:val="false"/>
          <w:smallCaps w:val="false"/>
          <w:color w:val="000000"/>
          <w:spacing w:val="4"/>
          <w:sz w:val="20"/>
        </w:rPr>
        <w:t xml:space="preserve">” means, with respect to a specified Person, the ownership of securities as determined in accordance with Rule 13d-3 of the Exchange Act, as such rule is in effect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or a day on which banks in New York, New York are authorized or required by applicable Law to be closed.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Collective Bargaining Agreement</w:t>
      </w:r>
      <w:r>
        <w:rPr>
          <w:rFonts w:ascii="Times New Roman;Times;serif" w:hAnsi="Times New Roman;Times;serif"/>
          <w:b w:val="false"/>
          <w:i w:val="false"/>
          <w:caps w:val="false"/>
          <w:smallCaps w:val="false"/>
          <w:color w:val="000000"/>
          <w:spacing w:val="4"/>
          <w:sz w:val="20"/>
        </w:rPr>
        <w:t xml:space="preserve">” means any collective bargaining agreement or other Contract with a Union.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DSU</w:t>
      </w:r>
      <w:r>
        <w:rPr>
          <w:rFonts w:ascii="Times New Roman;Times;serif" w:hAnsi="Times New Roman;Times;serif"/>
          <w:b w:val="false"/>
          <w:i w:val="false"/>
          <w:caps w:val="false"/>
          <w:smallCaps w:val="false"/>
          <w:color w:val="000000"/>
          <w:spacing w:val="4"/>
          <w:sz w:val="20"/>
        </w:rPr>
        <w:t xml:space="preserve">” means each Company RSU granted to a non-employee director of the Company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all outstanding Company ESUs, Company PSUs, Company RSUs (including Company DSUs), and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Employee Stock Purchase Plan for U.S. Employees and the Company’s Employee Stock Purchase Plan for Non-U.S. Employees.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ESU</w:t>
      </w:r>
      <w:r>
        <w:rPr>
          <w:rFonts w:ascii="Times New Roman;Times;serif" w:hAnsi="Times New Roman;Times;serif"/>
          <w:b w:val="false"/>
          <w:i w:val="false"/>
          <w:caps w:val="false"/>
          <w:smallCaps w:val="false"/>
          <w:color w:val="000000"/>
          <w:spacing w:val="4"/>
          <w:sz w:val="20"/>
        </w:rPr>
        <w:t xml:space="preserve">” means each outstanding equivalent stock unit award representing the right to receive a cash payment based on the fair market value of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xml:space="preserve">” means outstanding indebtedness of the Company and its Subsidiaries pursuant to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award of options to purchase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Company PSU</w:t>
      </w:r>
      <w:r>
        <w:rPr>
          <w:rFonts w:ascii="Times New Roman;Times;serif" w:hAnsi="Times New Roman;Times;serif"/>
          <w:b w:val="false"/>
          <w:i w:val="false"/>
          <w:caps w:val="false"/>
          <w:smallCaps w:val="false"/>
          <w:color w:val="000000"/>
          <w:spacing w:val="4"/>
          <w:sz w:val="20"/>
        </w:rPr>
        <w:t xml:space="preserve">” means each outstanding performance stock unit award representing the right to receive shares of Company Common Stock based on the achievement of specified performance goals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Company RSU</w:t>
      </w:r>
      <w:r>
        <w:rPr>
          <w:rFonts w:ascii="Times New Roman;Times;serif" w:hAnsi="Times New Roman;Times;serif"/>
          <w:b w:val="false"/>
          <w:i w:val="false"/>
          <w:caps w:val="false"/>
          <w:smallCaps w:val="false"/>
          <w:color w:val="000000"/>
          <w:spacing w:val="4"/>
          <w:sz w:val="20"/>
        </w:rPr>
        <w:t xml:space="preserve">” means each outstanding restricted stock unit award representing the right to receive shares of Company Common Stock granted under the Company Stock Plans, whether vested or unvested, that vests solely based on continued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Company’s Amended and Restated 2017 Equity Incentive Plan and the Company’s 2012 Equity Incentive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bond, debenture, note, mortgage, indenture, guarantee, license, lease, purchase or sale order or other contract, commitment, agreement, instrument, obligation,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understanding, undertaking, permit, concession or franchise, whether oral or written (each, including all amendments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xml:space="preserve">”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Consenting Stockholders</w:t>
      </w:r>
      <w:r>
        <w:rPr>
          <w:rFonts w:ascii="Times New Roman;Times;serif" w:hAnsi="Times New Roman;Times;serif"/>
          <w:b w:val="false"/>
          <w:i w:val="false"/>
          <w:caps w:val="false"/>
          <w:smallCaps w:val="false"/>
          <w:color w:val="000000"/>
          <w:spacing w:val="4"/>
          <w:sz w:val="20"/>
        </w:rPr>
        <w:t xml:space="preserve">” means Advent-NCS Acquisition L.P. and Advent International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val="false"/>
          <w:i w:val="false"/>
          <w:caps w:val="false"/>
          <w:smallCaps w:val="false"/>
          <w:color w:val="000000"/>
          <w:spacing w:val="4"/>
          <w:sz w:val="20"/>
          <w:u w:val="single"/>
        </w:rPr>
        <w:t>Credit Agreement</w:t>
      </w:r>
      <w:r>
        <w:rPr>
          <w:rFonts w:ascii="Times New Roman;Times;serif" w:hAnsi="Times New Roman;Times;serif"/>
          <w:b w:val="false"/>
          <w:i w:val="false"/>
          <w:caps w:val="false"/>
          <w:smallCaps w:val="false"/>
          <w:color w:val="000000"/>
          <w:spacing w:val="4"/>
          <w:sz w:val="20"/>
        </w:rPr>
        <w:t xml:space="preserve">”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val="false"/>
          <w:i w:val="false"/>
          <w:caps w:val="false"/>
          <w:smallCaps w:val="false"/>
          <w:color w:val="000000"/>
          <w:spacing w:val="4"/>
          <w:sz w:val="20"/>
          <w:u w:val="single"/>
        </w:rPr>
        <w:t>FDI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Irish Companies Act</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of any Party means (i) in the case of the Company,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 of the Company Disclosure Letter and, solely with respect to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assuming reasonable inquiry of direct reports and (ii) in the case of Parent,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(ii) of the Parent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val="false"/>
          <w:i w:val="false"/>
          <w:caps w:val="false"/>
          <w:smallCaps w:val="false"/>
          <w:color w:val="000000"/>
          <w:spacing w:val="4"/>
          <w:sz w:val="20"/>
          <w:u w:val="single"/>
        </w:rPr>
        <w:t>Legal Proceeding</w:t>
      </w:r>
      <w:r>
        <w:rPr>
          <w:rFonts w:ascii="Times New Roman;Times;serif" w:hAnsi="Times New Roman;Times;serif"/>
          <w:b w:val="false"/>
          <w:i w:val="false"/>
          <w:caps w:val="false"/>
          <w:smallCaps w:val="false"/>
          <w:color w:val="000000"/>
          <w:spacing w:val="4"/>
          <w:sz w:val="20"/>
        </w:rPr>
        <w:t xml:space="preserve">”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val="false"/>
          <w:i w:val="false"/>
          <w:caps w:val="false"/>
          <w:smallCaps w:val="false"/>
          <w:color w:val="000000"/>
          <w:spacing w:val="4"/>
          <w:sz w:val="20"/>
          <w:u w:val="single"/>
        </w:rPr>
        <w:t>nonassessable</w:t>
      </w:r>
      <w:r>
        <w:rPr>
          <w:rFonts w:ascii="Times New Roman;Times;serif" w:hAnsi="Times New Roman;Times;serif"/>
          <w:b w:val="false"/>
          <w:i w:val="false"/>
          <w:caps w:val="false"/>
          <w:smallCaps w:val="false"/>
          <w:color w:val="000000"/>
          <w:spacing w:val="4"/>
          <w:sz w:val="20"/>
        </w:rPr>
        <w:t xml:space="preserve">” mean the holders of the shares or equity interests, as applicable, are not subject, solely by virtue of their shareholdings, to calls for additional payments of capital on such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real property owned by the Company or any of its Subsidiaries,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means the ordinary shares, par value $0.001 per share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val="false"/>
          <w:i w:val="false"/>
          <w:caps w:val="false"/>
          <w:smallCaps w:val="false"/>
          <w:color w:val="000000"/>
          <w:spacing w:val="4"/>
          <w:sz w:val="20"/>
          <w:u w:val="single"/>
        </w:rPr>
        <w:t>Parent Redomestication Shareholder Approval</w:t>
      </w:r>
      <w:r>
        <w:rPr>
          <w:rFonts w:ascii="Times New Roman;Times;serif" w:hAnsi="Times New Roman;Times;serif"/>
          <w:b w:val="false"/>
          <w:i w:val="false"/>
          <w:caps w:val="false"/>
          <w:smallCaps w:val="false"/>
          <w:color w:val="000000"/>
          <w:spacing w:val="4"/>
          <w:sz w:val="20"/>
        </w:rPr>
        <w:t xml:space="preserve">”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 (iii) 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 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Times;serif" w:hAnsi="Times New Roman;Times;serif"/>
          <w:b w:val="false"/>
          <w:i w:val="false"/>
          <w:caps w:val="false"/>
          <w:smallCaps w:val="false"/>
          <w:color w:val="000000"/>
          <w:spacing w:val="4"/>
          <w:sz w:val="20"/>
          <w:u w:val="single"/>
        </w:rPr>
        <w:t>Section 8.3(dd)(x)</w:t>
      </w:r>
      <w:r>
        <w:rPr>
          <w:rFonts w:ascii="Times New Roman;Times;serif" w:hAnsi="Times New Roman;Times;serif"/>
          <w:b w:val="false"/>
          <w:i w:val="false"/>
          <w:caps w:val="false"/>
          <w:smallCaps w:val="false"/>
          <w:color w:val="000000"/>
          <w:spacing w:val="4"/>
          <w:sz w:val="20"/>
        </w:rPr>
        <w:t xml:space="preserve"> of the Company Disclosure Letter and (xi) Liens arising under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partnership, limited liability company, association, trust or other entity or organization, including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val="false"/>
          <w:i w:val="false"/>
          <w:caps w:val="false"/>
          <w:smallCaps w:val="false"/>
          <w:color w:val="000000"/>
          <w:spacing w:val="4"/>
          <w:sz w:val="20"/>
          <w:u w:val="single"/>
        </w:rPr>
        <w:t>Privacy Laws</w:t>
      </w:r>
      <w:r>
        <w:rPr>
          <w:rFonts w:ascii="Times New Roman;Times;serif" w:hAnsi="Times New Roman;Times;serif"/>
          <w:b w:val="false"/>
          <w:i w:val="false"/>
          <w:caps w:val="false"/>
          <w:smallCaps w:val="false"/>
          <w:color w:val="000000"/>
          <w:spacing w:val="4"/>
          <w:sz w:val="20"/>
        </w:rPr>
        <w:t xml:space="preserve">”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val="false"/>
          <w:i w:val="false"/>
          <w:caps w:val="false"/>
          <w:smallCaps w:val="false"/>
          <w:color w:val="000000"/>
          <w:spacing w:val="4"/>
          <w:sz w:val="20"/>
          <w:u w:val="single"/>
        </w:rPr>
        <w:t>Public Official</w:t>
      </w:r>
      <w:r>
        <w:rPr>
          <w:rFonts w:ascii="Times New Roman;Times;serif" w:hAnsi="Times New Roman;Times;serif"/>
          <w:b w:val="false"/>
          <w:i w:val="false"/>
          <w:caps w:val="false"/>
          <w:smallCaps w:val="false"/>
          <w:color w:val="000000"/>
          <w:spacing w:val="4"/>
          <w:sz w:val="20"/>
        </w:rPr>
        <w:t xml:space="preserve">” means any officer or employee of a government or any department, agency, or instrumentality thereof, or of a public international organization, or anyone acting on behalf of such government or department.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Repeat Precision Note</w:t>
      </w:r>
      <w:r>
        <w:rPr>
          <w:rFonts w:ascii="Times New Roman;Times;serif" w:hAnsi="Times New Roman;Times;serif"/>
          <w:b w:val="false"/>
          <w:i w:val="false"/>
          <w:caps w:val="false"/>
          <w:smallCaps w:val="false"/>
          <w:color w:val="000000"/>
          <w:spacing w:val="4"/>
          <w:sz w:val="20"/>
        </w:rPr>
        <w:t xml:space="preserve">” means that certain Promissory Note between Repeat Precision, LLC and Security State Bank &amp; Trust, Fredericksburg Office, dated May 15,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val="false"/>
          <w:i w:val="false"/>
          <w:caps w:val="false"/>
          <w:smallCaps w:val="false"/>
          <w:color w:val="000000"/>
          <w:spacing w:val="4"/>
          <w:sz w:val="20"/>
          <w:u w:val="single"/>
        </w:rPr>
        <w:t>Registrable Securities</w:t>
      </w:r>
      <w:r>
        <w:rPr>
          <w:rFonts w:ascii="Times New Roman;Times;serif" w:hAnsi="Times New Roman;Times;serif"/>
          <w:b w:val="false"/>
          <w:i w:val="false"/>
          <w:caps w:val="false"/>
          <w:smallCaps w:val="false"/>
          <w:color w:val="000000"/>
          <w:spacing w:val="4"/>
          <w:sz w:val="20"/>
        </w:rPr>
        <w:t xml:space="preserve">” means (a) the Parent Ordinary Shares issued to the Specified Stockholders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(b) any capital stock of Parent issued or issuable with respect to such Parent Ordinary Shares, including as a result of any stock split, stock dividend, recapitalization, exchange or similar event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val="false"/>
          <w:i w:val="false"/>
          <w:caps w:val="false"/>
          <w:smallCaps w:val="false"/>
          <w:color w:val="000000"/>
          <w:spacing w:val="4"/>
          <w:sz w:val="20"/>
          <w:u w:val="single"/>
        </w:rPr>
        <w:t>Rewind</w:t>
      </w:r>
      <w:r>
        <w:rPr>
          <w:rFonts w:ascii="Times New Roman;Times;serif" w:hAnsi="Times New Roman;Times;serif"/>
          <w:b w:val="false"/>
          <w:i w:val="false"/>
          <w:caps w:val="false"/>
          <w:smallCaps w:val="false"/>
          <w:color w:val="000000"/>
          <w:spacing w:val="4"/>
          <w:sz w:val="20"/>
        </w:rPr>
        <w:t xml:space="preserve">”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val="false"/>
          <w:i w:val="false"/>
          <w:caps w:val="false"/>
          <w:smallCaps w:val="false"/>
          <w:color w:val="000000"/>
          <w:spacing w:val="4"/>
          <w:sz w:val="20"/>
          <w:u w:val="single"/>
        </w:rPr>
        <w:t>Specified Stockholders</w:t>
      </w:r>
      <w:r>
        <w:rPr>
          <w:rFonts w:ascii="Times New Roman;Times;serif" w:hAnsi="Times New Roman;Times;serif"/>
          <w:b w:val="false"/>
          <w:i w:val="false"/>
          <w:caps w:val="false"/>
          <w:smallCaps w:val="false"/>
          <w:color w:val="000000"/>
          <w:spacing w:val="4"/>
          <w:sz w:val="20"/>
        </w:rPr>
        <w:t xml:space="preserve">” means Advent-NCS Acquisition L.P.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Repeat Precision, LLC and RJ Machine Mexico, S. de R.L. de C.V. shall be deemed to be a Subsidiary of the Company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non-U.S. and other taxes, assessments or other similar charges in the nature of a tax imposed by any Governmental Entity, including any net income, gross income, gross receipts, sales, use, stock, ad valorem, transfer, stamp duty, transaction, franchise,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8IW"/>
      <w:bookmarkEnd w:id="144"/>
      <w:r>
        <w:rPr>
          <w:rFonts w:ascii="calibri;arial;sans-serif" w:hAnsi="calibri;arial;sans-serif"/>
          <w:b w:val="false"/>
          <w:i w:val="false"/>
          <w:caps w:val="false"/>
          <w:smallCaps w:val="false"/>
          <w:color w:val="000000"/>
          <w:sz w:val="16"/>
        </w:rPr>
        <w:t>​</w:t>
      </w:r>
      <w:bookmarkStart w:id="145" w:name="tS8E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means the Merger and the other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val="false"/>
          <w:i w:val="false"/>
          <w:caps w:val="false"/>
          <w:smallCaps w:val="false"/>
          <w:color w:val="000000"/>
          <w:spacing w:val="4"/>
          <w:sz w:val="20"/>
          <w:u w:val="single"/>
        </w:rPr>
        <w:t>Union</w:t>
      </w:r>
      <w:r>
        <w:rPr>
          <w:rFonts w:ascii="Times New Roman;Times;serif" w:hAnsi="Times New Roman;Times;serif"/>
          <w:b w:val="false"/>
          <w:i w:val="false"/>
          <w:caps w:val="false"/>
          <w:smallCaps w:val="false"/>
          <w:color w:val="000000"/>
          <w:spacing w:val="4"/>
          <w:sz w:val="20"/>
        </w:rPr>
        <w:t xml:space="preserve">” means any union, works council or other labor organization or employee representative or association.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val="false"/>
          <w:i w:val="false"/>
          <w:caps w:val="false"/>
          <w:smallCaps w:val="false"/>
          <w:color w:val="000000"/>
          <w:spacing w:val="4"/>
          <w:sz w:val="20"/>
          <w:u w:val="single"/>
        </w:rPr>
        <w:t>VAT</w:t>
      </w:r>
      <w:r>
        <w:rPr>
          <w:rFonts w:ascii="Times New Roman;Times;serif" w:hAnsi="Times New Roman;Times;serif"/>
          <w:b w:val="false"/>
          <w:i w:val="false"/>
          <w:caps w:val="false"/>
          <w:smallCaps w:val="false"/>
          <w:color w:val="000000"/>
          <w:spacing w:val="4"/>
          <w:sz w:val="20"/>
        </w:rPr>
        <w:t xml:space="preserve">”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 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8NT"/>
      <w:bookmarkEnd w:id="146"/>
      <w:r>
        <w:rPr>
          <w:rFonts w:ascii="calibri;arial;sans-serif" w:hAnsi="calibri;arial;sans-serif"/>
          <w:b w:val="false"/>
          <w:i w:val="false"/>
          <w:caps w:val="false"/>
          <w:smallCaps w:val="false"/>
          <w:color w:val="000000"/>
          <w:sz w:val="16"/>
        </w:rPr>
        <w:t>​</w:t>
      </w:r>
      <w:bookmarkStart w:id="147" w:name="tS8GL"/>
      <w:bookmarkEnd w:id="147"/>
      <w:r>
        <w:rPr>
          <w:rFonts w:ascii="calibri;arial;sans-serif" w:hAnsi="calibri;arial;sans-serif"/>
          <w:b w:val="false"/>
          <w:i w:val="false"/>
          <w:caps w:val="false"/>
          <w:smallCaps w:val="false"/>
          <w:color w:val="000000"/>
          <w:sz w:val="16"/>
        </w:rPr>
        <w:t>​</w:t>
      </w:r>
      <w:bookmarkStart w:id="148" w:name="tS8ST"/>
      <w:bookmarkEnd w:id="148"/>
      <w:r>
        <w:rPr>
          <w:rFonts w:ascii="calibri;arial;sans-serif" w:hAnsi="calibri;arial;sans-serif"/>
          <w:b w:val="false"/>
          <w:i w:val="false"/>
          <w:caps w:val="false"/>
          <w:smallCaps w:val="false"/>
          <w:color w:val="000000"/>
          <w:sz w:val="16"/>
        </w:rPr>
        <w:t>​</w:t>
      </w:r>
      <w:bookmarkStart w:id="149" w:name="tS8AS"/>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8.6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(which is intended for the benefit of, and shall be enforceable by, the Persons referred to therein) and (iii) the Specified Stockholders shall be third party beneficiaries of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8.8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8.9   </w:t>
      </w: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4.13(c)</w:t>
      </w:r>
      <w:r>
        <w:rPr>
          <w:rFonts w:ascii="Times New Roman;Times;serif" w:hAnsi="Times New Roman;Times;serif"/>
          <w:b w:val="false"/>
          <w:i w:val="false"/>
          <w:caps w:val="false"/>
          <w:smallCaps w:val="false"/>
          <w:color w:val="000000"/>
          <w:spacing w:val="4"/>
          <w:sz w:val="20"/>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8SP"/>
      <w:bookmarkEnd w:id="150"/>
      <w:r>
        <w:rPr>
          <w:rFonts w:ascii="calibri;arial;sans-serif" w:hAnsi="calibri;arial;sans-serif"/>
          <w:b w:val="false"/>
          <w:i w:val="false"/>
          <w:caps w:val="false"/>
          <w:smallCaps w:val="false"/>
          <w:color w:val="000000"/>
          <w:sz w:val="16"/>
        </w:rPr>
        <w:t>​</w:t>
      </w:r>
      <w:bookmarkStart w:id="151" w:name="tS8SW"/>
      <w:bookmarkEnd w:id="151"/>
      <w:r>
        <w:rPr>
          <w:rFonts w:ascii="calibri;arial;sans-serif" w:hAnsi="calibri;arial;sans-serif"/>
          <w:b w:val="false"/>
          <w:i w:val="false"/>
          <w:caps w:val="false"/>
          <w:smallCaps w:val="false"/>
          <w:color w:val="000000"/>
          <w:sz w:val="16"/>
        </w:rPr>
        <w:t>​</w:t>
      </w:r>
      <w:bookmarkStart w:id="152" w:name="tS8DL"/>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shall be null and void ab initio.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including the availability of the Company Termination Fee or the Parent Termination Fee, will not be construed to diminish or otherwise impair in any respect Parent’s or the Company’s, as applicable, right to such injunction, specific performance and other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8.12   </w:t>
      </w:r>
      <w:r>
        <w:rPr>
          <w:rFonts w:ascii="Times New Roman;Times;serif" w:hAnsi="Times New Roman;Times;serif"/>
          <w:b w:val="false"/>
          <w:i w:val="false"/>
          <w:caps w:val="false"/>
          <w:smallCaps w:val="false"/>
          <w:color w:val="000000"/>
          <w:spacing w:val="4"/>
          <w:sz w:val="20"/>
          <w:u w:val="single"/>
        </w:rPr>
        <w:t>Disclosure Letters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8WO"/>
      <w:bookmarkEnd w:id="153"/>
      <w:r>
        <w:rPr>
          <w:rFonts w:ascii="calibri;arial;sans-serif" w:hAnsi="calibri;arial;sans-serif"/>
          <w:b w:val="false"/>
          <w:i w:val="false"/>
          <w:caps w:val="false"/>
          <w:smallCaps w:val="false"/>
          <w:color w:val="000000"/>
          <w:sz w:val="16"/>
        </w:rPr>
        <w:t>​</w:t>
      </w:r>
      <w:bookmarkStart w:id="154" w:name="tS8CT"/>
      <w:bookmarkEnd w:id="154"/>
      <w:r>
        <w:rPr>
          <w:rFonts w:ascii="calibri;arial;sans-serif" w:hAnsi="calibri;arial;sans-serif"/>
          <w:b w:val="false"/>
          <w:i w:val="false"/>
          <w:caps w:val="false"/>
          <w:smallCaps w:val="false"/>
          <w:color w:val="000000"/>
          <w:sz w:val="16"/>
        </w:rPr>
        <w:t>​</w:t>
      </w:r>
      <w:bookmarkStart w:id="155" w:name="tS8PS"/>
      <w:bookmarkEnd w:id="155"/>
      <w:r>
        <w:rPr>
          <w:rFonts w:ascii="calibri;arial;sans-serif" w:hAnsi="calibri;arial;sans-serif"/>
          <w:b w:val="false"/>
          <w:i w:val="false"/>
          <w:caps w:val="false"/>
          <w:smallCaps w:val="false"/>
          <w:color w:val="000000"/>
          <w:sz w:val="16"/>
        </w:rPr>
        <w:t>​</w:t>
      </w:r>
      <w:bookmarkStart w:id="156" w:name="tS8NP"/>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8.13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TO THIS AGREEMENT HEREBY IRREVOCABLY WAIVES ALL RIGHT TO A TRIAL BY JURY IN ANY ACTION, PROCEEDING OR COUNTERCLAIM ARISING OUT OF OR RELATING TO THIS AGREEMENT OR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8.15   </w:t>
      </w:r>
      <w:r>
        <w:rPr>
          <w:rFonts w:ascii="Times New Roman;Times;serif" w:hAnsi="Times New Roman;Times;serif"/>
          <w:b w:val="false"/>
          <w:i w:val="false"/>
          <w:caps w:val="false"/>
          <w:smallCaps w:val="false"/>
          <w:color w:val="000000"/>
          <w:spacing w:val="4"/>
          <w:sz w:val="20"/>
          <w:u w:val="single"/>
        </w:rPr>
        <w:t>.pdf Signature</w:t>
      </w:r>
      <w:r>
        <w:rPr>
          <w:rFonts w:ascii="Times New Roman;Times;serif" w:hAnsi="Times New Roman;Times;serif"/>
          <w:b w:val="false"/>
          <w:i w:val="false"/>
          <w:caps w:val="false"/>
          <w:smallCaps w:val="false"/>
          <w:color w:val="000000"/>
          <w:spacing w:val="4"/>
          <w:sz w:val="20"/>
        </w:rPr>
        <w:t xml:space="preserve">.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8.16   </w:t>
      </w:r>
      <w:r>
        <w:rPr>
          <w:rFonts w:ascii="Times New Roman;Times;serif" w:hAnsi="Times New Roman;Times;serif"/>
          <w:b w:val="false"/>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70">
                <wp:simplePos x="0" y="0"/>
                <wp:positionH relativeFrom="column">
                  <wp:align>left</wp:align>
                </wp:positionH>
                <wp:positionV relativeFrom="line">
                  <wp:align>top</wp:align>
                </wp:positionV>
                <wp:extent cx="254000" cy="525780"/>
                <wp:effectExtent l="0" t="0" r="0" b="0"/>
                <wp:wrapSquare wrapText="right"/>
                <wp:docPr id="455" name="Frame4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71">
                <wp:simplePos x="0" y="0"/>
                <wp:positionH relativeFrom="column">
                  <wp:align>left</wp:align>
                </wp:positionH>
                <wp:positionV relativeFrom="line">
                  <wp:align>top</wp:align>
                </wp:positionV>
                <wp:extent cx="406400" cy="525780"/>
                <wp:effectExtent l="0" t="0" r="0" b="0"/>
                <wp:wrapSquare wrapText="right"/>
                <wp:docPr id="456" name="Frame45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72">
                <wp:simplePos x="0" y="0"/>
                <wp:positionH relativeFrom="column">
                  <wp:align>left</wp:align>
                </wp:positionH>
                <wp:positionV relativeFrom="line">
                  <wp:posOffset>635</wp:posOffset>
                </wp:positionV>
                <wp:extent cx="406400" cy="350520"/>
                <wp:effectExtent l="0" t="0" r="0" b="0"/>
                <wp:wrapSquare wrapText="right"/>
                <wp:docPr id="457" name="Frame45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73">
                <wp:simplePos x="0" y="0"/>
                <wp:positionH relativeFrom="column">
                  <wp:align>left</wp:align>
                </wp:positionH>
                <wp:positionV relativeFrom="line">
                  <wp:align>top</wp:align>
                </wp:positionV>
                <wp:extent cx="254000" cy="525780"/>
                <wp:effectExtent l="0" t="0" r="0" b="0"/>
                <wp:wrapSquare wrapText="right"/>
                <wp:docPr id="458" name="Frame4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74">
                <wp:simplePos x="0" y="0"/>
                <wp:positionH relativeFrom="column">
                  <wp:align>left</wp:align>
                </wp:positionH>
                <wp:positionV relativeFrom="line">
                  <wp:align>top</wp:align>
                </wp:positionV>
                <wp:extent cx="406400" cy="525780"/>
                <wp:effectExtent l="0" t="0" r="0" b="0"/>
                <wp:wrapSquare wrapText="right"/>
                <wp:docPr id="459" name="Frame45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75">
                <wp:simplePos x="0" y="0"/>
                <wp:positionH relativeFrom="column">
                  <wp:align>left</wp:align>
                </wp:positionH>
                <wp:positionV relativeFrom="line">
                  <wp:posOffset>635</wp:posOffset>
                </wp:positionV>
                <wp:extent cx="406400" cy="350520"/>
                <wp:effectExtent l="0" t="0" r="0" b="0"/>
                <wp:wrapSquare wrapText="right"/>
                <wp:docPr id="460" name="Frame45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Ryan Hummer </w:t>
      </w:r>
      <w:r>
        <mc:AlternateContent>
          <mc:Choice Requires="wps">
            <w:drawing>
              <wp:anchor behindDoc="0" distT="101600" distB="0" distL="3048000" distR="0" simplePos="0" locked="0" layoutInCell="1" allowOverlap="1" relativeHeight="476">
                <wp:simplePos x="0" y="0"/>
                <wp:positionH relativeFrom="column">
                  <wp:align>left</wp:align>
                </wp:positionH>
                <wp:positionV relativeFrom="line">
                  <wp:align>top</wp:align>
                </wp:positionV>
                <wp:extent cx="254000" cy="525780"/>
                <wp:effectExtent l="0" t="0" r="0" b="0"/>
                <wp:wrapSquare wrapText="right"/>
                <wp:docPr id="461" name="Frame4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302000" distR="0" simplePos="0" locked="0" layoutInCell="1" allowOverlap="1" relativeHeight="477">
                <wp:simplePos x="0" y="0"/>
                <wp:positionH relativeFrom="column">
                  <wp:align>left</wp:align>
                </wp:positionH>
                <wp:positionV relativeFrom="line">
                  <wp:align>top</wp:align>
                </wp:positionV>
                <wp:extent cx="406400" cy="525780"/>
                <wp:effectExtent l="0" t="0" r="0" b="0"/>
                <wp:wrapSquare wrapText="right"/>
                <wp:docPr id="462" name="Frame46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78">
                <wp:simplePos x="0" y="0"/>
                <wp:positionH relativeFrom="column">
                  <wp:align>left</wp:align>
                </wp:positionH>
                <wp:positionV relativeFrom="line">
                  <wp:posOffset>635</wp:posOffset>
                </wp:positionV>
                <wp:extent cx="406400" cy="350520"/>
                <wp:effectExtent l="0" t="0" r="0" b="0"/>
                <wp:wrapSquare wrapText="right"/>
                <wp:docPr id="463" name="Frame46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26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EXBA1"/>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WRITTEN CONSENT IN LIEU OF SPECIAL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Advent-NCS GP LLC, its general partner </w:t>
      </w:r>
      <w:r>
        <mc:AlternateContent>
          <mc:Choice Requires="wps">
            <w:drawing>
              <wp:anchor behindDoc="0" distT="101600" distB="0" distL="3048000" distR="0" simplePos="0" locked="0" layoutInCell="1" allowOverlap="1" relativeHeight="479">
                <wp:simplePos x="0" y="0"/>
                <wp:positionH relativeFrom="column">
                  <wp:align>left</wp:align>
                </wp:positionH>
                <wp:positionV relativeFrom="line">
                  <wp:align>top</wp:align>
                </wp:positionV>
                <wp:extent cx="254000" cy="304800"/>
                <wp:effectExtent l="0" t="0" r="0" b="0"/>
                <wp:wrapSquare wrapText="right"/>
                <wp:docPr id="464" name="Frame46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80">
                <wp:simplePos x="0" y="0"/>
                <wp:positionH relativeFrom="column">
                  <wp:align>left</wp:align>
                </wp:positionH>
                <wp:positionV relativeFrom="line">
                  <wp:align>top</wp:align>
                </wp:positionV>
                <wp:extent cx="254000" cy="304800"/>
                <wp:effectExtent l="0" t="0" r="0" b="0"/>
                <wp:wrapSquare wrapText="right"/>
                <wp:docPr id="465" name="Frame46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3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[Signature Page to Action by Written Consent of Advent-NCS Acquisition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EXBB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66"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67"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unreasonably withheld, conditioned or delayed). The Stockholder acknowledges that the Company and Parent may file this Agreement or a form hereof in its entirety with the SEC or any other Governmental Authority. </w:t>
      </w:r>
      <w:r>
        <mc:AlternateContent>
          <mc:Choice Requires="wps">
            <w:drawing>
              <wp:anchor behindDoc="0" distT="101600" distB="0" distL="254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68"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0" distB="0" distL="254000" distR="0" simplePos="0" locked="0" layoutInCell="1" allowOverlap="1" relativeHeight="484">
                <wp:simplePos x="0" y="0"/>
                <wp:positionH relativeFrom="column">
                  <wp:align>left</wp:align>
                </wp:positionH>
                <wp:positionV relativeFrom="line">
                  <wp:posOffset>635</wp:posOffset>
                </wp:positionV>
                <wp:extent cx="254000" cy="350520"/>
                <wp:effectExtent l="0" t="0" r="0" b="0"/>
                <wp:wrapSquare wrapText="right"/>
                <wp:docPr id="469"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287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70"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2870" distB="0" distL="508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71"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w:t>
      </w:r>
      <w:r>
        <mc:AlternateContent>
          <mc:Choice Requires="wps">
            <w:drawing>
              <wp:anchor behindDoc="0" distT="102870" distB="0" distL="508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72"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102870" distB="0" distL="508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73"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101600" distB="0" distL="508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74"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101600" distB="0" distL="508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75"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101600" distB="0" distL="508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76"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to acquire, or agree to acquire, directly or indirectly, by purchase or otherwise, any shares of Company Common Stock or other securities of the Company, unless such additional shares or </w:t>
      </w:r>
      <w:r>
        <mc:AlternateContent>
          <mc:Choice Requires="wps">
            <w:drawing>
              <wp:anchor behindDoc="0" distT="10160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77"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99060" distB="0" distL="508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78"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99060" distB="0" distL="508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79"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99060" distB="0" distL="508000" distR="0" simplePos="0" locked="0" layoutInCell="1" allowOverlap="1" relativeHeight="495">
                <wp:simplePos x="0" y="0"/>
                <wp:positionH relativeFrom="column">
                  <wp:align>left</wp:align>
                </wp:positionH>
                <wp:positionV relativeFrom="line">
                  <wp:align>top</wp:align>
                </wp:positionV>
                <wp:extent cx="254000" cy="525780"/>
                <wp:effectExtent l="0" t="0" r="0" b="0"/>
                <wp:wrapSquare wrapText="right"/>
                <wp:docPr id="480" name="Frame4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9906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81"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82"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0330" distB="0" distL="254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83"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84"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t>
      </w:r>
      <w:r>
        <mc:AlternateContent>
          <mc:Choice Requires="wps">
            <w:drawing>
              <wp:anchor behindDoc="0" distT="10033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85"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91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4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8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06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beneficially owns 1,478,426 shares of Company Common Stock as of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EXBC1"/>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THIRD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STATE OF DELAWARE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 a corporation organized and existing under the General Corporation Law of the State of Delaware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NCS Multistage Holdings,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86"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Corporation in the State of Delaware is located at Corporation Trust Center, 1209 Orange Street, in the City of Wilmington, County of New Castle, Zip Code 19801. The name of the Registered Agent at such address upon whom process against the Corporation may be served is The Corporation Trust Company. </w:t>
      </w:r>
      <w:r>
        <mc:AlternateContent>
          <mc:Choice Requires="wps">
            <w:drawing>
              <wp:anchor behindDoc="0" distT="9779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87"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Corporation is to engage in any lawful act or activity for which corporations may be organized under the DGCL. </w:t>
      </w:r>
      <w:r>
        <mc:AlternateContent>
          <mc:Choice Requires="wps">
            <w:drawing>
              <wp:anchor behindDoc="0" distT="9779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488"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amount of stock the Corporation is authorized to issue is 1,000 shares with a par value of $0.001 per share. </w:t>
      </w:r>
      <w:r>
        <mc:AlternateContent>
          <mc:Choice Requires="wps">
            <w:drawing>
              <wp:anchor behindDoc="0" distT="9779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489"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5(a), or adoption of any provision of this Certificate of Incorporation inconsistent with this Section 5(a),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Corporation shall indemnify, advance expenses to and hold harmless, to the fullest extent permitted by applicable law as it presently exists or may hereafter be amended, any person (“</w:t>
      </w:r>
      <w:r>
        <w:rPr>
          <w:rFonts w:ascii="Times New Roman;Times;serif" w:hAnsi="Times New Roman;Times;serif"/>
          <w:b/>
          <w:i/>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5(b). “</w:t>
      </w:r>
      <w:r>
        <w:rPr>
          <w:rFonts w:ascii="Times New Roman;Times;serif" w:hAnsi="Times New Roman;Times;serif"/>
          <w:b/>
          <w:i/>
          <w:caps w:val="false"/>
          <w:smallCaps w:val="false"/>
          <w:color w:val="000000"/>
          <w:spacing w:val="-4"/>
          <w:sz w:val="20"/>
        </w:rPr>
        <w:t>Enterprise</w:t>
      </w:r>
      <w:r>
        <w:rPr>
          <w:rFonts w:ascii="Times New Roman;Times;serif" w:hAnsi="Times New Roman;Times;serif"/>
          <w:b w:val="false"/>
          <w:i w:val="false"/>
          <w:caps w:val="false"/>
          <w:smallCaps w:val="false"/>
          <w:color w:val="000000"/>
          <w:spacing w:val="4"/>
          <w:sz w:val="20"/>
        </w:rPr>
        <w:t xml:space="preserve">”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any amendment nor repeal of this Section 5, nor the adoption of any provision of this Certificate of Incorporation inconsistent with this Section 5, shall eliminate or reduce the effect of this Section 5 in respect of any acts or omissions occurring prior to such alteration, amendment, addition to, repeal or adoption.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Executed this [•] day of [•], [•].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505">
                <wp:simplePos x="0" y="0"/>
                <wp:positionH relativeFrom="column">
                  <wp:align>left</wp:align>
                </wp:positionH>
                <wp:positionV relativeFrom="line">
                  <wp:align>top</wp:align>
                </wp:positionV>
                <wp:extent cx="254000" cy="525780"/>
                <wp:effectExtent l="0" t="0" r="0" b="0"/>
                <wp:wrapSquare wrapText="right"/>
                <wp:docPr id="490"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Name: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EXBD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ASSIGNMENT AND NOVATION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AND NOVATION OF 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ASSIGNMENT AND NOVATION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 by and between Weatherford International plc, an Irish public limited company (the “</w:t>
      </w:r>
      <w:r>
        <w:rPr>
          <w:rFonts w:ascii="Times New Roman;Times;serif" w:hAnsi="Times New Roman;Times;serif"/>
          <w:b w:val="false"/>
          <w:i w:val="false"/>
          <w:caps w:val="false"/>
          <w:smallCaps w:val="false"/>
          <w:color w:val="000000"/>
          <w:spacing w:val="4"/>
          <w:sz w:val="20"/>
          <w:u w:val="single"/>
        </w:rPr>
        <w:t>Assignor</w:t>
      </w:r>
      <w:r>
        <w:rPr>
          <w:rFonts w:ascii="Times New Roman;Times;serif" w:hAnsi="Times New Roman;Times;serif"/>
          <w:b w:val="false"/>
          <w:i w:val="false"/>
          <w:caps w:val="false"/>
          <w:smallCaps w:val="false"/>
          <w:color w:val="000000"/>
          <w:spacing w:val="4"/>
          <w:sz w:val="20"/>
        </w:rPr>
        <w:t>”), and Weatherford International Corp, a Texas corporation (the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Assignor, Trinity Bell Sub, Inc., a Delaware corporation,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have entered into an Agreement and Plan of Merger, dated as of [•],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Section 5.19 of the Merger Agreement, the Assignor is obliged to assign and novate in full the Merger Agreement to the Assignee and to cause the Assignee to assume the Merger Agreement in conjunction with the closing of the redomestication transaction contemplated by Rewind;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closing of the redomestication transaction contemplated by Rewind occurred on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desire to enter into this Agreement as required by Section 5.19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for good and valuable consideration, the sufficiency of which is hereby acknowledged, the parties hereto agree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does hereby assign and novate in full to the Assignee, and the Assignee does hereby assume, the Merger Agreement (including all of the Assignor’s rights, duties and obligations thereunder). </w:t>
      </w:r>
      <w:r>
        <mc:AlternateContent>
          <mc:Choice Requires="wps">
            <w:drawing>
              <wp:anchor behindDoc="0" distT="101600" distB="0" distL="254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491"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is hereby fully and unconditionally released from the Merger Agreement (including any duties or obligations thereunder, and now has no further rights thereunder), and the Assignee is hereby fully obligated under the Merger Agreement as if it were the original “Parent” party thereto and any other Person shall only look to Assignee as “Parent” under the Merger Agreement (including as to any rights, duties or obligations including performance). </w:t>
      </w:r>
      <w:r>
        <mc:AlternateContent>
          <mc:Choice Requires="wps">
            <w:drawing>
              <wp:anchor behindDoc="0" distT="101600" distB="0" distL="254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492"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hereto shall from time to time execute and deliver such further instruments and take such further actions as the other party hereto may reasonably require to carry out the purposes of this Agreement. </w:t>
      </w:r>
      <w:r>
        <mc:AlternateContent>
          <mc:Choice Requires="wps">
            <w:drawing>
              <wp:anchor behindDoc="0" distT="101600" distB="0" distL="254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493"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8.6 (</w:t>
      </w:r>
      <w:r>
        <w:rPr>
          <w:rFonts w:ascii="Times New Roman;Times;serif" w:hAnsi="Times New Roman;Times;serif"/>
          <w:b w:val="false"/>
          <w:i/>
          <w:caps w:val="false"/>
          <w:smallCaps w:val="false"/>
          <w:color w:val="000000"/>
          <w:spacing w:val="4"/>
          <w:sz w:val="20"/>
        </w:rPr>
        <w:t>No Third-Party Beneficiaries</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09">
                <wp:simplePos x="0" y="0"/>
                <wp:positionH relativeFrom="column">
                  <wp:align>left</wp:align>
                </wp:positionH>
                <wp:positionV relativeFrom="line">
                  <wp:align>top</wp:align>
                </wp:positionV>
                <wp:extent cx="254000" cy="350520"/>
                <wp:effectExtent l="0" t="0" r="0" b="0"/>
                <wp:wrapSquare wrapText="right"/>
                <wp:docPr id="494"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510">
                <wp:simplePos x="0" y="0"/>
                <wp:positionH relativeFrom="column">
                  <wp:align>left</wp:align>
                </wp:positionH>
                <wp:positionV relativeFrom="line">
                  <wp:align>top</wp:align>
                </wp:positionV>
                <wp:extent cx="254000" cy="525780"/>
                <wp:effectExtent l="0" t="0" r="0" b="0"/>
                <wp:wrapSquare wrapText="right"/>
                <wp:docPr id="495" name="Frame4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511">
                <wp:simplePos x="0" y="0"/>
                <wp:positionH relativeFrom="column">
                  <wp:align>left</wp:align>
                </wp:positionH>
                <wp:positionV relativeFrom="line">
                  <wp:align>top</wp:align>
                </wp:positionV>
                <wp:extent cx="254000" cy="525780"/>
                <wp:effectExtent l="0" t="0" r="0" b="0"/>
                <wp:wrapSquare wrapText="right"/>
                <wp:docPr id="496" name="Frame4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p>
    <w:p>
      <w:pPr>
        <w:pStyle w:val="TextBody"/>
        <w:bidi w:val="0"/>
        <w:spacing w:lineRule="atLeast" w:line="240" w:before="51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Assignment and Novation of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NB"/>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497"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498"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w:t>
      </w:r>
      <w:r>
        <mc:AlternateContent>
          <mc:Choice Requires="wps">
            <w:drawing>
              <wp:anchor behindDoc="0" distT="104140" distB="0" distL="254000" distR="0" simplePos="0" locked="0" layoutInCell="1" allowOverlap="1" relativeHeight="514">
                <wp:simplePos x="0" y="0"/>
                <wp:positionH relativeFrom="column">
                  <wp:align>left</wp:align>
                </wp:positionH>
                <wp:positionV relativeFrom="line">
                  <wp:align>top</wp:align>
                </wp:positionV>
                <wp:extent cx="254000" cy="350520"/>
                <wp:effectExtent l="0" t="0" r="0" b="0"/>
                <wp:wrapSquare wrapText="right"/>
                <wp:docPr id="499"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withheld, conditioned or delayed). The Stockholder acknowledges that the Company and Parent may file this Agreement or a form hereof in its entirety with the SEC or any other Governmental Authority.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10033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00"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033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01"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1600" distB="0" distL="508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02"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t>
      </w:r>
      <w:r>
        <mc:AlternateContent>
          <mc:Choice Requires="wps">
            <w:drawing>
              <wp:anchor behindDoc="0" distT="101600" distB="0" distL="508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03"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99060" distB="0" distL="5080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504"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99060" distB="0" distL="508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05"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99060" distB="0" distL="508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06"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99060" distB="0" distL="508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07"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w:t>
      </w:r>
      <w:r>
        <mc:AlternateContent>
          <mc:Choice Requires="wps">
            <w:drawing>
              <wp:anchor behindDoc="0" distT="9906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08"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acquire, or agree to acquire, directly or indirectly, by purchase or otherwise, any shares of Company Common Stock or other securities of the Company, unless such additional shares or 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102870" distB="0" distL="508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09"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101600" distB="0" distL="508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10"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101600" distB="0" distL="508000" distR="0" simplePos="0" locked="0" layoutInCell="1" allowOverlap="1" relativeHeight="526">
                <wp:simplePos x="0" y="0"/>
                <wp:positionH relativeFrom="column">
                  <wp:align>left</wp:align>
                </wp:positionH>
                <wp:positionV relativeFrom="line">
                  <wp:align>top</wp:align>
                </wp:positionV>
                <wp:extent cx="254000" cy="525780"/>
                <wp:effectExtent l="0" t="0" r="0" b="0"/>
                <wp:wrapSquare wrapText="right"/>
                <wp:docPr id="511" name="Frame5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10160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12"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13"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160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14"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15"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31">
                <wp:simplePos x="0" y="0"/>
                <wp:positionH relativeFrom="column">
                  <wp:align>left</wp:align>
                </wp:positionH>
                <wp:positionV relativeFrom="line">
                  <wp:posOffset>635</wp:posOffset>
                </wp:positionV>
                <wp:extent cx="254000" cy="350520"/>
                <wp:effectExtent l="0" t="0" r="0" b="0"/>
                <wp:wrapSquare wrapText="right"/>
                <wp:docPr id="516"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2">
                <wp:simplePos x="0" y="0"/>
                <wp:positionH relativeFrom="column">
                  <wp:align>left</wp:align>
                </wp:positionH>
                <wp:positionV relativeFrom="line">
                  <wp:align>top</wp:align>
                </wp:positionV>
                <wp:extent cx="254000" cy="525780"/>
                <wp:effectExtent l="0" t="0" r="0" b="0"/>
                <wp:wrapSquare wrapText="right"/>
                <wp:docPr id="517"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Hummer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Address:19350 State Highway 259,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600, Houston, TX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rhummer@ncsmultistage.com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304800" distB="0" distL="0" distR="0" simplePos="0" locked="0" layoutInCell="1" allowOverlap="1" relativeHeight="533">
                <wp:simplePos x="0" y="0"/>
                <wp:positionH relativeFrom="column">
                  <wp:align>left</wp:align>
                </wp:positionH>
                <wp:positionV relativeFrom="line">
                  <wp:align>top</wp:align>
                </wp:positionV>
                <wp:extent cx="254000" cy="525780"/>
                <wp:effectExtent l="0" t="0" r="0" b="0"/>
                <wp:wrapSquare wrapText="right"/>
                <wp:docPr id="518"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Depinder Sandhu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Strategy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2000 St. James Place, Houston, Texas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Depinder.sandhu@weatherford.com </w:t>
      </w:r>
    </w:p>
    <w:p>
      <w:pPr>
        <w:pStyle w:val="TextBody"/>
        <w:bidi w:val="0"/>
        <w:spacing w:lineRule="atLeast" w:line="240" w:before="76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Neil Crawford </w:t>
      </w:r>
      <w:r>
        <mc:AlternateContent>
          <mc:Choice Requires="wps">
            <w:drawing>
              <wp:anchor behindDoc="0" distT="304800" distB="0" distL="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19"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Neil Crawford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NCrawford@AdventInternational.com </w:t>
      </w:r>
    </w:p>
    <w:p>
      <w:pPr>
        <w:pStyle w:val="TextBody"/>
        <w:bidi w:val="0"/>
        <w:spacing w:lineRule="atLeast" w:line="240" w:before="93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Form of Written Consent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Stockholder beneficially owns 1,478,426 shares of Company Common Stock as of the date 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ANC"/>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 &amp;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ELECTION FORM &amp; LETTER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June 5, 2026, by and between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Advent-NCS Acquisition L.P., a Delaware limited partnership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Weatherford</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entered into that certain Agreement and Plan of Merger, dated as of May 31, 2026 (as it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Stockholder is the sole record and beneficial owner of 1,478,426 shares (“</w:t>
      </w:r>
      <w:r>
        <w:rPr>
          <w:rFonts w:ascii="Times New Roman;Times;serif" w:hAnsi="Times New Roman;Times;serif"/>
          <w:b w:val="false"/>
          <w:i w:val="false"/>
          <w:caps w:val="false"/>
          <w:smallCaps w:val="false"/>
          <w:color w:val="000000"/>
          <w:spacing w:val="4"/>
          <w:sz w:val="20"/>
          <w:u w:val="single"/>
        </w:rPr>
        <w:t>Stockholder 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Section 2.1 and Section 2.5 of the Merger Agreement, each holder of Company Common Stock is entitled to elect to receive either (i) the Share Consideration in respect of all of such holder’s shares of Company Common Stock or (ii) the Mixed Consideration in respect of all of such holder’s shares of Company Common Stock (collectively, the “</w:t>
      </w:r>
      <w:r>
        <w:rPr>
          <w:rFonts w:ascii="Times New Roman;Times;serif" w:hAnsi="Times New Roman;Times;serif"/>
          <w:b w:val="false"/>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in furtherance of the transactions contemplated by and included in the Merger Agreement and negotiated among the various parties thereto (including the Election) (collectively,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the Stockholder executed the Written Consent and entered into the Support Agreement with Weatherford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hereto recognize that, as a condition and inducement to Weatherford’s and Merger Sub’s willingness to enter into the Merger Agreement, the Stockholder committed that it would elect to receive the Mixed Consideration in respect of all of the Stockholder Shares, and Weatherford and Merger Sub entered into the Merger Agreement in reasonable reliance on this commitment (the “</w:t>
      </w:r>
      <w:r>
        <w:rPr>
          <w:rFonts w:ascii="Times New Roman;Times;serif" w:hAnsi="Times New Roman;Times;serif"/>
          <w:b w:val="false"/>
          <w:i w:val="false"/>
          <w:caps w:val="false"/>
          <w:smallCaps w:val="false"/>
          <w:color w:val="000000"/>
          <w:spacing w:val="4"/>
          <w:sz w:val="20"/>
          <w:u w:val="single"/>
        </w:rPr>
        <w:t>Stockholder Commitment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hereto believe entering into this Agreement pursuant to Section 2.5 of the Merger Agreement in order to document formally the Stockholder Commitment will be beneficial to all parties hereto in pursuing the execution of the Transactions, including by facilitating disclosure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for good and valuable consideration, the sufficiency and adequacy of which is hereby acknowledged, the parties hereto agree as follows: </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xml:space="preserve">.   The Stockholder hereby irrevocably elects to receive the Mixed Consideration in respect to all of the Stockholder Shares and this Agreement shall be deemed the Election Form with respect to the Stockholder (and only the Stockholder), notwithstanding anything to the contrary set forth in the Merger Agreement; provided that, such election shall be revoked in the event of a valid termination of the Support Agreement in accordance with its terms. </w:t>
      </w:r>
      <w:r>
        <mc:AlternateContent>
          <mc:Choice Requires="wps">
            <w:drawing>
              <wp:anchor behindDoc="0" distT="11049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20"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w:t>
      </w:r>
      <w:r>
        <w:rPr>
          <w:rFonts w:ascii="Times New Roman;Times;serif" w:hAnsi="Times New Roman;Times;serif"/>
          <w:b w:val="false"/>
          <w:i w:val="false"/>
          <w:caps w:val="false"/>
          <w:smallCaps w:val="false"/>
          <w:color w:val="000000"/>
          <w:spacing w:val="4"/>
          <w:sz w:val="20"/>
        </w:rPr>
        <w:t xml:space="preserve">.   The parties hereto agree that notwithstanding anything to the contrary in the Merger Agreement (i) this Agreement constitutes a properly made and completed Election Form with respect to the Stockholder (and only the Stockholder), and (ii) this Agreement (as an Election Form) is irrevocable,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In furtherance thereof, the Stockholder hereby (x) irrevocably appoints Weatherford as its true and lawful agent and attorney in fact in order to deliver this Election Form to the Exchange Agent during the Election Period; provided that, such </w:t>
      </w:r>
      <w:r>
        <mc:AlternateContent>
          <mc:Choice Requires="wps">
            <w:drawing>
              <wp:anchor behindDoc="0" distT="11049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21"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appointment shall be revoked in the event of a valid termination of the Support Agreement in accordance with its terms and (y)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waives any right to revoke or change this Election Form.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In the event the Stockholder proposes to effect a Transfer (as defined in the Support Agreement) of any shares of Company Common Stock to any Person (a “</w:t>
      </w:r>
      <w:r>
        <w:rPr>
          <w:rFonts w:ascii="Times New Roman;Times;serif" w:hAnsi="Times New Roman;Times;serif"/>
          <w:b w:val="false"/>
          <w:i w:val="false"/>
          <w:caps w:val="false"/>
          <w:smallCaps w:val="false"/>
          <w:color w:val="000000"/>
          <w:spacing w:val="4"/>
          <w:sz w:val="20"/>
          <w:u w:val="single"/>
        </w:rPr>
        <w:t>Transferee</w:t>
      </w:r>
      <w:r>
        <w:rPr>
          <w:rFonts w:ascii="Times New Roman;Times;serif" w:hAnsi="Times New Roman;Times;serif"/>
          <w:b w:val="false"/>
          <w:i w:val="false"/>
          <w:caps w:val="false"/>
          <w:smallCaps w:val="false"/>
          <w:color w:val="000000"/>
          <w:spacing w:val="4"/>
          <w:sz w:val="20"/>
        </w:rPr>
        <w:t xml:space="preserve">”) prior to the Effective Time, the election to receive the Mixed Consideration made pursuant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shall be deemed to apply to such transferred shares and shall be binding upon such Transferee as if such Transferee were the original party hereto. The Stockholder shall, as a condition to any such Transfer, cause each Transferee to execute and deliver to the Company a written acknowledgment, in form and substance reasonably satisfactory to the Company and consented to by Weatherford and Merger Sub, agreeing to be bound by the terms of this Agreement with respect to such transferred shares, including the irrevocable election to receive the Mixed Consideration, irrevocable appointment of Weatherford as its true and lawful agent and attorney in fact in order to deliver such Agreement as an Election Form to the Exchange Agent during the Election period, and the transfer restrictions contained in this Section 3. Any purported Transfer of shares of Company Common Stock by the Stockholder that does not comply with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22"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Party Beneficiaries</w:t>
      </w:r>
      <w:r>
        <w:rPr>
          <w:rFonts w:ascii="Times New Roman;Times;serif" w:hAnsi="Times New Roman;Times;serif"/>
          <w:b w:val="false"/>
          <w:i w:val="false"/>
          <w:caps w:val="false"/>
          <w:smallCaps w:val="false"/>
          <w:color w:val="000000"/>
          <w:spacing w:val="4"/>
          <w:sz w:val="20"/>
        </w:rPr>
        <w:t xml:space="preserve">.   The Company and the Stockholder expressly agree that each of Weatherford and Merger Sub is an express third party beneficiary of this Agreement and is entitled to specifically enforce this Agreement in accordance with this terms, including the obligations of the Stockholder against the Stockholder. Subject to the foregoing sentence,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r>
        <mc:AlternateContent>
          <mc:Choice Requires="wps">
            <w:drawing>
              <wp:anchor behindDoc="0" distT="10160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23"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of the parties hereto and consented to by Weatherford and Merger Sub. </w:t>
      </w:r>
      <w:r>
        <mc:AlternateContent>
          <mc:Choice Requires="wps">
            <w:drawing>
              <wp:anchor behindDoc="0" distT="101600" distB="0" distL="254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24"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and consented to by Weatherford and Merger Sub. </w:t>
      </w:r>
      <w:r>
        <mc:AlternateContent>
          <mc:Choice Requires="wps">
            <w:drawing>
              <wp:anchor behindDoc="0" distT="101600" distB="0" distL="254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25"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Assurances</w:t>
      </w:r>
      <w:r>
        <w:rPr>
          <w:rFonts w:ascii="Times New Roman;Times;serif" w:hAnsi="Times New Roman;Times;serif"/>
          <w:b w:val="false"/>
          <w:i w:val="false"/>
          <w:caps w:val="false"/>
          <w:smallCaps w:val="false"/>
          <w:color w:val="000000"/>
          <w:spacing w:val="4"/>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r>
        <mc:AlternateContent>
          <mc:Choice Requires="wps">
            <w:drawing>
              <wp:anchor behindDoc="0" distT="101600" distB="0" distL="2540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26"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with references to the parties to the Merger Agreement being deemed references to the parties to this Agreement, and where relevant and appropriate such provisions shall be deemed to reference the Stockholder. </w:t>
      </w:r>
      <w:r>
        <mc:AlternateContent>
          <mc:Choice Requires="wps">
            <w:drawing>
              <wp:anchor behindDoc="0" distT="10160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27"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543">
                <wp:simplePos x="0" y="0"/>
                <wp:positionH relativeFrom="column">
                  <wp:align>left</wp:align>
                </wp:positionH>
                <wp:positionV relativeFrom="line">
                  <wp:align>top</wp:align>
                </wp:positionV>
                <wp:extent cx="254000" cy="525780"/>
                <wp:effectExtent l="0" t="0" r="0" b="0"/>
                <wp:wrapSquare wrapText="right"/>
                <wp:docPr id="528"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048000" distR="0" simplePos="0" locked="0" layoutInCell="1" allowOverlap="1" relativeHeight="544">
                <wp:simplePos x="0" y="0"/>
                <wp:positionH relativeFrom="column">
                  <wp:align>left</wp:align>
                </wp:positionH>
                <wp:positionV relativeFrom="line">
                  <wp:align>top</wp:align>
                </wp:positionV>
                <wp:extent cx="406400" cy="525780"/>
                <wp:effectExtent l="0" t="0" r="0" b="0"/>
                <wp:wrapSquare wrapText="right"/>
                <wp:docPr id="529" name="Frame52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w:t>
      </w:r>
      <w:r>
        <mc:AlternateContent>
          <mc:Choice Requires="wps">
            <w:drawing>
              <wp:anchor behindDoc="0" distT="0" distB="0" distL="3048000" distR="0" simplePos="0" locked="0" layoutInCell="1" allowOverlap="1" relativeHeight="545">
                <wp:simplePos x="0" y="0"/>
                <wp:positionH relativeFrom="column">
                  <wp:align>left</wp:align>
                </wp:positionH>
                <wp:positionV relativeFrom="line">
                  <wp:posOffset>635</wp:posOffset>
                </wp:positionV>
                <wp:extent cx="406400" cy="350520"/>
                <wp:effectExtent l="0" t="0" r="0" b="0"/>
                <wp:wrapSquare wrapText="right"/>
                <wp:docPr id="530" name="Frame52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46">
                <wp:simplePos x="0" y="0"/>
                <wp:positionH relativeFrom="column">
                  <wp:align>left</wp:align>
                </wp:positionH>
                <wp:positionV relativeFrom="line">
                  <wp:align>top</wp:align>
                </wp:positionV>
                <wp:extent cx="254000" cy="525780"/>
                <wp:effectExtent l="0" t="0" r="0" b="0"/>
                <wp:wrapSquare wrapText="right"/>
                <wp:docPr id="531" name="Frame5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47">
                <wp:simplePos x="0" y="0"/>
                <wp:positionH relativeFrom="column">
                  <wp:align>left</wp:align>
                </wp:positionH>
                <wp:positionV relativeFrom="line">
                  <wp:align>top</wp:align>
                </wp:positionV>
                <wp:extent cx="406400" cy="525780"/>
                <wp:effectExtent l="0" t="0" r="0" b="0"/>
                <wp:wrapSquare wrapText="right"/>
                <wp:docPr id="532" name="Frame53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254000" distR="0" simplePos="0" locked="0" layoutInCell="1" allowOverlap="1" relativeHeight="548">
                <wp:simplePos x="0" y="0"/>
                <wp:positionH relativeFrom="column">
                  <wp:align>left</wp:align>
                </wp:positionH>
                <wp:positionV relativeFrom="line">
                  <wp:posOffset>635</wp:posOffset>
                </wp:positionV>
                <wp:extent cx="406400" cy="350520"/>
                <wp:effectExtent l="0" t="0" r="0" b="0"/>
                <wp:wrapSquare wrapText="right"/>
                <wp:docPr id="533" name="Frame53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49">
                <wp:simplePos x="0" y="0"/>
                <wp:positionH relativeFrom="column">
                  <wp:align>left</wp:align>
                </wp:positionH>
                <wp:positionV relativeFrom="line">
                  <wp:align>top</wp:align>
                </wp:positionV>
                <wp:extent cx="254000" cy="525780"/>
                <wp:effectExtent l="0" t="0" r="0" b="0"/>
                <wp:wrapSquare wrapText="right"/>
                <wp:docPr id="534" name="Frame5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50">
                <wp:simplePos x="0" y="0"/>
                <wp:positionH relativeFrom="column">
                  <wp:align>left</wp:align>
                </wp:positionH>
                <wp:positionV relativeFrom="line">
                  <wp:align>top</wp:align>
                </wp:positionV>
                <wp:extent cx="406400" cy="525780"/>
                <wp:effectExtent l="0" t="0" r="0" b="0"/>
                <wp:wrapSquare wrapText="right"/>
                <wp:docPr id="535" name="Frame53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51">
                <wp:simplePos x="0" y="0"/>
                <wp:positionH relativeFrom="column">
                  <wp:align>left</wp:align>
                </wp:positionH>
                <wp:positionV relativeFrom="line">
                  <wp:posOffset>635</wp:posOffset>
                </wp:positionV>
                <wp:extent cx="406400" cy="350520"/>
                <wp:effectExtent l="0" t="0" r="0" b="0"/>
                <wp:wrapSquare wrapText="right"/>
                <wp:docPr id="536" name="Frame53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52">
                <wp:simplePos x="0" y="0"/>
                <wp:positionH relativeFrom="column">
                  <wp:align>left</wp:align>
                </wp:positionH>
                <wp:positionV relativeFrom="line">
                  <wp:align>top</wp:align>
                </wp:positionV>
                <wp:extent cx="254000" cy="525780"/>
                <wp:effectExtent l="0" t="0" r="0" b="0"/>
                <wp:wrapSquare wrapText="right"/>
                <wp:docPr id="537" name="Frame5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53">
                <wp:simplePos x="0" y="0"/>
                <wp:positionH relativeFrom="column">
                  <wp:align>left</wp:align>
                </wp:positionH>
                <wp:positionV relativeFrom="line">
                  <wp:align>top</wp:align>
                </wp:positionV>
                <wp:extent cx="406400" cy="525780"/>
                <wp:effectExtent l="0" t="0" r="0" b="0"/>
                <wp:wrapSquare wrapText="right"/>
                <wp:docPr id="538" name="Frame537"/>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54">
                <wp:simplePos x="0" y="0"/>
                <wp:positionH relativeFrom="column">
                  <wp:align>left</wp:align>
                </wp:positionH>
                <wp:positionV relativeFrom="line">
                  <wp:posOffset>635</wp:posOffset>
                </wp:positionV>
                <wp:extent cx="406400" cy="350520"/>
                <wp:effectExtent l="0" t="0" r="0" b="0"/>
                <wp:wrapSquare wrapText="right"/>
                <wp:docPr id="539" name="Frame538"/>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12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Election Form &amp; Letter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AND"/>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WRITTEN CONSENT IN LIEU OF SPECIAL MEETING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tbl>
      <w:tblPr>
        <w:tblW w:w="5249" w:type="dxa"/>
        <w:jc w:val="left"/>
        <w:tblInd w:w="1393" w:type="dxa"/>
        <w:tblLayout w:type="fixed"/>
        <w:tblCellMar>
          <w:top w:w="0" w:type="dxa"/>
          <w:left w:w="0" w:type="dxa"/>
          <w:bottom w:w="0" w:type="dxa"/>
          <w:right w:w="0" w:type="dxa"/>
        </w:tblCellMar>
      </w:tblPr>
      <w:tblGrid>
        <w:gridCol w:w="124"/>
        <w:gridCol w:w="109"/>
        <w:gridCol w:w="109"/>
        <w:gridCol w:w="109"/>
        <w:gridCol w:w="691"/>
        <w:gridCol w:w="145"/>
        <w:gridCol w:w="145"/>
        <w:gridCol w:w="1083"/>
        <w:gridCol w:w="145"/>
        <w:gridCol w:w="145"/>
        <w:gridCol w:w="2116"/>
        <w:gridCol w:w="145"/>
        <w:gridCol w:w="2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pPr>
            <w:r>
              <w:rPr>
                <w:spacing w:val="-4"/>
              </w:rPr>
              <w:t>ADVENT-NCS ACQUISITION L.P.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spacing w:val="4"/>
              </w:rPr>
            </w:pPr>
            <w:r>
              <w:rPr>
                <w:spacing w:val="4"/>
              </w:rPr>
              <w:t xml:space="preserve">By: Advent-NCS GP LLC, its general partner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spacing w:val="4"/>
              </w:rPr>
            </w:pPr>
            <w:r>
              <w:rPr>
                <w:spacing w:val="4"/>
              </w:rPr>
              <w:t xml:space="preserve">By: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3663" w:type="dxa"/>
            <w:gridSpan w:val="6"/>
            <w:tcBorders/>
            <w:vAlign w:val="center"/>
          </w:tcPr>
          <w:p>
            <w:pPr>
              <w:pStyle w:val="TableContents"/>
              <w:bidi w:val="0"/>
              <w:spacing w:before="0" w:after="0"/>
              <w:jc w:val="left"/>
              <w:rPr/>
            </w:pPr>
            <w:r>
              <w:rPr>
                <w:spacing w:val="4"/>
              </w:rPr>
              <w:t>/s/ Neil Crawford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Name: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spacing w:val="4"/>
              </w:rPr>
            </w:pPr>
            <w:r>
              <w:rPr>
                <w:spacing w:val="4"/>
              </w:rPr>
              <w:t xml:space="preserve">Neil Crawford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Title: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pPr>
            <w:r>
              <w:rPr>
                <w:spacing w:val="4"/>
              </w:rPr>
              <w:t>President</w:t>
            </w:r>
            <w:r>
              <w:rPr/>
              <w:t xml:space="preserve">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Action by Written Consent of Advent-NCS Acquisition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attached.]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ANE"/>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36"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z w:val="20"/>
        </w:rPr>
        <w:t>​</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734050" cy="552450"/>
            <wp:effectExtent l="0" t="0" r="0" b="0"/>
            <wp:docPr id="5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2" descr=""/>
                    <pic:cNvPicPr>
                      <a:picLocks noChangeAspect="1" noChangeArrowheads="1"/>
                    </pic:cNvPicPr>
                  </pic:nvPicPr>
                  <pic:blipFill>
                    <a:blip r:embed="rId24"/>
                    <a:stretch>
                      <a:fillRect/>
                    </a:stretch>
                  </pic:blipFill>
                  <pic:spPr bwMode="auto">
                    <a:xfrm>
                      <a:off x="0" y="0"/>
                      <a:ext cx="5734050"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3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Houston, Texas 77070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the Unaffiliated Holders (as defined below) of common stock, par value $0.01 per share (the “Company Common Stock”), of NCS Multistage Holdings, Inc., a Delaware corporation (the “Company”), that either (i) elect to receive only Share Election Stock of the Share Consideration Exchange Ratio (as defined below) pursuant to a draft of the Agreement and Plan of Merger (the “Agreement”) proposed to be entered into by and among the Company, Weatherford International plc, an Irish public limited company (“Parent”) and Trinity Bell Sub, Inc., a Delaware corporation and wholly owned subsidiary of Parent (“Merger Sub”) or (ii) make no election and receive only the Share Consideration as provided under the Merger Agreement. The Agreement provides for, among other things, the merger (the “Merger”) of Merger Sub with and into the Company, pursuant to which each outstanding share of Company Common Stock, other than the “Excluded Shares” (as defined in the Agreement), will be converted into the right (subject to pro ration, as more fully set forth in the Agreement) to elect to receive either: (i) cash in an amount equal to 0.1371 multiplied by the price per ordinary share, par value $0.001 per share, of Parent (the “Parent Shares”) on the Nasdaq Global Select on the last complete trading day prior to the date the Merger closes (the “Cash Consideration”), plus 0.2392 shares (the “Mixed Share Consideration”) of Parent Shares (the Cash Consideration, together with the Mixed Share Consideration, the “Mixed Consideration”), or (ii) 0.5537 shares (the “Share Consideration Exchange Ratio”) of Parent Shares (the “Share Election Stock” and, collectively with the Mixed Share Consideration, the “Consideration”). The Agreement further provides that each outstanding share of Company Common Stock for which no election is made will receive only Share Election Stock. The terms and conditions of the Merger are more fully set forth in the Agreement. As used herein, the term “Unaffiliated Holders” shall mean and refer to the holders of shares of Company Common Stock other than each of Advent-NCS Acquisition L.P. and Advent International Corporation (collectively, the “Consenting Stockholders”), and each of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the Agreement dated as of May 31, 2026 marked execution version; (ii) reviewed and analyzed certain financial and other data with respect to the Company and Parent which was publicly available; (iii) reviewed and analyzed certain information, including financial forecasts, relating to the business, earnings, cash flow, assets, liabilities and prospects of the Company that were furnished to us by the Company; (iv) conducted a discounted cash flow analysis of the Company based on Company management’s financial forecast of the Company; (v) conducted discussions with members of senior management and representatives of the Company concerning the matters described in clauses (ii), (iii) and (iv) above; (vi) reviewed the current and historical reported prices and trading activity of Company Common Stock and Parent Shares and similar information for certain other companies deemed by us to be comparable to the Company; (vii) compared the financial performance of the Company with that of certain other publicly traded companies that we deemed relevant; and (viii) reviewed the financial terms, to the extent publicly available, of certain business combination transactions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your direction and with your consent, (i) we have assumed that all Unaffiliated Holders will elect to receive only Share Election Stock or make no election and therefore receive only Share Election Stock, (ii)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assumed that the Consenting Stockholders will elect to receive Mixed Consideration, and (iii) we have further assumed that the Merger will qualify as a tax-free reorganization for United States federal income tax purposes with respect to the Share Election Stock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as to the expected future results of operations and financial condition of the Company, to which such financial forecasts, estimates and other forward-looking information relate. We express no opinion as to any such financial forecasts, estimates or forward-looking information or the assumptions on which they were based. We have relied, with your consent, on the assumptions of the management of the Company, as to all accounting, legal, tax and financial reporting matters with respect to the Company, Parent and the Agreement. We express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as of the dates made or deemed made, in all respects material to our analysis, (ii) each party to the Agreement will fully and timely perform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Parent, the Unaffiliated Holders or the contemplated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Parent, and have not been furnished or provided with any such appraisals or valuations, nor have we evaluated the solvency of the Company or Parent under any state, federal or international law relating to bankruptcy, insolvency or similar matters. The analyses performed by us in connection with this opinion were going concern analyses. We express no opinion regarding the liquidation value of the Company, Parent or any other entity. Without limiting the generality of the foregoing, we have undertaken no independent analysis of any pending or threatened litigation, regulatory action, possible unasserted claims or other contingent liabilities, to which the Company, Parent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party to any material pending transaction, including without limitation any financing, recapitalization, acquisition or merger, divestiture or spin-off, other than the Merger and the redomestication of the Parent to the United States contemplated by the proxy statement filed by Parent with the SEC on April 21,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whether or not related to the Merger, could materially affect the assumptions used in preparing this opinion. We are not expressing any opinion herein as to the price at which shares of Company Common Stock or Parent Shares may trade following announcement of the Merger or at any future time. We have not undertaken to reaffirm or revise this opinion or otherwise comment upon any events occurring after the date hereof and do not have any obligation to update, revise or reaffirm this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Board of Directors of the Company to act as its financial advisor and we will receive a fee from the Company for providing our services, a significant portion of which is contingent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We will also receive a fee for rendering this opinion. Our opinion fee is not contingent upon the consummation of the Merger or the conclusions reached in our opinion. All or a portion of our opinion fee will be credited towards the advisory fee which will become payable upon consummation of the Merger. The Company has also agreed to indemnify us against certain liabilities and reimburse us for certain expenses in connection with our services. Over the past two years, we earned approximately $1.1 million in underwriting fees across three capital markets transactions for Advent International Corporation portfolio companies, consisting entirely of secondary shares sold by Advent International Corporation.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opinion is provided to the Board of Directors of the Company in connection with its consideration of the Merger, and is not intended to be and does not constitute a recommendation to any shareholder of the Company as to how such shareholder should vote or make any election with respect to the Merger or any other matter. Except with respect to the use of this opinion in connection with the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other proxy statement relating to the Merger in accordance with our engagement letter with the Board of Directors of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Unaffiliated Holders (other than Parent and its affiliates, if any) that elect to receive only Share Election Stock at the Share Consideration Exchange Ratio or make no election and therefore receive only Share Election Stock at the Share Consideration Exchange Ratio and does not address any other terms or agreement relating to the Merger or any other terms of the Agreement (including the Mixed Share Consideration). We were not requested to opine as to, and this opinion does not address, the basic business decision to proceed with or effect the Merger, the merits of the Merger relative to any alternative transaction or business strategy that may be available to the Company, Parent’s ability to fund the Cash Consideration, or any other terms contemplated by the Agreement or the fairness of the Merger to any other class of securities, creditor or other constituency of the Company. We express no opinion with respect to the allocation of the Consideration among the holders of the shares of Company Common Stock. Furthermore, we express no opinion with respect to the amount or nature of compensation to any officer, director or employee (or any affiliate thereof) of any party to the Merger, or any class of such persons, relative to the Consideration to be received by holders of shares of Company Common Stock in the Merger or with respect to the fairness of any such compensation, including whether such payments are reasonable in the context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Share Consideration Exchange Ratio is fair, from a financial point of view, to the Unaffiliated Holders (other than Parent and its affiliates, if any) that elect to receive only Share Election Stock or make no election and therefore receive only Share Election Stock, as of the date hereof.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ANF"/>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5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Election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Holders of NCS Multistage Holdings, Inc. Common Stock</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EQ Shareowner Services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1110 Centre Pointe Curve, Suite 101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Mendota Heights, Minnesota 55120</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lineRule="atLeast" w:line="240" w:before="0" w:after="0"/>
              <w:ind w:left="400" w:right="0" w:hanging="0"/>
              <w:jc w:val="left"/>
              <w:rPr/>
            </w:pPr>
            <w:r>
              <w:rPr>
                <w:spacing w:val="4"/>
              </w:rPr>
              <w:t xml:space="preserve">Check here to indicate a permanent address change. </w:t>
            </w:r>
            <w:r>
              <w:rPr/>
              <w:br/>
            </w:r>
            <w:r>
              <w:rPr>
                <w:spacing w:val="4"/>
              </w:rPr>
              <w:t>Please provide any address correction here. Any changes require a Medallion Guarantee stamp.</w:t>
            </w:r>
            <w:r>
              <w:rPr/>
              <w:t xml:space="preserve"> </w:t>
            </w:r>
            <w:r>
              <mc:AlternateContent>
                <mc:Choice Requires="wps">
                  <w:drawing>
                    <wp:anchor behindDoc="0" distT="0" distB="0" distL="0" distR="0" simplePos="0" locked="0" layoutInCell="1" allowOverlap="1" relativeHeight="555">
                      <wp:simplePos x="0" y="0"/>
                      <wp:positionH relativeFrom="column">
                        <wp:align>left</wp:align>
                      </wp:positionH>
                      <wp:positionV relativeFrom="line">
                        <wp:posOffset>635</wp:posOffset>
                      </wp:positionV>
                      <wp:extent cx="254000" cy="350520"/>
                      <wp:effectExtent l="0" t="0" r="0" b="0"/>
                      <wp:wrapSquare wrapText="right"/>
                      <wp:docPr id="541"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440" w:after="283"/>
              <w:ind w:left="400" w:right="0" w:hanging="0"/>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Election Form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Exchange Shares of Common Stock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 CUSIP # 628877201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Merger Consideration,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ELECTION FORM MUST BE RETURNED TO THE EXCHANGE AGENT BY           , EASTERN TIME ON              , THE ELECTION DEADLINE,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Delivery of this Election Form to an address other than as set forth below will not constitute a valid delivery to the Exchange Agent. You must sign this Election Form in the appropriate space provided below, with signature guarantee if required, and complete the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Form W-9 enclosed herein or the appropriate IRS Form W-8,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instructions accompanying this Election Form (the “</w:t>
      </w: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val="false"/>
          <w:i w:val="false"/>
          <w:caps w:val="false"/>
          <w:smallCaps w:val="false"/>
          <w:color w:val="000000"/>
          <w:spacing w:val="4"/>
          <w:sz w:val="20"/>
        </w:rPr>
        <w:t xml:space="preserve">”) should be read carefully before this Election Form is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Election Form is to be used by stockholders if shares are held in book-entry form on the records of the Exchange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Account Balance: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MARK ONLY ONE BOX BELOW TO MAKE YOUR ELECTION </w:t>
            </w:r>
            <w:r>
              <w:rPr/>
              <w:br/>
            </w:r>
            <w:r>
              <w:rPr>
                <w:spacing w:val="4"/>
              </w:rPr>
              <w:t xml:space="preserve">(See Instruction 8)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TO ELECT TO RECEIVE </w:t>
            </w:r>
            <w:r>
              <w:rPr>
                <w:spacing w:val="-4"/>
                <w:u w:val="single"/>
              </w:rPr>
              <w:t>ONLY</w:t>
            </w:r>
            <w:r>
              <w:rPr>
                <w:spacing w:val="-4"/>
              </w:rPr>
              <w:t xml:space="preserve"> WEATHERFORD ORDINARY SHARES FOR YOUR SHARES (SHARE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common stock, par value $0.01 per share, of NCS Multistage Holdings, Inc. (“</w:t>
            </w:r>
            <w:r>
              <w:rPr>
                <w:b/>
                <w:spacing w:val="-4"/>
              </w:rPr>
              <w:t>NCS Common Stock</w:t>
            </w:r>
            <w:r>
              <w:rPr>
                <w:spacing w:val="4"/>
              </w:rPr>
              <w:t>”) that you own a number of ordinary shares, par value $0.001 per share, of Weatherford International plc (“</w:t>
            </w:r>
            <w:r>
              <w:rPr>
                <w:b/>
                <w:spacing w:val="-4"/>
              </w:rPr>
              <w:t>Weatherford Ordinary Shares</w:t>
            </w:r>
            <w:r>
              <w:rPr>
                <w:spacing w:val="4"/>
              </w:rPr>
              <w:t>”) equal to 0.5537 (the “</w:t>
            </w:r>
            <w:r>
              <w:rPr>
                <w:b/>
                <w:spacing w:val="-4"/>
              </w:rPr>
              <w:t>Share Consideration Exchange Ratio</w:t>
            </w:r>
            <w:r>
              <w:rPr>
                <w:spacing w:val="4"/>
              </w:rPr>
              <w:t>”), which is not subject to any cap or proration (such consideration, the “</w:t>
            </w:r>
            <w:r>
              <w:rPr>
                <w:b/>
                <w:spacing w:val="-4"/>
              </w:rPr>
              <w:t>Share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TO ELECT WEATHERFORD ORDINARY SHARES &amp; CASH FOR YOUR SHARES (MIXED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NCS Common Stock that you own a combination of (A) cash in an amount equal to the product of (x) the “</w:t>
            </w:r>
            <w:r>
              <w:rPr>
                <w:b/>
                <w:spacing w:val="-4"/>
              </w:rPr>
              <w:t>Mixed Consideration Cash Exchange Ratio</w:t>
            </w:r>
            <w:r>
              <w:rPr>
                <w:spacing w:val="4"/>
              </w:rPr>
              <w:t>” of 0.1371 and (y) the closing price per Weatherford Ordinary Share on the Nasdaq Global Select Market on the last complete trading day immediately preceding the closing date of the Transaction (as defined in the Instructions), subject to a maximum cash election amount as described in Instruction 10 (such consideration, the “</w:t>
            </w:r>
            <w:r>
              <w:rPr>
                <w:b/>
                <w:spacing w:val="-4"/>
              </w:rPr>
              <w:t>Cash Consideration</w:t>
            </w:r>
            <w:r>
              <w:rPr>
                <w:spacing w:val="4"/>
              </w:rPr>
              <w:t>”); and (B) a number of Weatherford Ordinary Shares equal to the “</w:t>
            </w:r>
            <w:r>
              <w:rPr>
                <w:b/>
                <w:spacing w:val="-4"/>
              </w:rPr>
              <w:t>Mixed Consideration Exchange Ratio</w:t>
            </w:r>
            <w:r>
              <w:rPr>
                <w:spacing w:val="4"/>
              </w:rPr>
              <w:t>” of 0.2392 (the combination of (A) and (B) collectively, the “</w:t>
            </w:r>
            <w:r>
              <w:rPr>
                <w:b/>
                <w:spacing w:val="-4"/>
              </w:rPr>
              <w:t>Mixed Consideration</w:t>
            </w:r>
            <w:r>
              <w:rPr>
                <w:spacing w:val="4"/>
              </w:rPr>
              <w:t>,” and, the Mixed Consideration together with the Share Consideration, each the “</w:t>
            </w:r>
            <w:r>
              <w:rPr>
                <w:b/>
                <w:spacing w:val="-4"/>
              </w:rPr>
              <w:t>Merger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spacing w:val="4"/>
              </w:rPr>
            </w:pPr>
            <w:r>
              <w:rPr>
                <w:spacing w:val="4"/>
              </w:rPr>
              <w:t xml:space="preserve">* * * * * * *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This is an election to receive either solely (i) the Share Consideration for all of your shares of NCS Common Stock or (ii) the Mixed Consideration for all of your shares of NCS Common Stock. You may elect only one form of Merger Consideration for all of the shares of NCS Common Stock that you own. The Mixed Consideration is subject to prorated replacement with the Share Consideration in the event elections to receive Mixed Consideration are oversubscribed, as described further in Instruction 10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If you fail to properly or timely make an election, you will be deemed to have made a Share Election for all of the shares of NCS Common Stock that you own. None of NCS, Weatherford or [      ], the exchange agent, are under any obligation to notify any person of any defect in this or any other Election Form.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40" w:type="dxa"/>
            </w:tcMar>
            <w:vAlign w:val="center"/>
          </w:tcPr>
          <w:p>
            <w:pPr>
              <w:pStyle w:val="TableContents"/>
              <w:bidi w:val="0"/>
              <w:spacing w:before="0" w:after="283"/>
              <w:jc w:val="left"/>
              <w:rPr/>
            </w:pPr>
            <w:r>
              <w:rPr>
                <w:spacing w:val="-4"/>
              </w:rPr>
              <w:t>Because the Share Consideration Exchange Ratio of 0.5537 is greater than the sum of the Mixed Consideration Cash Exchange Ratio of 0.1371 and the Mixed Consideration Exchange Ratio of 0.2392, the aggregate value of the Share Consideration is generally expected to exceed the aggregate value of the Mixed Consideration.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STOCKHOLDER: SIGN HERE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Signature of Registered Holder(s) or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signed by the registered holder(s) exactly as name(s) appear(s) on a security position listing. If signature is by a trustee, executor, administrator, guardian, attorney-in-fact, officer of a corporation or other person acting in a fiduciary or representative capacity, please set forth full title and see Instruction 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of Owner(s) and Capacity, if applicable </w:t>
      </w:r>
    </w:p>
    <w:tbl>
      <w:tblPr>
        <w:tblW w:w="2458" w:type="dxa"/>
        <w:jc w:val="left"/>
        <w:tblInd w:w="1393" w:type="dxa"/>
        <w:tblLayout w:type="fixed"/>
        <w:tblCellMar>
          <w:top w:w="0" w:type="dxa"/>
          <w:left w:w="0" w:type="dxa"/>
          <w:bottom w:w="28"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SPECIAL PAYMENT INSTRUCTIONS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Instructions 1, 4 and 5)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check for the Mixed Consideration is to be issued in the name of someone other than the registered holder.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Issue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(Recipient must complete the enclosed IRS Form W-9 or IRS Form W-8, if applicable.) </w:t>
      </w:r>
    </w:p>
    <w:tbl>
      <w:tblPr>
        <w:tblW w:w="6220" w:type="dxa"/>
        <w:jc w:val="left"/>
        <w:tblInd w:w="1393" w:type="dxa"/>
        <w:tblLayout w:type="fixed"/>
        <w:tblCellMar>
          <w:top w:w="0" w:type="dxa"/>
          <w:left w:w="0" w:type="dxa"/>
          <w:bottom w:w="0" w:type="dxa"/>
          <w:right w:w="0" w:type="dxa"/>
        </w:tblCellMar>
      </w:tblPr>
      <w:tblGrid>
        <w:gridCol w:w="124"/>
        <w:gridCol w:w="109"/>
        <w:gridCol w:w="572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0"/>
              <w:jc w:val="center"/>
              <w:rPr/>
            </w:pPr>
            <w:r>
              <w:rPr>
                <w:spacing w:val="-4"/>
              </w:rPr>
              <w:t xml:space="preserve">GUARANTEE OF SIGNATURE(S) </w:t>
            </w:r>
            <w:r>
              <w:rPr/>
              <w:br/>
            </w:r>
            <w:r>
              <w:rPr>
                <w:spacing w:val="-4"/>
              </w:rPr>
              <w:t xml:space="preserve">(If required — See Instructions 1, 3 and 4) </w:t>
            </w:r>
            <w:r>
              <w:rPr/>
              <w:br/>
            </w:r>
            <w:r>
              <w:rPr>
                <w:spacing w:val="-4"/>
              </w:rPr>
              <w:t xml:space="preserve">APPLY MEDALLION GUARANTEE STAMP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4"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DELIVERY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Mixed Consideration or the Share Consideration is to be sent to someone other than the registered holder or to the registered holder at an address other than that shown on page 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Mail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Agent for the Offer is:</w:t>
      </w:r>
      <w:r>
        <w:rPr>
          <w:rFonts w:ascii="Times New Roman;Times;serif" w:hAnsi="Times New Roman;Times;serif"/>
          <w:b/>
          <w:i/>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Equiniti Trust Company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EQ Shareowner Services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Voluntary Corporate Actions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1110 Centre Pointe Curve, Suite 101</w:t>
      </w:r>
      <w:r>
        <w:rPr>
          <w:rFonts w:ascii="Times New Roman;Times;serif" w:hAnsi="Times New Roman;Times;serif"/>
          <w:b/>
          <w:i/>
          <w:caps w:val="false"/>
          <w:smallCaps w:val="false"/>
          <w:color w:val="000000"/>
          <w:sz w:val="20"/>
        </w:rPr>
        <w:t xml:space="preserve"> </w:t>
        <w:br/>
      </w:r>
      <w:r>
        <w:rPr>
          <w:rFonts w:ascii="Times New Roman;Times;serif" w:hAnsi="Times New Roman;Times;serif"/>
          <w:b/>
          <w:i/>
          <w:caps w:val="false"/>
          <w:smallCaps w:val="false"/>
          <w:color w:val="000000"/>
          <w:spacing w:val="-4"/>
          <w:sz w:val="20"/>
        </w:rPr>
        <w:t>Mendota Heights, Minnesota 55120</w:t>
      </w:r>
      <w:r>
        <w:rPr>
          <w:rFonts w:ascii="Times New Roman;Times;serif" w:hAnsi="Times New Roman;Times;serif"/>
          <w:b/>
          <w:i/>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For additional information please contact our Shareowner Relations Department at 1-800-468-9716.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PLEASE READ THE INSTRUCTIONS SET FORTH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THIS ELECTION FORM CAREFULLY AND IN FULL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In connection with the Transaction, which is described more fully in the definitive information statement/prospectus filed by Weatherford and NCS with the Securities and Exchange Commission on [      ], 2026 (the “</w:t>
      </w:r>
      <w:r>
        <w:rPr>
          <w:rFonts w:ascii="Times New Roman;Times;serif" w:hAnsi="Times New Roman;Times;serif"/>
          <w:b/>
          <w:i w:val="false"/>
          <w:caps w:val="false"/>
          <w:smallCaps w:val="false"/>
          <w:color w:val="000000"/>
          <w:spacing w:val="-4"/>
          <w:sz w:val="20"/>
        </w:rPr>
        <w:t>information statement/prospectus</w:t>
      </w:r>
      <w:r>
        <w:rPr>
          <w:rFonts w:ascii="Times New Roman;Times;serif" w:hAnsi="Times New Roman;Times;serif"/>
          <w:b w:val="false"/>
          <w:i w:val="false"/>
          <w:caps w:val="false"/>
          <w:smallCaps w:val="false"/>
          <w:color w:val="000000"/>
          <w:spacing w:val="4"/>
          <w:sz w:val="20"/>
        </w:rPr>
        <w:t>”), the undersigned hereby surrenders to [      ]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its shares of NCS common stock, par value $0.01 per share (the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and elects to receive in exchange for each such Share either: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144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42"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subject to a maximum cash election amount as described in Instruction 10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each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43"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elect to receive either solely (i) the Share Consideration for all of your shares of NCS Common Stock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the Mixed Consideration for all of your shares of NCS Common Stock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xml:space="preserve">”). You may elect only one form of Merger Consideration for all of the shares of NCS Common Stock that you own. The Mixed Consideration is subject to prorated replacement with the Share Consideration in the event the Mixed Elections are oversubscribed, as described further in Instruction 10 below.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the Merger Agreement, in order to make a timely election, the Exchange Agent must receive the Election Form, properly completed, before 5:00 p.m. New York City time on the date that is five business days prior to the closing date of the Transaction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Election Form may be revoked or changed by an authorized person properly submitting such Election Form by written notice received by the Exchange Agent prior to the Election Deadline accompanied by a properly completed and signed revised Election Form. In the event that your Election Form is revoked prior to the Election Deadline, you will be deemed to have made a Share Election, except to the extent a subsequent election is properly made with respect to all of your shares of NCS Common Stock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completed Election Forms that are received by the Exchange Agent, and are not revoked prior to, the Election Deadline will become irrevocable.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valid, any election must be properly completed and duly executed in accordance with these instructions. No stop transfer instructions may be outstanding against the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or timely make an election, you will be deemed to have made a Share Election for all of the shares of NCS Common Stock that you own. None of NCS, Weatherford or the Exchange Agent are under any obligation to notify any person of any defect in an Election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Weatherford Ordinary Shares will be issued in connection with the Transaction. Each holder of shares of NCS Common Stock converted pursuant to the Transaction who would otherwise have been entitled to receive a fraction of a Weatherford Ordinary Share (after aggregating all shares of NCS Common Stock delivered by such holder) will receive, in lieu thereof and upon surrender thereof, cash (without interest) as described more fully in the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closing of the Transaction and pursuant to the terms of the Merger Agreement, the undersigned hereby surrenders its shares of NCS Common Stock to the Exchange Agent for exchange in accordance with the election made on the accompanying Election Form. The undersigned represents that the undersigned has full authority to surrender without restriction its shares of NCS Common Stock for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FORMING PART OF THE TERMS AND CONDITIONS OF THE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1.   </w:t>
      </w:r>
      <w:r>
        <w:rPr>
          <w:rFonts w:ascii="Times New Roman;Times;serif" w:hAnsi="Times New Roman;Times;serif"/>
          <w:b/>
          <w:i/>
          <w:caps w:val="false"/>
          <w:smallCaps w:val="false"/>
          <w:color w:val="000000"/>
          <w:spacing w:val="-4"/>
          <w:sz w:val="20"/>
        </w:rPr>
        <w:t>Guarantee of Signatures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No signature guarantee is required on the Election Form if the Election Form is signed by the registered holder(s) of shares of NCS Common Stock surrendered herewith, unless such registered holder(s) has completed an address change on Page 1 or the section titled “Special Payment Instructions” on the Election Form. See Instructions 3 and 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caps w:val="false"/>
          <w:smallCaps w:val="false"/>
          <w:color w:val="000000"/>
          <w:spacing w:val="-4"/>
          <w:sz w:val="20"/>
        </w:rPr>
        <w:t>Requirements of Exchange</w:t>
      </w:r>
      <w:r>
        <w:rPr>
          <w:rFonts w:ascii="Times New Roman;Times;serif" w:hAnsi="Times New Roman;Times;serif"/>
          <w:b w:val="false"/>
          <w:i w:val="false"/>
          <w:caps w:val="false"/>
          <w:smallCaps w:val="false"/>
          <w:color w:val="000000"/>
          <w:spacing w:val="4"/>
          <w:sz w:val="20"/>
        </w:rPr>
        <w:t xml:space="preserve">.   The Election Form is to be completed by NCS stockholders seeking to make an election with respect to the Merger Consideration to be received in the Transaction. The Election Form, properly completed and duly executed, with any required signature guarantees, and any other documents required by the Election Form, must be received by the Exchange Agent at one of its addresses set forth herein prior to the Election Deadline.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the Election Form and all other required documents is at the option and the risk of the stockholder surrendering his or her shares of NCS Common Stock and the delivery will be deemed made only when actually received by the Exchange Agent. If delivery of the Election Form is made by mail, it is recommended that such delivery be made by registered mail, properly insured, with return receipt requested. In all cases, sufficient time should be allowed to ensure timely delivery prior to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VALID, YOUR ELECTION FORM MUST BE RECEIVED IN THE OFFICE OF THE EXCHANGE AGENT BY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alternative, conditional or contingent surrender of shares of NCS Common Stock will be accepted, and no fractional Weatherford Ordinary Shares will be issued in exchange for your shares of NCS Common Stock. You will receive cash, as applicable, in lieu of any fractional Weatherford Ordinary Shares that you would otherwise be entitled to receive. All NCS stockholders surrendering their shares of NCS Common Stock, by execution of the Election Form, waive any right to receive any notice of the acceptance of their shares of NCS Common Stock for exchange upon the closing of the Transaction.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caps w:val="false"/>
          <w:smallCaps w:val="false"/>
          <w:color w:val="000000"/>
          <w:spacing w:val="-4"/>
          <w:sz w:val="20"/>
        </w:rPr>
        <w:t>Signatures on Election Form, Stock Powers and Endorsements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shares of NCS Common Stock surrendered hereby are held of record by two or more joint owners, all such owners must sign the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Election Form is signed by a trustee, executor, administrator, guardian, attorney-in-fact, officer of a corporation or other person acting in a fiduciary or representative capacity, such person should so indicate when signing, and proper evidence satisfactory to the Exchange Agent of the authority of such person so to act must be submitted. If the Election Form is signed by the registered holder(s) of the shares of NCS Common Stock listed and transmitted hereby, no endorsements of certificates or separate stock powers are required unless payment is to be made in the name of a person other than the registered holder(s). The section titled “Guarantee of Signature(s)” on the election form needs to be completed only if the check for the Mixed Consideration is to be issued in the name of someone other than the registered holder. A medallion guarantee is a form of signature verification that can be obtained through an eligible financial institution such as a commercial bank, trust company, securities broker/dealer, credit union or savings institution participating in a medallion guarantee program approved by the Securities Transfer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caps w:val="false"/>
          <w:smallCaps w:val="false"/>
          <w:color w:val="000000"/>
          <w:spacing w:val="-4"/>
          <w:sz w:val="20"/>
        </w:rPr>
        <w:t>Special Payment.</w:t>
      </w:r>
      <w:r>
        <w:rPr>
          <w:rFonts w:ascii="Times New Roman;Times;serif" w:hAnsi="Times New Roman;Times;serif"/>
          <w:b w:val="false"/>
          <w:i w:val="false"/>
          <w:caps w:val="false"/>
          <w:smallCaps w:val="false"/>
          <w:color w:val="000000"/>
          <w:spacing w:val="4"/>
          <w:sz w:val="20"/>
        </w:rPr>
        <w:t xml:space="preserve">   If a check for the Mixed Consideration is to be issued in the name of a person other than the signer of the Election Form, the appropriate boxes on the Election Form must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val="false"/>
          <w:i w:val="false"/>
          <w:caps w:val="false"/>
          <w:smallCaps w:val="false"/>
          <w:color w:val="000000"/>
          <w:spacing w:val="4"/>
          <w:sz w:val="20"/>
        </w:rPr>
        <w:t xml:space="preserve">   If Merger Consideration is to be issued (and/or paid) to any person other than the registered holder of shares of NCS Common Stock and any transfer or similar taxes are payable (whether by the registered holder or such person), the undersigned shall pay any such taxes prior to receiving the Merger Consideration and shall provide evidence satisfactory to the Exchange Agent to establish that such tax has been paid or is not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caps w:val="false"/>
          <w:smallCaps w:val="false"/>
          <w:color w:val="000000"/>
          <w:spacing w:val="-4"/>
          <w:sz w:val="20"/>
        </w:rPr>
        <w:t>IRS Form W-9/IRS Form W-8.</w:t>
      </w:r>
      <w:r>
        <w:rPr>
          <w:rFonts w:ascii="Times New Roman;Times;serif" w:hAnsi="Times New Roman;Times;serif"/>
          <w:b w:val="false"/>
          <w:i w:val="false"/>
          <w:caps w:val="false"/>
          <w:smallCaps w:val="false"/>
          <w:color w:val="000000"/>
          <w:spacing w:val="4"/>
          <w:sz w:val="20"/>
        </w:rPr>
        <w:t>   Under U.S. federal income tax law, each holder of shares of NCS Common Stock that is a U.S. holder is required to timely provide a properly completed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Form W-9 that provides the Exchange Agent with such holder’s correct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generally the holder’s social security number or federal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number. If the Exchange Agent is not provided with a U.S. holder’s correct TIN, a certification that such U.S. holder is not subject to backup withholding and other required information and certifications or an adequate basis for an exemption from backup withholding, in each case on a properly completed IRS Form W-9, before payment is made, payments made to such U.S. holder may be subject to backup withholding at the applicable rate (currently 24%), and such U.S. holder may be subject to a $50 penalty imposed by the IRS. Please review the instructions on the enclosed IRS Form W-9 for additional details.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of NCS Common Stock that is not a U.S. holder may establish an exemption from backup withholding by timely providing the Exchange Agent with a properly completed appropriate IRS Form W-8, signed under penalties of perjury, attesting to such holder’s foreign status or by otherwise establishing an exemption. IRS Forms W-8 may be obtained from the Exchange Agent or the IRS website (www.irs.gov).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the enclosed IRS Form W-9 or appropriate IRS Form W-8, as applicable, may require the Exchange Agent to backup withhold at the applicable rate (currently 24%) from any payments made to such holder. Backup withholding is not an additional tax. Rather, the federal income tax liability of persons subject to backup withholding may be reduced by the amount of tax withheld. If backup withholding results in an overpayment of tax, a refund or a credit may be obtained, provided that the required information is timely furnished to the IRS. Each holder of shares of NCS Common Stock should consult its tax advisor regarding qualification for an exemption from backup withholding, the procedure for obtaining an exemption, and the applicable backup withholding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to satisfy any backup withholding requirements that cannot be satisfied from the cash portion of the Mixed Consideration you received in the Transaction, the Exchange Agent may sell a sufficient number of your Weatherford Ordinary Shares obtained in the Transaction in the open market at prevailing market prices. Any excess funds from such sale will be refunded to you as soon as administratively feasible. Such sale of Weatherford Ordinary Shares to satisfy backup withholding tax requirements will be treated as a sale of Weatherford Ordinary Shares in your account and subject to tax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caps w:val="false"/>
          <w:smallCaps w:val="false"/>
          <w:color w:val="000000"/>
          <w:spacing w:val="-4"/>
          <w:sz w:val="20"/>
        </w:rPr>
        <w:t>Conditions to Exchange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closing of the Transaction, and the exchange of the shares of NCS Common Stock, remains subject to the satisfaction of the terms and conditions of the Merger Agreement by the parties thereto, as described in the information statement/prospectus. Weatherford and NCS will publicly announce the closing of the Transaction. NCS Stockholders must surrender their shares of NCS Common Stock after the closing of the Transaction, but may only elect to receive the Mixed Consideration by submitting this Election Form prior to the Election Deadline. If the Transaction does not close, the shares of NCS Common Stock surrendered hereby will be returned to you as soon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caps w:val="false"/>
          <w:smallCaps w:val="false"/>
          <w:color w:val="000000"/>
          <w:spacing w:val="-4"/>
          <w:sz w:val="20"/>
        </w:rPr>
        <w:t>Election Procedure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To properly complete the section titled “Election” on the election form, you must indicate whether you are electing to receive the Share Consideration or the Mixed Consideration for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only check one box in the section titled “Election” on the Election Form. If you check more than one box or no boxes, then you will not be deemed to have made a valid election for your shares of NCS Common Stock. If you fail to make, or are not deemed to have made, a valid election, you will be deemed to have made a Share Election for all of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caps w:val="false"/>
          <w:smallCaps w:val="false"/>
          <w:color w:val="000000"/>
          <w:spacing w:val="-4"/>
          <w:sz w:val="20"/>
        </w:rPr>
        <w:t>Revocation or Change of Election.</w:t>
      </w:r>
      <w:r>
        <w:rPr>
          <w:rFonts w:ascii="Times New Roman;Times;serif" w:hAnsi="Times New Roman;Times;serif"/>
          <w:b w:val="false"/>
          <w:i w:val="false"/>
          <w:caps w:val="false"/>
          <w:smallCaps w:val="false"/>
          <w:color w:val="000000"/>
          <w:spacing w:val="4"/>
          <w:sz w:val="20"/>
        </w:rPr>
        <w:t xml:space="preserve">   You may change or withdraw your election by sending a properly completed, later dated Election Form, together with any other documents required herein, to the Exchange Agent, which will be effective if received by the Exchange Agent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The Mixed Consideration is subject to prorated replacement with the Share Consideration in the event the Mixed Elections are oversubscribed such that the aggregate amount of shares of NCS Common Stock with respect to which a Mixed Election has been properly made and not properly changed or revoked (the “</w:t>
      </w:r>
      <w:r>
        <w:rPr>
          <w:rFonts w:ascii="Times New Roman;Times;serif" w:hAnsi="Times New Roman;Times;serif"/>
          <w:b/>
          <w:i w:val="false"/>
          <w:caps w:val="false"/>
          <w:smallCaps w:val="false"/>
          <w:color w:val="000000"/>
          <w:spacing w:val="-4"/>
          <w:sz w:val="20"/>
        </w:rPr>
        <w:t>Mixed Election Shares</w:t>
      </w:r>
      <w:r>
        <w:rPr>
          <w:rFonts w:ascii="Times New Roman;Times;serif" w:hAnsi="Times New Roman;Times;serif"/>
          <w:b w:val="false"/>
          <w:i w:val="false"/>
          <w:caps w:val="false"/>
          <w:smallCaps w:val="false"/>
          <w:color w:val="000000"/>
          <w:spacing w:val="4"/>
          <w:sz w:val="20"/>
        </w:rPr>
        <w:t>” multiplied by the Cash Consideration elected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exceeds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xml:space="preserve">,” as defined in the Merger Agreement. In such event, each holder of shares of NCS Common Stock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Please refer to the information statement/prospectus for additional information regarding the prorated replacement of Mixed Consideration with Share Consideration.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Weatherford International Ltd., an indirect, wholly owned subsidiary of Weatherford,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Irish law, Weatherford has also taken out directors’ and officers’ liability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9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901"/>
        <w:gridCol w:w="109"/>
        <w:gridCol w:w="109"/>
        <w:gridCol w:w="7538"/>
        <w:gridCol w:w="155"/>
      </w:tblGrid>
      <w:tr>
        <w:trPr/>
        <w:tc>
          <w:tcPr>
            <w:tcW w:w="901" w:type="dxa"/>
            <w:tcBorders>
              <w:bottom w:val="single" w:sz="2" w:space="0" w:color="000000"/>
            </w:tcBorders>
            <w:vAlign w:val="center"/>
          </w:tcPr>
          <w:p>
            <w:pPr>
              <w:pStyle w:val="TableContents"/>
              <w:bidi w:val="0"/>
              <w:spacing w:before="0" w:after="283"/>
              <w:jc w:val="left"/>
              <w:rPr/>
            </w:pPr>
            <w:r>
              <w:rPr>
                <w:spacing w:val="-3"/>
              </w:rPr>
              <w:t>Exhibit</w:t>
            </w:r>
            <w:r>
              <w:rPr/>
              <w:t xml:space="preserve"> </w:t>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38"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"https://www.sec.gov/Archives/edgar/data/1603923/000110465926080770/tm2619101-1_s4.htm" \l "tANA"</w:instrText>
            </w:r>
            <w:r>
              <w:rPr>
                <w:rStyle w:val="InternetLink"/>
                <w:spacing w:val="4"/>
              </w:rPr>
              <w:fldChar w:fldCharType="separate"/>
            </w:r>
            <w:r>
              <w:rPr>
                <w:rStyle w:val="InternetLink"/>
                <w:spacing w:val="4"/>
              </w:rPr>
              <w:t>Agreement and Plan of Merger, dated May 31, 2026, by and among Weatherford International plc, NCS Multistage Holdings, Inc., and Trinity Bell Sub, Inc. (attached as Annex A to the information statement/prospectus that is part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4_ex5-1.htm">
              <w:r>
                <w:rPr>
                  <w:rStyle w:val="InternetLink"/>
                  <w:spacing w:val="4"/>
                </w:rPr>
                <w:t>Opinion of Matheson LLP regarding legality of the Weatherford International plc ordinary shares being registered pursuant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8.1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4_ex8-1.htm">
              <w:r>
                <w:rPr>
                  <w:rStyle w:val="InternetLink"/>
                  <w:spacing w:val="4"/>
                </w:rPr>
                <w:t>Opinion of Baker Botts L.L.P. regarding certain U.S. federal income tax consequences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"https://www.sec.gov/Archives/edgar/data/1603923/000110465926080770/tm2619101-1_s4.htm" \l "tANB"</w:instrText>
            </w:r>
            <w:r>
              <w:rPr>
                <w:rStyle w:val="InternetLink"/>
                <w:spacing w:val="4"/>
              </w:rPr>
              <w:fldChar w:fldCharType="separate"/>
            </w:r>
            <w:r>
              <w:rPr>
                <w:rStyle w:val="InternetLink"/>
                <w:spacing w:val="4"/>
              </w:rPr>
              <w:t>Support Agreement, dated May 31, 2026, by and among Weatherford International plc, NCS Multistage Holdings, Inc., and Advent-NCS Acquisition L.P. (attached as Annex B to the information statement/prospectus that is part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4_ex5-1.htm">
              <w:r>
                <w:rPr>
                  <w:rStyle w:val="InternetLink"/>
                  <w:spacing w:val="4"/>
                </w:rPr>
                <w:t>Consent of Matheson LLP (included in Exhibit 5.1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4_ex8-1.htm">
              <w:r>
                <w:rPr>
                  <w:rStyle w:val="InternetLink"/>
                  <w:spacing w:val="4"/>
                </w:rPr>
                <w:t>Consent of Baker Botts L.L.P. (included in Exhibit 8.1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25">
              <w:r>
                <w:rPr>
                  <w:rStyle w:val="InternetLink"/>
                  <w:spacing w:val="4"/>
                </w:rPr>
                <w:t>Consent of KPMG LLP, independent registered public accounting firm for Weatherford International plc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4_ex23-4.htm">
              <w:r>
                <w:rPr>
                  <w:rStyle w:val="InternetLink"/>
                  <w:spacing w:val="4"/>
                </w:rPr>
                <w:t xml:space="preserve">Consent of Grant Thornton LLP, independent registered public accounting firm of NCS Multistage Holdings,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"https://www.sec.gov/Archives/edgar/data/1603923/000110465926080770/tm2619101-1_s4.htm" \l "tSIG"</w:instrText>
            </w:r>
            <w:r>
              <w:rPr>
                <w:rStyle w:val="InternetLink"/>
              </w:rPr>
              <w:fldChar w:fldCharType="separate"/>
            </w:r>
            <w:r>
              <w:rPr>
                <w:rStyle w:val="InternetLink"/>
              </w:rPr>
              <w:t>Power of Attorney (incorporated by reference from the signature page to the Form S-4 filed by Weatherford International plc on July 6, 2026)</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99.1*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26">
              <w:r>
                <w:rPr>
                  <w:rStyle w:val="InternetLink"/>
                  <w:spacing w:val="4"/>
                </w:rPr>
                <w:t>Consent of Piper Sandler &amp; Co, financial advisor to NCS Multistage Holdings,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99.2*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"https://www.sec.gov/Archives/edgar/data/1603923/000110465926080770/tm2619101-1_s4.htm" \l "tANF"</w:instrText>
            </w:r>
            <w:r>
              <w:rPr>
                <w:rStyle w:val="InternetLink"/>
                <w:spacing w:val="4"/>
              </w:rPr>
              <w:fldChar w:fldCharType="separate"/>
            </w:r>
            <w:r>
              <w:rPr>
                <w:rStyle w:val="InternetLink"/>
                <w:spacing w:val="4"/>
              </w:rPr>
              <w:t>Form of Election for Holders of NCS Multistage Holdings, Inc. Common Stock (attached as Annex F to the information statement/prospectus that is part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27">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annexes, schedules, and/or exhibits have been omitted pursuant to Item 601(a)(5), Item 601(b)(2), or Item 601(b)(10)(iv) of Regulation S-K. Weatherford agrees to furnish supplementally a copy of any omitted attachment to the SEC upon request. </w:t>
      </w:r>
      <w:r>
        <mc:AlternateContent>
          <mc:Choice Requires="wps">
            <w:drawing>
              <wp:anchor behindDoc="0" distT="101600" distB="0" distL="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44"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50800" distB="0" distL="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45"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file, during any period in which offers or sales are being made, a post-effective amendment to this Registration Statement: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That, for the purpose of determining liability of the undersigned registrant under the Securities Act to any purchaser in the initial distribution of the securities, the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registrant or used or referred to by the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registrant or its securities provided by or on behalf of the registrant;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that every prospectus (i) that is filed pursuant to the immediately preceding paragraph,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undersigned registrant pursuant to the foregoing provisions, the registrant has been informed that in the opinion of the SEC such indemnification is against public policy as expressed in the Securities Act and is, therefore, unenforceable. In the event that a claim for indemnification against such liabilities (other than the payment by the undersigned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Registration Statement to be signed on its behalf by the undersigned, thereunto duly authorized, in Houston, Texas, on July 17,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Scott C. Weatherholt </w:t>
      </w:r>
      <w:r>
        <mc:AlternateContent>
          <mc:Choice Requires="wps">
            <w:drawing>
              <wp:anchor behindDoc="0" distT="304800" distB="0" distL="0" distR="0" simplePos="0" locked="0" layoutInCell="1" allowOverlap="1" relativeHeight="560">
                <wp:simplePos x="0" y="0"/>
                <wp:positionH relativeFrom="column">
                  <wp:align>left</wp:align>
                </wp:positionH>
                <wp:positionV relativeFrom="line">
                  <wp:align>top</wp:align>
                </wp:positionV>
                <wp:extent cx="254000" cy="525780"/>
                <wp:effectExtent l="0" t="0" r="0" b="0"/>
                <wp:wrapSquare wrapText="right"/>
                <wp:docPr id="546" name="Frame5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5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Scott C. Weatherholt </w:t>
      </w:r>
      <w:r>
        <mc:AlternateContent>
          <mc:Choice Requires="wps">
            <w:drawing>
              <wp:anchor behindDoc="0" distT="50800" distB="0" distL="254000" distR="0" simplePos="0" locked="0" layoutInCell="1" allowOverlap="1" relativeHeight="561">
                <wp:simplePos x="0" y="0"/>
                <wp:positionH relativeFrom="column">
                  <wp:align>left</wp:align>
                </wp:positionH>
                <wp:positionV relativeFrom="line">
                  <wp:align>top</wp:align>
                </wp:positionV>
                <wp:extent cx="457200" cy="350520"/>
                <wp:effectExtent l="0" t="0" r="0" b="0"/>
                <wp:wrapSquare wrapText="right"/>
                <wp:docPr id="547" name="Frame54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5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Executive Vice President, General Counsel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and Chief Compliance Officer</w:t>
      </w:r>
      <w:r>
        <mc:AlternateContent>
          <mc:Choice Requires="wps">
            <w:drawing>
              <wp:anchor behindDoc="0" distT="0" distB="0" distL="254000" distR="0" simplePos="0" locked="0" layoutInCell="1" allowOverlap="1" relativeHeight="562">
                <wp:simplePos x="0" y="0"/>
                <wp:positionH relativeFrom="column">
                  <wp:align>left</wp:align>
                </wp:positionH>
                <wp:positionV relativeFrom="line">
                  <wp:posOffset>635</wp:posOffset>
                </wp:positionV>
                <wp:extent cx="457200" cy="350520"/>
                <wp:effectExtent l="0" t="0" r="0" b="0"/>
                <wp:wrapSquare wrapText="right"/>
                <wp:docPr id="548" name="Frame54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157"/>
        <w:gridCol w:w="109"/>
        <w:gridCol w:w="109"/>
        <w:gridCol w:w="4906"/>
        <w:gridCol w:w="109"/>
        <w:gridCol w:w="109"/>
        <w:gridCol w:w="103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57" w:type="dxa"/>
            <w:tcBorders>
              <w:bottom w:val="single" w:sz="2" w:space="0" w:color="000000"/>
            </w:tcBorders>
            <w:tcMar>
              <w:bottom w:w="50" w:type="dxa"/>
            </w:tcMar>
            <w:vAlign w:val="center"/>
          </w:tcPr>
          <w:p>
            <w:pPr>
              <w:pStyle w:val="TableContents"/>
              <w:bidi w:val="0"/>
              <w:spacing w:before="0" w:after="0"/>
              <w:jc w:val="center"/>
              <w:rPr/>
            </w:pPr>
            <w:r>
              <w:rPr>
                <w:spacing w:val="-3"/>
              </w:rPr>
              <w:t>Signatures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06" w:type="dxa"/>
            <w:tcBorders>
              <w:bottom w:val="single" w:sz="2" w:space="0" w:color="000000"/>
            </w:tcBorders>
            <w:tcMar>
              <w:bottom w:w="50" w:type="dxa"/>
            </w:tcMar>
            <w:vAlign w:val="center"/>
          </w:tcPr>
          <w:p>
            <w:pPr>
              <w:pStyle w:val="TableContents"/>
              <w:bidi w:val="0"/>
              <w:spacing w:before="0" w:after="0"/>
              <w:jc w:val="center"/>
              <w:rPr/>
            </w:pPr>
            <w:r>
              <w:rPr>
                <w:spacing w:val="-3"/>
              </w:rPr>
              <w:t>Title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tcBorders>
              <w:bottom w:val="single" w:sz="2" w:space="0" w:color="000000"/>
            </w:tcBorders>
            <w:tcMar>
              <w:bottom w:w="50" w:type="dxa"/>
            </w:tcMar>
            <w:vAlign w:val="center"/>
          </w:tcPr>
          <w:p>
            <w:pPr>
              <w:pStyle w:val="TableContents"/>
              <w:bidi w:val="0"/>
              <w:spacing w:before="0" w:after="0"/>
              <w:jc w:val="center"/>
              <w:rPr/>
            </w:pPr>
            <w:r>
              <w:rPr>
                <w:spacing w:val="-3"/>
              </w:rPr>
              <w:t>Date</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Girishchandra K. Saligram</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bottom w:w="0" w:type="dxa"/>
            </w:tcMar>
            <w:vAlign w:val="center"/>
          </w:tcPr>
          <w:p>
            <w:pPr>
              <w:pStyle w:val="TableContents"/>
              <w:bidi w:val="0"/>
              <w:spacing w:before="0" w:after="283"/>
              <w:jc w:val="left"/>
              <w:rPr/>
            </w:pPr>
            <w:r>
              <w:rPr>
                <w:spacing w:val="4"/>
              </w:rPr>
              <w:t>President, Chief Executive Officer and Director (Principal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bottom w:w="0"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Anuj Dhruv</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Executive Vice President and Chief Financial Officer (Principal Financial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Desmond J. Mills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Senior Vice President and Chief Accounting Officer (Principal Accounting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Charles M. Sledge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Chairman of the Board and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Steven Beringhause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Benjamin C. Duster IV</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Neal P. Goldman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7"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Jacqueline Mutschler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06" w:type="dxa"/>
            <w:tcBorders/>
            <w:tcMar>
              <w:top w:w="28" w:type="dxa"/>
              <w:left w:w="28" w:type="dxa"/>
              <w:right w:w="28"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3" w:type="dxa"/>
            <w:tcBorders/>
            <w:tcMar>
              <w:top w:w="28" w:type="dxa"/>
              <w:left w:w="28" w:type="dxa"/>
              <w:right w:w="28" w:type="dxa"/>
            </w:tcMar>
            <w:vAlign w:val="center"/>
          </w:tcPr>
          <w:p>
            <w:pPr>
              <w:pStyle w:val="TableContents"/>
              <w:bidi w:val="0"/>
              <w:spacing w:before="0" w:after="0"/>
              <w:jc w:val="center"/>
              <w:rPr/>
            </w:pPr>
            <w:r>
              <w:rPr>
                <w:spacing w:val="4"/>
              </w:rPr>
              <w:t>July 17,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Scott C. Weatherholt, by signing his name hereto, does hereby sign this Registration Statement on behalf of the directors and officers of the Registrant above in front of whose name asterisks appear, pursuant to powers of attorney duly executed by such directors and officers and filed with the U.S. Securities and Exchange Commission. </w:t>
      </w:r>
    </w:p>
    <w:tbl>
      <w:tblPr>
        <w:tblW w:w="6887" w:type="dxa"/>
        <w:jc w:val="left"/>
        <w:tblInd w:w="1393" w:type="dxa"/>
        <w:tblLayout w:type="fixed"/>
        <w:tblCellMar>
          <w:top w:w="0" w:type="dxa"/>
          <w:left w:w="0" w:type="dxa"/>
          <w:bottom w:w="0" w:type="dxa"/>
          <w:right w:w="0" w:type="dxa"/>
        </w:tblCellMar>
      </w:tblPr>
      <w:tblGrid>
        <w:gridCol w:w="124"/>
        <w:gridCol w:w="2884"/>
        <w:gridCol w:w="109"/>
        <w:gridCol w:w="109"/>
        <w:gridCol w:w="1801"/>
        <w:gridCol w:w="109"/>
        <w:gridCol w:w="109"/>
        <w:gridCol w:w="1488"/>
        <w:gridCol w:w="154"/>
      </w:tblGrid>
      <w:tr>
        <w:trPr/>
        <w:tc>
          <w:tcPr>
            <w:tcW w:w="124" w:type="dxa"/>
            <w:tcBorders/>
            <w:vAlign w:val="center"/>
          </w:tcPr>
          <w:p>
            <w:pPr>
              <w:pStyle w:val="TableContents"/>
              <w:bidi w:val="0"/>
              <w:spacing w:before="0" w:after="283"/>
              <w:jc w:val="left"/>
              <w:rPr/>
            </w:pPr>
            <w:r>
              <w:rPr/>
              <w:t>​</w:t>
            </w:r>
          </w:p>
        </w:tc>
        <w:tc>
          <w:tcPr>
            <w:tcW w:w="2884" w:type="dxa"/>
            <w:tcBorders/>
            <w:vAlign w:val="center"/>
          </w:tcPr>
          <w:p>
            <w:pPr>
              <w:pStyle w:val="TableContents"/>
              <w:bidi w:val="0"/>
              <w:spacing w:before="0" w:after="0"/>
              <w:ind w:left="0" w:right="0" w:hanging="0"/>
              <w:jc w:val="left"/>
              <w:rPr/>
            </w:pPr>
            <w:r>
              <w:rPr/>
              <w:t>​</w:t>
            </w:r>
          </w:p>
          <w:p>
            <w:pPr>
              <w:pStyle w:val="TableContents"/>
              <w:bidi w:val="0"/>
              <w:spacing w:lineRule="atLeast" w:line="200" w:before="0" w:after="0"/>
              <w:ind w:left="400" w:right="0" w:hanging="0"/>
              <w:jc w:val="left"/>
              <w:rPr/>
            </w:pPr>
            <w:r>
              <w:rPr>
                <w:spacing w:val="4"/>
              </w:rPr>
              <w:t>/s/ Scott C. Weatherholt</w:t>
            </w:r>
            <w:r>
              <w:rPr/>
              <w:t xml:space="preserve"> </w:t>
            </w:r>
            <w:r>
              <mc:AlternateContent>
                <mc:Choice Requires="wps">
                  <w:drawing>
                    <wp:anchor behindDoc="0" distT="0" distB="0" distL="0" distR="0" simplePos="0" locked="0" layoutInCell="1" allowOverlap="1" relativeHeight="563">
                      <wp:simplePos x="0" y="0"/>
                      <wp:positionH relativeFrom="column">
                        <wp:align>left</wp:align>
                      </wp:positionH>
                      <wp:positionV relativeFrom="line">
                        <wp:posOffset>635</wp:posOffset>
                      </wp:positionV>
                      <wp:extent cx="254000" cy="525780"/>
                      <wp:effectExtent l="0" t="0" r="0" b="0"/>
                      <wp:wrapSquare wrapText="right"/>
                      <wp:docPr id="549" name="Frame5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Scott C. Weatherholt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1" w:type="dxa"/>
            <w:tcBorders/>
            <w:tcMar>
              <w:top w:w="28" w:type="dxa"/>
              <w:left w:w="28" w:type="dxa"/>
              <w:bottom w:w="28" w:type="dxa"/>
              <w:right w:w="28" w:type="dxa"/>
            </w:tcMar>
            <w:vAlign w:val="center"/>
          </w:tcPr>
          <w:p>
            <w:pPr>
              <w:pStyle w:val="TableContents"/>
              <w:bidi w:val="0"/>
              <w:spacing w:before="0" w:after="283"/>
              <w:jc w:val="left"/>
              <w:rPr/>
            </w:pPr>
            <w:r>
              <w:rPr>
                <w:spacing w:val="4"/>
              </w:rPr>
              <w:t>Attorney-in-Fact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8" w:type="dxa"/>
            <w:tcBorders/>
            <w:tcMar>
              <w:top w:w="28" w:type="dxa"/>
              <w:left w:w="28" w:type="dxa"/>
              <w:bottom w:w="28" w:type="dxa"/>
              <w:right w:w="28" w:type="dxa"/>
            </w:tcMar>
            <w:vAlign w:val="center"/>
          </w:tcPr>
          <w:p>
            <w:pPr>
              <w:pStyle w:val="TableContents"/>
              <w:bidi w:val="0"/>
              <w:spacing w:before="0" w:after="0"/>
              <w:jc w:val="center"/>
              <w:rPr/>
            </w:pPr>
            <w:r>
              <w:rPr>
                <w:spacing w:val="4"/>
              </w:rPr>
              <w:t>July 17,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166" w:name="tm2619101d4_ex5-1.htm"/>
      <w:bookmarkStart w:id="167" w:name="kstm2619101d4_ex51"/>
      <w:bookmarkEnd w:id="166"/>
      <w:bookmarkEnd w:id="167"/>
      <w:r>
        <w:rPr>
          <w:b/>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286250" cy="1552575"/>
            <wp:effectExtent l="0" t="0" r="0" b="0"/>
            <wp:docPr id="5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 descr=""/>
                    <pic:cNvPicPr>
                      <a:picLocks noChangeAspect="1" noChangeArrowheads="1"/>
                    </pic:cNvPicPr>
                  </pic:nvPicPr>
                  <pic:blipFill>
                    <a:blip r:embed="rId28"/>
                    <a:stretch>
                      <a:fillRect/>
                    </a:stretch>
                  </pic:blipFill>
                  <pic:spPr bwMode="auto">
                    <a:xfrm>
                      <a:off x="0" y="0"/>
                      <a:ext cx="4286250" cy="1552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Weatherford International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Sir John Rogerson's Quay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2, D02R296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030"/>
        <w:gridCol w:w="1100"/>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ref</w:t>
            </w:r>
          </w:p>
        </w:tc>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 July 2026</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FB/GB/AON/661725-69</w:t>
            </w:r>
          </w:p>
        </w:tc>
        <w:tc>
          <w:tcPr>
            <w:tcW w:w="110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S-4 of Weatherford International plc</w:t>
      </w:r>
    </w:p>
    <w:p>
      <w:pPr>
        <w:pStyle w:val="TextBody"/>
        <w:bidi w:val="0"/>
        <w:spacing w:before="0" w:after="0"/>
        <w:ind w:left="0" w:right="0" w:hanging="0"/>
        <w:jc w:val="left"/>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4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325" w:type="dxa"/>
            <w:tcBorders/>
            <w:vAlign w:val="center"/>
          </w:tcPr>
          <w:p>
            <w:pPr>
              <w:pStyle w:val="TableContents"/>
              <w:bidi w:val="0"/>
              <w:spacing w:before="0" w:after="283"/>
              <w:jc w:val="both"/>
              <w:rPr>
                <w:b/>
              </w:rPr>
            </w:pPr>
            <w:r>
              <w:rPr>
                <w:b/>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 as legal advisers to Weatherford International plc, a public limited company incorporated under the laws of Ireland with company number 540406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has asked us to give this Opinion as to certain matters of Irish law in connection with the filing by the Company, on the date hereof, of a registration statement on Form S-4 (File No.: 333-297275)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the Company proposes to register up to 680,104 ordinary shares of US$0.001 each (nominal value) in the capital of the Company (such number of ordinary shares, the “</w:t>
      </w:r>
      <w:r>
        <w:rPr>
          <w:rFonts w:ascii="Times New Roman;Times;Serif" w:hAnsi="Times New Roman;Times;Serif"/>
          <w:b/>
          <w:i w:val="false"/>
          <w:caps w:val="false"/>
          <w:smallCaps w:val="false"/>
          <w:sz w:val="20"/>
        </w:rPr>
        <w:t>Merger Shares</w:t>
      </w:r>
      <w:r>
        <w:rPr>
          <w:rFonts w:ascii="Times New Roman;Times;Serif" w:hAnsi="Times New Roman;Times;Serif"/>
          <w:b w:val="false"/>
          <w:i w:val="false"/>
          <w:caps w:val="false"/>
          <w:smallCaps w:val="false"/>
          <w:sz w:val="20"/>
        </w:rPr>
        <w:t>”) that may be issued as merger consideration upon the terms and conditions of a State of Delaware law governed merger agreement dated 31 May 2026 made by and among the Company, Trinity Bell Sub, Inc. and NCS Multistage Holdings, Inc.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4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700" w:type="dxa"/>
            <w:tcBorders/>
            <w:vAlign w:val="center"/>
          </w:tcPr>
          <w:p>
            <w:pPr>
              <w:pStyle w:val="TableContents"/>
              <w:bidi w:val="0"/>
              <w:spacing w:before="0" w:after="283"/>
              <w:jc w:val="both"/>
              <w:rPr>
                <w:b/>
              </w:rPr>
            </w:pPr>
            <w:r>
              <w:rPr>
                <w:b/>
              </w:rPr>
              <w:t>Basis of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giving this Opinion, we have examined the documents and have conducted the searches listed in Schedule 1 </w:t>
      </w:r>
      <w:r>
        <w:rPr>
          <w:rFonts w:ascii="Times New Roman;Times;Serif" w:hAnsi="Times New Roman;Times;Serif"/>
          <w:b w:val="false"/>
          <w:i/>
          <w:caps w:val="false"/>
          <w:smallCaps w:val="false"/>
          <w:sz w:val="20"/>
        </w:rPr>
        <w:t>(Documents and Searches)</w:t>
      </w:r>
      <w:r>
        <w:rPr>
          <w:rFonts w:ascii="Times New Roman;Times;Serif" w:hAnsi="Times New Roman;Times;Serif"/>
          <w:b w:val="false"/>
          <w:i w:val="false"/>
          <w:caps w:val="false"/>
          <w:smallCaps w:val="false"/>
          <w:sz w:val="20"/>
        </w:rPr>
        <w:t xml:space="preserve"> to this Opinion, together with such other materials as we have considered necessary or relevant as a basis for the opinions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2019300"/>
            <wp:effectExtent l="0" t="0" r="0" b="0"/>
            <wp:docPr id="5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4" descr=""/>
                    <pic:cNvPicPr>
                      <a:picLocks noChangeAspect="1" noChangeArrowheads="1"/>
                    </pic:cNvPicPr>
                  </pic:nvPicPr>
                  <pic:blipFill>
                    <a:blip r:embed="rId29"/>
                    <a:stretch>
                      <a:fillRect/>
                    </a:stretch>
                  </pic:blipFill>
                  <pic:spPr bwMode="auto">
                    <a:xfrm>
                      <a:off x="0" y="0"/>
                      <a:ext cx="8096250" cy="2019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5" descr=""/>
                    <pic:cNvPicPr>
                      <a:picLocks noChangeAspect="1" noChangeArrowheads="1"/>
                    </pic:cNvPicPr>
                  </pic:nvPicPr>
                  <pic:blipFill>
                    <a:blip r:embed="rId30"/>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is strictly limited to the matters expressly stated under Section 3 </w:t>
      </w:r>
      <w:r>
        <w:rPr>
          <w:rFonts w:ascii="Times New Roman;Times;Serif" w:hAnsi="Times New Roman;Times;Serif"/>
          <w:b w:val="false"/>
          <w:i/>
          <w:caps w:val="false"/>
          <w:smallCaps w:val="false"/>
          <w:sz w:val="20"/>
        </w:rPr>
        <w:t>(Opinions)</w:t>
      </w:r>
      <w:r>
        <w:rPr>
          <w:rFonts w:ascii="Times New Roman;Times;Serif" w:hAnsi="Times New Roman;Times;Serif"/>
          <w:b w:val="false"/>
          <w:i w:val="false"/>
          <w:caps w:val="false"/>
          <w:smallCaps w:val="false"/>
          <w:sz w:val="20"/>
        </w:rPr>
        <w:t>,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and make no representation or warranty as to any matter of fact. 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or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expressed as of the date hereof and we assume no obligation to update the opinions contained herein.</w:t>
      </w:r>
    </w:p>
    <w:p>
      <w:pPr>
        <w:pStyle w:val="TextBody"/>
        <w:bidi w:val="0"/>
        <w:spacing w:before="0" w:after="0"/>
        <w:ind w:left="0" w:right="0" w:hanging="0"/>
        <w:jc w:val="left"/>
        <w:rPr>
          <w:caps w:val="false"/>
          <w:smallCaps w:val="false"/>
        </w:rPr>
      </w:pPr>
      <w:r>
        <w:rPr>
          <w:caps w:val="false"/>
          <w:smallCaps w:val="false"/>
        </w:rPr>
        <w:t> </w:t>
      </w:r>
    </w:p>
    <w:tbl>
      <w:tblPr>
        <w:tblW w:w="1128" w:type="dxa"/>
        <w:jc w:val="left"/>
        <w:tblInd w:w="0" w:type="dxa"/>
        <w:tblLayout w:type="fixed"/>
        <w:tblCellMar>
          <w:top w:w="0" w:type="dxa"/>
          <w:left w:w="0" w:type="dxa"/>
          <w:bottom w:w="0" w:type="dxa"/>
          <w:right w:w="0" w:type="dxa"/>
        </w:tblCellMar>
      </w:tblPr>
      <w:tblGrid>
        <w:gridCol w:w="38"/>
        <w:gridCol w:w="14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0" w:type="dxa"/>
            <w:tcBorders/>
            <w:vAlign w:val="center"/>
          </w:tcPr>
          <w:p>
            <w:pPr>
              <w:pStyle w:val="TableContents"/>
              <w:bidi w:val="0"/>
              <w:spacing w:before="0" w:after="283"/>
              <w:jc w:val="both"/>
              <w:rPr>
                <w:b/>
              </w:rPr>
            </w:pPr>
            <w:r>
              <w:rPr>
                <w:b/>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upon, and subject to, the foregoing and the assumptions, qualifications and limitations set out in Schedule 2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xml:space="preserve">, Schedule 3 </w:t>
      </w:r>
      <w:r>
        <w:rPr>
          <w:rFonts w:ascii="Times New Roman;Times;Serif" w:hAnsi="Times New Roman;Times;Serif"/>
          <w:b w:val="false"/>
          <w:i/>
          <w:caps w:val="false"/>
          <w:smallCaps w:val="false"/>
          <w:sz w:val="20"/>
        </w:rPr>
        <w:t>(Qualifications)</w:t>
      </w:r>
      <w:r>
        <w:rPr>
          <w:rFonts w:ascii="Times New Roman;Times;Serif" w:hAnsi="Times New Roman;Times;Serif"/>
          <w:b w:val="false"/>
          <w:i w:val="false"/>
          <w:caps w:val="false"/>
          <w:smallCaps w:val="false"/>
          <w:sz w:val="20"/>
        </w:rPr>
        <w:t xml:space="preserve"> and elsewhere in this Opinion, we are of the following opinion: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The Merger Shares, when allotted and issued in accordance with the terms and conditions of the Merger Agreement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b/>
              </w:rPr>
              <w:t>Non-assessable</w:t>
            </w:r>
            <w:r>
              <w:rPr/>
              <w:t>” is a phrase which has no defined meaning under Irish law, but, for the purposes of this Opinion, means the registered holders of the Merger Shares will not be subject, solely by virtue of their shareholdings, to calls for additional payments of capital on such shares. As a matter of Irish law, a share in an Irish incorporated company is only issued when it has been entered in the register of members of the relevant company.</w:t>
            </w:r>
          </w:p>
        </w:tc>
      </w:tr>
    </w:tbl>
    <w:p>
      <w:pPr>
        <w:pStyle w:val="TextBody"/>
        <w:bidi w:val="0"/>
        <w:spacing w:before="0" w:after="0"/>
        <w:ind w:left="0" w:right="0" w:hanging="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4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05" w:type="dxa"/>
            <w:tcBorders/>
            <w:vAlign w:val="center"/>
          </w:tcPr>
          <w:p>
            <w:pPr>
              <w:pStyle w:val="TableContents"/>
              <w:bidi w:val="0"/>
              <w:spacing w:before="0" w:after="283"/>
              <w:jc w:val="both"/>
              <w:rPr>
                <w:b/>
              </w:rPr>
            </w:pPr>
            <w:r>
              <w:rPr>
                <w:b/>
              </w:rPr>
              <w:t>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6" descr=""/>
                    <pic:cNvPicPr>
                      <a:picLocks noChangeAspect="1" noChangeArrowheads="1"/>
                    </pic:cNvPicPr>
                  </pic:nvPicPr>
                  <pic:blipFill>
                    <a:blip r:embed="rId31"/>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14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75" w:type="dxa"/>
            <w:tcBorders/>
            <w:vAlign w:val="center"/>
          </w:tcPr>
          <w:p>
            <w:pPr>
              <w:pStyle w:val="TableContents"/>
              <w:bidi w:val="0"/>
              <w:spacing w:before="0" w:after="283"/>
              <w:jc w:val="both"/>
              <w:rPr>
                <w:b/>
              </w:rPr>
            </w:pPr>
            <w:r>
              <w:rPr>
                <w:b/>
              </w:rPr>
              <w:t>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references to Matheson LLP under the caption “Legal Matters” in the prospectus forming part of the Registration Statement. In giving such consent, we do not admit that we are included 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4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1640" w:type="dxa"/>
            <w:tcBorders/>
            <w:vAlign w:val="center"/>
          </w:tcPr>
          <w:p>
            <w:pPr>
              <w:pStyle w:val="TableContents"/>
              <w:bidi w:val="0"/>
              <w:spacing w:before="0" w:after="283"/>
              <w:jc w:val="both"/>
              <w:rPr>
                <w:b/>
              </w:rPr>
            </w:pPr>
            <w:r>
              <w:rPr>
                <w:b/>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the opinions contained herein are governed by, and shall be construed in accordance with, the laws of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Matheson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MATHESON LLP</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7" descr=""/>
                    <pic:cNvPicPr>
                      <a:picLocks noChangeAspect="1" noChangeArrowheads="1"/>
                    </pic:cNvPicPr>
                  </pic:nvPicPr>
                  <pic:blipFill>
                    <a:blip r:embed="rId32"/>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and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this Opinion, we have examined the documents and have conducted the searches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both"/>
              <w:rPr/>
            </w:pPr>
            <w:r>
              <w:rPr/>
              <w:t>The final form of the Registration Statement (including the prospectus forming part thereof) to which this Opinion is to be filed as an exhibit.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283"/>
              <w:jc w:val="both"/>
              <w:rPr/>
            </w:pPr>
            <w:r>
              <w:rPr/>
              <w:t>A copy of the Merger Agreement attached as Annex A to the prospectus which forms part of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3.</w:t>
            </w:r>
          </w:p>
        </w:tc>
        <w:tc>
          <w:tcPr>
            <w:tcW w:w="9990" w:type="dxa"/>
            <w:tcBorders/>
            <w:vAlign w:val="center"/>
          </w:tcPr>
          <w:p>
            <w:pPr>
              <w:pStyle w:val="TableContents"/>
              <w:bidi w:val="0"/>
              <w:spacing w:before="0" w:after="283"/>
              <w:jc w:val="both"/>
              <w:rPr/>
            </w:pPr>
            <w:r>
              <w:rPr/>
              <w:t>A copy of the Company’s definitive proxy statement on Schedule 14A (relating to its 2026 annual general meeting) filed with the Commission on 21 April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4.</w:t>
            </w:r>
          </w:p>
        </w:tc>
        <w:tc>
          <w:tcPr>
            <w:tcW w:w="9975" w:type="dxa"/>
            <w:tcBorders/>
            <w:vAlign w:val="center"/>
          </w:tcPr>
          <w:p>
            <w:pPr>
              <w:pStyle w:val="TableContents"/>
              <w:bidi w:val="0"/>
              <w:spacing w:before="0" w:after="283"/>
              <w:jc w:val="both"/>
              <w:rPr/>
            </w:pPr>
            <w:r>
              <w:rPr/>
              <w:t>A certificate issued by the secretary of the Company dated on or about the date hereof (the “</w:t>
            </w:r>
            <w:r>
              <w:rPr>
                <w:b/>
              </w:rPr>
              <w:t>Corporate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283"/>
              <w:jc w:val="both"/>
              <w:rPr/>
            </w:pPr>
            <w:r>
              <w:rPr/>
              <w:t>attaching a copy of each of the following documents certified as being true, complete and correct by the secretary: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6" w:type="dxa"/>
            <w:tcBorders/>
            <w:vAlign w:val="center"/>
          </w:tcPr>
          <w:p>
            <w:pPr>
              <w:pStyle w:val="TableContents"/>
              <w:bidi w:val="0"/>
              <w:spacing w:before="0" w:after="283"/>
              <w:jc w:val="both"/>
              <w:rPr/>
            </w:pPr>
            <w:r>
              <w:rPr/>
              <w:t>the Company’s certificate of incorporation dated 3 March 2014, certificate of incorporation on change of name dated 20 March 2014 and certificate of incorporation on re-registration as a public limited company dated 29 May 2014 (the “</w:t>
            </w:r>
            <w:r>
              <w:rPr>
                <w:b/>
              </w:rPr>
              <w:t>Certificates of Incorporation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memorandum of association of the Company adopted on 10 December 2019 (the “</w:t>
            </w:r>
            <w:r>
              <w:rPr>
                <w:b/>
              </w:rPr>
              <w:t>Memorandum of Association</w:t>
            </w:r>
            <w:r>
              <w:rPr/>
              <w:t>”) and the articles of association of the Company adopted on 10 December 2019 (the “</w:t>
            </w:r>
            <w:r>
              <w:rPr>
                <w:b/>
              </w:rPr>
              <w:t>Articles of Association</w:t>
            </w:r>
            <w:r>
              <w:rPr/>
              <w:t>”, and together with the Certificates of Incorporation and the Memorandum of Association, the “</w:t>
            </w:r>
            <w:r>
              <w:rPr>
                <w:b/>
              </w:rPr>
              <w:t>Constitutional Documents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written resolutions of all the directors of the Company passed on 31 May 2026, pursuant to which the directors resolved, among other matters, to approve the entry by the Company into the Merger Agreement and the allotment and issue of the Merger Shares (the “</w:t>
            </w:r>
            <w:r>
              <w:rPr>
                <w:b/>
              </w:rPr>
              <w:t>Written Board Resolutions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certifying certain other matters, as set out therein, on which we have relied for the purpose of this Opinion, including:</w:t>
            </w:r>
          </w:p>
        </w:tc>
      </w:tr>
    </w:tbl>
    <w:p>
      <w:pPr>
        <w:pStyle w:val="TextBody"/>
        <w:bidi w:val="0"/>
        <w:spacing w:before="0" w:after="0"/>
        <w:ind w:left="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3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640" w:type="dxa"/>
            <w:tcBorders/>
            <w:vAlign w:val="center"/>
          </w:tcPr>
          <w:p>
            <w:pPr>
              <w:pStyle w:val="TableContents"/>
              <w:bidi w:val="0"/>
              <w:spacing w:before="0" w:after="283"/>
              <w:jc w:val="both"/>
              <w:rPr/>
            </w:pPr>
            <w:r>
              <w:rPr/>
              <w:t>the authorised share capital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29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845" w:type="dxa"/>
            <w:tcBorders/>
            <w:vAlign w:val="center"/>
          </w:tcPr>
          <w:p>
            <w:pPr>
              <w:pStyle w:val="TableContents"/>
              <w:bidi w:val="0"/>
              <w:spacing w:before="0" w:after="283"/>
              <w:jc w:val="both"/>
              <w:rPr/>
            </w:pPr>
            <w:r>
              <w:rPr/>
              <w:t>the issued share capital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83"/>
              <w:jc w:val="both"/>
              <w:rPr/>
            </w:pPr>
            <w:r>
              <w:rPr>
                <w:rFonts w:ascii="Times New Roman;Times;Serif" w:hAnsi="Times New Roman;Times;Serif"/>
                <w:sz w:val="20"/>
              </w:rPr>
              <w:t>Searches carried out by independent law researchers on our behalf against the Company on 17 July 20</w:t>
            </w:r>
            <w:r>
              <w:rPr/>
              <w:t>26: (a) in the Register of Winding-up Petitions maintained at the Central Office of the High Court of Ireland (the “</w:t>
            </w:r>
            <w:r>
              <w:rPr>
                <w:b/>
              </w:rPr>
              <w:t>Register of Winding-up Petitions</w:t>
            </w:r>
            <w:r>
              <w:rPr/>
              <w:t>”), (b) in the Judgments’ Office of the High Court of Ireland, and (c) on the file of the Company maintained by the Registrar of Companies at the Irish Companies Registration Office (the “</w:t>
            </w:r>
            <w:r>
              <w:rPr>
                <w:b/>
              </w:rPr>
              <w:t>Companies Registration Office</w:t>
            </w:r>
            <w:r>
              <w:rPr/>
              <w:t>”) (together, the “</w:t>
            </w:r>
            <w:r>
              <w:rPr>
                <w:b/>
              </w:rPr>
              <w:t>Searches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8" descr=""/>
                    <pic:cNvPicPr>
                      <a:picLocks noChangeAspect="1" noChangeArrowheads="1"/>
                    </pic:cNvPicPr>
                  </pic:nvPicPr>
                  <pic:blipFill>
                    <a:blip r:embed="rId33"/>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contained herein are given on the basis of the assumptions set out in this Schedule.</w:t>
      </w:r>
    </w:p>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14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175" w:type="dxa"/>
            <w:tcBorders/>
            <w:vAlign w:val="center"/>
          </w:tcPr>
          <w:p>
            <w:pPr>
              <w:pStyle w:val="TableContents"/>
              <w:bidi w:val="0"/>
              <w:spacing w:before="0" w:after="283"/>
              <w:jc w:val="both"/>
              <w:rPr>
                <w:b/>
              </w:rPr>
            </w:pPr>
            <w:r>
              <w:rPr>
                <w:b/>
              </w:rPr>
              <w:t>Documents</w:t>
            </w:r>
          </w:p>
        </w:tc>
      </w:tr>
    </w:tbl>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32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2030" w:type="dxa"/>
            <w:tcBorders/>
            <w:vAlign w:val="center"/>
          </w:tcPr>
          <w:p>
            <w:pPr>
              <w:pStyle w:val="TableContents"/>
              <w:bidi w:val="0"/>
              <w:spacing w:before="0" w:after="283"/>
              <w:jc w:val="both"/>
              <w:rPr>
                <w:b/>
              </w:rPr>
            </w:pPr>
            <w:r>
              <w:rPr>
                <w:b/>
              </w:rPr>
              <w:t>Genuine 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(including, for the avoidance of doubt, electronic signatures), initials, seals and stamps contained in, or on, any document examined by us are genuine.</w:t>
      </w:r>
    </w:p>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32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2525" w:type="dxa"/>
            <w:tcBorders/>
            <w:vAlign w:val="center"/>
          </w:tcPr>
          <w:p>
            <w:pPr>
              <w:pStyle w:val="TableContents"/>
              <w:bidi w:val="0"/>
              <w:spacing w:before="0" w:after="283"/>
              <w:jc w:val="both"/>
              <w:rPr>
                <w:b/>
              </w:rPr>
            </w:pPr>
            <w:r>
              <w:rPr>
                <w:b/>
              </w:rPr>
              <w:t>Authentic and Complete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32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1985" w:type="dxa"/>
            <w:tcBorders/>
            <w:vAlign w:val="center"/>
          </w:tcPr>
          <w:p>
            <w:pPr>
              <w:pStyle w:val="TableContents"/>
              <w:bidi w:val="0"/>
              <w:spacing w:before="0" w:after="283"/>
              <w:jc w:val="both"/>
              <w:rPr>
                <w:b/>
              </w:rPr>
            </w:pPr>
            <w:r>
              <w:rPr>
                <w:b/>
              </w:rPr>
              <w:t>True and Accurate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documents (including the Corporate Certificate) and any other materials examined by us for the purposes of this Opinion are true and accurate as to factual matters, but we have made no independent investigation regarding such factual matters.</w:t>
      </w:r>
    </w:p>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32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3140" w:type="dxa"/>
            <w:tcBorders/>
            <w:vAlign w:val="center"/>
          </w:tcPr>
          <w:p>
            <w:pPr>
              <w:pStyle w:val="TableContents"/>
              <w:bidi w:val="0"/>
              <w:spacing w:before="0" w:after="283"/>
              <w:jc w:val="both"/>
              <w:rPr>
                <w:b/>
              </w:rPr>
            </w:pPr>
            <w:r>
              <w:rPr>
                <w:b/>
              </w:rPr>
              <w:t>No Revocation or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dated on, or prior to, the date hereof and on which we have expressed reliance have not been revoked or amended and remain accurate.</w:t>
      </w:r>
    </w:p>
    <w:p>
      <w:pPr>
        <w:pStyle w:val="TextBody"/>
        <w:bidi w:val="0"/>
        <w:spacing w:before="0" w:after="0"/>
        <w:ind w:left="0" w:right="0" w:hanging="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1685" w:type="dxa"/>
            <w:tcBorders/>
            <w:vAlign w:val="center"/>
          </w:tcPr>
          <w:p>
            <w:pPr>
              <w:pStyle w:val="TableContents"/>
              <w:bidi w:val="0"/>
              <w:spacing w:before="0" w:after="283"/>
              <w:jc w:val="both"/>
              <w:rPr>
                <w:b/>
              </w:rPr>
            </w:pPr>
            <w:r>
              <w:rPr>
                <w:b/>
              </w:rPr>
              <w:t>Natural Persons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natural person who has executed any document examined by us for the purposes of this Opinion had the due personal legal capacity to do so.</w:t>
      </w:r>
    </w:p>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2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210" w:type="dxa"/>
            <w:tcBorders/>
            <w:vAlign w:val="center"/>
          </w:tcPr>
          <w:p>
            <w:pPr>
              <w:pStyle w:val="TableContents"/>
              <w:bidi w:val="0"/>
              <w:spacing w:before="0" w:after="283"/>
              <w:jc w:val="both"/>
              <w:rPr>
                <w:b/>
              </w:rPr>
            </w:pPr>
            <w:r>
              <w:rPr>
                <w:b/>
              </w:rPr>
              <w:t>Electronic 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electronic signature inserted on a document was inserted by the signatory in question and not by another person and where attested by a witness was inserted in the physical presence of the witness. Each party to any document which has been executed using electronic signatures has consented to the execution of that document by way of electronic signature.</w:t>
      </w:r>
    </w:p>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32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3590" w:type="dxa"/>
            <w:tcBorders/>
            <w:vAlign w:val="center"/>
          </w:tcPr>
          <w:p>
            <w:pPr>
              <w:pStyle w:val="TableContents"/>
              <w:bidi w:val="0"/>
              <w:spacing w:before="0" w:after="283"/>
              <w:jc w:val="both"/>
              <w:rPr>
                <w:b/>
              </w:rPr>
            </w:pPr>
            <w:r>
              <w:rPr>
                <w:b/>
              </w:rPr>
              <w:t>Delivery and 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unconditionally delivered by the parties thereto (including the Company) and is not subject to any escrow or similar arrangement, all conditions precedent in the Merger Agreement have been, or will be, satisfied, and the transactions provided for in the Merger Agreement will be consummated upon the terms and conditions provided for therein.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9" descr=""/>
                    <pic:cNvPicPr>
                      <a:picLocks noChangeAspect="1" noChangeArrowheads="1"/>
                    </pic:cNvPicPr>
                  </pic:nvPicPr>
                  <pic:blipFill>
                    <a:blip r:embed="rId34"/>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4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2165" w:type="dxa"/>
            <w:tcBorders/>
            <w:vAlign w:val="center"/>
          </w:tcPr>
          <w:p>
            <w:pPr>
              <w:pStyle w:val="TableContents"/>
              <w:bidi w:val="0"/>
              <w:spacing w:before="0" w:after="283"/>
              <w:jc w:val="both"/>
              <w:rPr>
                <w:b/>
              </w:rPr>
            </w:pPr>
            <w:r>
              <w:rPr>
                <w:b/>
              </w:rPr>
              <w:t>Corporate Authority</w:t>
            </w:r>
          </w:p>
        </w:tc>
      </w:tr>
    </w:tbl>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32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2675" w:type="dxa"/>
            <w:tcBorders/>
            <w:vAlign w:val="center"/>
          </w:tcPr>
          <w:p>
            <w:pPr>
              <w:pStyle w:val="TableContents"/>
              <w:bidi w:val="0"/>
              <w:spacing w:before="0" w:after="283"/>
              <w:jc w:val="both"/>
              <w:rPr>
                <w:b/>
              </w:rPr>
            </w:pPr>
            <w:r>
              <w:rPr>
                <w:b/>
              </w:rPr>
              <w:t>Constitutional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amendments to the Constitutional Documents or the other attachments to the Corporate Certificate.</w:t>
      </w:r>
    </w:p>
    <w:p>
      <w:pPr>
        <w:pStyle w:val="TextBody"/>
        <w:bidi w:val="0"/>
        <w:spacing w:before="0" w:after="0"/>
        <w:ind w:left="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32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1880" w:type="dxa"/>
            <w:tcBorders/>
            <w:vAlign w:val="center"/>
          </w:tcPr>
          <w:p>
            <w:pPr>
              <w:pStyle w:val="TableContents"/>
              <w:bidi w:val="0"/>
              <w:spacing w:before="0" w:after="283"/>
              <w:jc w:val="both"/>
              <w:rPr>
                <w:b/>
              </w:rPr>
            </w:pPr>
            <w:r>
              <w:rPr>
                <w:b/>
              </w:rPr>
              <w:t>Corporate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derive a commercial benefit from entering into the Merger Agreement commensurate with the obligations undertaken by it thereunder.</w:t>
      </w:r>
    </w:p>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32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5720" w:type="dxa"/>
            <w:tcBorders/>
            <w:vAlign w:val="center"/>
          </w:tcPr>
          <w:p>
            <w:pPr>
              <w:pStyle w:val="TableContents"/>
              <w:bidi w:val="0"/>
              <w:spacing w:before="0" w:after="283"/>
              <w:jc w:val="both"/>
              <w:rPr>
                <w:b/>
              </w:rPr>
            </w:pPr>
            <w:r>
              <w:rPr>
                <w:b/>
              </w:rPr>
              <w:t>Good Faith, Best Interests of the Company and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approving the entry into the Merger Agreement and the allotment and issue of the Merger Shares upon the terms and conditions provided for therein, the directors of the Company have acted in good faith in the best interests of the Company for the benefit of its members as a whole, and for its legitimate business purposes.</w:t>
      </w:r>
    </w:p>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3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2270" w:type="dxa"/>
            <w:tcBorders/>
            <w:vAlign w:val="center"/>
          </w:tcPr>
          <w:p>
            <w:pPr>
              <w:pStyle w:val="TableContents"/>
              <w:bidi w:val="0"/>
              <w:spacing w:before="0" w:after="283"/>
              <w:jc w:val="both"/>
              <w:rPr>
                <w:b/>
              </w:rPr>
            </w:pPr>
            <w:r>
              <w:rPr>
                <w:b/>
              </w:rPr>
              <w:t>Disclosure of Interests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of the Company has disclosed any interest he or she may have in the Merger Agreement and the transactions provided for therein in accordance with the provisions of the Companies Act 2014, as amended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and the Constitutional Documents.</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4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550" w:type="dxa"/>
            <w:tcBorders/>
            <w:vAlign w:val="center"/>
          </w:tcPr>
          <w:p>
            <w:pPr>
              <w:pStyle w:val="TableContents"/>
              <w:bidi w:val="0"/>
              <w:spacing w:before="0" w:after="283"/>
              <w:jc w:val="both"/>
              <w:rPr>
                <w:b/>
              </w:rPr>
            </w:pPr>
            <w:r>
              <w:rPr>
                <w:b/>
              </w:rPr>
              <w:t>Merger Shares</w:t>
            </w:r>
          </w:p>
        </w:tc>
      </w:tr>
    </w:tbl>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32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2450" w:type="dxa"/>
            <w:tcBorders/>
            <w:vAlign w:val="center"/>
          </w:tcPr>
          <w:p>
            <w:pPr>
              <w:pStyle w:val="TableContents"/>
              <w:bidi w:val="0"/>
              <w:spacing w:before="0" w:after="283"/>
              <w:jc w:val="both"/>
              <w:rPr>
                <w:b/>
              </w:rPr>
            </w:pPr>
            <w:r>
              <w:rPr>
                <w:b/>
              </w:rPr>
              <w:t>Consideration Received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received the full consideration payable for the Merger Shares (as provided for in the Merger Agreement) prior to, or simultaneous with, their allotment and issue, and no Merger Share will be allotted and issued for consideration that is less than its nominal value.</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32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2645" w:type="dxa"/>
            <w:tcBorders/>
            <w:vAlign w:val="center"/>
          </w:tcPr>
          <w:p>
            <w:pPr>
              <w:pStyle w:val="TableContents"/>
              <w:bidi w:val="0"/>
              <w:spacing w:before="0" w:after="283"/>
              <w:jc w:val="both"/>
              <w:rPr>
                <w:b/>
              </w:rPr>
            </w:pPr>
            <w:r>
              <w:rPr>
                <w:b/>
              </w:rPr>
              <w:t>Authorised 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take any action after the date of this Opinion which will reduce the number of unissued ordinary shares in its authorised share capital to an amount less than the number of Merger Shares to be allotted and issued.</w:t>
      </w:r>
    </w:p>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32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1910" w:type="dxa"/>
            <w:tcBorders/>
            <w:vAlign w:val="center"/>
          </w:tcPr>
          <w:p>
            <w:pPr>
              <w:pStyle w:val="TableContents"/>
              <w:bidi w:val="0"/>
              <w:spacing w:before="0" w:after="283"/>
              <w:jc w:val="both"/>
              <w:rPr>
                <w:b/>
              </w:rPr>
            </w:pPr>
            <w:r>
              <w:rPr>
                <w:b/>
              </w:rPr>
              <w:t>Allottees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to whom the Merger Shares are to be allotted and issued under the Merger Agreement has the due and requisite capacity to be allotted and issued the Merger Shares, and to be registered in the register of members of the Company as the holder thereof. Each such person shall have agreed, or shall be deemed to have agreed, to become a member of the Company.</w:t>
      </w:r>
    </w:p>
    <w:p>
      <w:pPr>
        <w:pStyle w:val="TextBody"/>
        <w:bidi w:val="0"/>
        <w:spacing w:before="0" w:after="0"/>
        <w:ind w:left="0" w:right="0" w:hanging="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2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3305" w:type="dxa"/>
            <w:tcBorders/>
            <w:vAlign w:val="center"/>
          </w:tcPr>
          <w:p>
            <w:pPr>
              <w:pStyle w:val="TableContents"/>
              <w:bidi w:val="0"/>
              <w:spacing w:before="0" w:after="283"/>
              <w:jc w:val="both"/>
              <w:rPr>
                <w:b/>
              </w:rPr>
            </w:pPr>
            <w:r>
              <w:rPr>
                <w:b/>
              </w:rPr>
              <w:t>The Depository Trust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Merger Shares to be allotted and issued pursuant to the Merger Agreement are proposed to be issued directly to Cede &amp; Co., as the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the Company will have satisfied all requirements of DTC for acceptance of the Merger Shares as eligible for its depository and book entry transfer services.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10" descr=""/>
                    <pic:cNvPicPr>
                      <a:picLocks noChangeAspect="1" noChangeArrowheads="1"/>
                    </pic:cNvPicPr>
                  </pic:nvPicPr>
                  <pic:blipFill>
                    <a:blip r:embed="rId35"/>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4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3365" w:type="dxa"/>
            <w:tcBorders/>
            <w:vAlign w:val="center"/>
          </w:tcPr>
          <w:p>
            <w:pPr>
              <w:pStyle w:val="TableContents"/>
              <w:bidi w:val="0"/>
              <w:spacing w:before="0" w:after="283"/>
              <w:jc w:val="both"/>
              <w:rPr>
                <w:b/>
              </w:rPr>
            </w:pPr>
            <w:r>
              <w:rPr>
                <w:b/>
              </w:rPr>
              <w:t>Parties Other than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expressed to be a party to the Merger Agreement (other than the Company), as applicable:</w:t>
      </w:r>
    </w:p>
    <w:p>
      <w:pPr>
        <w:pStyle w:val="TextBody"/>
        <w:bidi w:val="0"/>
        <w:spacing w:before="0" w:after="0"/>
        <w:ind w:left="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27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75" w:type="dxa"/>
            <w:tcBorders/>
            <w:vAlign w:val="center"/>
          </w:tcPr>
          <w:p>
            <w:pPr>
              <w:pStyle w:val="TableContents"/>
              <w:bidi w:val="0"/>
              <w:spacing w:before="0" w:after="283"/>
              <w:jc w:val="both"/>
              <w:rPr/>
            </w:pPr>
            <w:r>
              <w:rPr/>
              <w:t>is duly incorporated and validly existing;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is not the subject of any insolvency proceedings (which includes those relating to bankruptcy, liquidation, examinership, rescue process, administration, receivership and reorganisation) in any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had, at the time he, she or it entered into the Merger Agreement, the due and requisite capacity to enter into and execute the Merger Agreement and had at such time, and continues to have, the due and requisite capacity to perform the obligations he, she or it is expressed to assume under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has taken all necessary corporate action required of it to authorise it to execute the Merger Agreement, and to perform the obligations it is expressed to assume under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both"/>
              <w:rPr/>
            </w:pPr>
            <w:r>
              <w:rPr/>
              <w:t>has complied with and will comply with all the laws and regulations applicable to the transactions contemplated by the Merger Agreement in any jurisdiction; and</w:t>
            </w:r>
          </w:p>
        </w:tc>
      </w:tr>
    </w:tbl>
    <w:p>
      <w:pPr>
        <w:pStyle w:val="TextBody"/>
        <w:bidi w:val="0"/>
        <w:spacing w:before="0" w:after="0"/>
        <w:ind w:left="0" w:right="0" w:hanging="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4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3995" w:type="dxa"/>
            <w:tcBorders/>
            <w:vAlign w:val="center"/>
          </w:tcPr>
          <w:p>
            <w:pPr>
              <w:pStyle w:val="TableContents"/>
              <w:bidi w:val="0"/>
              <w:spacing w:before="0" w:after="283"/>
              <w:jc w:val="both"/>
              <w:rPr/>
            </w:pPr>
            <w:r>
              <w:rPr/>
              <w:t>has duly executed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14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935" w:type="dxa"/>
            <w:tcBorders/>
            <w:vAlign w:val="center"/>
          </w:tcPr>
          <w:p>
            <w:pPr>
              <w:pStyle w:val="TableContents"/>
              <w:bidi w:val="0"/>
              <w:spacing w:before="0" w:after="283"/>
              <w:jc w:val="both"/>
              <w:rPr>
                <w:b/>
              </w:rPr>
            </w:pPr>
            <w:r>
              <w:rPr>
                <w:b/>
              </w:rPr>
              <w:t>Searches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No additional matters would have been disclosed by additional searches being carried out since that time.</w:t>
      </w:r>
    </w:p>
    <w:p>
      <w:pPr>
        <w:pStyle w:val="TextBody"/>
        <w:bidi w:val="0"/>
        <w:spacing w:before="0" w:after="0"/>
        <w:ind w:left="0" w:right="0" w:hanging="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4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250" w:type="dxa"/>
            <w:tcBorders/>
            <w:vAlign w:val="center"/>
          </w:tcPr>
          <w:p>
            <w:pPr>
              <w:pStyle w:val="TableContents"/>
              <w:bidi w:val="0"/>
              <w:spacing w:before="0" w:after="283"/>
              <w:jc w:val="both"/>
              <w:rPr>
                <w:b/>
              </w:rPr>
            </w:pPr>
            <w:r>
              <w:rPr>
                <w:b/>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and at the time of the allotment and issue of the Merger Shares will not have, passed a voluntary winding-up resolution or a resolution to place the Company under court protection or to appoint a process adviser, and no petition has been, or will have been, presented to, and no order has been, or will have been, made by, a court for the winding-up of the Company or to place the Company under court protection or for the appointment of a process adviser.</w:t>
      </w:r>
    </w:p>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4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2855" w:type="dxa"/>
            <w:tcBorders/>
            <w:vAlign w:val="center"/>
          </w:tcPr>
          <w:p>
            <w:pPr>
              <w:pStyle w:val="TableContents"/>
              <w:bidi w:val="0"/>
              <w:spacing w:before="0" w:after="283"/>
              <w:jc w:val="both"/>
              <w:rPr>
                <w:b/>
              </w:rPr>
            </w:pPr>
            <w:r>
              <w:rPr>
                <w:b/>
              </w:rPr>
              <w:t>Laws of Other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expressed to be assumed by each party to the Merger Agreement and all relevant documents referred to therein are legal, valid, binding and enforceable obligations under all applicable laws and in all applicable jurisdictions, other than, in the case of the Company, the laws of Ireland and the jurisdiction of Ireland.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1" descr=""/>
                    <pic:cNvPicPr>
                      <a:picLocks noChangeAspect="1" noChangeArrowheads="1"/>
                    </pic:cNvPicPr>
                  </pic:nvPicPr>
                  <pic:blipFill>
                    <a:blip r:embed="rId36"/>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3" w:type="dxa"/>
        <w:jc w:val="left"/>
        <w:tblInd w:w="0" w:type="dxa"/>
        <w:tblLayout w:type="fixed"/>
        <w:tblCellMar>
          <w:top w:w="0" w:type="dxa"/>
          <w:left w:w="0" w:type="dxa"/>
          <w:bottom w:w="0" w:type="dxa"/>
          <w:right w:w="0" w:type="dxa"/>
        </w:tblCellMar>
      </w:tblPr>
      <w:tblGrid>
        <w:gridCol w:w="38"/>
        <w:gridCol w:w="14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845" w:type="dxa"/>
            <w:tcBorders/>
            <w:vAlign w:val="center"/>
          </w:tcPr>
          <w:p>
            <w:pPr>
              <w:pStyle w:val="TableContents"/>
              <w:bidi w:val="0"/>
              <w:spacing w:before="0" w:after="283"/>
              <w:jc w:val="both"/>
              <w:rPr>
                <w:b/>
              </w:rPr>
            </w:pPr>
            <w:r>
              <w:rPr>
                <w:b/>
              </w:rPr>
              <w:t>General</w:t>
            </w:r>
          </w:p>
        </w:tc>
      </w:tr>
    </w:tbl>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32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3335" w:type="dxa"/>
            <w:tcBorders/>
            <w:vAlign w:val="center"/>
          </w:tcPr>
          <w:p>
            <w:pPr>
              <w:pStyle w:val="TableContents"/>
              <w:bidi w:val="0"/>
              <w:spacing w:before="0" w:after="283"/>
              <w:jc w:val="both"/>
              <w:rPr>
                <w:b/>
              </w:rPr>
            </w:pPr>
            <w:r>
              <w:rPr>
                <w:b/>
              </w:rPr>
              <w:t>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given by each party to the Merger Agreement are true and correct in all respects with regard to the facts stated therein (other than those on which we expressly opine in this Opinion).</w:t>
      </w:r>
    </w:p>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32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3725" w:type="dxa"/>
            <w:tcBorders/>
            <w:vAlign w:val="center"/>
          </w:tcPr>
          <w:p>
            <w:pPr>
              <w:pStyle w:val="TableContents"/>
              <w:bidi w:val="0"/>
              <w:spacing w:before="0" w:after="283"/>
              <w:jc w:val="both"/>
              <w:rPr>
                <w:b/>
              </w:rPr>
            </w:pPr>
            <w:r>
              <w:rPr>
                <w:b/>
              </w:rPr>
              <w:t>Financial Restrictions and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the transactions contemplated thereby and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pStyle w:val="TextBody"/>
        <w:bidi w:val="0"/>
        <w:spacing w:before="0" w:after="0"/>
        <w:ind w:left="0" w:right="0" w:hanging="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32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6095" w:type="dxa"/>
            <w:tcBorders/>
            <w:vAlign w:val="center"/>
          </w:tcPr>
          <w:p>
            <w:pPr>
              <w:pStyle w:val="TableContents"/>
              <w:bidi w:val="0"/>
              <w:spacing w:before="0" w:after="283"/>
              <w:jc w:val="both"/>
              <w:rPr>
                <w:b/>
              </w:rPr>
            </w:pPr>
            <w:r>
              <w:rPr>
                <w:b/>
              </w:rPr>
              <w:t>No Bad Faith, Fraud, Coercion, Duress or Undue Influence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bad faith, fraud, coercion, duress or undue influence on the part of any of the parties to any of the documents or other materials we have examined for the purpose of this Opinion (including the Company), or their respective directors, employees, agents and / or advisers.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286000" cy="228600"/>
            <wp:effectExtent l="0" t="0" r="0" b="0"/>
            <wp:docPr id="5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12" descr=""/>
                    <pic:cNvPicPr>
                      <a:picLocks noChangeAspect="1" noChangeArrowheads="1"/>
                    </pic:cNvPicPr>
                  </pic:nvPicPr>
                  <pic:blipFill>
                    <a:blip r:embed="rId37"/>
                    <a:stretch>
                      <a:fillRect/>
                    </a:stretch>
                  </pic:blipFill>
                  <pic:spPr bwMode="auto">
                    <a:xfrm>
                      <a:off x="0" y="0"/>
                      <a:ext cx="228600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contained herein are given subject to the qualifications set out in this Schedule.</w:t>
      </w:r>
    </w:p>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14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35" w:type="dxa"/>
            <w:tcBorders/>
            <w:vAlign w:val="center"/>
          </w:tcPr>
          <w:p>
            <w:pPr>
              <w:pStyle w:val="TableContents"/>
              <w:bidi w:val="0"/>
              <w:spacing w:before="0" w:after="283"/>
              <w:jc w:val="both"/>
              <w:rPr>
                <w:b/>
              </w:rPr>
            </w:pPr>
            <w:r>
              <w:rPr>
                <w:b/>
              </w:rPr>
              <w:t>Searches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some potential limitations to the effectiveness of the Searches. These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A search in the Companies Registration Office will not reveal whether a petition has been presented to the Irish courts for the appointment of a liquidator or an examiner.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jc w:val="left"/>
        <w:rPr/>
      </w:pPr>
      <w:bookmarkStart w:id="168" w:name="tm2619101d4_ex8-1.htm"/>
      <w:bookmarkStart w:id="169" w:name="kstm2619101d4_ex81"/>
      <w:bookmarkEnd w:id="168"/>
      <w:bookmarkEnd w:id="169"/>
      <w:r>
        <w:rPr/>
        <w:t> </w:t>
      </w:r>
      <w:r>
        <w:br w:type="page"/>
      </w:r>
    </w:p>
    <w:p>
      <w:pPr>
        <w:pStyle w:val="TextBody"/>
        <w:bidi w:val="0"/>
        <w:spacing w:before="0" w:after="0"/>
        <w:ind w:left="0" w:right="0" w:hanging="0"/>
        <w:jc w:val="right"/>
        <w:rPr>
          <w:b/>
        </w:rPr>
      </w:pPr>
      <w:r>
        <w:rPr>
          <w:b/>
        </w:rPr>
        <w:t>Exhibit 8.1</w:t>
      </w:r>
    </w:p>
    <w:p>
      <w:pPr>
        <w:pStyle w:val="TextBody"/>
        <w:bidi w:val="0"/>
        <w:spacing w:before="0" w:after="0"/>
        <w:ind w:left="0" w:right="0" w:hanging="0"/>
        <w:jc w:val="left"/>
        <w:rPr/>
      </w:pPr>
      <w:r>
        <w:rPr/>
        <w:t> </w:t>
      </w:r>
    </w:p>
    <w:tbl>
      <w:tblPr>
        <w:tblW w:w="6201" w:type="dxa"/>
        <w:jc w:val="left"/>
        <w:tblInd w:w="0" w:type="dxa"/>
        <w:tblLayout w:type="fixed"/>
        <w:tblCellMar>
          <w:top w:w="0" w:type="dxa"/>
          <w:left w:w="0" w:type="dxa"/>
          <w:bottom w:w="0" w:type="dxa"/>
          <w:right w:w="0" w:type="dxa"/>
        </w:tblCellMar>
      </w:tblPr>
      <w:tblGrid>
        <w:gridCol w:w="1851"/>
        <w:gridCol w:w="1835"/>
        <w:gridCol w:w="980"/>
        <w:gridCol w:w="1535"/>
      </w:tblGrid>
      <w:tr>
        <w:trPr/>
        <w:tc>
          <w:tcPr>
            <w:tcW w:w="1851" w:type="dxa"/>
            <w:tcBorders/>
            <w:vAlign w:val="center"/>
          </w:tcPr>
          <w:p>
            <w:pPr>
              <w:pStyle w:val="TableContents"/>
              <w:bidi w:val="0"/>
              <w:jc w:val="left"/>
              <w:rPr/>
            </w:pPr>
            <w:r>
              <w:rPr/>
              <w:drawing>
                <wp:inline distT="0" distB="0" distL="0" distR="0">
                  <wp:extent cx="1165860" cy="168910"/>
                  <wp:effectExtent l="0" t="0" r="0" b="0"/>
                  <wp:docPr id="5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13" descr=""/>
                          <pic:cNvPicPr>
                            <a:picLocks noChangeAspect="1" noChangeArrowheads="1"/>
                          </pic:cNvPicPr>
                        </pic:nvPicPr>
                        <pic:blipFill>
                          <a:blip r:embed="rId38"/>
                          <a:stretch>
                            <a:fillRect/>
                          </a:stretch>
                        </pic:blipFill>
                        <pic:spPr bwMode="auto">
                          <a:xfrm>
                            <a:off x="0" y="0"/>
                            <a:ext cx="1165860" cy="168910"/>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tc>
        <w:tc>
          <w:tcPr>
            <w:tcW w:w="18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910 Louisiana</w:t>
              <w:br/>
              <w:t>houston, Texas</w:t>
              <w:br/>
              <w:t>77002-4995</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+1 713.229.1234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+1 713.229.1522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tc>
        <w:tc>
          <w:tcPr>
            <w:tcW w:w="98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w:t>
            </w:r>
          </w:p>
        </w:tc>
        <w:tc>
          <w:tcPr>
            <w:tcW w:w="15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NEW YORK</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PALO ALTO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RIYADH</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SAN FRANCISCO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Singapore</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WASHINGTON</w:t>
            </w:r>
          </w:p>
          <w:p>
            <w:pPr>
              <w:pStyle w:val="TableContents"/>
              <w:bidi w:val="0"/>
              <w:spacing w:before="0" w:after="0"/>
              <w:ind w:left="0" w:right="0" w:hanging="0"/>
              <w:jc w:val="left"/>
              <w:rPr>
                <w:caps/>
              </w:rPr>
            </w:pPr>
            <w:r>
              <w:rPr>
                <w:caps/>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July 17, 2026</w:t>
      </w:r>
    </w:p>
    <w:p>
      <w:pPr>
        <w:pStyle w:val="TextBody"/>
        <w:bidi w:val="0"/>
        <w:spacing w:before="0" w:after="0"/>
        <w:ind w:left="0" w:right="0" w:hanging="0"/>
        <w:jc w:val="left"/>
        <w:rPr/>
      </w:pPr>
      <w:r>
        <w:rPr/>
        <w:t> </w:t>
      </w:r>
    </w:p>
    <w:tbl>
      <w:tblPr>
        <w:tblW w:w="3035" w:type="dxa"/>
        <w:jc w:val="left"/>
        <w:tblInd w:w="0" w:type="dxa"/>
        <w:tblLayout w:type="fixed"/>
        <w:tblCellMar>
          <w:top w:w="0" w:type="dxa"/>
          <w:left w:w="0" w:type="dxa"/>
          <w:bottom w:w="0" w:type="dxa"/>
          <w:right w:w="0" w:type="dxa"/>
        </w:tblCellMar>
      </w:tblPr>
      <w:tblGrid>
        <w:gridCol w:w="3035"/>
      </w:tblGrid>
      <w:tr>
        <w:trPr/>
        <w:tc>
          <w:tcPr>
            <w:tcW w:w="3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NCS Multistage Holdings, Inc.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19350 State Highway 249, Suite 600</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 77070</w:t>
            </w:r>
          </w:p>
        </w:tc>
      </w:tr>
    </w:tbl>
    <w:p>
      <w:pPr>
        <w:pStyle w:val="TextBody"/>
        <w:bidi w:val="0"/>
        <w:spacing w:before="0" w:after="0"/>
        <w:ind w:left="1440" w:right="0" w:hanging="720"/>
        <w:jc w:val="left"/>
        <w:rPr/>
      </w:pPr>
      <w:r>
        <w:rPr/>
        <w:t> </w:t>
      </w:r>
    </w:p>
    <w:p>
      <w:pPr>
        <w:pStyle w:val="TextBody"/>
        <w:bidi w:val="0"/>
        <w:spacing w:before="0" w:after="0"/>
        <w:ind w:left="0" w:right="0" w:hanging="0"/>
        <w:jc w:val="left"/>
        <w:rPr/>
      </w:pPr>
      <w:r>
        <w:rPr/>
        <w:t>Ladies and Gentlemen: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We have acted as counsel to NCS Multistage Holdings, Inc., a Delaware corporation (“</w:t>
      </w:r>
      <w:r>
        <w:rPr>
          <w:u w:val="single"/>
        </w:rPr>
        <w:t>Company</w:t>
      </w:r>
      <w:r>
        <w:rPr/>
        <w:t>”), in connection with the transactions described in the Agreement and Plan of Merger (the “</w:t>
      </w:r>
      <w:r>
        <w:rPr>
          <w:u w:val="single"/>
        </w:rPr>
        <w:t>Merger Agreement</w:t>
      </w:r>
      <w:r>
        <w:rPr/>
        <w:t>”), dated as of May 31, 2026, by and among Company, Weatherford International plc, an Irish public limited company (“</w:t>
      </w:r>
      <w:r>
        <w:rPr>
          <w:u w:val="single"/>
        </w:rPr>
        <w:t>Parent</w:t>
      </w:r>
      <w:r>
        <w:rPr/>
        <w:t>”), and Trinity Bell Sub, Inc., a Delaware corporation and wholly-owned subsidiary of Parent (“</w:t>
      </w:r>
      <w:r>
        <w:rPr>
          <w:u w:val="single"/>
        </w:rPr>
        <w:t>Merger Sub</w:t>
      </w:r>
      <w:r>
        <w:rPr/>
        <w:t>”). Pursuant to the Merger Agreement, Merger Sub will be merged with and into Company (the “</w:t>
      </w:r>
      <w:r>
        <w:rPr>
          <w:u w:val="single"/>
        </w:rPr>
        <w:t>Merger</w:t>
      </w:r>
      <w:r>
        <w:rPr/>
        <w:t>”), whereupon the separate existence of Merger Sub shall cease, and Company shall be the surviving corporation and a wholly-owned subsidiary of Parent. All capitalized terms used but not otherwise defined herein have the meaning ascribed to them in the Merger Agreement.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At your request, and in connection with the filing by Parent of the Form S-4 (File No. 333-297275) (including the information statement/prospectus forming a part thereof, and as amended or supplemented through the date hereof, the “</w:t>
      </w:r>
      <w:r>
        <w:rPr>
          <w:u w:val="single"/>
        </w:rPr>
        <w:t>Registration Statement</w:t>
      </w:r>
      <w:r>
        <w:rPr/>
        <w:t>”) with the Securities and Exchange Commission, we are rendering our opinion regarding certain U.S. federal income tax matters.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In connection with this opinion, and with your consent, we have reviewed and relied upon the accuracy and completeness, without independent investigation or verification, of the following: (i) the Merger Agreement and the documents referenced therein; (ii) the Registration Statement; (iii) the representation letters, dated as of the date hereof, of Parent and Company, delivered to us for purposes of rendering this opinion (the “</w:t>
      </w:r>
      <w:r>
        <w:rPr>
          <w:u w:val="single"/>
        </w:rPr>
        <w:t>Representation Letters</w:t>
      </w:r>
      <w:r>
        <w:rPr/>
        <w:t>”); and (iv) such other documents, information, and materials as we have deemed necessary or appropriate. We have assumed that such documents are duly authorized, valid, and enforceable. In our examination of the documents, we have assumed that the parties thereto had the power, corporate or otherwise, to enter into and perform all obligations thereunder and have also assumed the due authorization by all requisite action, corporate or otherwise, and the execution and delivery by such parties of such documents and the validity and binding effect thereof on such parties.</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tbl>
      <w:tblPr>
        <w:tblW w:w="4495" w:type="dxa"/>
        <w:jc w:val="left"/>
        <w:tblInd w:w="0" w:type="dxa"/>
        <w:tblLayout w:type="fixed"/>
        <w:tblCellMar>
          <w:top w:w="0" w:type="dxa"/>
          <w:left w:w="0" w:type="dxa"/>
          <w:bottom w:w="0" w:type="dxa"/>
          <w:right w:w="0" w:type="dxa"/>
        </w:tblCellMar>
      </w:tblPr>
      <w:tblGrid>
        <w:gridCol w:w="2760"/>
        <w:gridCol w:w="410"/>
        <w:gridCol w:w="1325"/>
      </w:tblGrid>
      <w:tr>
        <w:trPr/>
        <w:tc>
          <w:tcPr>
            <w:tcW w:w="2760" w:type="dxa"/>
            <w:tcBorders/>
            <w:vAlign w:val="center"/>
          </w:tcPr>
          <w:p>
            <w:pPr>
              <w:pStyle w:val="TableContents"/>
              <w:bidi w:val="0"/>
              <w:spacing w:before="0" w:after="283"/>
              <w:jc w:val="left"/>
              <w:rPr/>
            </w:pPr>
            <w:r>
              <w:rPr/>
              <w:drawing>
                <wp:inline distT="0" distB="0" distL="0" distR="0">
                  <wp:extent cx="1704975" cy="285750"/>
                  <wp:effectExtent l="0" t="0" r="0" b="0"/>
                  <wp:docPr id="5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14" descr=""/>
                          <pic:cNvPicPr>
                            <a:picLocks noChangeAspect="1" noChangeArrowheads="1"/>
                          </pic:cNvPicPr>
                        </pic:nvPicPr>
                        <pic:blipFill>
                          <a:blip r:embed="rId39"/>
                          <a:stretch>
                            <a:fillRect/>
                          </a:stretch>
                        </pic:blipFill>
                        <pic:spPr bwMode="auto">
                          <a:xfrm>
                            <a:off x="0" y="0"/>
                            <a:ext cx="1704975" cy="285750"/>
                          </a:xfrm>
                          <a:prstGeom prst="rect">
                            <a:avLst/>
                          </a:prstGeom>
                        </pic:spPr>
                      </pic:pic>
                    </a:graphicData>
                  </a:graphic>
                </wp:inline>
              </w:drawing>
            </w:r>
            <w:r>
              <w:rPr/>
              <w:t> </w:t>
            </w:r>
          </w:p>
        </w:tc>
        <w:tc>
          <w:tcPr>
            <w:tcW w:w="41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1325" w:type="dxa"/>
            <w:tcBorders/>
            <w:vAlign w:val="center"/>
          </w:tcPr>
          <w:p>
            <w:pPr>
              <w:pStyle w:val="TableContents"/>
              <w:bidi w:val="0"/>
              <w:spacing w:before="0" w:after="283"/>
              <w:jc w:val="right"/>
              <w:rPr/>
            </w:pPr>
            <w:r>
              <w:rPr/>
              <w:t>July 17, 2026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In rendering this opinion, we have assumed, with your permission, that: (1) all parties to the Merger Agreement, and to any other documents reviewed by us, have acted and will act in accordance with the terms of the Merger Agreement and such other documents; (2) the Merger will be consummated pursuant to, and in accordance with, the terms and conditions set forth in the Merger Agreement and the documents referenced therein, without the waiver or modification of any such terms and conditions, and as described in the Registration Statement; (3) all facts, information, statements, covenants, representations, warranties, and agreements made by or on behalf of Company, Parent, Weatherford International Corp (“</w:t>
      </w:r>
      <w:r>
        <w:rPr>
          <w:u w:val="single"/>
        </w:rPr>
        <w:t>US Parent</w:t>
      </w:r>
      <w:r>
        <w:rPr/>
        <w:t>”), and Merger Sub in the Merger Agreement, the documents referenced therein, and the Registration Statement are and, at all times up to and including the Effective Time, will continue to be true, complete, and correct; (4) the statements and representations (which statements and representations we have neither investigated nor verified) made by or on behalf of Company, Parent, US Parent, and Merger Sub in the Representation Letters are true, complete, and correct at all times up to and including the Effective Time; (5) all facts, information, statements, covenants, representations, warranties, and agreements made by or on behalf of Company, Parent, US Parent, and Merger Sub in the Merger Agreement, the documents referenced therein, the Registration Statement, and the Representation Letters that are qualified by the knowledge and/or belief of any person or entity are and, at all times up to and including the Effective Time, will continue to be true, complete, and correct as though not so qualified; (6) none of the terms and conditions contained in the Merger Agreement, the documents referenced therein, or the Registration Statement have been or will be waived or modified in any respect; and (7) Company, Parent, US Parent, and Merger Sub will report the Merger for all U.S. federal income tax reporting purposes in a manner consistent with this opinion. We also have assumed the authenticity of original documents, the accuracy of copies, the genuineness of signatures, and the legal capacity of signatories. Moreover, we have assumed that all facts, information, statements, and representations contained in the documents we have reviewed were true, complete, and correct at the time made and will continue to be true, complete, and correct at all times up to and including the Effective Time, and that all such facts, information, statements, and representations can be established to the Internal Revenue Service or courts, if necessary, by clear and convincing evidence. If any of the assumptions described above are untrue for any reason, or if the Merger is consummated other than in accordance with the terms and conditions set forth in the Merger Agreement and the documents referenced therein, our opinion as expressed below may be adversely affected.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No opinion is expressed as to any transactions other than the Merger, or any matter other than those specifically covered by this opinion. This opinion does not address the U.S. federal income tax treatment of any shareholder subject to special rules under the Code or the Treasury regulations promulgated thereunder and is otherwise limited to the matters discussed in the section entitled “Material U.S. Federal Income Tax Consequences to U.S. Holders” in the Registration Statement (the “</w:t>
      </w:r>
      <w:r>
        <w:rPr>
          <w:u w:val="single"/>
        </w:rPr>
        <w:t>Tax Discussion</w:t>
      </w:r>
      <w:r>
        <w:rPr/>
        <w:t>”), subject to the assumptions, limitations, and qualifications stated in such section. Our opinion is based on the Code, the Treasury regulations promulgated thereunder, case law, and published rulings, and other pronouncements of the Internal Revenue Service, as in effect on the date hereof. No assurances can be given that such authorities will not be amended or otherwise changed at any time, possibly with retroactive effect. We assume no obligation to advise you of any such subsequent changes, or to update or supplement this opinion to reflect any change in facts, circumstances, or law after the date hereof. Any change in the applicable law or regulations, or any new administrative or judicial interpretation of the applicable law or regulations, may affect the continuing validity of our opinion.</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tbl>
      <w:tblPr>
        <w:tblW w:w="4495" w:type="dxa"/>
        <w:jc w:val="left"/>
        <w:tblInd w:w="0" w:type="dxa"/>
        <w:tblLayout w:type="fixed"/>
        <w:tblCellMar>
          <w:top w:w="0" w:type="dxa"/>
          <w:left w:w="0" w:type="dxa"/>
          <w:bottom w:w="0" w:type="dxa"/>
          <w:right w:w="0" w:type="dxa"/>
        </w:tblCellMar>
      </w:tblPr>
      <w:tblGrid>
        <w:gridCol w:w="2760"/>
        <w:gridCol w:w="410"/>
        <w:gridCol w:w="1325"/>
      </w:tblGrid>
      <w:tr>
        <w:trPr/>
        <w:tc>
          <w:tcPr>
            <w:tcW w:w="2760" w:type="dxa"/>
            <w:tcBorders/>
            <w:vAlign w:val="center"/>
          </w:tcPr>
          <w:p>
            <w:pPr>
              <w:pStyle w:val="TableContents"/>
              <w:bidi w:val="0"/>
              <w:spacing w:before="0" w:after="283"/>
              <w:jc w:val="left"/>
              <w:rPr/>
            </w:pPr>
            <w:r>
              <w:rPr/>
              <w:drawing>
                <wp:inline distT="0" distB="0" distL="0" distR="0">
                  <wp:extent cx="1704975" cy="285750"/>
                  <wp:effectExtent l="0" t="0" r="0" b="0"/>
                  <wp:docPr id="5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5" descr=""/>
                          <pic:cNvPicPr>
                            <a:picLocks noChangeAspect="1" noChangeArrowheads="1"/>
                          </pic:cNvPicPr>
                        </pic:nvPicPr>
                        <pic:blipFill>
                          <a:blip r:embed="rId40"/>
                          <a:stretch>
                            <a:fillRect/>
                          </a:stretch>
                        </pic:blipFill>
                        <pic:spPr bwMode="auto">
                          <a:xfrm>
                            <a:off x="0" y="0"/>
                            <a:ext cx="1704975" cy="285750"/>
                          </a:xfrm>
                          <a:prstGeom prst="rect">
                            <a:avLst/>
                          </a:prstGeom>
                        </pic:spPr>
                      </pic:pic>
                    </a:graphicData>
                  </a:graphic>
                </wp:inline>
              </w:drawing>
            </w:r>
            <w:r>
              <w:rPr/>
              <w:t> </w:t>
            </w:r>
          </w:p>
        </w:tc>
        <w:tc>
          <w:tcPr>
            <w:tcW w:w="41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27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1325" w:type="dxa"/>
            <w:tcBorders/>
            <w:vAlign w:val="center"/>
          </w:tcPr>
          <w:p>
            <w:pPr>
              <w:pStyle w:val="TableContents"/>
              <w:bidi w:val="0"/>
              <w:spacing w:before="0" w:after="283"/>
              <w:jc w:val="right"/>
              <w:rPr/>
            </w:pPr>
            <w:r>
              <w:rPr/>
              <w:t>July 17, 2026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Based upon the foregoing and subject to the assumptions, exceptions, limitations, and qualifications set forth herein and in the Tax Discussion, it is our opinion that, under current U.S. federal income tax law, the Merger will (i) be treated as a “reorganization” under Section 368(a) of the Code and (ii) if Parent (rather than US Parent) is the “Parent” entity under the Merger Agreement at the closing of the Merger, not result in gain being recognized under Section 367(a)(1) of the Code, provided that no opinion is expressed regarding the U.S. federal income tax treatment of any Company stockholder that is a “five-percent transferee shareholder” (within the meaning of Treasury Regulation Section 1.367(a)-3(c)(5)(ii)) of Parent following the Merger.</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Our opinion relates solely to the specific matters set forth above, and no opinion is expressed, or should be inferred, as to any other U.S. federal, state, local, or non-U.S. income, estate, gift, transfer, sales, use, or other tax consequences that may result from the Merger. Our opinion is limited to legal rather than factual matters and has no official status or binding effect of any kind. Accordingly, we cannot assure you that the Internal Revenue Service or a court will agree with our opinion. The opinion expressed herein is being furnished in connection with the filing of the Registration Statement and may not be used or relied upon for any other purpose without our prior written consent. We hereby consent to the filing of this opinion with the Securities and Exchange Commission as Exhibit 8.1 to the Registration Statement and to the references to our firm name in the Registration Statement in connection with references to this opinion. In giving this consent, we do not admit that we are within the category of persons whose consent is required under Section 7 of the Securities Act of 1933, as amended, or the rules or regulations of the Securities and Exchange Commission promulgated thereunder.</w:t>
      </w:r>
    </w:p>
    <w:p>
      <w:pPr>
        <w:pStyle w:val="TextBody"/>
        <w:bidi w:val="0"/>
        <w:spacing w:before="0" w:after="0"/>
        <w:ind w:left="0" w:right="0" w:hanging="0"/>
        <w:jc w:val="left"/>
        <w:rPr/>
      </w:pPr>
      <w:r>
        <w:rPr/>
        <w:t> </w:t>
      </w:r>
    </w:p>
    <w:tbl>
      <w:tblPr>
        <w:tblW w:w="1835" w:type="dxa"/>
        <w:jc w:val="left"/>
        <w:tblInd w:w="0" w:type="dxa"/>
        <w:tblLayout w:type="fixed"/>
        <w:tblCellMar>
          <w:top w:w="0" w:type="dxa"/>
          <w:left w:w="0" w:type="dxa"/>
          <w:bottom w:w="0" w:type="dxa"/>
          <w:right w:w="0" w:type="dxa"/>
        </w:tblCellMar>
      </w:tblPr>
      <w:tblGrid>
        <w:gridCol w:w="75"/>
        <w:gridCol w:w="1760"/>
      </w:tblGrid>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Baker Botts L.L.P.</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170" w:name="tm2619101d4_ex23-4.htm"/>
      <w:bookmarkStart w:id="171" w:name="kstm2619101d4_ex234"/>
      <w:bookmarkEnd w:id="170"/>
      <w:bookmarkEnd w:id="171"/>
      <w:r>
        <w:rPr>
          <w:b/>
        </w:rPr>
        <w:t>Exhibit 23.4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March 5, 2026 with respect to the consolidated financial statements of NCS Multistage Holdings, Inc. included in the Annual Report on Form 10-K for the year ended December 31, 2025, which are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03923/000160392326000014/wfrd-20251231.htm" TargetMode="External"/><Relationship Id="rId4" Type="http://schemas.openxmlformats.org/officeDocument/2006/relationships/hyperlink" Target="https://www.sec.gov/ix?doc=/Archives/edgar/data/1692427/000143774926007065/ncsm20251231_10k.htm" TargetMode="External"/><Relationship Id="rId5" Type="http://schemas.openxmlformats.org/officeDocument/2006/relationships/hyperlink" Target="https://www.sec.gov/ix?doc=/Archives/edgar/data/1603923/000160392326000014/wfrd-20251231.htm" TargetMode="External"/><Relationship Id="rId6" Type="http://schemas.openxmlformats.org/officeDocument/2006/relationships/hyperlink" Target="https://www.sec.gov/ix?doc=/Archives/edgar/data/1692427/000143774926007065/ncsm20251231_10k.htm" TargetMode="External"/><Relationship Id="rId7" Type="http://schemas.openxmlformats.org/officeDocument/2006/relationships/hyperlink" Target="https://www.sec.gov/ix?doc=/Archives/edgar/data/1692427/000143774926007065/ncsm20251231_10k.htm" TargetMode="External"/><Relationship Id="rId8" Type="http://schemas.openxmlformats.org/officeDocument/2006/relationships/hyperlink" Target="https://www.sec.gov/ix?doc=/Archives/edgar/data/1603923/000160392326000014/wfrd-20251231.htm" TargetMode="External"/><Relationship Id="rId9" Type="http://schemas.openxmlformats.org/officeDocument/2006/relationships/hyperlink" Target="https://www.sec.gov/ix?doc=/Archives/edgar/data/1603923/000160392326000047/wfrd-20260331.htm" TargetMode="External"/><Relationship Id="rId10" Type="http://schemas.openxmlformats.org/officeDocument/2006/relationships/hyperlink" Target="https://www.sec.gov/ix?doc=/Archives/edgar/data/1692427/000143774926014189/ncsm20260331_10q.htm" TargetMode="External"/><Relationship Id="rId11" Type="http://schemas.openxmlformats.org/officeDocument/2006/relationships/hyperlink" Target="https://www.sec.gov/ix?doc=/Archives/edgar/data/1603923/000160392326000014/wfrd-20251231.htm" TargetMode="External"/><Relationship Id="rId12" Type="http://schemas.openxmlformats.org/officeDocument/2006/relationships/hyperlink" Target="https://www.sec.gov/ix?doc=/Archives/edgar/data/1603923/000160392326000025/wft-20260402.htm" TargetMode="External"/><Relationship Id="rId13" Type="http://schemas.openxmlformats.org/officeDocument/2006/relationships/hyperlink" Target="https://www.sec.gov/ix?doc=/Archives/edgar/data/1603923/000160392326000058/wfrd-20260531.htm" TargetMode="External"/><Relationship Id="rId14" Type="http://schemas.openxmlformats.org/officeDocument/2006/relationships/hyperlink" Target="https://www.sec.gov/ix?doc=/Archives/edgar/data/1603923/000160392326000069/wft-20260611.htm" TargetMode="External"/><Relationship Id="rId15" Type="http://schemas.openxmlformats.org/officeDocument/2006/relationships/hyperlink" Target="https://www.sec.gov/ix?doc=/Archives/edgar/data/1603923/000119312526166847/d120523ddef14a.htm" TargetMode="External"/><Relationship Id="rId16" Type="http://schemas.openxmlformats.org/officeDocument/2006/relationships/hyperlink" Target="https://www.sec.gov/Archives/edgar/data/1603923/000119312526302022/d136463ddef14a.htm" TargetMode="External"/><Relationship Id="rId17" Type="http://schemas.openxmlformats.org/officeDocument/2006/relationships/hyperlink" Target="https://www.sec.gov/Archives/edgar/data/1603923/000160392322000051/exhibit41descriptionofsecu.htm" TargetMode="External"/><Relationship Id="rId18" Type="http://schemas.openxmlformats.org/officeDocument/2006/relationships/hyperlink" Target="https://www.sec.gov/ix?doc=/Archives/edgar/data/1603923/000160392326000047/wfrd-20260331.htm" TargetMode="External"/><Relationship Id="rId19" Type="http://schemas.openxmlformats.org/officeDocument/2006/relationships/hyperlink" Target="https://www.sec.gov/ix?doc=/Archives/edgar/data/1692427/000143774926007065/ncsm20251231_10k.htm" TargetMode="External"/><Relationship Id="rId20" Type="http://schemas.openxmlformats.org/officeDocument/2006/relationships/hyperlink" Target="https://www.sec.gov/ix?doc=/Archives/edgar/data/1692427/000143774926018565/ncsm20260112_8k.htm" TargetMode="External"/><Relationship Id="rId21" Type="http://schemas.openxmlformats.org/officeDocument/2006/relationships/hyperlink" Target="https://www.sec.gov/ix?doc=/Archives/edgar/data/1692427/000119312526252096/d23867d8k.htm" TargetMode="External"/><Relationship Id="rId22" Type="http://schemas.openxmlformats.org/officeDocument/2006/relationships/hyperlink" Target="https://www.sec.gov/ix?doc=/Archives/edgar/data/1692427/000143774926010962/ncsm20260327_def14a.htm" TargetMode="External"/><Relationship Id="rId23" Type="http://schemas.openxmlformats.org/officeDocument/2006/relationships/hyperlink" Target="https://www.sec.gov/ix?doc=/Archives/edgar/data/1692427/000143774926014189/ncsm20260331_10q.htm" TargetMode="External"/><Relationship Id="rId24" Type="http://schemas.openxmlformats.org/officeDocument/2006/relationships/image" Target="media/image2.jpeg"/><Relationship Id="rId25" Type="http://schemas.openxmlformats.org/officeDocument/2006/relationships/hyperlink" Target="https://www.sec.gov/Archives/edgar/data/1603923/000110465926080770/tm2619101d2_ex23-3.htm" TargetMode="External"/><Relationship Id="rId26" Type="http://schemas.openxmlformats.org/officeDocument/2006/relationships/hyperlink" Target="https://www.sec.gov/Archives/edgar/data/1603923/000110465926080770/tm2619101d2_ex99-1.htm" TargetMode="External"/><Relationship Id="rId27" Type="http://schemas.openxmlformats.org/officeDocument/2006/relationships/hyperlink" Target="https://www.sec.gov/Archives/edgar/data/1603923/000110465926080770/tm2619101d1_ex-filingfees.htm" TargetMode="External"/><Relationship Id="rId28" Type="http://schemas.openxmlformats.org/officeDocument/2006/relationships/image" Target="media/image3.gif"/><Relationship Id="rId29" Type="http://schemas.openxmlformats.org/officeDocument/2006/relationships/image" Target="media/image4.gif"/><Relationship Id="rId30" Type="http://schemas.openxmlformats.org/officeDocument/2006/relationships/image" Target="media/image5.gif"/><Relationship Id="rId31" Type="http://schemas.openxmlformats.org/officeDocument/2006/relationships/image" Target="media/image5.gif"/><Relationship Id="rId32" Type="http://schemas.openxmlformats.org/officeDocument/2006/relationships/image" Target="media/image5.gif"/><Relationship Id="rId33" Type="http://schemas.openxmlformats.org/officeDocument/2006/relationships/image" Target="media/image5.gif"/><Relationship Id="rId34" Type="http://schemas.openxmlformats.org/officeDocument/2006/relationships/image" Target="media/image5.gif"/><Relationship Id="rId35" Type="http://schemas.openxmlformats.org/officeDocument/2006/relationships/image" Target="media/image5.gif"/><Relationship Id="rId36" Type="http://schemas.openxmlformats.org/officeDocument/2006/relationships/image" Target="media/image5.gif"/><Relationship Id="rId37" Type="http://schemas.openxmlformats.org/officeDocument/2006/relationships/image" Target="media/image5.gif"/><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7.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161273</Words>
  <Characters>870955</Characters>
  <CharactersWithSpaces>1044590</CharactersWithSpaces>
  <Paragraphs>9798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