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4"/>
              </w:rPr>
              <w:t>Ireland</w:t>
            </w:r>
          </w:p>
        </w:tc>
        <w:tc>
          <w:tcPr>
            <w:tcW w:w="27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001-36504</w:t>
            </w:r>
          </w:p>
        </w:tc>
        <w:tc>
          <w:tcPr>
            <w:tcW w:w="41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195"/>
        </w:trPr>
        <w:tc>
          <w:tcPr>
            <w:tcW w:w="4420" w:type="dxa"/>
            <w:vAlign w:val="bottom"/>
          </w:tcPr>
          <w:p>
            <w:pPr>
              <w:jc w:val="center"/>
              <w:ind w:right="610"/>
              <w:spacing w:after="0" w:line="195" w:lineRule="exact"/>
              <w:rPr>
                <w:sz w:val="20"/>
                <w:szCs w:val="20"/>
                <w:color w:val="auto"/>
              </w:rPr>
            </w:pPr>
            <w:r>
              <w:rPr>
                <w:rFonts w:ascii="Arial" w:cs="Arial" w:eastAsia="Arial" w:hAnsi="Arial"/>
                <w:sz w:val="18"/>
                <w:szCs w:val="18"/>
                <w:color w:val="auto"/>
                <w:w w:val="92"/>
              </w:rPr>
              <w:t>(State or other jurisdiction of</w:t>
            </w:r>
          </w:p>
        </w:tc>
        <w:tc>
          <w:tcPr>
            <w:tcW w:w="272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3"/>
              </w:rPr>
              <w:t>(Commission File Number)</w:t>
            </w:r>
          </w:p>
        </w:tc>
        <w:tc>
          <w:tcPr>
            <w:tcW w:w="410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420" w:type="dxa"/>
            <w:vAlign w:val="bottom"/>
          </w:tcPr>
          <w:p>
            <w:pPr>
              <w:ind w:left="1340"/>
              <w:spacing w:after="0"/>
              <w:rPr>
                <w:sz w:val="20"/>
                <w:szCs w:val="20"/>
                <w:color w:val="auto"/>
              </w:rPr>
            </w:pPr>
            <w:r>
              <w:rPr>
                <w:rFonts w:ascii="Arial" w:cs="Arial" w:eastAsia="Arial" w:hAnsi="Arial"/>
                <w:sz w:val="18"/>
                <w:szCs w:val="18"/>
                <w:color w:val="auto"/>
              </w:rPr>
              <w:t>incorporation)</w:t>
            </w:r>
          </w:p>
        </w:tc>
        <w:tc>
          <w:tcPr>
            <w:tcW w:w="27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59"/>
        </w:trPr>
        <w:tc>
          <w:tcPr>
            <w:tcW w:w="442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w w:val="94"/>
              </w:rPr>
              <w:t>2000 St. James Place, Houston, Texas</w:t>
            </w:r>
          </w:p>
        </w:tc>
        <w:tc>
          <w:tcPr>
            <w:tcW w:w="27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b w:val="1"/>
                <w:bCs w:val="1"/>
                <w:color w:val="auto"/>
              </w:rPr>
              <w:t>77056</w:t>
            </w:r>
          </w:p>
        </w:tc>
      </w:tr>
      <w:tr>
        <w:trPr>
          <w:trHeight w:val="224"/>
        </w:trPr>
        <w:tc>
          <w:tcPr>
            <w:tcW w:w="4420" w:type="dxa"/>
            <w:vAlign w:val="bottom"/>
          </w:tcPr>
          <w:p>
            <w:pPr>
              <w:ind w:left="1340"/>
              <w:spacing w:after="0"/>
              <w:rPr>
                <w:sz w:val="20"/>
                <w:szCs w:val="20"/>
                <w:color w:val="auto"/>
              </w:rPr>
            </w:pPr>
            <w:r>
              <w:rPr>
                <w:rFonts w:ascii="Arial" w:cs="Arial" w:eastAsia="Arial" w:hAnsi="Arial"/>
                <w:sz w:val="18"/>
                <w:szCs w:val="18"/>
                <w:color w:val="auto"/>
                <w:w w:val="99"/>
              </w:rPr>
              <w:t>(Address of principal executive offices)</w:t>
            </w:r>
          </w:p>
        </w:tc>
        <w:tc>
          <w:tcPr>
            <w:tcW w:w="2720" w:type="dxa"/>
            <w:vAlign w:val="bottom"/>
          </w:tcPr>
          <w:p>
            <w:pPr>
              <w:spacing w:after="0"/>
              <w:rPr>
                <w:sz w:val="19"/>
                <w:szCs w:val="19"/>
                <w:color w:val="auto"/>
              </w:rPr>
            </w:pPr>
          </w:p>
        </w:tc>
        <w:tc>
          <w:tcPr>
            <w:tcW w:w="4100" w:type="dxa"/>
            <w:vAlign w:val="bottom"/>
          </w:tcPr>
          <w:p>
            <w:pPr>
              <w:jc w:val="center"/>
              <w:ind w:right="219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6"/>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62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ind w:right="180"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2.03 of this Current Report on Form 8-K is incorporated herein by reference.</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24, 2023, Weatherford International plc (“Weatherford” and together with its subsidiaries, “we” or the “Company”) issued a news release announcing results for the third quarter ended September 30, 2023. A copy of the news release is furnished as Exhibit 99.1 and incorporated into this Item 2.02.</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will host a conference call on Wednesday, October 25, 2023, to discuss the Company’s results for the third quarter ended September 30, 2023. The conference call will begin at 10:00 a.m. Eastern Time (9:00 a.m. Central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Listeners are encouraged to download the accompanying presentation slides which will be available in the investor relations section of the Company’s website.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telephonic replay of the conference call will be available until November 8, 2023, at 5:00 p.m. Eastern Time. To access the replay, please dial +1 877-344-7529 (within the U.S.) or +1 412-317-0088 (outside of the U.S.) and reference conference number 4193933. A replay and transcript of the earnings call will also be available in the investor relations section of the Company’s website.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replay and transcript of the earnings call will also be available in the investor relations section of the Company’s website.</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previously disclosed, Weatherford International Ltd. (“WIL-Bermuda”), Weatherford International, LLC (“WIL-Delaware”), Weatherford Canada Ltd. (“WIL-Canada”, and, together with WIL-Bermuda and WIL-Delaware, the “Initial Borrowers”, and the Initial Borrowers together with WIL-Switzerland (as defined below), the “Borrowers”), as borrowers, and Weatherford, as parent, entered into an amended and restated credit agreement (as amended and supplemented by the Canadian Borrower Joinder, dated as of November 22, 2022, the Additional Lender Supplement, dated as of November 22, 2022, the First Amendment to Amended and Restated Credit Agreement, dated as of November 22, 2022, the Second Amendment to Amended and Restated Credit Agreement, dated as of January 6, 2023, the Third Amendment to Amended and Restated Credit Agreement, dated as of March 24, 2023 and the Fourth Amendment (as defined below), the “Amended and Restated Credit Agreement”) with the lenders party thereto and Wells Fargo Bank, National Association, as administrative agent (in such capacity, the “Administrative Agent”), on October 17, 2022. Capitalized terms not defined herein shall have the meanings set forth in the Amended and Restated Credit Agreement.</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24, 2023 (the “Amendment Effective Date”), the Borrowers, Weatherford, each other Obligor, the lenders party thereto and the Administrative Agent entered into the Fourth Amendment to Amended and Restated Credit Agreement (the “Fourth Amendment”), which, among other things, increases the aggregate commitments under the revolving credit facility such that the Amended and Restated Credit Agreement provides for a $550 million revolving credit facility, comprised, as of the Amendment Effective Date, of (i) $250 million for the issuance of bid and performance letters of credit for the Borrowers and certain subsidiaries (“LC Facility”) and (ii) $300 million for revolving loans and the issuance of bid, performance and financial letters of credit for the Borrowers and certain subsidiaries (“Revolving Facility”). The Amended and Restated Credit Agreement gives the Borrowers, upon the satisfaction of certain conditions, the ability to request incremental increases of the LC Facility and/or the Revolving Facility by up to $200 million in the aggregate; provided, that the Revolving Facility shall not be increased until the aggregate outstanding principal amount of WIL-Bermuda’s 6.500% senior secured notes due 2028 (the “Senior Secured Notes”) does not exceed $200 million. As of the Amendment Effective Date, there were approximately $220 million of outstanding letters of credit under the LC Facility, $52 million of outstanding letters of credit under the Revolving Facility and no outstanding loans under the Revolving Facility.</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Fourth Amendment modifies the pricing for revolving credit facility such that the outstanding amount of (i) each loan will bear interest at Adjusted Term SOFR (which includes an adjustment of 10 basis points per annum), Adjusted Eurocurrency Rate (which, to the extent based on Term CORRA or Daily Compounded CORRA, shall include an adjustment of 29.547 or 32.138 basis points) or Daily Simple RFR, as applicable, plus an applicable margin of 225-375 basis points per annum (depending on the applicable credit rating) and (ii) each letter of credit will be subject to an LC participation fee equal to 225-375 basis points per annum (depending on the applicable credit rating). The Fourth Amendment also (i) increases the fronting fee on the outstanding amount of each such letter of credit to 20 basis point per annum and (ii) adjusts the unused commitment fee in respect of the unutilized commitments to 35-50 basis point per annum on the average daily unused commitments under the Amended and Restated Credit Agreement (depending on the applicable credit rating).</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Fourth Amendment, among other things, (i) joins WOFS International Finance GmbH (“WIL-Switzerland”) as a Borrower, (ii) extends the Maturity Date to the earlier of October 24, 2028 and the date that is 91 days prior to the stated maturity of the Senior Secured Notes or any Permitted Refinancing Indebtedness with respect thereto, (iii) includes a maximum ratio of funded debt that is secured on a pari passu or junior lien basis with the revolving credit facility (net of unrestricted cash in excess of $400 million) to consolidated adjusted EBITDA of 1.50 to 1.00, (iv) eliminates the Minimum Book Value of Assets test and related provisions, (v) permits Weatherford and its restricted subsidiaries to make distributions and other restricted payments on account of its capital stock upon the satisfaction of certain conditions (including no default, the ratio of funded debt (net of unrestricted cash in excess of $400 million) to consolidated adjusted EBITDA not exceeding 2.00 to 1.00 and liquidity of at least $400,000,000), and (vi) adjusts certain baskets and thresholds as set forth therein.</w:t>
      </w:r>
    </w:p>
    <w:p>
      <w:pPr>
        <w:spacing w:after="0" w:line="1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foregoing description of the Fourth Amendment is only a summary and does not purport to be complete and is qualified in its entirety by reference to the full text of the Fourth Amendment, a copy of which is attached hereto as Exhibit 10.1 and is incorporated herein by reference.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24, 2023, the Company issued a press release announcing the Fourth Amendment. A copy of the press release is furnished as Exhibit 99.2.</w:t>
      </w:r>
    </w:p>
    <w:p>
      <w:pPr>
        <w:sectPr>
          <w:pgSz w:w="11900" w:h="16838" w:orient="portrait"/>
          <w:cols w:equalWidth="0" w:num="1">
            <w:col w:w="11240"/>
          </w:cols>
          <w:pgMar w:left="320" w:top="904" w:right="339"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580" w:hanging="941"/>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540" w:type="dxa"/>
            <w:vAlign w:val="bottom"/>
            <w:tcBorders>
              <w:top w:val="single" w:sz="8" w:color="auto"/>
              <w:bottom w:val="single" w:sz="8" w:color="0000EE"/>
            </w:tcBorders>
            <w:gridSpan w:val="4"/>
          </w:tcPr>
          <w:p>
            <w:pPr>
              <w:spacing w:after="0" w:line="169" w:lineRule="exact"/>
              <w:rPr>
                <w:sz w:val="20"/>
                <w:szCs w:val="20"/>
                <w:color w:val="auto"/>
              </w:rPr>
            </w:pPr>
            <w:r>
              <w:rPr>
                <w:rFonts w:ascii="Arial" w:cs="Arial" w:eastAsia="Arial" w:hAnsi="Arial"/>
                <w:sz w:val="18"/>
                <w:szCs w:val="18"/>
                <w:color w:val="0000EE"/>
                <w:w w:val="96"/>
              </w:rPr>
              <w:t>Fourth Amendment to Amended and Restated Credit Agreement, dated as of October 24, 2023, by and among Weatherford</w:t>
            </w:r>
          </w:p>
        </w:tc>
        <w:tc>
          <w:tcPr>
            <w:tcW w:w="60" w:type="dxa"/>
            <w:vAlign w:val="bottom"/>
            <w:tcBorders>
              <w:top w:val="single" w:sz="8" w:color="auto"/>
            </w:tcBorders>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gridSpan w:val="5"/>
          </w:tcPr>
          <w:p>
            <w:pPr>
              <w:spacing w:after="0" w:line="196" w:lineRule="exact"/>
              <w:rPr>
                <w:sz w:val="20"/>
                <w:szCs w:val="20"/>
                <w:color w:val="auto"/>
              </w:rPr>
            </w:pPr>
            <w:r>
              <w:rPr>
                <w:rFonts w:ascii="Arial" w:cs="Arial" w:eastAsia="Arial" w:hAnsi="Arial"/>
                <w:sz w:val="18"/>
                <w:szCs w:val="18"/>
                <w:color w:val="0000EE"/>
                <w:w w:val="95"/>
              </w:rPr>
              <w:t>International Ltd., Weatherford International, LLC, Weatherford Canada Ltd. WOFS International Finance GmbH, Weatherford</w:t>
            </w: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International plc, the lenders party thereto and Wells Fargo Bank, National Association, as administrative agent.</w:t>
            </w:r>
          </w:p>
        </w:tc>
        <w:tc>
          <w:tcPr>
            <w:tcW w:w="14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News Release dated October 24, 2023 announcing results for the third quarter ended September 30, 2023.</w:t>
            </w:r>
          </w:p>
        </w:tc>
        <w:tc>
          <w:tcPr>
            <w:tcW w:w="1980" w:type="dxa"/>
            <w:vAlign w:val="bottom"/>
            <w:gridSpan w:val="4"/>
          </w:tcPr>
          <w:p>
            <w:pPr>
              <w:spacing w:after="0"/>
              <w:rPr>
                <w:sz w:val="24"/>
                <w:szCs w:val="24"/>
                <w:color w:val="auto"/>
              </w:rPr>
            </w:pPr>
          </w:p>
        </w:tc>
      </w:tr>
      <w:tr>
        <w:trPr>
          <w:trHeight w:val="412"/>
        </w:trPr>
        <w:tc>
          <w:tcPr>
            <w:tcW w:w="900" w:type="dxa"/>
            <w:vAlign w:val="bottom"/>
            <w:gridSpan w:val="2"/>
          </w:tcPr>
          <w:p>
            <w:pPr>
              <w:jc w:val="right"/>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News Release dated October 24, 2023 announcing the Fourth Amendment to the Amended and Restated Credit Agreement.</w:t>
            </w:r>
          </w:p>
        </w:tc>
        <w:tc>
          <w:tcPr>
            <w:tcW w:w="700" w:type="dxa"/>
            <w:vAlign w:val="bottom"/>
            <w:gridSpan w:val="2"/>
          </w:tcPr>
          <w:p>
            <w:pPr>
              <w:spacing w:after="0"/>
              <w:rPr>
                <w:sz w:val="24"/>
                <w:szCs w:val="24"/>
                <w:color w:val="auto"/>
              </w:rPr>
            </w:pPr>
          </w:p>
        </w:tc>
      </w:tr>
      <w:tr>
        <w:trPr>
          <w:trHeight w:val="453"/>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2023</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5715</wp:posOffset>
            </wp:positionV>
            <wp:extent cx="3703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ind w:left="7800"/>
        <w:spacing w:after="0"/>
        <w:rPr>
          <w:sz w:val="20"/>
          <w:szCs w:val="20"/>
          <w:color w:val="auto"/>
        </w:rPr>
      </w:pPr>
      <w:r>
        <w:rPr>
          <w:rFonts w:ascii="Arial" w:cs="Arial" w:eastAsia="Arial" w:hAnsi="Arial"/>
          <w:sz w:val="18"/>
          <w:szCs w:val="18"/>
          <w:color w:val="auto"/>
        </w:rPr>
        <w:t>Arunava Mitra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FOURTH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24, 2023, is entered into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WEATHERFORD CANADA LTD., an Alberta corporation (“</w:t>
      </w:r>
      <w:r>
        <w:rPr>
          <w:rFonts w:ascii="Arial" w:cs="Arial" w:eastAsia="Arial" w:hAnsi="Arial"/>
          <w:sz w:val="18"/>
          <w:szCs w:val="18"/>
          <w:u w:val="single" w:color="auto"/>
          <w:color w:val="auto"/>
        </w:rPr>
        <w:t>WIL-Canada</w:t>
      </w:r>
      <w:r>
        <w:rPr>
          <w:rFonts w:ascii="Arial" w:cs="Arial" w:eastAsia="Arial" w:hAnsi="Arial"/>
          <w:sz w:val="18"/>
          <w:szCs w:val="18"/>
          <w:color w:val="auto"/>
        </w:rPr>
        <w:t>”),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and, together with WIL-Bermuda and WIL-Canada,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Borrowers</w:t>
      </w:r>
      <w:r>
        <w:rPr>
          <w:rFonts w:ascii="Arial" w:cs="Arial" w:eastAsia="Arial" w:hAnsi="Arial"/>
          <w:sz w:val="18"/>
          <w:szCs w:val="18"/>
          <w:color w:val="auto"/>
        </w:rPr>
        <w:t>”), WOFS INTERNATIONAL FINANCE GMBH, a Swiss limited liability company, (“</w:t>
      </w:r>
      <w:r>
        <w:rPr>
          <w:rFonts w:ascii="Arial" w:cs="Arial" w:eastAsia="Arial" w:hAnsi="Arial"/>
          <w:sz w:val="18"/>
          <w:szCs w:val="18"/>
          <w:u w:val="single" w:color="auto"/>
          <w:color w:val="auto"/>
        </w:rPr>
        <w:t>WIL-Switzerland</w:t>
      </w:r>
      <w:r>
        <w:rPr>
          <w:rFonts w:ascii="Arial" w:cs="Arial" w:eastAsia="Arial" w:hAnsi="Arial"/>
          <w:sz w:val="18"/>
          <w:szCs w:val="18"/>
          <w:color w:val="auto"/>
        </w:rPr>
        <w:t>” and together with the Existing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WEATHERFORD INTERNATIONAL PLC, as Parent (“</w:t>
      </w:r>
      <w:r>
        <w:rPr>
          <w:rFonts w:ascii="Arial" w:cs="Arial" w:eastAsia="Arial" w:hAnsi="Arial"/>
          <w:sz w:val="18"/>
          <w:szCs w:val="18"/>
          <w:u w:val="single" w:color="auto"/>
          <w:color w:val="auto"/>
        </w:rPr>
        <w:t>Parent</w:t>
      </w:r>
      <w:r>
        <w:rPr>
          <w:rFonts w:ascii="Arial" w:cs="Arial" w:eastAsia="Arial" w:hAnsi="Arial"/>
          <w:sz w:val="18"/>
          <w:szCs w:val="18"/>
          <w:color w:val="auto"/>
        </w:rPr>
        <w:t>”), the other Guarantors party hereto (together with the Borrowers, the “</w:t>
      </w:r>
      <w:r>
        <w:rPr>
          <w:rFonts w:ascii="Arial" w:cs="Arial" w:eastAsia="Arial" w:hAnsi="Arial"/>
          <w:sz w:val="18"/>
          <w:szCs w:val="18"/>
          <w:u w:val="single" w:color="auto"/>
          <w:color w:val="auto"/>
        </w:rPr>
        <w:t>Obligors</w:t>
      </w:r>
      <w:r>
        <w:rPr>
          <w:rFonts w:ascii="Arial" w:cs="Arial" w:eastAsia="Arial" w:hAnsi="Arial"/>
          <w:sz w:val="18"/>
          <w:szCs w:val="18"/>
          <w:color w:val="auto"/>
        </w:rPr>
        <w:t>”), WELLS FARGO BANK, NATIONAL ASSOCIATION,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in its capacity as Foreign Collateral Agent, and the Lenders and Issuing Banks party hereto, including the Continuing Lenders and the New Lender (each as defined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Existing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amended by this Amendment and as may be further amended, restated,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WHEREAS, Parent and the Existing Borrowers have requested certain amendments to the Existing Credit Agreement, including, among other things, to (a) extend the existing maturity date to the date that is five (5) years from the Fourth Amendment Effective Date (as defined below), (b) increase the Aggregate Commitments from $400,000,000 to $550,000,000 and (c) join WIL-Switzerland as a Borrower under the Credit Agreement;</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certain of the Lenders have agreed to assign their respective Commitments, Revolving Credit Exposure and LC Exposure in respect of Performance Letters of Credit to certain of the other Lenders, in each case as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subject to the terms and conditions contained herein, the Administrative Agent, the Continuing Lenders, the New Lender and the Obligors have agreed to amend the Existing Credit Agreement as hereinafter set forth to address the foregoing.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firstLine="656"/>
        <w:spacing w:after="0" w:line="277" w:lineRule="auto"/>
        <w:tabs>
          <w:tab w:leader="none" w:pos="136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Defined Terms; Section References</w:t>
      </w:r>
      <w:r>
        <w:rPr>
          <w:rFonts w:ascii="Arial" w:cs="Arial" w:eastAsia="Arial" w:hAnsi="Arial"/>
          <w:sz w:val="18"/>
          <w:szCs w:val="18"/>
          <w:color w:val="auto"/>
        </w:rPr>
        <w:t>. Capitalized terms used herein but not otherwise defined herein shall have the meanings provided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56"/>
        <w:spacing w:after="0" w:line="286" w:lineRule="auto"/>
        <w:tabs>
          <w:tab w:leader="none" w:pos="137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Assignment and Reallocation of Commitments; New Lender</w:t>
      </w:r>
      <w:r>
        <w:rPr>
          <w:rFonts w:ascii="Arial" w:cs="Arial" w:eastAsia="Arial" w:hAnsi="Arial"/>
          <w:sz w:val="16"/>
          <w:szCs w:val="16"/>
          <w:color w:val="auto"/>
        </w:rPr>
        <w:t>. Woodforest National Bank (the “</w:t>
      </w:r>
      <w:r>
        <w:rPr>
          <w:rFonts w:ascii="Arial" w:cs="Arial" w:eastAsia="Arial" w:hAnsi="Arial"/>
          <w:sz w:val="16"/>
          <w:szCs w:val="16"/>
          <w:u w:val="single" w:color="auto"/>
          <w:color w:val="auto"/>
        </w:rPr>
        <w:t>New Lender</w:t>
      </w:r>
      <w:r>
        <w:rPr>
          <w:rFonts w:ascii="Arial" w:cs="Arial" w:eastAsia="Arial" w:hAnsi="Arial"/>
          <w:sz w:val="16"/>
          <w:szCs w:val="16"/>
          <w:color w:val="auto"/>
        </w:rPr>
        <w:t>”) intends to become a party to the Credit Agreement as a Lender. The New Lender and the other Lenders that are a party to the Existing Credit Agreement (Such existing Lenders, the “</w:t>
      </w:r>
      <w:r>
        <w:rPr>
          <w:rFonts w:ascii="Arial" w:cs="Arial" w:eastAsia="Arial" w:hAnsi="Arial"/>
          <w:sz w:val="16"/>
          <w:szCs w:val="16"/>
          <w:u w:val="single" w:color="auto"/>
          <w:color w:val="auto"/>
        </w:rPr>
        <w:t>Continuing Lenders</w:t>
      </w:r>
      <w:r>
        <w:rPr>
          <w:rFonts w:ascii="Arial" w:cs="Arial" w:eastAsia="Arial" w:hAnsi="Arial"/>
          <w:sz w:val="16"/>
          <w:szCs w:val="16"/>
          <w:color w:val="auto"/>
        </w:rPr>
        <w:t xml:space="preserve">”) have agreed, and Parent, the Borrowers, the Administrative Agent and the Issuing Banks hereby consent, to the following: (a) the assignment of certain of the Continuing Lenders’ respective Commitments, Revolving Credit Exposure and LC Exposure in respect of Performance Letters of Credit and (b) the New Lender and certain of the Continuing Lenders acquiring and assuming an interest in the Commitments, Revolving Credit Exposure and LC Exposure in respect of Performance Letters of Credit assigned by certain of the Continuing Lenders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assignments and assumptions are hereby deemed made pursuant to the terms, provisions and representations of the Assignment and Assumption attached as Exhibit A to the Existing Credit Agreement as if each applicable party hereto had executed and delivered, or consented to, an Assignment and Assumption (with the Effective Date, as defined therein, being the Fourth Amendment Effective Date). On the Fourth Amendment Effective Date and after giving effect to such assignments and assumptions, each party hereto agrees that (i) the Applicable Percentage (LCs), Applicable Percentage (Loans), Applicable Percentage (Total), Revolving Credit Commitment, Revolving Loan-Specific Commitment, Performance LC Commitment and Fronting Commitment of each Lender shall be as set forth on Schedule 2.01 attached hereto, which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supersedes and replaces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to the Existing Credit Agreement and (ii) the New Lender shall be a “Lender” for all purposes under the Credit Agreement and the other Loan Documents.</w:t>
      </w:r>
    </w:p>
    <w:p>
      <w:pPr>
        <w:spacing w:after="0" w:line="173" w:lineRule="exact"/>
        <w:rPr>
          <w:rFonts w:ascii="Arial" w:cs="Arial" w:eastAsia="Arial" w:hAnsi="Arial"/>
          <w:sz w:val="16"/>
          <w:szCs w:val="16"/>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69"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The Existing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70C0"/>
        </w:rPr>
        <w:t>double-underlined text</w:t>
      </w:r>
      <w:r>
        <w:rPr>
          <w:rFonts w:ascii="Arial" w:cs="Arial" w:eastAsia="Arial" w:hAnsi="Arial"/>
          <w:sz w:val="18"/>
          <w:szCs w:val="18"/>
          <w:color w:val="000000"/>
        </w:rPr>
        <w:t>) as set forth in the pages attached as</w:t>
      </w:r>
      <w:r>
        <w:rPr>
          <w:rFonts w:ascii="Arial" w:cs="Arial" w:eastAsia="Arial" w:hAnsi="Arial"/>
          <w:sz w:val="18"/>
          <w:szCs w:val="18"/>
          <w:color w:val="0070C0"/>
        </w:rPr>
        <w:t xml:space="preserve"> </w:t>
      </w:r>
      <w:r>
        <w:rPr>
          <w:rFonts w:ascii="Arial" w:cs="Arial" w:eastAsia="Arial" w:hAnsi="Arial"/>
          <w:sz w:val="18"/>
          <w:szCs w:val="18"/>
          <w:u w:val="single" w:color="auto"/>
          <w:color w:val="000000"/>
        </w:rPr>
        <w:t>Exhibit A</w:t>
      </w:r>
      <w:r>
        <w:rPr>
          <w:rFonts w:ascii="Arial" w:cs="Arial" w:eastAsia="Arial" w:hAnsi="Arial"/>
          <w:sz w:val="18"/>
          <w:szCs w:val="18"/>
          <w:color w:val="0070C0"/>
        </w:rPr>
        <w:t xml:space="preserve"> </w:t>
      </w:r>
      <w:r>
        <w:rPr>
          <w:rFonts w:ascii="Arial" w:cs="Arial" w:eastAsia="Arial" w:hAnsi="Arial"/>
          <w:sz w:val="18"/>
          <w:szCs w:val="18"/>
          <w:color w:val="000000"/>
        </w:rPr>
        <w:t>hereto.</w:t>
      </w:r>
    </w:p>
    <w:p>
      <w:pPr>
        <w:spacing w:after="0" w:line="183" w:lineRule="exact"/>
        <w:rPr>
          <w:rFonts w:ascii="Arial" w:cs="Arial" w:eastAsia="Arial" w:hAnsi="Arial"/>
          <w:sz w:val="18"/>
          <w:szCs w:val="18"/>
          <w:color w:val="auto"/>
        </w:rPr>
      </w:pPr>
    </w:p>
    <w:p>
      <w:pPr>
        <w:ind w:left="660" w:firstLine="644"/>
        <w:spacing w:after="0" w:line="277" w:lineRule="auto"/>
        <w:tabs>
          <w:tab w:leader="none" w:pos="211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Schedules 1.01B, 1.01D, 2.01, 9.01, 9.04 and 9.06 of the Existing Credit Agreement are hereby amended and restated in their entirety with </w:t>
      </w:r>
      <w:r>
        <w:rPr>
          <w:rFonts w:ascii="Arial" w:cs="Arial" w:eastAsia="Arial" w:hAnsi="Arial"/>
          <w:sz w:val="18"/>
          <w:szCs w:val="18"/>
          <w:u w:val="single" w:color="auto"/>
          <w:color w:val="auto"/>
        </w:rPr>
        <w:t>Schedules 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to this Amendment.</w:t>
      </w:r>
    </w:p>
    <w:p>
      <w:pPr>
        <w:spacing w:after="0" w:line="170" w:lineRule="exact"/>
        <w:rPr>
          <w:rFonts w:ascii="Arial" w:cs="Arial" w:eastAsia="Arial" w:hAnsi="Arial"/>
          <w:sz w:val="18"/>
          <w:szCs w:val="18"/>
          <w:color w:val="auto"/>
        </w:rPr>
      </w:pPr>
    </w:p>
    <w:p>
      <w:pPr>
        <w:ind w:left="2040" w:hanging="736"/>
        <w:spacing w:after="0"/>
        <w:tabs>
          <w:tab w:leader="none" w:pos="204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Schedule 8.15</w:t>
      </w:r>
      <w:r>
        <w:rPr>
          <w:rFonts w:ascii="Arial" w:cs="Arial" w:eastAsia="Arial" w:hAnsi="Arial"/>
          <w:sz w:val="18"/>
          <w:szCs w:val="18"/>
          <w:color w:val="auto"/>
        </w:rPr>
        <w:t xml:space="preserve"> to this Amendment is hereby added as Schedule 8.15 to the Credit Agreement.</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Schedule 1.01E</w:t>
      </w:r>
      <w:r>
        <w:rPr>
          <w:rFonts w:ascii="Arial" w:cs="Arial" w:eastAsia="Arial" w:hAnsi="Arial"/>
          <w:sz w:val="18"/>
          <w:szCs w:val="18"/>
          <w:color w:val="auto"/>
        </w:rPr>
        <w:t xml:space="preserve"> to this Amendment is hereby added as Schedule 1.01E to the Credit Agreement.</w:t>
      </w:r>
    </w:p>
    <w:p>
      <w:pPr>
        <w:spacing w:after="0" w:line="225" w:lineRule="exact"/>
        <w:rPr>
          <w:rFonts w:ascii="Arial" w:cs="Arial" w:eastAsia="Arial" w:hAnsi="Arial"/>
          <w:sz w:val="18"/>
          <w:szCs w:val="18"/>
          <w:color w:val="auto"/>
        </w:rPr>
      </w:pPr>
    </w:p>
    <w:p>
      <w:pPr>
        <w:ind w:firstLine="656"/>
        <w:spacing w:after="0" w:line="277" w:lineRule="auto"/>
        <w:tabs>
          <w:tab w:leader="none" w:pos="137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satisfaction, or waiver, of each of the following conditions (the date of the satisfaction or waiver of all such conditions, the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(a)           The Borrowers shall have paid (i) to the Administrative Agent, the Joint Lead Arrangers and the Lenders, as applicable, all fees and other amounts agreed upon by such parties to be paid on or prior to the Fourth Amendment Effective Date, and (ii) to the extent invoiced at or before 1:00 p.m., New York City time, on the Business Day immediately prior to the Fourth Amendment Effective Date, all reasonably and documented out-of-pocket expenses required to be reimbursed or paid by the Borrowers pursuant to the Loan Documents.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color w:val="auto"/>
        </w:rPr>
        <w:t>(b)           The Administrative Agent shall have received the following, all in form and substance reasonably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counterparts (in such number as may be requested by the Administrative Agent) of this Amendment from the Borrowers,</w:t>
      </w:r>
      <w:r>
        <w:rPr>
          <w:rFonts w:ascii="Arial" w:cs="Arial" w:eastAsia="Arial" w:hAnsi="Arial"/>
          <w:sz w:val="18"/>
          <w:szCs w:val="18"/>
          <w:color w:val="010000"/>
        </w:rPr>
        <w:t xml:space="preserve"> </w:t>
      </w:r>
      <w:r>
        <w:rPr>
          <w:rFonts w:ascii="Arial" w:cs="Arial" w:eastAsia="Arial" w:hAnsi="Arial"/>
          <w:sz w:val="18"/>
          <w:szCs w:val="18"/>
          <w:color w:val="000000"/>
        </w:rPr>
        <w:t>Parent, the other Obligors, Administrative Agent and each Lender;</w:t>
      </w:r>
    </w:p>
    <w:p>
      <w:pPr>
        <w:spacing w:after="0" w:line="170" w:lineRule="exact"/>
        <w:rPr>
          <w:sz w:val="20"/>
          <w:szCs w:val="20"/>
          <w:color w:val="auto"/>
        </w:rPr>
      </w:pPr>
    </w:p>
    <w:p>
      <w:pPr>
        <w:jc w:val="both"/>
        <w:ind w:left="640" w:firstLine="648"/>
        <w:spacing w:after="0" w:line="284" w:lineRule="auto"/>
        <w:rPr>
          <w:sz w:val="20"/>
          <w:szCs w:val="20"/>
          <w:color w:val="auto"/>
        </w:rPr>
      </w:pPr>
      <w:r>
        <w:rPr>
          <w:rFonts w:ascii="Arial" w:cs="Arial" w:eastAsia="Arial" w:hAnsi="Arial"/>
          <w:sz w:val="16"/>
          <w:szCs w:val="16"/>
          <w:color w:val="010000"/>
        </w:rPr>
        <w:t>(ii)          </w:t>
      </w:r>
      <w:r>
        <w:rPr>
          <w:rFonts w:ascii="Arial" w:cs="Arial" w:eastAsia="Arial" w:hAnsi="Arial"/>
          <w:sz w:val="16"/>
          <w:szCs w:val="16"/>
          <w:color w:val="000000"/>
        </w:rPr>
        <w:t>a certificate of a Responsible Officer of Parent, dated the Fourth Amendment Effective Date and certifying (A) that the</w:t>
      </w:r>
      <w:r>
        <w:rPr>
          <w:rFonts w:ascii="Arial" w:cs="Arial" w:eastAsia="Arial" w:hAnsi="Arial"/>
          <w:sz w:val="16"/>
          <w:szCs w:val="16"/>
          <w:color w:val="010000"/>
        </w:rPr>
        <w:t xml:space="preserve"> </w:t>
      </w:r>
      <w:r>
        <w:rPr>
          <w:rFonts w:ascii="Arial" w:cs="Arial" w:eastAsia="Arial" w:hAnsi="Arial"/>
          <w:sz w:val="16"/>
          <w:szCs w:val="16"/>
          <w:color w:val="000000"/>
        </w:rPr>
        <w:t>representations and warranties made by each Obligor in any Loan Document delivered at or prior to the Fourth Amendment Effective Date are true and correct in all material respects (except to the extent qualified by materiality or reference to Material Adverse Effect, in which case such applicable representation and warranty shall be true and correct in all respects) as of the Fourth Amendment Effective Date, except for those that by their express terms apply to an earlier date which shall be true and correct in all material respects as of such earlier date, (B) as to the absence of the occurrence and continuance of any Default or Event of Default on the Fourth Amendment Effective Date immediately after giving effect to the making of any Loan or the issuance (or deemed issuance) of any Letter of Credit,</w:t>
      </w:r>
    </w:p>
    <w:p>
      <w:pPr>
        <w:spacing w:after="0" w:line="2" w:lineRule="exact"/>
        <w:rPr>
          <w:sz w:val="20"/>
          <w:szCs w:val="20"/>
          <w:color w:val="auto"/>
        </w:rPr>
      </w:pPr>
    </w:p>
    <w:p>
      <w:pPr>
        <w:jc w:val="both"/>
        <w:ind w:left="640" w:firstLine="4"/>
        <w:spacing w:after="0" w:line="253"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it and each other Obligor constitute a group of companies for the purposes of section 243 of the Companies Act 2014 of Ireland (as amended), (D) confirming that its entry into this Amendment and any other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spacing w:after="0" w:line="191"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6"/>
          <w:szCs w:val="16"/>
          <w:color w:val="010000"/>
        </w:rPr>
        <w:t>(iii)         </w:t>
      </w:r>
      <w:r>
        <w:rPr>
          <w:rFonts w:ascii="Arial" w:cs="Arial" w:eastAsia="Arial" w:hAnsi="Arial"/>
          <w:sz w:val="16"/>
          <w:szCs w:val="16"/>
          <w:color w:val="000000"/>
        </w:rPr>
        <w:t>a certificate of the secretary or an assistant secretary or other Responsible Officer of each Obligor (other than any</w:t>
      </w:r>
      <w:r>
        <w:rPr>
          <w:rFonts w:ascii="Arial" w:cs="Arial" w:eastAsia="Arial" w:hAnsi="Arial"/>
          <w:sz w:val="16"/>
          <w:szCs w:val="16"/>
          <w:color w:val="010000"/>
        </w:rPr>
        <w:t xml:space="preserve"> </w:t>
      </w:r>
      <w:r>
        <w:rPr>
          <w:rFonts w:ascii="Arial" w:cs="Arial" w:eastAsia="Arial" w:hAnsi="Arial"/>
          <w:sz w:val="16"/>
          <w:szCs w:val="16"/>
          <w:color w:val="000000"/>
        </w:rPr>
        <w:t>Obligor incorporated in England and Wales) (and in the case of a Luxembourg Obligor, a manager (</w:t>
      </w:r>
      <w:r>
        <w:rPr>
          <w:rFonts w:ascii="Arial" w:cs="Arial" w:eastAsia="Arial" w:hAnsi="Arial"/>
          <w:sz w:val="16"/>
          <w:szCs w:val="16"/>
          <w:i w:val="1"/>
          <w:iCs w:val="1"/>
          <w:color w:val="000000"/>
        </w:rPr>
        <w:t>gérant</w:t>
      </w:r>
      <w:r>
        <w:rPr>
          <w:rFonts w:ascii="Arial" w:cs="Arial" w:eastAsia="Arial" w:hAnsi="Arial"/>
          <w:sz w:val="16"/>
          <w:szCs w:val="16"/>
          <w:color w:val="000000"/>
        </w:rPr>
        <w:t>)), dated the Fourth Amendment Effective Date and certifying (A) true and complete copies of the constitution or memorandum, articles of association or memorandum of association, by-laws, the deed, certificate of registration or certificate of incorporation, certified or original excerpt from the commercial register and any other organizational documents, as applicable, each as amended and in effect on the Fourth Amendment Effective Date, of such Obligor (other than any Obligor incorporated in England and Wales), (B) the resolutions adopted by the Board of Directors (or, in the case of an Obligor organized under the laws of Switzerland formed as a limited liability company, the managing directors or, in the case of an Obligor incorporated in Germany, a resolution of its shareholder(s))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this Amendment and the other Loan Documents to which it is or shall be a party and, in the case of a Borrower, the making of Loans and the issuance (or deemed issuance) of Letters of Credit for the account of such Borrower under the Credit Agreement, and (2) authorizing directors, officers or other representatives of such Obligor to execute and deliver this Amendment and the other Loan Documents to which it is or shall be a party and any related documents, (C) the absence of any proceedings for the bankruptcy, dissolution, liquidation or winding up of such Obligor (and in the case of a Luxembourg Obligor, that it is not subject to insolvency proceedings such as bankruptcy (</w:t>
      </w:r>
      <w:r>
        <w:rPr>
          <w:rFonts w:ascii="Arial" w:cs="Arial" w:eastAsia="Arial" w:hAnsi="Arial"/>
          <w:sz w:val="16"/>
          <w:szCs w:val="16"/>
          <w:i w:val="1"/>
          <w:iCs w:val="1"/>
          <w:color w:val="000000"/>
        </w:rPr>
        <w:t>faillite</w:t>
      </w:r>
      <w:r>
        <w:rPr>
          <w:rFonts w:ascii="Arial" w:cs="Arial" w:eastAsia="Arial" w:hAnsi="Arial"/>
          <w:sz w:val="16"/>
          <w:szCs w:val="16"/>
          <w:color w:val="000000"/>
        </w:rPr>
        <w:t>), compulsory liquidation (</w:t>
      </w:r>
      <w:r>
        <w:rPr>
          <w:rFonts w:ascii="Arial" w:cs="Arial" w:eastAsia="Arial" w:hAnsi="Arial"/>
          <w:sz w:val="16"/>
          <w:szCs w:val="16"/>
          <w:i w:val="1"/>
          <w:iCs w:val="1"/>
          <w:color w:val="000000"/>
        </w:rPr>
        <w:t>liquidation judiciaire</w:t>
      </w:r>
      <w:r>
        <w:rPr>
          <w:rFonts w:ascii="Arial" w:cs="Arial" w:eastAsia="Arial" w:hAnsi="Arial"/>
          <w:sz w:val="16"/>
          <w:szCs w:val="16"/>
          <w:color w:val="000000"/>
        </w:rPr>
        <w:t>), voluntary liquidation (</w:t>
      </w:r>
      <w:r>
        <w:rPr>
          <w:rFonts w:ascii="Arial" w:cs="Arial" w:eastAsia="Arial" w:hAnsi="Arial"/>
          <w:sz w:val="16"/>
          <w:szCs w:val="16"/>
          <w:i w:val="1"/>
          <w:iCs w:val="1"/>
          <w:color w:val="000000"/>
        </w:rPr>
        <w:t>liquidation volontaire</w:t>
      </w:r>
      <w:r>
        <w:rPr>
          <w:rFonts w:ascii="Arial" w:cs="Arial" w:eastAsia="Arial" w:hAnsi="Arial"/>
          <w:sz w:val="16"/>
          <w:szCs w:val="16"/>
          <w:color w:val="000000"/>
        </w:rPr>
        <w:t>), winding-up, moratorium, composition with creditors (</w:t>
      </w:r>
      <w:r>
        <w:rPr>
          <w:rFonts w:ascii="Arial" w:cs="Arial" w:eastAsia="Arial" w:hAnsi="Arial"/>
          <w:sz w:val="16"/>
          <w:szCs w:val="16"/>
          <w:i w:val="1"/>
          <w:iCs w:val="1"/>
          <w:color w:val="000000"/>
        </w:rPr>
        <w:t>gestion contrôlé</w:t>
      </w:r>
      <w:r>
        <w:rPr>
          <w:rFonts w:ascii="Arial" w:cs="Arial" w:eastAsia="Arial" w:hAnsi="Arial"/>
          <w:sz w:val="16"/>
          <w:szCs w:val="16"/>
          <w:color w:val="000000"/>
        </w:rPr>
        <w:t>), suspension of payments (</w:t>
      </w:r>
      <w:r>
        <w:rPr>
          <w:rFonts w:ascii="Arial" w:cs="Arial" w:eastAsia="Arial" w:hAnsi="Arial"/>
          <w:sz w:val="16"/>
          <w:szCs w:val="16"/>
          <w:i w:val="1"/>
          <w:iCs w:val="1"/>
          <w:color w:val="000000"/>
        </w:rPr>
        <w:t>sursis de paiement</w:t>
      </w:r>
      <w:r>
        <w:rPr>
          <w:rFonts w:ascii="Arial" w:cs="Arial" w:eastAsia="Arial" w:hAnsi="Arial"/>
          <w:sz w:val="16"/>
          <w:szCs w:val="16"/>
          <w:color w:val="000000"/>
        </w:rPr>
        <w:t>), voluntary arrangement with creditors (</w:t>
      </w:r>
      <w:r>
        <w:rPr>
          <w:rFonts w:ascii="Arial" w:cs="Arial" w:eastAsia="Arial" w:hAnsi="Arial"/>
          <w:sz w:val="16"/>
          <w:szCs w:val="16"/>
          <w:i w:val="1"/>
          <w:iCs w:val="1"/>
          <w:color w:val="000000"/>
        </w:rPr>
        <w:t>concordate préventif de</w:t>
      </w:r>
      <w:r>
        <w:rPr>
          <w:rFonts w:ascii="Arial" w:cs="Arial" w:eastAsia="Arial" w:hAnsi="Arial"/>
          <w:sz w:val="16"/>
          <w:szCs w:val="16"/>
          <w:color w:val="000000"/>
        </w:rPr>
        <w:t xml:space="preserve"> </w:t>
      </w:r>
      <w:r>
        <w:rPr>
          <w:rFonts w:ascii="Arial" w:cs="Arial" w:eastAsia="Arial" w:hAnsi="Arial"/>
          <w:sz w:val="16"/>
          <w:szCs w:val="16"/>
          <w:i w:val="1"/>
          <w:iCs w:val="1"/>
          <w:color w:val="000000"/>
        </w:rPr>
        <w:t>la faillite</w:t>
      </w:r>
      <w:r>
        <w:rPr>
          <w:rFonts w:ascii="Arial" w:cs="Arial" w:eastAsia="Arial" w:hAnsi="Arial"/>
          <w:sz w:val="16"/>
          <w:szCs w:val="16"/>
          <w:color w:val="000000"/>
        </w:rPr>
        <w:t>), fraudulent conveyance, general settlement with creditors, reorganization or other similar order or proceedings affecting the</w:t>
      </w:r>
      <w:r>
        <w:rPr>
          <w:rFonts w:ascii="Arial" w:cs="Arial" w:eastAsia="Arial" w:hAnsi="Arial"/>
          <w:sz w:val="16"/>
          <w:szCs w:val="16"/>
          <w:i w:val="1"/>
          <w:iCs w:val="1"/>
          <w:color w:val="000000"/>
        </w:rPr>
        <w:t xml:space="preserve"> </w:t>
      </w:r>
      <w:r>
        <w:rPr>
          <w:rFonts w:ascii="Arial" w:cs="Arial" w:eastAsia="Arial" w:hAnsi="Arial"/>
          <w:sz w:val="16"/>
          <w:szCs w:val="16"/>
          <w:color w:val="000000"/>
        </w:rPr>
        <w:t>rights of creditors generally and any proceedings in jurisdictions other than Luxembourg having similar effect) or other customary market certifications with respect to insolvency or bankruptcy, (D) the incumbency and specimen signatures of the officers or other authorized representatives of such Obligor (other than any Obligor incorporated in England and Wales) executing any documents on its behalf and</w:t>
      </w:r>
    </w:p>
    <w:p>
      <w:pPr>
        <w:spacing w:after="0" w:line="10" w:lineRule="exact"/>
        <w:rPr>
          <w:sz w:val="20"/>
          <w:szCs w:val="20"/>
          <w:color w:val="auto"/>
        </w:rPr>
      </w:pPr>
    </w:p>
    <w:p>
      <w:pPr>
        <w:ind w:left="640" w:firstLine="4"/>
        <w:spacing w:after="0" w:line="260" w:lineRule="auto"/>
        <w:tabs>
          <w:tab w:leader="none" w:pos="93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required by applicable law or customary market practice in the jurisdiction, certifying that the guaranteeing or securing of the Commitments would not cause a guarantee or security limit binding on such Obligor to be exceeded;</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jc w:val="both"/>
        <w:ind w:left="180" w:firstLine="648"/>
        <w:spacing w:after="0" w:line="285" w:lineRule="auto"/>
        <w:rPr>
          <w:sz w:val="20"/>
          <w:szCs w:val="20"/>
          <w:color w:val="auto"/>
        </w:rPr>
      </w:pPr>
      <w:r>
        <w:rPr>
          <w:rFonts w:ascii="Arial" w:cs="Arial" w:eastAsia="Arial" w:hAnsi="Arial"/>
          <w:sz w:val="16"/>
          <w:szCs w:val="16"/>
          <w:color w:val="010000"/>
        </w:rPr>
        <w:t>(iv)        </w:t>
      </w:r>
      <w:r>
        <w:rPr>
          <w:rFonts w:ascii="Arial" w:cs="Arial" w:eastAsia="Arial" w:hAnsi="Arial"/>
          <w:sz w:val="16"/>
          <w:szCs w:val="16"/>
          <w:color w:val="000000"/>
        </w:rPr>
        <w:t>in relation to each Obligor incorporated in England and Wales, (A) a copy of its constitutional documents, including a</w:t>
      </w:r>
      <w:r>
        <w:rPr>
          <w:rFonts w:ascii="Arial" w:cs="Arial" w:eastAsia="Arial" w:hAnsi="Arial"/>
          <w:sz w:val="16"/>
          <w:szCs w:val="16"/>
          <w:color w:val="010000"/>
        </w:rPr>
        <w:t xml:space="preserve"> </w:t>
      </w:r>
      <w:r>
        <w:rPr>
          <w:rFonts w:ascii="Arial" w:cs="Arial" w:eastAsia="Arial" w:hAnsi="Arial"/>
          <w:sz w:val="16"/>
          <w:szCs w:val="16"/>
          <w:color w:val="000000"/>
        </w:rPr>
        <w:t>copy of the PSC Register of each Obligor incorporated in England and Wales to which Part 21A of the Companies Act applies; (B) a copy of a resolution of its board of directors: (1) approving the terms of, and the transactions contemplated by, this Amendment and the other Loan Documents (the “</w:t>
      </w:r>
      <w:r>
        <w:rPr>
          <w:rFonts w:ascii="Arial" w:cs="Arial" w:eastAsia="Arial" w:hAnsi="Arial"/>
          <w:sz w:val="16"/>
          <w:szCs w:val="16"/>
          <w:u w:val="single" w:color="auto"/>
          <w:color w:val="000000"/>
        </w:rPr>
        <w:t>Transactions</w:t>
      </w:r>
      <w:r>
        <w:rPr>
          <w:rFonts w:ascii="Arial" w:cs="Arial" w:eastAsia="Arial" w:hAnsi="Arial"/>
          <w:sz w:val="16"/>
          <w:szCs w:val="16"/>
          <w:color w:val="000000"/>
        </w:rPr>
        <w:t xml:space="preserve">”) to which it is a party and resolving that it execute this Amendment and the Loan Documents to which it is a party; (2) authorizing a specified person or persons to execute this Amendment and the other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Transactions and the terms of this Amendment and the other Loan Documents to which the Obligor incorporated in England and Wales is a party; (D) a specimen of the signature of each person authorised by the resolution referred to in (B)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would not cause any guarantee, security or similar limit binding on it to be exceeded; and (F) certificates of each Obligor incorporated in England and Wales (signed by a director, a manager or an authorized signatory, as the case may be) dated as of the Fourth Amendment Effective Date and certifying that each copy document relating to it specified in this </w:t>
      </w:r>
      <w:r>
        <w:rPr>
          <w:rFonts w:ascii="Arial" w:cs="Arial" w:eastAsia="Arial" w:hAnsi="Arial"/>
          <w:sz w:val="16"/>
          <w:szCs w:val="16"/>
          <w:u w:val="single" w:color="auto"/>
          <w:color w:val="000000"/>
        </w:rPr>
        <w:t>paragraph (iv)</w:t>
      </w:r>
      <w:r>
        <w:rPr>
          <w:rFonts w:ascii="Arial" w:cs="Arial" w:eastAsia="Arial" w:hAnsi="Arial"/>
          <w:sz w:val="16"/>
          <w:szCs w:val="16"/>
          <w:color w:val="000000"/>
        </w:rPr>
        <w:t xml:space="preserve"> is correct, complete and (to the extent executed) in full force and effect and has not been amended or superseded as at a date no earlier than the Fourth Amendment Effective Date;</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ind w:left="840"/>
        <w:spacing w:after="0"/>
        <w:rPr>
          <w:sz w:val="20"/>
          <w:szCs w:val="20"/>
          <w:color w:val="auto"/>
        </w:rPr>
      </w:pPr>
      <w:r>
        <w:rPr>
          <w:rFonts w:ascii="Arial" w:cs="Arial" w:eastAsia="Arial" w:hAnsi="Arial"/>
          <w:sz w:val="18"/>
          <w:szCs w:val="18"/>
          <w:color w:val="010000"/>
        </w:rPr>
        <w:t xml:space="preserve">(v)            </w:t>
      </w:r>
      <w:r>
        <w:rPr>
          <w:rFonts w:ascii="Arial" w:cs="Arial" w:eastAsia="Arial" w:hAnsi="Arial"/>
          <w:sz w:val="18"/>
          <w:szCs w:val="18"/>
          <w:color w:val="000000"/>
        </w:rPr>
        <w:t>[reserved];</w:t>
      </w:r>
    </w:p>
    <w:p>
      <w:pPr>
        <w:spacing w:after="0" w:line="225" w:lineRule="exact"/>
        <w:rPr>
          <w:sz w:val="20"/>
          <w:szCs w:val="20"/>
          <w:color w:val="auto"/>
        </w:rPr>
      </w:pPr>
    </w:p>
    <w:p>
      <w:pPr>
        <w:jc w:val="both"/>
        <w:ind w:left="180" w:firstLine="648"/>
        <w:spacing w:after="0" w:line="287" w:lineRule="auto"/>
        <w:rPr>
          <w:sz w:val="20"/>
          <w:szCs w:val="20"/>
          <w:color w:val="auto"/>
        </w:rPr>
      </w:pPr>
      <w:r>
        <w:rPr>
          <w:rFonts w:ascii="Arial" w:cs="Arial" w:eastAsia="Arial" w:hAnsi="Arial"/>
          <w:sz w:val="16"/>
          <w:szCs w:val="16"/>
          <w:color w:val="010000"/>
        </w:rPr>
        <w:t>(vi)           </w:t>
      </w:r>
      <w:r>
        <w:rPr>
          <w:rFonts w:ascii="Arial" w:cs="Arial" w:eastAsia="Arial" w:hAnsi="Arial"/>
          <w:sz w:val="16"/>
          <w:szCs w:val="16"/>
          <w:color w:val="000000"/>
        </w:rPr>
        <w:t>favorable, signed opinions addressed to the Administrative Agent and the Lenders dated the Fourth Amendment</w:t>
      </w:r>
      <w:r>
        <w:rPr>
          <w:rFonts w:ascii="Arial" w:cs="Arial" w:eastAsia="Arial" w:hAnsi="Arial"/>
          <w:sz w:val="16"/>
          <w:szCs w:val="16"/>
          <w:color w:val="010000"/>
        </w:rPr>
        <w:t xml:space="preserve"> </w:t>
      </w:r>
      <w:r>
        <w:rPr>
          <w:rFonts w:ascii="Arial" w:cs="Arial" w:eastAsia="Arial" w:hAnsi="Arial"/>
          <w:sz w:val="16"/>
          <w:szCs w:val="16"/>
          <w:color w:val="000000"/>
        </w:rPr>
        <w:t>Effective Date, each in form and substance reasonably satisfactory to the Administrative Agent, from (A) Latham &amp; Watkins LLP, special United States counsel to the Obligors, (B) Conyers Dill &amp; Pearman Limited, special Bermuda counsel to certain of the Obligors,</w:t>
      </w:r>
    </w:p>
    <w:p>
      <w:pPr>
        <w:spacing w:after="0" w:line="2" w:lineRule="exact"/>
        <w:rPr>
          <w:sz w:val="20"/>
          <w:szCs w:val="20"/>
          <w:color w:val="auto"/>
        </w:rPr>
      </w:pPr>
    </w:p>
    <w:p>
      <w:pPr>
        <w:jc w:val="both"/>
        <w:ind w:left="180" w:firstLine="4"/>
        <w:spacing w:after="0" w:line="281" w:lineRule="auto"/>
        <w:tabs>
          <w:tab w:leader="none" w:pos="483" w:val="left"/>
        </w:tabs>
        <w:numPr>
          <w:ilvl w:val="0"/>
          <w:numId w:val="7"/>
        </w:numPr>
        <w:rPr>
          <w:rFonts w:ascii="Arial" w:cs="Arial" w:eastAsia="Arial" w:hAnsi="Arial"/>
          <w:sz w:val="16"/>
          <w:szCs w:val="16"/>
          <w:color w:val="auto"/>
        </w:rPr>
      </w:pPr>
      <w:r>
        <w:rPr>
          <w:rFonts w:ascii="Arial" w:cs="Arial" w:eastAsia="Arial" w:hAnsi="Arial"/>
          <w:sz w:val="16"/>
          <w:szCs w:val="16"/>
          <w:color w:val="auto"/>
        </w:rPr>
        <w:t>Baker McKenzie Switzerland (GVA) SA, in Geneva, special Swiss counsel to certain of the Obligors, (D) Matheson LLP, special Irish counsel to certain of the Obligors, (E) Dentons Canada LLP, special British Columbia, Alberta and Ontario counsel to certain of the Obligors, (F) Conyers Dill &amp; Pearman, special British Virgin Islands counsel to certain of the Obligors, (G) Jones Walker LLP, special Louisiana counsel to certain of the Obligors, (H) Norton Rose Fulbright, special Australian counsel to the Administrative Agent,</w:t>
      </w:r>
    </w:p>
    <w:p>
      <w:pPr>
        <w:spacing w:after="0" w:line="2" w:lineRule="exact"/>
        <w:rPr>
          <w:rFonts w:ascii="Arial" w:cs="Arial" w:eastAsia="Arial" w:hAnsi="Arial"/>
          <w:sz w:val="16"/>
          <w:szCs w:val="16"/>
          <w:color w:val="auto"/>
        </w:rPr>
      </w:pPr>
    </w:p>
    <w:p>
      <w:pPr>
        <w:jc w:val="both"/>
        <w:ind w:left="180" w:firstLine="4"/>
        <w:spacing w:after="0" w:line="281" w:lineRule="auto"/>
        <w:tabs>
          <w:tab w:leader="none" w:pos="43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Baker &amp; McKenzie Amsterdam N.V., special Dutch counsel to certain of the Obligors, (J) Holland &amp; Hart LLP, special Nevada counsel to certain of the Obligors, (K) Baker McKenzie, Rechtsanwaltsgesellschaft mbH von Rechtsanwälten und Steuerberatern, special German counsel to certain of the Obligors, (L) Arias, Fábrega &amp; Fábrega, special Panamanian counsel to certain of the Obligors,</w:t>
      </w:r>
    </w:p>
    <w:p>
      <w:pPr>
        <w:spacing w:after="0" w:line="1" w:lineRule="exact"/>
        <w:rPr>
          <w:rFonts w:ascii="Arial" w:cs="Arial" w:eastAsia="Arial" w:hAnsi="Arial"/>
          <w:sz w:val="16"/>
          <w:szCs w:val="16"/>
          <w:color w:val="auto"/>
        </w:rPr>
      </w:pPr>
    </w:p>
    <w:p>
      <w:pPr>
        <w:jc w:val="both"/>
        <w:ind w:left="180" w:firstLine="4"/>
        <w:spacing w:after="0" w:line="255" w:lineRule="auto"/>
        <w:tabs>
          <w:tab w:leader="none" w:pos="53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Baker &amp; McKenzie Abogados, S.C., special Mexican counsel to certain of the Obligors, (N) Brons &amp; Salas, special Argentine counsel to certain of the Obligors, and (O) Veirano, special Brazilian counsel to certain of the Obligors, in each case, given upon the express instruction of the applicable Obligor(s), as applicable;</w:t>
      </w:r>
    </w:p>
    <w:p>
      <w:pPr>
        <w:spacing w:after="0" w:line="190"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010000"/>
        </w:rPr>
        <w:t>(vii)          </w:t>
      </w:r>
      <w:r>
        <w:rPr>
          <w:rFonts w:ascii="Arial" w:cs="Arial" w:eastAsia="Arial" w:hAnsi="Arial"/>
          <w:sz w:val="18"/>
          <w:szCs w:val="18"/>
          <w:color w:val="000000"/>
        </w:rPr>
        <w:t>a certificate of a Principal Financial Officer of Parent certifying that, after giving effect to this Amendment, the Parent</w:t>
      </w:r>
      <w:r>
        <w:rPr>
          <w:rFonts w:ascii="Arial" w:cs="Arial" w:eastAsia="Arial" w:hAnsi="Arial"/>
          <w:sz w:val="18"/>
          <w:szCs w:val="18"/>
          <w:color w:val="010000"/>
        </w:rPr>
        <w:t xml:space="preserve"> </w:t>
      </w:r>
      <w:r>
        <w:rPr>
          <w:rFonts w:ascii="Arial" w:cs="Arial" w:eastAsia="Arial" w:hAnsi="Arial"/>
          <w:sz w:val="18"/>
          <w:szCs w:val="18"/>
          <w:color w:val="000000"/>
        </w:rPr>
        <w:t>and its Subsidiaries on a consolidated basis are Solvent as of the Fourth Amendment Effective Date;</w:t>
      </w:r>
    </w:p>
    <w:p>
      <w:pPr>
        <w:spacing w:after="0" w:line="170" w:lineRule="exact"/>
        <w:rPr>
          <w:sz w:val="20"/>
          <w:szCs w:val="20"/>
          <w:color w:val="auto"/>
        </w:rPr>
      </w:pPr>
    </w:p>
    <w:p>
      <w:pPr>
        <w:jc w:val="both"/>
        <w:ind w:left="180" w:firstLine="648"/>
        <w:spacing w:after="0" w:line="285" w:lineRule="auto"/>
        <w:rPr>
          <w:sz w:val="20"/>
          <w:szCs w:val="20"/>
          <w:color w:val="auto"/>
        </w:rPr>
      </w:pPr>
      <w:r>
        <w:rPr>
          <w:rFonts w:ascii="Arial" w:cs="Arial" w:eastAsia="Arial" w:hAnsi="Arial"/>
          <w:sz w:val="16"/>
          <w:szCs w:val="16"/>
          <w:color w:val="010000"/>
        </w:rPr>
        <w:t>(viii)         </w:t>
      </w:r>
      <w:r>
        <w:rPr>
          <w:rFonts w:ascii="Arial" w:cs="Arial" w:eastAsia="Arial" w:hAnsi="Arial"/>
          <w:sz w:val="16"/>
          <w:szCs w:val="16"/>
          <w:color w:val="000000"/>
        </w:rPr>
        <w:t>to the extent applicable to the relevant Obligor and available in the applicable jurisdiction(s), (A) copies of the</w:t>
      </w:r>
      <w:r>
        <w:rPr>
          <w:rFonts w:ascii="Arial" w:cs="Arial" w:eastAsia="Arial" w:hAnsi="Arial"/>
          <w:sz w:val="16"/>
          <w:szCs w:val="16"/>
          <w:color w:val="010000"/>
        </w:rPr>
        <w:t xml:space="preserve"> </w:t>
      </w:r>
      <w:r>
        <w:rPr>
          <w:rFonts w:ascii="Arial" w:cs="Arial" w:eastAsia="Arial" w:hAnsi="Arial"/>
          <w:sz w:val="16"/>
          <w:szCs w:val="16"/>
          <w:color w:val="000000"/>
        </w:rPr>
        <w:t>constitution, memorandum of association, articles of association, by-laws or certificates of incorporation, certificates of name change, excerpt from the commercial register or other similar organizational documents, as applicable, of each Obligor (other than in relation to an Obligor incorporated in Germany) certified as of a recent date prior to the Fourth Amendment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or in Switzerland)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6"/>
          <w:szCs w:val="16"/>
          <w:i w:val="1"/>
          <w:iCs w:val="1"/>
          <w:color w:val="000000"/>
        </w:rPr>
        <w:t>siège</w:t>
      </w:r>
      <w:r>
        <w:rPr>
          <w:rFonts w:ascii="Arial" w:cs="Arial" w:eastAsia="Arial" w:hAnsi="Arial"/>
          <w:sz w:val="16"/>
          <w:szCs w:val="16"/>
          <w:color w:val="000000"/>
        </w:rPr>
        <w:t xml:space="preserve"> </w:t>
      </w:r>
      <w:r>
        <w:rPr>
          <w:rFonts w:ascii="Arial" w:cs="Arial" w:eastAsia="Arial" w:hAnsi="Arial"/>
          <w:sz w:val="16"/>
          <w:szCs w:val="16"/>
          <w:i w:val="1"/>
          <w:iCs w:val="1"/>
          <w:color w:val="000000"/>
        </w:rPr>
        <w:t>statutaire</w:t>
      </w:r>
      <w:r>
        <w:rPr>
          <w:rFonts w:ascii="Arial" w:cs="Arial" w:eastAsia="Arial" w:hAnsi="Arial"/>
          <w:sz w:val="16"/>
          <w:szCs w:val="16"/>
          <w:color w:val="000000"/>
        </w:rPr>
        <w:t>) in Luxembourg and it does not have an “establishment” (as that term is used in article 2(10) of the European Insolvency</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Regulation) in any other jurisdiction), (C) to the extent not covered by </w:t>
      </w:r>
      <w:r>
        <w:rPr>
          <w:rFonts w:ascii="Arial" w:cs="Arial" w:eastAsia="Arial" w:hAnsi="Arial"/>
          <w:sz w:val="16"/>
          <w:szCs w:val="16"/>
          <w:u w:val="single" w:color="auto"/>
          <w:color w:val="000000"/>
        </w:rPr>
        <w:t>clauses (A)</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non-registration of a judicial decision or administrative dissolution without liquidation (</w:t>
      </w:r>
      <w:r>
        <w:rPr>
          <w:rFonts w:ascii="Arial" w:cs="Arial" w:eastAsia="Arial" w:hAnsi="Arial"/>
          <w:sz w:val="16"/>
          <w:szCs w:val="16"/>
          <w:i w:val="1"/>
          <w:iCs w:val="1"/>
          <w:color w:val="000000"/>
        </w:rPr>
        <w:t>certificat de non-inscription d’une decision judiciaire ou de dissolution administrative sans liquidation</w:t>
      </w:r>
      <w:r>
        <w:rPr>
          <w:rFonts w:ascii="Arial" w:cs="Arial" w:eastAsia="Arial" w:hAnsi="Arial"/>
          <w:sz w:val="16"/>
          <w:szCs w:val="16"/>
          <w:color w:val="000000"/>
        </w:rPr>
        <w:t>) issued by the Trade and Companies Register</w:t>
      </w:r>
      <w:r>
        <w:rPr>
          <w:rFonts w:ascii="Arial" w:cs="Arial" w:eastAsia="Arial" w:hAnsi="Arial"/>
          <w:sz w:val="16"/>
          <w:szCs w:val="16"/>
          <w:i w:val="1"/>
          <w:iCs w:val="1"/>
          <w:color w:val="00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Registre de Commerce et des Sociétés</w:t>
      </w:r>
      <w:r>
        <w:rPr>
          <w:rFonts w:ascii="Arial" w:cs="Arial" w:eastAsia="Arial" w:hAnsi="Arial"/>
          <w:sz w:val="16"/>
          <w:szCs w:val="16"/>
          <w:color w:val="000000"/>
        </w:rPr>
        <w:t>) in Luxembourg (the “</w:t>
      </w:r>
      <w:r>
        <w:rPr>
          <w:rFonts w:ascii="Arial" w:cs="Arial" w:eastAsia="Arial" w:hAnsi="Arial"/>
          <w:sz w:val="16"/>
          <w:szCs w:val="16"/>
          <w:u w:val="single" w:color="auto"/>
          <w:color w:val="000000"/>
        </w:rPr>
        <w:t>RCS</w:t>
      </w:r>
      <w:r>
        <w:rPr>
          <w:rFonts w:ascii="Arial" w:cs="Arial" w:eastAsia="Arial" w:hAnsi="Arial"/>
          <w:sz w:val="16"/>
          <w:szCs w:val="16"/>
          <w:color w:val="000000"/>
        </w:rPr>
        <w:t>”) as at a date no earlier than the Fourth Amendment Effective Date and an up-to-date, true and complete electronic excerpt of the RCS as at a date no earlier than the Fourth Amendment Effective Date;</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640" w:firstLine="648"/>
        <w:spacing w:after="0" w:line="288" w:lineRule="auto"/>
        <w:rPr>
          <w:sz w:val="20"/>
          <w:szCs w:val="20"/>
          <w:color w:val="auto"/>
        </w:rPr>
      </w:pPr>
      <w:r>
        <w:rPr>
          <w:rFonts w:ascii="Arial" w:cs="Arial" w:eastAsia="Arial" w:hAnsi="Arial"/>
          <w:sz w:val="16"/>
          <w:szCs w:val="16"/>
          <w:color w:val="010000"/>
        </w:rPr>
        <w:t xml:space="preserve">(ix)            </w:t>
      </w:r>
      <w:r>
        <w:rPr>
          <w:rFonts w:ascii="Arial" w:cs="Arial" w:eastAsia="Arial" w:hAnsi="Arial"/>
          <w:sz w:val="16"/>
          <w:szCs w:val="16"/>
          <w:color w:val="000000"/>
        </w:rPr>
        <w:t>a certificate of a director of Weatherford Australia Pty Limited, dated the Fourth Amendment Effective Date and</w:t>
      </w:r>
      <w:r>
        <w:rPr>
          <w:rFonts w:ascii="Arial" w:cs="Arial" w:eastAsia="Arial" w:hAnsi="Arial"/>
          <w:sz w:val="16"/>
          <w:szCs w:val="16"/>
          <w:color w:val="010000"/>
        </w:rPr>
        <w:t xml:space="preserve"> </w:t>
      </w:r>
      <w:r>
        <w:rPr>
          <w:rFonts w:ascii="Arial" w:cs="Arial" w:eastAsia="Arial" w:hAnsi="Arial"/>
          <w:sz w:val="16"/>
          <w:szCs w:val="16"/>
          <w:color w:val="000000"/>
        </w:rPr>
        <w:t xml:space="preserve">confirming that (A) the resolutions referred to in </w:t>
      </w:r>
      <w:r>
        <w:rPr>
          <w:rFonts w:ascii="Arial" w:cs="Arial" w:eastAsia="Arial" w:hAnsi="Arial"/>
          <w:sz w:val="16"/>
          <w:szCs w:val="16"/>
          <w:u w:val="single" w:color="auto"/>
          <w:color w:val="000000"/>
        </w:rPr>
        <w:t>Section 4(b)(iii)</w:t>
      </w:r>
      <w:r>
        <w:rPr>
          <w:rFonts w:ascii="Arial" w:cs="Arial" w:eastAsia="Arial" w:hAnsi="Arial"/>
          <w:sz w:val="16"/>
          <w:szCs w:val="16"/>
          <w:color w:val="000000"/>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this Amendment and any other Loan Documents to which it is a party or shall be a party, to be able to pay all its debts as and when they become due and payable and would not become unable to do so as a result of entering into the Transactions, (D) guaranteeing the Commitments in full would not cause any guaranteeing or similar limit binding on it to be exceeded and (E) neither part 2J.3 nor Chapter 2E of the Corporations Act 2001(Cth) applies to the Transactions; and</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 xml:space="preserve">(x)            </w:t>
      </w:r>
      <w:r>
        <w:rPr>
          <w:rFonts w:ascii="Arial" w:cs="Arial" w:eastAsia="Arial" w:hAnsi="Arial"/>
          <w:sz w:val="17"/>
          <w:szCs w:val="17"/>
          <w:color w:val="000000"/>
        </w:rPr>
        <w:t>to the extent available in the applicable jurisdiction(s) and reasonably requested by the Administrative Agent,</w:t>
      </w:r>
    </w:p>
    <w:p>
      <w:pPr>
        <w:spacing w:after="0" w:line="35" w:lineRule="exact"/>
        <w:rPr>
          <w:sz w:val="20"/>
          <w:szCs w:val="20"/>
          <w:color w:val="auto"/>
        </w:rPr>
      </w:pPr>
    </w:p>
    <w:p>
      <w:pPr>
        <w:jc w:val="both"/>
        <w:ind w:left="640" w:firstLine="4"/>
        <w:spacing w:after="0" w:line="281" w:lineRule="auto"/>
        <w:tabs>
          <w:tab w:leader="none" w:pos="9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Fourth Amendment Effective Date or Liens permitted under the Credit Agreement and</w:t>
      </w:r>
    </w:p>
    <w:p>
      <w:pPr>
        <w:spacing w:after="0" w:line="1" w:lineRule="exact"/>
        <w:rPr>
          <w:rFonts w:ascii="Arial" w:cs="Arial" w:eastAsia="Arial" w:hAnsi="Arial"/>
          <w:sz w:val="16"/>
          <w:szCs w:val="16"/>
          <w:color w:val="auto"/>
        </w:rPr>
      </w:pPr>
    </w:p>
    <w:p>
      <w:pPr>
        <w:ind w:left="640" w:firstLine="4"/>
        <w:spacing w:after="0" w:line="260" w:lineRule="auto"/>
        <w:tabs>
          <w:tab w:leader="none" w:pos="9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 searches against Parent in the Companies Registration Office, Dublin, the High Court Central Office and all other relevant registries.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           The Administrative Agent shall have received evidence reasonably satisfactory to it that all material consents of (i) each Governmental Authority and (ii) each other Person, if any, in each case required to be received by the Obligors in connection with the making of Loans and the Letters of Credit issued or to be issued under the Credit Agreement, and the execution, delivery and performance of this Amendment and the other Loan Documents to which any Obligor is a party, have been satisfactorily obtained.</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ind w:left="1300"/>
        <w:spacing w:after="0"/>
        <w:rPr>
          <w:sz w:val="20"/>
          <w:szCs w:val="20"/>
          <w:color w:val="auto"/>
        </w:rPr>
      </w:pPr>
      <w:r>
        <w:rPr>
          <w:rFonts w:ascii="Arial" w:cs="Arial" w:eastAsia="Arial" w:hAnsi="Arial"/>
          <w:sz w:val="18"/>
          <w:szCs w:val="18"/>
          <w:color w:val="auto"/>
        </w:rPr>
        <w:t>(d)           There shall be no adversary proceeding or litigation seeking to enjoin or prevent the Transactions.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(e)           Each Obligor shall have provided to the Administrative Agent and the Lenders, if requested at least seven (7) Business Days prior to the Fourth Amendment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Fourth Amendment Effective Date.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[Reserved].</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(g)           The representations and warranties of each Obligor set forth in this Amendment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Fourth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(h)           No Default or Event of Default shall have occurred and be continuing as of the Fourth Amendment Effective Date or would result from any borrowing or the issuance, amendment, renewal or extension of such Letter of Credit on such date.</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(i)            No more than $250,000,000 aggregate principal amount of Senior Secured Notes shall be outstanding as of the Fourth Amendment Effective Date after giving effect to the Transactions.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the waiver of such conditions as permitted hereby. Such declaration shall be final, conclusive and binding upon all parties to the Credit Agreement (including as amended hereby) for all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Parent and each of the other Obligors represents and warrants to the Administrative Agent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 that, as of the Fourth Amendment Effective Date:</w:t>
      </w:r>
    </w:p>
    <w:p>
      <w:pPr>
        <w:spacing w:after="0" w:line="211"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(a)            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Fourth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44"/>
        <w:spacing w:after="0"/>
        <w:rPr>
          <w:sz w:val="20"/>
          <w:szCs w:val="20"/>
          <w:color w:val="auto"/>
        </w:rPr>
      </w:pPr>
      <w:r>
        <w:rPr>
          <w:rFonts w:ascii="Arial" w:cs="Arial" w:eastAsia="Arial" w:hAnsi="Arial"/>
          <w:sz w:val="18"/>
          <w:szCs w:val="18"/>
          <w:color w:val="auto"/>
        </w:rPr>
        <w:t>(b)            no Default or Event of Default has occurred and is continuing as of the Fourth Amendment Effective Date, and</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(c)            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Reaffirmation; Reference to and Effect on the Loan Documents</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(a)            From and after the Fourth Amendment Effective Date, each reference in the Credit Agreement to “hereunder,” “hereof,” “this Amendment”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8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(b)            The Loan Documents, and the obligations of the Borrowers and the Obligors under the Loan Documents, are hereby ratified and confirmed and shall remain in full force and effect according to their terms.</w:t>
      </w:r>
    </w:p>
    <w:p>
      <w:pPr>
        <w:spacing w:after="0" w:line="17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(c)            Each of the Obligors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w:t>
      </w:r>
    </w:p>
    <w:p>
      <w:pPr>
        <w:spacing w:after="0" w:line="1"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confirms its grant of security interests pursuant to the Collateral Documents to which it is a party as Collateral for the Secured Obligations and</w:t>
      </w:r>
    </w:p>
    <w:p>
      <w:pPr>
        <w:spacing w:after="0" w:line="32" w:lineRule="exact"/>
        <w:rPr>
          <w:rFonts w:ascii="Arial" w:cs="Arial" w:eastAsia="Arial" w:hAnsi="Arial"/>
          <w:sz w:val="16"/>
          <w:szCs w:val="16"/>
          <w:color w:val="auto"/>
        </w:rPr>
      </w:pPr>
    </w:p>
    <w:p>
      <w:pPr>
        <w:jc w:val="both"/>
        <w:ind w:left="4" w:hanging="4"/>
        <w:spacing w:after="0" w:line="253"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acknowledges that all Liens granted (or purported to be granted) by it pursuant to the Loan Documents remain and continue in full force and effect in respect of, and to secure, the Secured Obligations and (vii) the Obligor incorporated in the Netherlands confirms that the Security Agreements governed by Dutch law have always been intended to extend to the obligations of the Obligors under the Loan Documents as amended and restated from time to time, including as amended by this Amendment and shall so extend thereto in accordance with the terms of the Loan Documents.</w:t>
      </w:r>
    </w:p>
    <w:p>
      <w:pPr>
        <w:spacing w:after="0" w:line="19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(d)            In addition to the above, with respect to the Swiss Security Documents,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left="640" w:firstLine="648"/>
        <w:spacing w:after="0" w:line="263"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each Obligor party to any Swiss Security Document agrees and confirms to the Administrative Agent in its capacity as</w:t>
      </w:r>
      <w:r>
        <w:rPr>
          <w:rFonts w:ascii="Arial" w:cs="Arial" w:eastAsia="Arial" w:hAnsi="Arial"/>
          <w:sz w:val="18"/>
          <w:szCs w:val="18"/>
          <w:color w:val="010000"/>
        </w:rPr>
        <w:t xml:space="preserve"> </w:t>
      </w:r>
      <w:r>
        <w:rPr>
          <w:rFonts w:ascii="Arial" w:cs="Arial" w:eastAsia="Arial" w:hAnsi="Arial"/>
          <w:sz w:val="18"/>
          <w:szCs w:val="18"/>
          <w:color w:val="000000"/>
        </w:rPr>
        <w:t>Foreign Collateral Agent and each of the Secured Parties (as defined in each Swiss Security Document) that from and after the Fourth Amendment Effective Date:</w:t>
      </w:r>
    </w:p>
    <w:p>
      <w:pPr>
        <w:spacing w:after="0" w:line="184" w:lineRule="exact"/>
        <w:rPr>
          <w:sz w:val="20"/>
          <w:szCs w:val="20"/>
          <w:color w:val="auto"/>
        </w:rPr>
      </w:pPr>
    </w:p>
    <w:p>
      <w:pPr>
        <w:ind w:left="1940" w:hanging="648"/>
        <w:spacing w:after="0" w:line="277" w:lineRule="auto"/>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of each Swiss Security Document to which it is a party are in full force and effect and it is and continues to be bound by the obligations as set out in the Swiss Security Documents to which it is a party;</w:t>
      </w:r>
    </w:p>
    <w:p>
      <w:pPr>
        <w:spacing w:after="0" w:line="170" w:lineRule="exact"/>
        <w:rPr>
          <w:rFonts w:ascii="Arial" w:cs="Arial" w:eastAsia="Arial" w:hAnsi="Arial"/>
          <w:sz w:val="18"/>
          <w:szCs w:val="18"/>
          <w:color w:val="auto"/>
        </w:rPr>
      </w:pPr>
    </w:p>
    <w:p>
      <w:pPr>
        <w:jc w:val="both"/>
        <w:ind w:left="1940" w:hanging="648"/>
        <w:spacing w:after="0" w:line="257" w:lineRule="auto"/>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security interests created under each Swiss Security Document to which it is a party are in full force and effect and secure any and all of the Secured Obligations (as defined in each Swiss Security Document) as amended by this Amendment and as they may be amended, amended and restated, supplemented, or otherwise modified and/or increased from time to time, subject to and in accordance with the provisions of the relevant Swiss Security Documents to which it is a party;</w:t>
      </w:r>
    </w:p>
    <w:p>
      <w:pPr>
        <w:spacing w:after="0" w:line="187" w:lineRule="exact"/>
        <w:rPr>
          <w:rFonts w:ascii="Arial" w:cs="Arial" w:eastAsia="Arial" w:hAnsi="Arial"/>
          <w:sz w:val="18"/>
          <w:szCs w:val="18"/>
          <w:color w:val="auto"/>
        </w:rPr>
      </w:pPr>
    </w:p>
    <w:p>
      <w:pPr>
        <w:jc w:val="both"/>
        <w:ind w:left="1940" w:hanging="648"/>
        <w:spacing w:after="0" w:line="273" w:lineRule="auto"/>
        <w:tabs>
          <w:tab w:leader="none" w:pos="1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Foreign Collateral Agent is authorized to exercise any rights under any power of attorney provided for under any Swiss Security Document in favour of the Foreign Collateral Agent, subject to and in accordance with the terms of the relevant Swiss Security Documents. In particular, each proxy issued pursuant to clause 19(f) of the successor agent and assignment agreement dated 17 October 2022, between, amongst others, WIL-Bermuda and WIL-Delaware as borrowers, the grantors named therein (including the Swiss Obligors), Deutsche Bank Trust Company Americas and the Administrative Agent, is and shall remain in full force and effect; and</w:t>
      </w:r>
    </w:p>
    <w:p>
      <w:pPr>
        <w:spacing w:after="0" w:line="178" w:lineRule="exact"/>
        <w:rPr>
          <w:sz w:val="20"/>
          <w:szCs w:val="20"/>
          <w:color w:val="auto"/>
        </w:rPr>
      </w:pPr>
    </w:p>
    <w:p>
      <w:pPr>
        <w:jc w:val="both"/>
        <w:ind w:left="640" w:firstLine="648"/>
        <w:spacing w:after="0" w:line="263"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 each party hereto agrees (in particular for the purposes of art. 116 Swiss Code of Obligations and any other applicable</w:t>
      </w:r>
      <w:r>
        <w:rPr>
          <w:rFonts w:ascii="Arial" w:cs="Arial" w:eastAsia="Arial" w:hAnsi="Arial"/>
          <w:sz w:val="18"/>
          <w:szCs w:val="18"/>
          <w:color w:val="010000"/>
        </w:rPr>
        <w:t xml:space="preserve"> </w:t>
      </w:r>
      <w:r>
        <w:rPr>
          <w:rFonts w:ascii="Arial" w:cs="Arial" w:eastAsia="Arial" w:hAnsi="Arial"/>
          <w:sz w:val="18"/>
          <w:szCs w:val="18"/>
          <w:color w:val="000000"/>
        </w:rPr>
        <w:t>laws) that nothing in this Amendment shall constitute or be construed as a novation (</w:t>
      </w:r>
      <w:r>
        <w:rPr>
          <w:rFonts w:ascii="Arial" w:cs="Arial" w:eastAsia="Arial" w:hAnsi="Arial"/>
          <w:sz w:val="18"/>
          <w:szCs w:val="18"/>
          <w:i w:val="1"/>
          <w:iCs w:val="1"/>
          <w:color w:val="000000"/>
        </w:rPr>
        <w:t>Novation</w:t>
      </w:r>
      <w:r>
        <w:rPr>
          <w:rFonts w:ascii="Arial" w:cs="Arial" w:eastAsia="Arial" w:hAnsi="Arial"/>
          <w:sz w:val="18"/>
          <w:szCs w:val="18"/>
          <w:color w:val="000000"/>
        </w:rPr>
        <w:t>) of any Secured Obligations (as defined in the Swiss Security Documents).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Swiss Security Documents in place on the Fourth Amendment Effective Date are listed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4"/>
        <w:spacing w:after="0" w:line="289" w:lineRule="auto"/>
        <w:tabs>
          <w:tab w:leader="none" w:pos="9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With respect to (i) the Luxembourg law governed first ranking share pledge agreement originally dated 15 May 2020, and made between (a) Weatherford Bermuda Holdings Ltd as pledgor, (b) Deutsche Bank Trust Company Americas as pledgee and (c) Weatherford International (Luxembourg) Holdings S.à r.l. as guarantor; (ii) the Luxembourg law governed first ranking share pledge agreement originally dated 15 May 2020, and made between, (a) Weatherford Worldwide Holdings GmbH as pledgor (b) Deutsche Bank Trust Company Americas as pledgee, (c) Weatherford International (Luxembourg) Holdings S.à r.l. as pledgor (d) Wells Fargo Bank, National Association as first ranking pledgee and (e) Deutsche Bank Trust Company Americas as pledgee, and (iii) the Luxembourg law governed first ranking receivables pledge agreement dated 15 May 2020 and made between, (a) Weatherford International (Luxembourg) Holdings S.à r.l. as pledgor, (b) Wells Fargo Bank, National Association as first ranking pledgee and (c) Deutsche Bank Trust Company Americas as pledgee (collectively, the “</w:t>
      </w:r>
      <w:r>
        <w:rPr>
          <w:rFonts w:ascii="Arial" w:cs="Arial" w:eastAsia="Arial" w:hAnsi="Arial"/>
          <w:sz w:val="16"/>
          <w:szCs w:val="16"/>
          <w:u w:val="single" w:color="auto"/>
          <w:color w:val="auto"/>
        </w:rPr>
        <w:t>Luxembourg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each Obligor that is a party to the Luxembourg Security Agreements hereby confirms (as applicable) that:</w:t>
      </w:r>
    </w:p>
    <w:p>
      <w:pPr>
        <w:spacing w:after="0" w:line="166" w:lineRule="exact"/>
        <w:rPr>
          <w:rFonts w:ascii="Arial" w:cs="Arial" w:eastAsia="Arial" w:hAnsi="Arial"/>
          <w:sz w:val="16"/>
          <w:szCs w:val="16"/>
          <w:color w:val="auto"/>
        </w:rPr>
      </w:pPr>
    </w:p>
    <w:p>
      <w:pPr>
        <w:ind w:firstLine="1292"/>
        <w:spacing w:after="0" w:line="277" w:lineRule="auto"/>
        <w:tabs>
          <w:tab w:leader="none" w:pos="15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            the Luxembourg Security Agreements and the Pledges to which it is a party secure the Secured Obligations (each term as defined in the Luxembourg Security Agreements);</w:t>
      </w:r>
    </w:p>
    <w:p>
      <w:pPr>
        <w:spacing w:after="0" w:line="170" w:lineRule="exact"/>
        <w:rPr>
          <w:rFonts w:ascii="Arial" w:cs="Arial" w:eastAsia="Arial" w:hAnsi="Arial"/>
          <w:sz w:val="18"/>
          <w:szCs w:val="18"/>
          <w:color w:val="auto"/>
        </w:rPr>
      </w:pPr>
    </w:p>
    <w:p>
      <w:pPr>
        <w:ind w:firstLine="1292"/>
        <w:spacing w:after="0" w:line="342" w:lineRule="auto"/>
        <w:tabs>
          <w:tab w:leader="none" w:pos="1561" w:val="left"/>
        </w:tabs>
        <w:numPr>
          <w:ilvl w:val="1"/>
          <w:numId w:val="13"/>
        </w:numPr>
        <w:rPr>
          <w:rFonts w:ascii="Arial" w:cs="Arial" w:eastAsia="Arial" w:hAnsi="Arial"/>
          <w:sz w:val="16"/>
          <w:szCs w:val="16"/>
          <w:color w:val="auto"/>
        </w:rPr>
      </w:pPr>
      <w:r>
        <w:rPr>
          <w:rFonts w:ascii="Arial" w:cs="Arial" w:eastAsia="Arial" w:hAnsi="Arial"/>
          <w:sz w:val="16"/>
          <w:szCs w:val="16"/>
          <w:color w:val="auto"/>
        </w:rPr>
        <w:t>          the Luxembourg Security Agreements to which it is a party and each Pledge (as defined in the Luxembourg Security Agreements) remain legal, valid, binding and enforceable and remain in full force and effect notwithstanding this Fourth Amendment;</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(iii)           nothing in this Fourth Amendment shall constitute any form of novation or release of the Luxembourg Security Agreements to which it is a party or the Pledges (as defined in the Luxembourg Security Agreements); and</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(iv)           it will cooperate with the Pledgee (as defined in each in the Luxembourg Security Agreements) of each of the Luxembourg Security Agreements to which it is a party and sign or cause to be signed all documents and take all actions or steps as the Pledgee (as defined in each in the Luxembourg Security Agreements) may from time to time request to perfect and protect the confirmation made in this paragraph, the Pledge Agreements, the Pledges, the Pledged Assets or the rights of the Pledgee under this Agreement and the Pledge Agreements or to prevent the occurrence of an Event of Default (each term as defined in the Luxembourg Security Agreements), and to carry out the provisions and purposes of this Amendment.</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 w:name="page15"/>
    <w:bookmarkEnd w:id="14"/>
    <w:p>
      <w:pPr>
        <w:jc w:val="both"/>
        <w:ind w:left="660" w:firstLine="648"/>
        <w:spacing w:after="0" w:line="301" w:lineRule="auto"/>
        <w:rPr>
          <w:sz w:val="20"/>
          <w:szCs w:val="20"/>
          <w:color w:val="auto"/>
        </w:rPr>
      </w:pPr>
      <w:r>
        <w:rPr>
          <w:rFonts w:ascii="Arial" w:cs="Arial" w:eastAsia="Arial" w:hAnsi="Arial"/>
          <w:sz w:val="16"/>
          <w:szCs w:val="16"/>
          <w:color w:val="auto"/>
        </w:rPr>
        <w:t>(f)            Each Obligor hereby agrees and confirms with respect to each German law governed Security Agreement to which it is a party, that, following the Fourth Amendment Effective Date, and subject to any limitations provided for in any Loan Document, the guarantee it has given and/or the security it has provided under such German law governed Security Agreement to which it is a party shall (i) continue to be in full force and effect and (ii) for the avoidance of doubt extend to the Secured Obligations under and as defined in the Credit Agreement.</w:t>
      </w:r>
    </w:p>
    <w:p>
      <w:pPr>
        <w:spacing w:after="0" w:line="157"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(g)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(h)           In the event of any conflict between the terms of this Amendment and the terms of the Credit Agreement or the other Loan Documents, the terms hereof shall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Governing Law; Jurisdiction; Consent to Service of Process; Waiver of Jury Trial, Etc</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(a)            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(b)            EACH PARTY HERETO HEREBY AGREES AS SET FORTH IN SECTION 12.15 (SUBMISSION TO JURISDICTION; CONSENT TO SERVICE OF PROCESS) AND SECTION 12.16 (WAIVER OF JURY TRIAL) OF THE CREDIT AGREEMENT AS IF SUCH SECTIONS WERE SET FORTH IN FULL HEREIN.</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 xml:space="preserve">(c)            Notwithstanding clauses (a) and (b) above, any contractual obligation arising out of or in connection with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and any effect of this Agreement in connection with the German law governed Security Agreements shall be governed by German law. The Courts of Berlin, Germany, shall have jurisdiction to settle any disputes or proceedings arising out or in connection with the provisions of this Agreement governed by German law.</w:t>
      </w:r>
    </w:p>
    <w:p>
      <w:pPr>
        <w:spacing w:after="0" w:line="187"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 xml:space="preserve">(d)            Notwithstanding clauses (a) and (b) above,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shall be governed by and construed in accordance with the substantive laws of Switzerland (to the exclusion of conflict of law rules). The Courts of the Canton of Zurich, Switzerland, venue Zurich 1 shall have non-exclusive jurisdiction to settle any disputes or proceedings arising out or in connection with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of this Agreement.</w:t>
      </w:r>
    </w:p>
    <w:p>
      <w:pPr>
        <w:spacing w:after="0" w:line="16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(e)           Notwithstanding clauses (a) and (b) above, Section 6(e) shall be governed by and construed in accordance with the laws of the Grand Duchy of Luxembourg. The Courts of Luxembourg, Grand Duchy of Luxembourg shall have exclusive jurisdiction to settle any disputes or proceedings arising out or in connection with Section 6(e) of this Agreement.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Amendments; Headings; Severability</w:t>
      </w:r>
      <w:r>
        <w:rPr>
          <w:rFonts w:ascii="Arial" w:cs="Arial" w:eastAsia="Arial" w:hAnsi="Arial"/>
          <w:sz w:val="18"/>
          <w:szCs w:val="18"/>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color w:val="auto"/>
        </w:rPr>
        <w:t xml:space="preserve">9.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No Novation</w:t>
      </w:r>
      <w:r>
        <w:rPr>
          <w:rFonts w:ascii="Arial" w:cs="Arial" w:eastAsia="Arial" w:hAnsi="Arial"/>
          <w:sz w:val="18"/>
          <w:szCs w:val="18"/>
          <w:color w:val="auto"/>
        </w:rPr>
        <w:t>. Notwithstanding anything to the contrary contained herein, this Amendment shall not extinguish the obligations for the payment of money outstanding under the Existing Credit Agreement or discharge or release the Lien or priority of any Collateral Document or any other security therefor. Nothing herein contained shall be construed as a substitution or novation of the obligations outstanding under the Existing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any of the Obligors under any Loan Document from any of its obligations and liabilities as an Obligor or pledgor under any of the Loan Documents.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BORROWERS/GUARANTORS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WIL-BERMUDA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WIL-DELAWARE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WIL-CANADA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WEATHERFORD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Alberta corporation</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WIL-SWITZERLAND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WOFS INTERNATIONAL FINANCE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Swiss limited liability company</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Officer</w:t>
      </w:r>
    </w:p>
    <w:p>
      <w:pPr>
        <w:spacing w:after="0" w:line="231"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908" w:right="9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PARENT/GUARANTOR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and Treasurer</w:t>
      </w:r>
    </w:p>
    <w:p>
      <w:pPr>
        <w:spacing w:after="0" w:line="231"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Lender and an Issuing Bank</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31"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ind w:right="4859"/>
        <w:spacing w:after="0" w:line="277" w:lineRule="auto"/>
        <w:rPr>
          <w:sz w:val="20"/>
          <w:szCs w:val="20"/>
          <w:color w:val="auto"/>
        </w:rPr>
      </w:pPr>
      <w:r>
        <w:rPr>
          <w:rFonts w:ascii="Arial" w:cs="Arial" w:eastAsia="Arial" w:hAnsi="Arial"/>
          <w:sz w:val="18"/>
          <w:szCs w:val="18"/>
          <w:color w:val="auto"/>
        </w:rPr>
        <w:t>DEUTSCHE BANK AG NEW YORK BRANCH, as Lender and Issuing Bank</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Phillip Tancorra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Lauren Danbury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right="4859"/>
        <w:spacing w:after="0" w:line="277" w:lineRule="auto"/>
        <w:rPr>
          <w:sz w:val="20"/>
          <w:szCs w:val="20"/>
          <w:color w:val="auto"/>
        </w:rPr>
      </w:pPr>
      <w:r>
        <w:rPr>
          <w:rFonts w:ascii="Arial" w:cs="Arial" w:eastAsia="Arial" w:hAnsi="Arial"/>
          <w:sz w:val="18"/>
          <w:szCs w:val="18"/>
          <w:color w:val="auto"/>
        </w:rPr>
        <w:t>DEUTSCHE BANK AG NEW YORK BRANCH, as Lender and Issuing Bank</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Gaurav Mathur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Gaurav Mathur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Konstanze Geppert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Konstanze Geppert</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Lender and Issuing Bank</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Derrick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Derrick Lenz</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04"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 as Lender and Issuing Bank</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Sydney G. Dennis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31"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Morgan Stanley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SENIOR FUNDING, INC., as Lender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31"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BANK, as Lender and Issuing Bank</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Morton Llewellyn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Morton Llewellyn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MD, Leveraged &amp; Acquisition Finance</w:t>
      </w:r>
    </w:p>
    <w:p>
      <w:pPr>
        <w:spacing w:after="0" w:line="204"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ATB Financial, as Lender and Issuing Bank</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Lakhram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Ryan Lakhram</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Sabrina Bensaada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Sabrina Bensaada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Associate Director, Corporate Banking</w:t>
      </w:r>
    </w:p>
    <w:p>
      <w:pPr>
        <w:spacing w:after="0" w:line="231" w:lineRule="exact"/>
        <w:rPr>
          <w:sz w:val="20"/>
          <w:szCs w:val="20"/>
          <w:color w:val="auto"/>
        </w:rPr>
      </w:pPr>
    </w:p>
    <w:p>
      <w:pPr>
        <w:jc w:val="right"/>
        <w:ind w:right="899"/>
        <w:spacing w:after="0"/>
        <w:rPr>
          <w:sz w:val="20"/>
          <w:szCs w:val="20"/>
          <w:color w:val="auto"/>
        </w:rPr>
      </w:pPr>
      <w:r>
        <w:rPr>
          <w:rFonts w:ascii="Arial" w:cs="Arial" w:eastAsia="Arial" w:hAnsi="Arial"/>
          <w:sz w:val="22"/>
          <w:szCs w:val="22"/>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WOODFOREST NATIONAL BANK, as Lender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Gerren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Wesley Gerren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jc w:val="right"/>
        <w:ind w:right="1499"/>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AUSTRALIA GUARANTOR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Executed by WEATHERFORD AUSTRALIA PTY LIMITED ACN 008 947</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395 in accordance with section 127 of the Corporations Act 2001 (Cth):</w:t>
      </w:r>
    </w:p>
    <w:p>
      <w:pPr>
        <w:spacing w:after="0" w:line="222"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Audrey Mae Kelly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Audrey Mae Kelly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Bruno Teixeira Bezerra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Bruno Teixeira Bezerra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3380"/>
        <w:spacing w:after="0"/>
        <w:rPr>
          <w:sz w:val="20"/>
          <w:szCs w:val="20"/>
          <w:color w:val="auto"/>
        </w:rPr>
      </w:pPr>
      <w:r>
        <w:rPr>
          <w:rFonts w:ascii="Arial" w:cs="Arial" w:eastAsia="Arial" w:hAnsi="Arial"/>
          <w:sz w:val="18"/>
          <w:szCs w:val="18"/>
          <w:b w:val="1"/>
          <w:bCs w:val="1"/>
          <w:color w:val="auto"/>
        </w:rPr>
        <w:t>BERMUDA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INTERNATIONAL HOLDING (BERMUDA) LTD.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00"/>
          </w:cols>
          <w:pgMar w:left="1440" w:top="904" w:right="759" w:bottom="1440" w:gutter="0" w:footer="0" w:header="0"/>
        </w:sectPr>
      </w:pPr>
    </w:p>
    <w:bookmarkStart w:id="28" w:name="page29"/>
    <w:bookmarkEnd w:id="28"/>
    <w:p>
      <w:pPr>
        <w:ind w:left="3540"/>
        <w:spacing w:after="0"/>
        <w:rPr>
          <w:sz w:val="20"/>
          <w:szCs w:val="20"/>
          <w:color w:val="auto"/>
        </w:rPr>
      </w:pPr>
      <w:r>
        <w:rPr>
          <w:rFonts w:ascii="Arial" w:cs="Arial" w:eastAsia="Arial" w:hAnsi="Arial"/>
          <w:sz w:val="18"/>
          <w:szCs w:val="18"/>
          <w:b w:val="1"/>
          <w:bCs w:val="1"/>
          <w:color w:val="auto"/>
        </w:rPr>
        <w:t>BRAZIL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INDUSTRIA E COMERCIO LTDA.</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Fabricio Jardim Clemente Santos</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Fabricio Jardim Clemente Santos</w:t>
            </w:r>
          </w:p>
        </w:tc>
      </w:tr>
    </w:tbl>
    <w:p>
      <w:pPr>
        <w:spacing w:after="0" w:line="1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ind w:left="2700"/>
        <w:spacing w:after="0"/>
        <w:rPr>
          <w:sz w:val="20"/>
          <w:szCs w:val="20"/>
          <w:color w:val="auto"/>
        </w:rPr>
      </w:pPr>
      <w:r>
        <w:rPr>
          <w:rFonts w:ascii="Arial" w:cs="Arial" w:eastAsia="Arial" w:hAnsi="Arial"/>
          <w:sz w:val="18"/>
          <w:szCs w:val="18"/>
          <w:b w:val="1"/>
          <w:bCs w:val="1"/>
          <w:color w:val="auto"/>
        </w:rPr>
        <w:t>BRITISH VIRGIN ISLANDS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HOLDINGS (BVI) LTD.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HELIX EQUIPMENT LEASING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Maximiliano A. Kricorian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CANADA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ENERGY SERVICES COLOMBIA LTD.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ENGLAND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C. Flett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Craig C. Flett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C. Flett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Craig C. Flett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GERMANY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Kerstin Hartmann-Riss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Kerstin Hartmann-Riss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IRELAND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IRISH HOLDINGS LIMITED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Adrian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Adrian Masterson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Director/Attorney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 w:name="page35"/>
    <w:bookmarkEnd w:id="34"/>
    <w:p>
      <w:pPr>
        <w:ind w:left="3220"/>
        <w:spacing w:after="0"/>
        <w:rPr>
          <w:sz w:val="20"/>
          <w:szCs w:val="20"/>
          <w:color w:val="auto"/>
        </w:rPr>
      </w:pPr>
      <w:r>
        <w:rPr>
          <w:rFonts w:ascii="Arial" w:cs="Arial" w:eastAsia="Arial" w:hAnsi="Arial"/>
          <w:sz w:val="18"/>
          <w:szCs w:val="18"/>
          <w:b w:val="1"/>
          <w:bCs w:val="1"/>
          <w:color w:val="auto"/>
        </w:rPr>
        <w:t>LUXEMBOURG GUARANTOR</w:t>
      </w:r>
    </w:p>
    <w:p>
      <w:pPr>
        <w:spacing w:after="0" w:line="229"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WEATHERFORD INTERNATIONAL (LUXEMBOURG) HOLDINGS S.À R.L.</w:t>
      </w:r>
    </w:p>
    <w:p>
      <w:pPr>
        <w:spacing w:after="0" w:line="17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jc w:val="center"/>
        <w:ind w:right="-33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 A</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MEXICO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DE MEXICO, S. DE R.L. DE C.V.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José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Rafael José Angeli Arab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PD OILFIELD SERVICES MEXICANA, S. DE R.L. DE C.V.</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José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Rafael José Angeli Arab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20"/>
          </w:cols>
          <w:pgMar w:left="1440" w:top="904" w:right="14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NETHERLANDS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NETHERLANDS B.V.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M.J. van 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M.J. van Dijk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7" w:name="page38"/>
    <w:bookmarkEnd w:id="37"/>
    <w:p>
      <w:pPr>
        <w:ind w:left="3300"/>
        <w:spacing w:after="0"/>
        <w:rPr>
          <w:sz w:val="20"/>
          <w:szCs w:val="20"/>
          <w:color w:val="auto"/>
        </w:rPr>
      </w:pPr>
      <w:r>
        <w:rPr>
          <w:rFonts w:ascii="Arial" w:cs="Arial" w:eastAsia="Arial" w:hAnsi="Arial"/>
          <w:sz w:val="22"/>
          <w:szCs w:val="22"/>
          <w:b w:val="1"/>
          <w:bCs w:val="1"/>
          <w:color w:val="auto"/>
        </w:rPr>
        <w:t>NORWAY GUARANTOR</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Bjarne Christopher Petersen Sanne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Bjarne Christopher Petersen Sanne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Svein Egil Vestersjo</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Svein Egil Vestersjo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PANAMA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S. DE R.L.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Administrator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9" w:name="page40"/>
    <w:bookmarkEnd w:id="39"/>
    <w:p>
      <w:pPr>
        <w:ind w:left="2900"/>
        <w:spacing w:after="0"/>
        <w:rPr>
          <w:sz w:val="20"/>
          <w:szCs w:val="20"/>
          <w:color w:val="auto"/>
        </w:rPr>
      </w:pPr>
      <w:r>
        <w:rPr>
          <w:rFonts w:ascii="Arial" w:cs="Arial" w:eastAsia="Arial" w:hAnsi="Arial"/>
          <w:sz w:val="22"/>
          <w:szCs w:val="22"/>
          <w:b w:val="1"/>
          <w:bCs w:val="1"/>
          <w:color w:val="auto"/>
        </w:rPr>
        <w:t>SWITZERLAND GUARANTORS</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MANAGEMENT COMPANY SWITZERLAND SÀRL</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Officer</w:t>
      </w:r>
    </w:p>
    <w:p>
      <w:pPr>
        <w:spacing w:after="0" w:line="211" w:lineRule="exact"/>
        <w:rPr>
          <w:sz w:val="20"/>
          <w:szCs w:val="20"/>
          <w:color w:val="auto"/>
        </w:rPr>
      </w:pPr>
    </w:p>
    <w:p>
      <w:pPr>
        <w:ind w:left="4520" w:right="12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17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Officer</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22" w:right="499" w:bottom="1440" w:gutter="0" w:footer="0" w:header="0"/>
        </w:sectPr>
      </w:pPr>
    </w:p>
    <w:bookmarkStart w:id="40" w:name="page41"/>
    <w:bookmarkEnd w:id="40"/>
    <w:p>
      <w:pPr>
        <w:ind w:left="3140"/>
        <w:spacing w:after="0"/>
        <w:rPr>
          <w:sz w:val="20"/>
          <w:szCs w:val="20"/>
          <w:color w:val="auto"/>
        </w:rPr>
      </w:pPr>
      <w:r>
        <w:rPr>
          <w:rFonts w:ascii="Arial" w:cs="Arial" w:eastAsia="Arial" w:hAnsi="Arial"/>
          <w:sz w:val="18"/>
          <w:szCs w:val="18"/>
          <w:b w:val="1"/>
          <w:bCs w:val="1"/>
          <w:color w:val="auto"/>
        </w:rPr>
        <w:t>UNITED STATES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ADVANTAGE R&amp;D,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WUS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VISEAN INFORMATION SERVICES INC.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Maximiliano A. Kricorian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Maximiliano A. Kricorian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 to Fourth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i w:val="1"/>
          <w:iCs w:val="1"/>
          <w:color w:val="auto"/>
        </w:rPr>
        <w:t xml:space="preserve">Conformed through </w:t>
      </w:r>
      <w:r>
        <w:rPr>
          <w:rFonts w:ascii="Arial" w:cs="Arial" w:eastAsia="Arial" w:hAnsi="Arial"/>
          <w:sz w:val="15"/>
          <w:szCs w:val="15"/>
          <w:b w:val="1"/>
          <w:bCs w:val="1"/>
          <w:i w:val="1"/>
          <w:iCs w:val="1"/>
          <w:color w:val="FF0000"/>
          <w:strike w:val="1"/>
        </w:rPr>
        <w:t>Third</w:t>
      </w:r>
      <w:r>
        <w:rPr>
          <w:rFonts w:ascii="Arial" w:cs="Arial" w:eastAsia="Arial" w:hAnsi="Arial"/>
          <w:sz w:val="15"/>
          <w:szCs w:val="15"/>
          <w:b w:val="1"/>
          <w:bCs w:val="1"/>
          <w:i w:val="1"/>
          <w:iCs w:val="1"/>
          <w:u w:val="single" w:color="auto"/>
          <w:color w:val="0000FF"/>
        </w:rPr>
        <w:t>Fourth</w:t>
      </w:r>
      <w:r>
        <w:rPr>
          <w:rFonts w:ascii="Arial" w:cs="Arial" w:eastAsia="Arial" w:hAnsi="Arial"/>
          <w:sz w:val="15"/>
          <w:szCs w:val="15"/>
          <w:b w:val="1"/>
          <w:bCs w:val="1"/>
          <w:i w:val="1"/>
          <w:iCs w:val="1"/>
          <w:color w:val="auto"/>
        </w:rPr>
        <w:t xml:space="preserve"> Amendment to Amended and Restated Credit Agreement, dated as of </w:t>
      </w:r>
      <w:r>
        <w:rPr>
          <w:rFonts w:ascii="Arial" w:cs="Arial" w:eastAsia="Arial" w:hAnsi="Arial"/>
          <w:sz w:val="15"/>
          <w:szCs w:val="15"/>
          <w:b w:val="1"/>
          <w:bCs w:val="1"/>
          <w:i w:val="1"/>
          <w:iCs w:val="1"/>
          <w:color w:val="FF0000"/>
          <w:strike w:val="1"/>
        </w:rPr>
        <w:t>March</w:t>
      </w:r>
      <w:r>
        <w:rPr>
          <w:rFonts w:ascii="Arial" w:cs="Arial" w:eastAsia="Arial" w:hAnsi="Arial"/>
          <w:sz w:val="15"/>
          <w:szCs w:val="15"/>
          <w:b w:val="1"/>
          <w:bCs w:val="1"/>
          <w:i w:val="1"/>
          <w:iCs w:val="1"/>
          <w:u w:val="single" w:color="auto"/>
          <w:color w:val="0000FF"/>
        </w:rPr>
        <w:t>October</w:t>
      </w:r>
      <w:r>
        <w:rPr>
          <w:rFonts w:ascii="Arial" w:cs="Arial" w:eastAsia="Arial" w:hAnsi="Arial"/>
          <w:sz w:val="15"/>
          <w:szCs w:val="15"/>
          <w:b w:val="1"/>
          <w:bCs w:val="1"/>
          <w:i w:val="1"/>
          <w:iCs w:val="1"/>
          <w:color w:val="auto"/>
        </w:rPr>
        <w:t xml:space="preserve"> 24, 2023</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CUSIP Numbers</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Deal</w:t>
      </w:r>
      <w:r>
        <w:rPr>
          <w:rFonts w:ascii="Arial" w:cs="Arial" w:eastAsia="Arial" w:hAnsi="Arial"/>
          <w:sz w:val="18"/>
          <w:szCs w:val="18"/>
          <w:color w:val="auto"/>
        </w:rPr>
        <w:t>: 94707NAT5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Revolver (</w:t>
      </w:r>
      <w:r>
        <w:rPr>
          <w:rFonts w:ascii="Arial" w:cs="Arial" w:eastAsia="Arial" w:hAnsi="Arial"/>
          <w:sz w:val="18"/>
          <w:szCs w:val="18"/>
          <w:b w:val="1"/>
          <w:bCs w:val="1"/>
          <w:color w:val="FF0000"/>
          <w:strike w:val="1"/>
        </w:rPr>
        <w:t>Tranche A</w:t>
      </w:r>
      <w:r>
        <w:rPr>
          <w:rFonts w:ascii="Arial" w:cs="Arial" w:eastAsia="Arial" w:hAnsi="Arial"/>
          <w:sz w:val="18"/>
          <w:szCs w:val="18"/>
          <w:b w:val="1"/>
          <w:bCs w:val="1"/>
          <w:u w:val="single" w:color="auto"/>
          <w:color w:val="0000FF"/>
        </w:rPr>
        <w:t>Performance LC Facility</w:t>
      </w:r>
      <w:r>
        <w:rPr>
          <w:rFonts w:ascii="Arial" w:cs="Arial" w:eastAsia="Arial" w:hAnsi="Arial"/>
          <w:sz w:val="18"/>
          <w:szCs w:val="18"/>
          <w:b w:val="1"/>
          <w:bCs w:val="1"/>
          <w:color w:val="auto"/>
        </w:rPr>
        <w:t>)</w:t>
      </w:r>
      <w:r>
        <w:rPr>
          <w:rFonts w:ascii="Arial" w:cs="Arial" w:eastAsia="Arial" w:hAnsi="Arial"/>
          <w:sz w:val="18"/>
          <w:szCs w:val="18"/>
          <w:color w:val="auto"/>
        </w:rPr>
        <w:t>: 94707NAU2</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Revolver (</w:t>
      </w:r>
      <w:r>
        <w:rPr>
          <w:rFonts w:ascii="Arial" w:cs="Arial" w:eastAsia="Arial" w:hAnsi="Arial"/>
          <w:sz w:val="16"/>
          <w:szCs w:val="16"/>
          <w:b w:val="1"/>
          <w:bCs w:val="1"/>
          <w:color w:val="FF0000"/>
          <w:strike w:val="1"/>
        </w:rPr>
        <w:t>Tranche B</w:t>
      </w:r>
      <w:r>
        <w:rPr>
          <w:rFonts w:ascii="Arial" w:cs="Arial" w:eastAsia="Arial" w:hAnsi="Arial"/>
          <w:sz w:val="16"/>
          <w:szCs w:val="16"/>
          <w:b w:val="1"/>
          <w:bCs w:val="1"/>
          <w:u w:val="single" w:color="auto"/>
          <w:color w:val="0000FF"/>
        </w:rPr>
        <w:t>Revolving Credit Facility</w:t>
      </w:r>
      <w:r>
        <w:rPr>
          <w:rFonts w:ascii="Arial" w:cs="Arial" w:eastAsia="Arial" w:hAnsi="Arial"/>
          <w:sz w:val="16"/>
          <w:szCs w:val="16"/>
          <w:b w:val="1"/>
          <w:bCs w:val="1"/>
          <w:color w:val="auto"/>
        </w:rPr>
        <w:t>)</w:t>
      </w:r>
      <w:r>
        <w:rPr>
          <w:rFonts w:ascii="Arial" w:cs="Arial" w:eastAsia="Arial" w:hAnsi="Arial"/>
          <w:sz w:val="16"/>
          <w:szCs w:val="16"/>
          <w:color w:val="auto"/>
        </w:rPr>
        <w:t>: 94707NAV0</w:t>
      </w:r>
    </w:p>
    <w:p>
      <w:pPr>
        <w:spacing w:after="0" w:line="23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October 17, 2022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Canada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 Alberta corporation</w:t>
      </w:r>
      <w:r>
        <w:rPr>
          <w:rFonts w:ascii="Arial" w:cs="Arial" w:eastAsia="Arial" w:hAnsi="Arial"/>
          <w:sz w:val="18"/>
          <w:szCs w:val="18"/>
          <w:b w:val="1"/>
          <w:bCs w:val="1"/>
          <w:u w:val="single" w:color="auto"/>
          <w:color w:val="0000FF"/>
        </w:rPr>
        <w:t>,</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FF0000"/>
          <w:strike w:val="1"/>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0000FF"/>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0000FF"/>
        </w:rPr>
        <w:t>WOFS International Finance GmbH,</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0000FF"/>
        </w:rPr>
        <w:t>a Swiss limited liability company</w:t>
      </w:r>
      <w:r>
        <w:rPr>
          <w:rFonts w:ascii="Arial" w:cs="Arial" w:eastAsia="Arial" w:hAnsi="Arial"/>
          <w:sz w:val="18"/>
          <w:szCs w:val="18"/>
          <w:b w:val="1"/>
          <w:bCs w:val="1"/>
          <w:color w:val="000000"/>
        </w:rPr>
        <w:t>,</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Borrowers,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Parent,</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Issuing Banks Named Herein,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Administrative Agent</w:t>
      </w: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b w:val="1"/>
          <w:bCs w:val="1"/>
          <w:u w:val="single" w:color="auto"/>
          <w:color w:val="0000FF"/>
        </w:rPr>
        <w: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FF0000"/>
          <w:strike w:val="1"/>
        </w:rPr>
        <w:t>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FF0000"/>
          <w:strike w:val="1"/>
        </w:rPr>
        <w:t>Deutsche Bank Securities Inc.,</w:t>
      </w:r>
      <w:r>
        <w:rPr>
          <w:rFonts w:ascii="Arial" w:cs="Arial" w:eastAsia="Arial" w:hAnsi="Arial"/>
          <w:sz w:val="18"/>
          <w:szCs w:val="18"/>
          <w:b w:val="1"/>
          <w:bCs w:val="1"/>
          <w:u w:val="single" w:color="auto"/>
          <w:color w:val="0000FF"/>
          <w:strike w:val="1"/>
        </w:rPr>
        <w:t>Citi Bank, N.A., Deutsche Bank Securities Inc.,</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0000FF"/>
        </w:rPr>
        <w:t>Morgan Stanley Senior Funding, Inc. and Standard Chartered Bank,</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5"/>
          </w:tcPr>
          <w:p>
            <w:pPr>
              <w:jc w:val="center"/>
              <w:ind w:right="1380"/>
              <w:spacing w:after="0"/>
              <w:rPr>
                <w:sz w:val="20"/>
                <w:szCs w:val="20"/>
                <w:color w:val="auto"/>
              </w:rPr>
            </w:pPr>
            <w:r>
              <w:rPr>
                <w:rFonts w:ascii="Arial" w:cs="Arial" w:eastAsia="Arial" w:hAnsi="Arial"/>
                <w:sz w:val="18"/>
                <w:szCs w:val="18"/>
                <w:b w:val="1"/>
                <w:bCs w:val="1"/>
                <w:color w:val="auto"/>
                <w:w w:val="98"/>
              </w:rPr>
              <w:t>TABLE OF CONTENTS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840" w:type="dxa"/>
            <w:vAlign w:val="bottom"/>
            <w:gridSpan w:val="3"/>
          </w:tcPr>
          <w:p>
            <w:pPr>
              <w:ind w:left="14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43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240"/>
              <w:spacing w:after="0"/>
              <w:rPr>
                <w:sz w:val="20"/>
                <w:szCs w:val="20"/>
                <w:color w:val="auto"/>
              </w:rPr>
            </w:pPr>
            <w:r>
              <w:rPr>
                <w:rFonts w:ascii="Arial" w:cs="Arial" w:eastAsia="Arial" w:hAnsi="Arial"/>
                <w:sz w:val="18"/>
                <w:szCs w:val="18"/>
                <w:color w:val="auto"/>
                <w:w w:val="99"/>
              </w:rPr>
              <w:t>ARTICLE I</w:t>
            </w:r>
          </w:p>
        </w:tc>
        <w:tc>
          <w:tcPr>
            <w:tcW w:w="1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80" w:type="dxa"/>
            <w:vAlign w:val="bottom"/>
            <w:gridSpan w:val="5"/>
          </w:tcPr>
          <w:p>
            <w:pPr>
              <w:jc w:val="center"/>
              <w:ind w:right="1380"/>
              <w:spacing w:after="0"/>
              <w:rPr>
                <w:sz w:val="20"/>
                <w:szCs w:val="20"/>
                <w:color w:val="auto"/>
              </w:rPr>
            </w:pPr>
            <w:r>
              <w:rPr>
                <w:rFonts w:ascii="Arial" w:cs="Arial" w:eastAsia="Arial" w:hAnsi="Arial"/>
                <w:sz w:val="18"/>
                <w:szCs w:val="18"/>
                <w:color w:val="auto"/>
                <w:w w:val="96"/>
              </w:rPr>
              <w:t>DEFINITIONS; ACCOUNTING TERMS; INTERPRETATION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1.01</w:t>
            </w:r>
          </w:p>
        </w:tc>
        <w:tc>
          <w:tcPr>
            <w:tcW w:w="7440" w:type="dxa"/>
            <w:vAlign w:val="bottom"/>
            <w:gridSpan w:val="7"/>
          </w:tcPr>
          <w:p>
            <w:pPr>
              <w:spacing w:after="0"/>
              <w:rPr>
                <w:sz w:val="20"/>
                <w:szCs w:val="20"/>
                <w:color w:val="auto"/>
              </w:rPr>
            </w:pPr>
            <w:r>
              <w:rPr>
                <w:rFonts w:ascii="Arial" w:cs="Arial" w:eastAsia="Arial" w:hAnsi="Arial"/>
                <w:sz w:val="18"/>
                <w:szCs w:val="18"/>
                <w:color w:val="auto"/>
              </w:rPr>
              <w:t>Definitions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1.02</w:t>
            </w:r>
          </w:p>
        </w:tc>
        <w:tc>
          <w:tcPr>
            <w:tcW w:w="7440" w:type="dxa"/>
            <w:vAlign w:val="bottom"/>
            <w:gridSpan w:val="7"/>
          </w:tcPr>
          <w:p>
            <w:pPr>
              <w:spacing w:after="0"/>
              <w:rPr>
                <w:sz w:val="20"/>
                <w:szCs w:val="20"/>
                <w:color w:val="auto"/>
              </w:rPr>
            </w:pPr>
            <w:r>
              <w:rPr>
                <w:rFonts w:ascii="Arial" w:cs="Arial" w:eastAsia="Arial" w:hAnsi="Arial"/>
                <w:sz w:val="18"/>
                <w:szCs w:val="18"/>
                <w:color w:val="auto"/>
              </w:rPr>
              <w:t>Accounting Terms; Changes in GAAP</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1.03</w:t>
            </w:r>
          </w:p>
        </w:tc>
        <w:tc>
          <w:tcPr>
            <w:tcW w:w="7440" w:type="dxa"/>
            <w:vAlign w:val="bottom"/>
            <w:gridSpan w:val="7"/>
          </w:tcPr>
          <w:p>
            <w:pPr>
              <w:spacing w:after="0"/>
              <w:rPr>
                <w:sz w:val="20"/>
                <w:szCs w:val="20"/>
                <w:color w:val="auto"/>
              </w:rPr>
            </w:pPr>
            <w:r>
              <w:rPr>
                <w:rFonts w:ascii="Arial" w:cs="Arial" w:eastAsia="Arial" w:hAnsi="Arial"/>
                <w:sz w:val="18"/>
                <w:szCs w:val="18"/>
                <w:color w:val="auto"/>
              </w:rPr>
              <w:t>Interpretation</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1.04</w:t>
            </w:r>
          </w:p>
        </w:tc>
        <w:tc>
          <w:tcPr>
            <w:tcW w:w="7440" w:type="dxa"/>
            <w:vAlign w:val="bottom"/>
            <w:gridSpan w:val="7"/>
          </w:tcPr>
          <w:p>
            <w:pPr>
              <w:spacing w:after="0"/>
              <w:rPr>
                <w:sz w:val="20"/>
                <w:szCs w:val="20"/>
                <w:color w:val="auto"/>
              </w:rPr>
            </w:pPr>
            <w:r>
              <w:rPr>
                <w:rFonts w:ascii="Arial" w:cs="Arial" w:eastAsia="Arial" w:hAnsi="Arial"/>
                <w:sz w:val="18"/>
                <w:szCs w:val="18"/>
                <w:color w:val="auto"/>
              </w:rPr>
              <w:t>LLC Divisions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1.05</w:t>
            </w:r>
          </w:p>
        </w:tc>
        <w:tc>
          <w:tcPr>
            <w:tcW w:w="7440" w:type="dxa"/>
            <w:vAlign w:val="bottom"/>
            <w:gridSpan w:val="7"/>
          </w:tcPr>
          <w:p>
            <w:pPr>
              <w:spacing w:after="0"/>
              <w:rPr>
                <w:sz w:val="20"/>
                <w:szCs w:val="20"/>
                <w:color w:val="auto"/>
              </w:rPr>
            </w:pPr>
            <w:r>
              <w:rPr>
                <w:rFonts w:ascii="Arial" w:cs="Arial" w:eastAsia="Arial" w:hAnsi="Arial"/>
                <w:sz w:val="18"/>
                <w:szCs w:val="18"/>
                <w:color w:val="auto"/>
              </w:rPr>
              <w:t>Luxembourg Terms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2"/>
        </w:trPr>
        <w:tc>
          <w:tcPr>
            <w:tcW w:w="1960" w:type="dxa"/>
            <w:vAlign w:val="bottom"/>
            <w:gridSpan w:val="6"/>
          </w:tcPr>
          <w:p>
            <w:pPr>
              <w:spacing w:after="0"/>
              <w:rPr>
                <w:sz w:val="20"/>
                <w:szCs w:val="20"/>
                <w:color w:val="auto"/>
              </w:rPr>
            </w:pPr>
            <w:r>
              <w:rPr>
                <w:rFonts w:ascii="Arial" w:cs="Arial" w:eastAsia="Arial" w:hAnsi="Arial"/>
                <w:sz w:val="18"/>
                <w:szCs w:val="18"/>
                <w:color w:val="auto"/>
              </w:rPr>
              <w:t>SECTION 1.06</w:t>
            </w:r>
          </w:p>
        </w:tc>
        <w:tc>
          <w:tcPr>
            <w:tcW w:w="7440" w:type="dxa"/>
            <w:vAlign w:val="bottom"/>
            <w:gridSpan w:val="7"/>
          </w:tcPr>
          <w:p>
            <w:pPr>
              <w:spacing w:after="0"/>
              <w:rPr>
                <w:sz w:val="20"/>
                <w:szCs w:val="20"/>
                <w:color w:val="auto"/>
              </w:rPr>
            </w:pPr>
            <w:r>
              <w:rPr>
                <w:rFonts w:ascii="Arial" w:cs="Arial" w:eastAsia="Arial" w:hAnsi="Arial"/>
                <w:sz w:val="18"/>
                <w:szCs w:val="18"/>
                <w:color w:val="auto"/>
              </w:rPr>
              <w:t>Dutch Terms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0000FF"/>
            </w:tcBorders>
            <w:gridSpan w:val="4"/>
          </w:tcPr>
          <w:p>
            <w:pPr>
              <w:spacing w:after="0" w:line="194" w:lineRule="exact"/>
              <w:rPr>
                <w:sz w:val="20"/>
                <w:szCs w:val="20"/>
                <w:color w:val="auto"/>
              </w:rPr>
            </w:pPr>
            <w:r>
              <w:rPr>
                <w:rFonts w:ascii="Arial" w:cs="Arial" w:eastAsia="Arial" w:hAnsi="Arial"/>
                <w:sz w:val="18"/>
                <w:szCs w:val="18"/>
                <w:b w:val="1"/>
                <w:bCs w:val="1"/>
                <w:color w:val="0000FF"/>
                <w:w w:val="98"/>
              </w:rPr>
              <w:t>SECTION 1.07</w:t>
            </w:r>
          </w:p>
        </w:tc>
        <w:tc>
          <w:tcPr>
            <w:tcW w:w="760" w:type="dxa"/>
            <w:vAlign w:val="bottom"/>
            <w:gridSpan w:val="2"/>
          </w:tcPr>
          <w:p>
            <w:pPr>
              <w:spacing w:after="0"/>
              <w:rPr>
                <w:sz w:val="16"/>
                <w:szCs w:val="16"/>
                <w:color w:val="auto"/>
              </w:rPr>
            </w:pPr>
          </w:p>
        </w:tc>
        <w:tc>
          <w:tcPr>
            <w:tcW w:w="940" w:type="dxa"/>
            <w:vAlign w:val="bottom"/>
            <w:tcBorders>
              <w:bottom w:val="single" w:sz="8" w:color="0000FF"/>
            </w:tcBorders>
          </w:tcPr>
          <w:p>
            <w:pPr>
              <w:spacing w:after="0" w:line="194" w:lineRule="exact"/>
              <w:rPr>
                <w:sz w:val="20"/>
                <w:szCs w:val="20"/>
                <w:color w:val="auto"/>
              </w:rPr>
            </w:pPr>
            <w:r>
              <w:rPr>
                <w:rFonts w:ascii="Arial" w:cs="Arial" w:eastAsia="Arial" w:hAnsi="Arial"/>
                <w:sz w:val="18"/>
                <w:szCs w:val="18"/>
                <w:b w:val="1"/>
                <w:bCs w:val="1"/>
                <w:color w:val="0000FF"/>
                <w:w w:val="83"/>
              </w:rPr>
              <w:t>Swiss Terms</w:t>
            </w:r>
          </w:p>
        </w:tc>
        <w:tc>
          <w:tcPr>
            <w:tcW w:w="6500" w:type="dxa"/>
            <w:vAlign w:val="bottom"/>
            <w:gridSpan w:val="6"/>
          </w:tcPr>
          <w:p>
            <w:pPr>
              <w:spacing w:after="0"/>
              <w:rPr>
                <w:sz w:val="16"/>
                <w:szCs w:val="16"/>
                <w:color w:val="auto"/>
              </w:rPr>
            </w:pPr>
          </w:p>
        </w:tc>
        <w:tc>
          <w:tcPr>
            <w:tcW w:w="166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0"/>
        </w:trPr>
        <w:tc>
          <w:tcPr>
            <w:tcW w:w="8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780" w:type="dxa"/>
            <w:vAlign w:val="bottom"/>
            <w:gridSpan w:val="3"/>
            <w:vMerge w:val="restart"/>
          </w:tcPr>
          <w:p>
            <w:pPr>
              <w:jc w:val="right"/>
              <w:ind w:right="520"/>
              <w:spacing w:after="0"/>
              <w:rPr>
                <w:sz w:val="20"/>
                <w:szCs w:val="20"/>
                <w:color w:val="auto"/>
              </w:rPr>
            </w:pPr>
            <w:r>
              <w:rPr>
                <w:rFonts w:ascii="Arial" w:cs="Arial" w:eastAsia="Arial" w:hAnsi="Arial"/>
                <w:sz w:val="17"/>
                <w:szCs w:val="17"/>
                <w:b w:val="1"/>
                <w:bCs w:val="1"/>
                <w:color w:val="0000FF"/>
                <w:w w:val="72"/>
              </w:rPr>
              <w:t>1.08</w:t>
            </w:r>
          </w:p>
        </w:tc>
        <w:tc>
          <w:tcPr>
            <w:tcW w:w="94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65</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spacing w:after="0" w:line="156" w:lineRule="exact"/>
              <w:rPr>
                <w:sz w:val="20"/>
                <w:szCs w:val="20"/>
                <w:color w:val="auto"/>
              </w:rPr>
            </w:pPr>
            <w:r>
              <w:rPr>
                <w:rFonts w:ascii="Arial" w:cs="Arial" w:eastAsia="Arial" w:hAnsi="Arial"/>
                <w:sz w:val="18"/>
                <w:szCs w:val="18"/>
                <w:color w:val="auto"/>
                <w:w w:val="99"/>
              </w:rPr>
              <w:t>SECTION</w:t>
            </w:r>
          </w:p>
        </w:tc>
        <w:tc>
          <w:tcPr>
            <w:tcW w:w="300" w:type="dxa"/>
            <w:vAlign w:val="bottom"/>
          </w:tcPr>
          <w:p>
            <w:pPr>
              <w:jc w:val="right"/>
              <w:spacing w:after="0" w:line="156" w:lineRule="exact"/>
              <w:rPr>
                <w:sz w:val="20"/>
                <w:szCs w:val="20"/>
                <w:color w:val="auto"/>
              </w:rPr>
            </w:pPr>
            <w:r>
              <w:rPr>
                <w:rFonts w:ascii="Arial" w:cs="Arial" w:eastAsia="Arial" w:hAnsi="Arial"/>
                <w:sz w:val="18"/>
                <w:szCs w:val="18"/>
                <w:b w:val="1"/>
                <w:bCs w:val="1"/>
                <w:color w:val="FF0000"/>
                <w:strike w:val="1"/>
                <w:w w:val="79"/>
              </w:rPr>
              <w:t>1.07</w:t>
            </w:r>
          </w:p>
        </w:tc>
        <w:tc>
          <w:tcPr>
            <w:tcW w:w="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7440" w:type="dxa"/>
            <w:vAlign w:val="bottom"/>
            <w:gridSpan w:val="7"/>
          </w:tcPr>
          <w:p>
            <w:pPr>
              <w:spacing w:after="0" w:line="156" w:lineRule="exact"/>
              <w:rPr>
                <w:sz w:val="20"/>
                <w:szCs w:val="20"/>
                <w:color w:val="auto"/>
              </w:rPr>
            </w:pPr>
            <w:r>
              <w:rPr>
                <w:rFonts w:ascii="Arial" w:cs="Arial" w:eastAsia="Arial" w:hAnsi="Arial"/>
                <w:sz w:val="18"/>
                <w:szCs w:val="18"/>
                <w:color w:val="auto"/>
              </w:rPr>
              <w:t>Centre of Main Interest</w:t>
            </w: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71</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w:t>
            </w:r>
          </w:p>
        </w:tc>
        <w:tc>
          <w:tcPr>
            <w:tcW w:w="30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1.08</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Quebec Terms</w:t>
            </w: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b w:val="1"/>
                <w:bCs w:val="1"/>
                <w:color w:val="0000FF"/>
                <w:w w:val="85"/>
              </w:rPr>
              <w:t>1.09</w:t>
            </w:r>
          </w:p>
        </w:tc>
        <w:tc>
          <w:tcPr>
            <w:tcW w:w="520" w:type="dxa"/>
            <w:vAlign w:val="bottom"/>
          </w:tcPr>
          <w:p>
            <w:pPr>
              <w:spacing w:after="0"/>
              <w:rPr>
                <w:sz w:val="13"/>
                <w:szCs w:val="13"/>
                <w:color w:val="auto"/>
              </w:rPr>
            </w:pPr>
          </w:p>
        </w:tc>
        <w:tc>
          <w:tcPr>
            <w:tcW w:w="7440" w:type="dxa"/>
            <w:vAlign w:val="bottom"/>
            <w:gridSpan w:val="7"/>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71</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196" w:lineRule="exact"/>
              <w:rPr>
                <w:sz w:val="20"/>
                <w:szCs w:val="20"/>
                <w:color w:val="auto"/>
              </w:rPr>
            </w:pPr>
            <w:r>
              <w:rPr>
                <w:rFonts w:ascii="Arial" w:cs="Arial" w:eastAsia="Arial" w:hAnsi="Arial"/>
                <w:sz w:val="18"/>
                <w:szCs w:val="18"/>
                <w:color w:val="auto"/>
                <w:w w:val="99"/>
              </w:rPr>
              <w:t>SECTION</w:t>
            </w:r>
          </w:p>
        </w:tc>
        <w:tc>
          <w:tcPr>
            <w:tcW w:w="30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1.09</w:t>
            </w:r>
          </w:p>
        </w:tc>
        <w:tc>
          <w:tcPr>
            <w:tcW w:w="320" w:type="dxa"/>
            <w:vAlign w:val="bottom"/>
            <w:tcBorders>
              <w:bottom w:val="single" w:sz="8" w:color="0000FF"/>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Rates</w:t>
            </w: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b w:val="1"/>
                <w:bCs w:val="1"/>
                <w:color w:val="0000FF"/>
                <w:w w:val="85"/>
              </w:rPr>
              <w:t>1.10</w:t>
            </w:r>
          </w:p>
        </w:tc>
        <w:tc>
          <w:tcPr>
            <w:tcW w:w="520" w:type="dxa"/>
            <w:vAlign w:val="bottom"/>
          </w:tcPr>
          <w:p>
            <w:pPr>
              <w:spacing w:after="0"/>
              <w:rPr>
                <w:sz w:val="13"/>
                <w:szCs w:val="13"/>
                <w:color w:val="auto"/>
              </w:rPr>
            </w:pPr>
          </w:p>
        </w:tc>
        <w:tc>
          <w:tcPr>
            <w:tcW w:w="7440" w:type="dxa"/>
            <w:vAlign w:val="bottom"/>
            <w:gridSpan w:val="7"/>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00" w:type="dxa"/>
            <w:vAlign w:val="bottom"/>
            <w:gridSpan w:val="3"/>
            <w:vMerge w:val="restart"/>
          </w:tcPr>
          <w:p>
            <w:pPr>
              <w:jc w:val="center"/>
              <w:ind w:right="3260"/>
              <w:spacing w:after="0"/>
              <w:rPr>
                <w:sz w:val="20"/>
                <w:szCs w:val="20"/>
                <w:color w:val="auto"/>
              </w:rPr>
            </w:pPr>
            <w:r>
              <w:rPr>
                <w:rFonts w:ascii="Arial" w:cs="Arial" w:eastAsia="Arial" w:hAnsi="Arial"/>
                <w:sz w:val="18"/>
                <w:szCs w:val="18"/>
                <w:color w:val="auto"/>
              </w:rPr>
              <w:t>ARTICLE II</w:t>
            </w: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740" w:type="dxa"/>
            <w:vAlign w:val="bottom"/>
            <w:gridSpan w:val="4"/>
          </w:tcPr>
          <w:p>
            <w:pPr>
              <w:jc w:val="center"/>
              <w:ind w:right="2820"/>
              <w:spacing w:after="0"/>
              <w:rPr>
                <w:sz w:val="20"/>
                <w:szCs w:val="20"/>
                <w:color w:val="auto"/>
              </w:rPr>
            </w:pPr>
            <w:r>
              <w:rPr>
                <w:rFonts w:ascii="Arial" w:cs="Arial" w:eastAsia="Arial" w:hAnsi="Arial"/>
                <w:sz w:val="18"/>
                <w:szCs w:val="18"/>
                <w:color w:val="auto"/>
                <w:w w:val="98"/>
              </w:rPr>
              <w:t>REVOLVING LOANS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60" w:type="dxa"/>
            <w:vAlign w:val="bottom"/>
            <w:gridSpan w:val="6"/>
          </w:tcPr>
          <w:p>
            <w:pPr>
              <w:spacing w:after="0"/>
              <w:rPr>
                <w:sz w:val="20"/>
                <w:szCs w:val="20"/>
                <w:color w:val="auto"/>
              </w:rPr>
            </w:pPr>
            <w:r>
              <w:rPr>
                <w:rFonts w:ascii="Arial" w:cs="Arial" w:eastAsia="Arial" w:hAnsi="Arial"/>
                <w:sz w:val="18"/>
                <w:szCs w:val="18"/>
                <w:color w:val="auto"/>
              </w:rPr>
              <w:t>SECTION 2.01</w:t>
            </w:r>
          </w:p>
        </w:tc>
        <w:tc>
          <w:tcPr>
            <w:tcW w:w="7440" w:type="dxa"/>
            <w:vAlign w:val="bottom"/>
            <w:gridSpan w:val="7"/>
          </w:tcPr>
          <w:p>
            <w:pPr>
              <w:spacing w:after="0"/>
              <w:rPr>
                <w:sz w:val="20"/>
                <w:szCs w:val="20"/>
                <w:color w:val="auto"/>
              </w:rPr>
            </w:pPr>
            <w:r>
              <w:rPr>
                <w:rFonts w:ascii="Arial" w:cs="Arial" w:eastAsia="Arial" w:hAnsi="Arial"/>
                <w:sz w:val="18"/>
                <w:szCs w:val="18"/>
                <w:color w:val="auto"/>
              </w:rPr>
              <w:t>General</w:t>
            </w:r>
          </w:p>
        </w:tc>
        <w:tc>
          <w:tcPr>
            <w:tcW w:w="1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FF0000"/>
                <w:strike w:val="1"/>
                <w:w w:val="79"/>
              </w:rPr>
              <w:t>67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73</w:t>
            </w:r>
          </w:p>
        </w:tc>
        <w:tc>
          <w:tcPr>
            <w:tcW w:w="0" w:type="dxa"/>
            <w:vAlign w:val="bottom"/>
          </w:tcPr>
          <w:p>
            <w:pPr>
              <w:spacing w:after="0"/>
              <w:rPr>
                <w:sz w:val="1"/>
                <w:szCs w:val="1"/>
                <w:color w:val="auto"/>
              </w:rPr>
            </w:pPr>
          </w:p>
        </w:tc>
      </w:tr>
      <w:tr>
        <w:trPr>
          <w:trHeight w:val="20"/>
        </w:trPr>
        <w:tc>
          <w:tcPr>
            <w:tcW w:w="1960" w:type="dxa"/>
            <w:vAlign w:val="bottom"/>
            <w:gridSpan w:val="6"/>
            <w:vMerge w:val="restart"/>
          </w:tcPr>
          <w:p>
            <w:pPr>
              <w:spacing w:after="0" w:line="196" w:lineRule="exact"/>
              <w:rPr>
                <w:sz w:val="20"/>
                <w:szCs w:val="20"/>
                <w:color w:val="auto"/>
              </w:rPr>
            </w:pPr>
            <w:r>
              <w:rPr>
                <w:rFonts w:ascii="Arial" w:cs="Arial" w:eastAsia="Arial" w:hAnsi="Arial"/>
                <w:sz w:val="18"/>
                <w:szCs w:val="18"/>
                <w:color w:val="auto"/>
              </w:rPr>
              <w:t>SECTION 2.02</w:t>
            </w:r>
          </w:p>
        </w:tc>
        <w:tc>
          <w:tcPr>
            <w:tcW w:w="74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Procedure for Advances of Loans</w:t>
            </w: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6"/>
            <w:vMerge w:val="continue"/>
          </w:tcPr>
          <w:p>
            <w:pPr>
              <w:spacing w:after="0"/>
              <w:rPr>
                <w:sz w:val="13"/>
                <w:szCs w:val="13"/>
                <w:color w:val="auto"/>
              </w:rPr>
            </w:pPr>
          </w:p>
        </w:tc>
        <w:tc>
          <w:tcPr>
            <w:tcW w:w="7440" w:type="dxa"/>
            <w:vAlign w:val="bottom"/>
            <w:gridSpan w:val="7"/>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73</w:t>
            </w:r>
          </w:p>
        </w:tc>
        <w:tc>
          <w:tcPr>
            <w:tcW w:w="0" w:type="dxa"/>
            <w:vAlign w:val="bottom"/>
          </w:tcPr>
          <w:p>
            <w:pPr>
              <w:spacing w:after="0"/>
              <w:rPr>
                <w:sz w:val="1"/>
                <w:szCs w:val="1"/>
                <w:color w:val="auto"/>
              </w:rPr>
            </w:pPr>
          </w:p>
        </w:tc>
      </w:tr>
      <w:tr>
        <w:trPr>
          <w:trHeight w:val="20"/>
        </w:trPr>
        <w:tc>
          <w:tcPr>
            <w:tcW w:w="1960" w:type="dxa"/>
            <w:vAlign w:val="bottom"/>
            <w:gridSpan w:val="6"/>
            <w:vMerge w:val="restart"/>
          </w:tcPr>
          <w:p>
            <w:pPr>
              <w:spacing w:after="0" w:line="196" w:lineRule="exact"/>
              <w:rPr>
                <w:sz w:val="20"/>
                <w:szCs w:val="20"/>
                <w:color w:val="auto"/>
              </w:rPr>
            </w:pPr>
            <w:r>
              <w:rPr>
                <w:rFonts w:ascii="Arial" w:cs="Arial" w:eastAsia="Arial" w:hAnsi="Arial"/>
                <w:sz w:val="18"/>
                <w:szCs w:val="18"/>
                <w:color w:val="auto"/>
              </w:rPr>
              <w:t>SECTION 2.03</w:t>
            </w:r>
          </w:p>
        </w:tc>
        <w:tc>
          <w:tcPr>
            <w:tcW w:w="74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Optional Prepayments</w:t>
            </w: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6"/>
            <w:vMerge w:val="continue"/>
          </w:tcPr>
          <w:p>
            <w:pPr>
              <w:spacing w:after="0"/>
              <w:rPr>
                <w:sz w:val="13"/>
                <w:szCs w:val="13"/>
                <w:color w:val="auto"/>
              </w:rPr>
            </w:pPr>
          </w:p>
        </w:tc>
        <w:tc>
          <w:tcPr>
            <w:tcW w:w="7440" w:type="dxa"/>
            <w:vAlign w:val="bottom"/>
            <w:gridSpan w:val="7"/>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74</w:t>
            </w:r>
          </w:p>
        </w:tc>
        <w:tc>
          <w:tcPr>
            <w:tcW w:w="0" w:type="dxa"/>
            <w:vAlign w:val="bottom"/>
          </w:tcPr>
          <w:p>
            <w:pPr>
              <w:spacing w:after="0"/>
              <w:rPr>
                <w:sz w:val="1"/>
                <w:szCs w:val="1"/>
                <w:color w:val="auto"/>
              </w:rPr>
            </w:pPr>
          </w:p>
        </w:tc>
      </w:tr>
      <w:tr>
        <w:trPr>
          <w:trHeight w:val="20"/>
        </w:trPr>
        <w:tc>
          <w:tcPr>
            <w:tcW w:w="1960" w:type="dxa"/>
            <w:vAlign w:val="bottom"/>
            <w:gridSpan w:val="6"/>
            <w:vMerge w:val="restart"/>
          </w:tcPr>
          <w:p>
            <w:pPr>
              <w:spacing w:after="0" w:line="196" w:lineRule="exact"/>
              <w:rPr>
                <w:sz w:val="20"/>
                <w:szCs w:val="20"/>
                <w:color w:val="auto"/>
              </w:rPr>
            </w:pPr>
            <w:r>
              <w:rPr>
                <w:rFonts w:ascii="Arial" w:cs="Arial" w:eastAsia="Arial" w:hAnsi="Arial"/>
                <w:sz w:val="18"/>
                <w:szCs w:val="18"/>
                <w:color w:val="auto"/>
              </w:rPr>
              <w:t>SECTION 2.04</w:t>
            </w:r>
          </w:p>
        </w:tc>
        <w:tc>
          <w:tcPr>
            <w:tcW w:w="74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Notice and Manner of Conversion or Continuation of Loans</w:t>
            </w:r>
          </w:p>
        </w:tc>
        <w:tc>
          <w:tcPr>
            <w:tcW w:w="14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69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6"/>
            <w:vMerge w:val="continue"/>
          </w:tcPr>
          <w:p>
            <w:pPr>
              <w:spacing w:after="0"/>
              <w:rPr>
                <w:sz w:val="13"/>
                <w:szCs w:val="13"/>
                <w:color w:val="auto"/>
              </w:rPr>
            </w:pPr>
          </w:p>
        </w:tc>
        <w:tc>
          <w:tcPr>
            <w:tcW w:w="7440" w:type="dxa"/>
            <w:vAlign w:val="bottom"/>
            <w:gridSpan w:val="7"/>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75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00" w:type="dxa"/>
            <w:vAlign w:val="bottom"/>
            <w:gridSpan w:val="3"/>
            <w:vMerge w:val="restart"/>
          </w:tcPr>
          <w:p>
            <w:pPr>
              <w:jc w:val="center"/>
              <w:ind w:right="3240"/>
              <w:spacing w:after="0"/>
              <w:rPr>
                <w:sz w:val="20"/>
                <w:szCs w:val="20"/>
                <w:color w:val="auto"/>
              </w:rPr>
            </w:pPr>
            <w:r>
              <w:rPr>
                <w:rFonts w:ascii="Arial" w:cs="Arial" w:eastAsia="Arial" w:hAnsi="Arial"/>
                <w:sz w:val="18"/>
                <w:szCs w:val="18"/>
                <w:color w:val="auto"/>
              </w:rPr>
              <w:t>ARTICLE III</w:t>
            </w: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740" w:type="dxa"/>
            <w:vAlign w:val="bottom"/>
            <w:gridSpan w:val="4"/>
          </w:tcPr>
          <w:p>
            <w:pPr>
              <w:jc w:val="center"/>
              <w:ind w:right="2800"/>
              <w:spacing w:after="0"/>
              <w:rPr>
                <w:sz w:val="20"/>
                <w:szCs w:val="20"/>
                <w:color w:val="auto"/>
              </w:rPr>
            </w:pPr>
            <w:r>
              <w:rPr>
                <w:rFonts w:ascii="Arial" w:cs="Arial" w:eastAsia="Arial" w:hAnsi="Arial"/>
                <w:sz w:val="18"/>
                <w:szCs w:val="18"/>
                <w:color w:val="auto"/>
                <w:w w:val="95"/>
              </w:rPr>
              <w:t>LETTERS OF CREDIT</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60" w:type="dxa"/>
            <w:vAlign w:val="bottom"/>
            <w:gridSpan w:val="6"/>
          </w:tcPr>
          <w:p>
            <w:pPr>
              <w:spacing w:after="0"/>
              <w:rPr>
                <w:sz w:val="20"/>
                <w:szCs w:val="20"/>
                <w:color w:val="auto"/>
              </w:rPr>
            </w:pPr>
            <w:r>
              <w:rPr>
                <w:rFonts w:ascii="Arial" w:cs="Arial" w:eastAsia="Arial" w:hAnsi="Arial"/>
                <w:sz w:val="18"/>
                <w:szCs w:val="18"/>
                <w:color w:val="auto"/>
              </w:rPr>
              <w:t>SECTION 3.01</w:t>
            </w:r>
          </w:p>
        </w:tc>
        <w:tc>
          <w:tcPr>
            <w:tcW w:w="7440" w:type="dxa"/>
            <w:vAlign w:val="bottom"/>
            <w:gridSpan w:val="7"/>
          </w:tcPr>
          <w:p>
            <w:pPr>
              <w:spacing w:after="0"/>
              <w:rPr>
                <w:sz w:val="20"/>
                <w:szCs w:val="20"/>
                <w:color w:val="auto"/>
              </w:rPr>
            </w:pPr>
            <w:r>
              <w:rPr>
                <w:rFonts w:ascii="Arial" w:cs="Arial" w:eastAsia="Arial" w:hAnsi="Arial"/>
                <w:sz w:val="18"/>
                <w:szCs w:val="18"/>
                <w:color w:val="auto"/>
              </w:rPr>
              <w:t>Letters of Credit</w:t>
            </w:r>
          </w:p>
        </w:tc>
        <w:tc>
          <w:tcPr>
            <w:tcW w:w="1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0000FF"/>
              </w:rPr>
              <w:t>ARTICLE IV</w:t>
            </w:r>
          </w:p>
        </w:tc>
        <w:tc>
          <w:tcPr>
            <w:tcW w:w="3240" w:type="dxa"/>
            <w:vAlign w:val="bottom"/>
            <w:gridSpan w:val="2"/>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bottom w:val="single" w:sz="8" w:color="0000FF"/>
            </w:tcBorders>
            <w:vMerge w:val="continue"/>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0" w:type="dxa"/>
            <w:vAlign w:val="bottom"/>
            <w:gridSpan w:val="4"/>
          </w:tcPr>
          <w:p>
            <w:pPr>
              <w:spacing w:after="0"/>
              <w:rPr>
                <w:sz w:val="20"/>
                <w:szCs w:val="20"/>
                <w:color w:val="auto"/>
              </w:rPr>
            </w:pPr>
            <w:r>
              <w:rPr>
                <w:rFonts w:ascii="Arial" w:cs="Arial" w:eastAsia="Arial" w:hAnsi="Arial"/>
                <w:sz w:val="18"/>
                <w:szCs w:val="18"/>
                <w:b w:val="1"/>
                <w:bCs w:val="1"/>
                <w:color w:val="FF0000"/>
                <w:strike w:val="1"/>
                <w:w w:val="98"/>
              </w:rPr>
              <w:t>SECTION 3.02</w:t>
            </w:r>
          </w:p>
        </w:tc>
        <w:tc>
          <w:tcPr>
            <w:tcW w:w="760" w:type="dxa"/>
            <w:vAlign w:val="bottom"/>
            <w:gridSpan w:val="2"/>
          </w:tcPr>
          <w:p>
            <w:pPr>
              <w:spacing w:after="0"/>
              <w:rPr>
                <w:sz w:val="24"/>
                <w:szCs w:val="24"/>
                <w:color w:val="auto"/>
              </w:rPr>
            </w:pPr>
          </w:p>
        </w:tc>
        <w:tc>
          <w:tcPr>
            <w:tcW w:w="4200" w:type="dxa"/>
            <w:vAlign w:val="bottom"/>
            <w:gridSpan w:val="5"/>
          </w:tcPr>
          <w:p>
            <w:pPr>
              <w:spacing w:after="0"/>
              <w:rPr>
                <w:sz w:val="20"/>
                <w:szCs w:val="20"/>
                <w:color w:val="auto"/>
              </w:rPr>
            </w:pPr>
            <w:r>
              <w:rPr>
                <w:rFonts w:ascii="Arial" w:cs="Arial" w:eastAsia="Arial" w:hAnsi="Arial"/>
                <w:sz w:val="18"/>
                <w:szCs w:val="18"/>
                <w:b w:val="1"/>
                <w:bCs w:val="1"/>
                <w:color w:val="FF0000"/>
                <w:strike w:val="1"/>
              </w:rPr>
              <w:t>Increase in Performance LC Commitments</w:t>
            </w:r>
          </w:p>
        </w:tc>
        <w:tc>
          <w:tcPr>
            <w:tcW w:w="3240" w:type="dxa"/>
            <w:vAlign w:val="bottom"/>
            <w:gridSpan w:val="2"/>
          </w:tcPr>
          <w:p>
            <w:pPr>
              <w:spacing w:after="0"/>
              <w:rPr>
                <w:sz w:val="24"/>
                <w:szCs w:val="24"/>
                <w:color w:val="auto"/>
              </w:rPr>
            </w:pPr>
          </w:p>
        </w:tc>
        <w:tc>
          <w:tcPr>
            <w:tcW w:w="16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78</w:t>
            </w:r>
          </w:p>
        </w:tc>
        <w:tc>
          <w:tcPr>
            <w:tcW w:w="0" w:type="dxa"/>
            <w:vAlign w:val="bottom"/>
          </w:tcPr>
          <w:p>
            <w:pPr>
              <w:spacing w:after="0"/>
              <w:rPr>
                <w:sz w:val="1"/>
                <w:szCs w:val="1"/>
                <w:color w:val="auto"/>
              </w:rPr>
            </w:pPr>
          </w:p>
        </w:tc>
      </w:tr>
      <w:tr>
        <w:trPr>
          <w:trHeight w:val="234"/>
        </w:trPr>
        <w:tc>
          <w:tcPr>
            <w:tcW w:w="1180" w:type="dxa"/>
            <w:vAlign w:val="bottom"/>
            <w:gridSpan w:val="3"/>
          </w:tcPr>
          <w:p>
            <w:pPr>
              <w:spacing w:after="0"/>
              <w:rPr>
                <w:sz w:val="20"/>
                <w:szCs w:val="20"/>
                <w:color w:val="auto"/>
              </w:rPr>
            </w:pPr>
            <w:r>
              <w:rPr>
                <w:rFonts w:ascii="Arial" w:cs="Arial" w:eastAsia="Arial" w:hAnsi="Arial"/>
                <w:sz w:val="18"/>
                <w:szCs w:val="18"/>
                <w:b w:val="1"/>
                <w:bCs w:val="1"/>
                <w:color w:val="FF0000"/>
                <w:strike w:val="1"/>
                <w:w w:val="96"/>
              </w:rPr>
              <w:t>SECTION 3.03</w:t>
            </w:r>
          </w:p>
        </w:tc>
        <w:tc>
          <w:tcPr>
            <w:tcW w:w="780" w:type="dxa"/>
            <w:vAlign w:val="bottom"/>
            <w:gridSpan w:val="3"/>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9"/>
              </w:rPr>
              <w:t>Activity Reports</w:t>
            </w:r>
          </w:p>
        </w:tc>
        <w:tc>
          <w:tcPr>
            <w:tcW w:w="6180" w:type="dxa"/>
            <w:vAlign w:val="bottom"/>
            <w:gridSpan w:val="5"/>
          </w:tcPr>
          <w:p>
            <w:pPr>
              <w:spacing w:after="0"/>
              <w:rPr>
                <w:sz w:val="20"/>
                <w:szCs w:val="20"/>
                <w:color w:val="auto"/>
              </w:rPr>
            </w:pPr>
          </w:p>
        </w:tc>
        <w:tc>
          <w:tcPr>
            <w:tcW w:w="166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240"/>
              <w:spacing w:after="0"/>
              <w:rPr>
                <w:sz w:val="20"/>
                <w:szCs w:val="20"/>
                <w:color w:val="auto"/>
              </w:rPr>
            </w:pPr>
            <w:r>
              <w:rPr>
                <w:rFonts w:ascii="Arial" w:cs="Arial" w:eastAsia="Arial" w:hAnsi="Arial"/>
                <w:sz w:val="18"/>
                <w:szCs w:val="18"/>
                <w:color w:val="auto"/>
                <w:w w:val="99"/>
              </w:rPr>
              <w:t>ARTICLE IV</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5"/>
          </w:tcPr>
          <w:p>
            <w:pPr>
              <w:jc w:val="center"/>
              <w:ind w:right="1380"/>
              <w:spacing w:after="0"/>
              <w:rPr>
                <w:sz w:val="20"/>
                <w:szCs w:val="20"/>
                <w:color w:val="auto"/>
              </w:rPr>
            </w:pPr>
            <w:r>
              <w:rPr>
                <w:rFonts w:ascii="Arial" w:cs="Arial" w:eastAsia="Arial" w:hAnsi="Arial"/>
                <w:sz w:val="18"/>
                <w:szCs w:val="18"/>
                <w:color w:val="auto"/>
                <w:w w:val="95"/>
              </w:rPr>
              <w:t>GENERAL CREDIT PROVISIONS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4.01</w:t>
            </w:r>
          </w:p>
        </w:tc>
        <w:tc>
          <w:tcPr>
            <w:tcW w:w="7440" w:type="dxa"/>
            <w:vAlign w:val="bottom"/>
            <w:gridSpan w:val="7"/>
          </w:tcPr>
          <w:p>
            <w:pPr>
              <w:spacing w:after="0"/>
              <w:rPr>
                <w:sz w:val="20"/>
                <w:szCs w:val="20"/>
                <w:color w:val="auto"/>
              </w:rPr>
            </w:pPr>
            <w:r>
              <w:rPr>
                <w:rFonts w:ascii="Arial" w:cs="Arial" w:eastAsia="Arial" w:hAnsi="Arial"/>
                <w:sz w:val="18"/>
                <w:szCs w:val="18"/>
                <w:color w:val="auto"/>
              </w:rPr>
              <w:t>Termination and Reduction of Commitments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4.02</w:t>
            </w:r>
          </w:p>
        </w:tc>
        <w:tc>
          <w:tcPr>
            <w:tcW w:w="7440" w:type="dxa"/>
            <w:vAlign w:val="bottom"/>
            <w:gridSpan w:val="7"/>
          </w:tcPr>
          <w:p>
            <w:pPr>
              <w:spacing w:after="0"/>
              <w:rPr>
                <w:sz w:val="20"/>
                <w:szCs w:val="20"/>
                <w:color w:val="auto"/>
              </w:rPr>
            </w:pPr>
            <w:r>
              <w:rPr>
                <w:rFonts w:ascii="Arial" w:cs="Arial" w:eastAsia="Arial" w:hAnsi="Arial"/>
                <w:sz w:val="18"/>
                <w:szCs w:val="18"/>
                <w:color w:val="auto"/>
              </w:rPr>
              <w:t>Repayment of Obligations; Evidence of Debt.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4.03</w:t>
            </w:r>
          </w:p>
        </w:tc>
        <w:tc>
          <w:tcPr>
            <w:tcW w:w="7440" w:type="dxa"/>
            <w:vAlign w:val="bottom"/>
            <w:gridSpan w:val="7"/>
          </w:tcPr>
          <w:p>
            <w:pPr>
              <w:spacing w:after="0"/>
              <w:rPr>
                <w:sz w:val="20"/>
                <w:szCs w:val="20"/>
                <w:color w:val="auto"/>
              </w:rPr>
            </w:pPr>
            <w:r>
              <w:rPr>
                <w:rFonts w:ascii="Arial" w:cs="Arial" w:eastAsia="Arial" w:hAnsi="Arial"/>
                <w:sz w:val="18"/>
                <w:szCs w:val="18"/>
                <w:color w:val="auto"/>
              </w:rPr>
              <w:t>Mandatory Prepayment of Obligations.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4.04</w:t>
            </w:r>
          </w:p>
        </w:tc>
        <w:tc>
          <w:tcPr>
            <w:tcW w:w="7440" w:type="dxa"/>
            <w:vAlign w:val="bottom"/>
            <w:gridSpan w:val="7"/>
          </w:tcPr>
          <w:p>
            <w:pPr>
              <w:spacing w:after="0"/>
              <w:rPr>
                <w:sz w:val="20"/>
                <w:szCs w:val="20"/>
                <w:color w:val="auto"/>
              </w:rPr>
            </w:pPr>
            <w:r>
              <w:rPr>
                <w:rFonts w:ascii="Arial" w:cs="Arial" w:eastAsia="Arial" w:hAnsi="Arial"/>
                <w:sz w:val="18"/>
                <w:szCs w:val="18"/>
                <w:color w:val="auto"/>
              </w:rPr>
              <w:t>Interest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4.05</w:t>
            </w:r>
          </w:p>
        </w:tc>
        <w:tc>
          <w:tcPr>
            <w:tcW w:w="7440" w:type="dxa"/>
            <w:vAlign w:val="bottom"/>
            <w:gridSpan w:val="7"/>
          </w:tcPr>
          <w:p>
            <w:pPr>
              <w:spacing w:after="0"/>
              <w:rPr>
                <w:sz w:val="20"/>
                <w:szCs w:val="20"/>
                <w:color w:val="auto"/>
              </w:rPr>
            </w:pPr>
            <w:r>
              <w:rPr>
                <w:rFonts w:ascii="Arial" w:cs="Arial" w:eastAsia="Arial" w:hAnsi="Arial"/>
                <w:sz w:val="18"/>
                <w:szCs w:val="18"/>
                <w:color w:val="auto"/>
              </w:rPr>
              <w:t>Fees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4.06</w:t>
            </w:r>
          </w:p>
        </w:tc>
        <w:tc>
          <w:tcPr>
            <w:tcW w:w="7440" w:type="dxa"/>
            <w:vAlign w:val="bottom"/>
            <w:gridSpan w:val="7"/>
          </w:tcPr>
          <w:p>
            <w:pPr>
              <w:spacing w:after="0"/>
              <w:rPr>
                <w:sz w:val="20"/>
                <w:szCs w:val="20"/>
                <w:color w:val="auto"/>
              </w:rPr>
            </w:pPr>
            <w:r>
              <w:rPr>
                <w:rFonts w:ascii="Arial" w:cs="Arial" w:eastAsia="Arial" w:hAnsi="Arial"/>
                <w:sz w:val="18"/>
                <w:szCs w:val="18"/>
                <w:color w:val="auto"/>
              </w:rPr>
              <w:t>Changed Circumstances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960" w:type="dxa"/>
            <w:vAlign w:val="bottom"/>
            <w:gridSpan w:val="6"/>
          </w:tcPr>
          <w:p>
            <w:pPr>
              <w:spacing w:after="0"/>
              <w:rPr>
                <w:sz w:val="20"/>
                <w:szCs w:val="20"/>
                <w:color w:val="auto"/>
              </w:rPr>
            </w:pPr>
            <w:r>
              <w:rPr>
                <w:rFonts w:ascii="Arial" w:cs="Arial" w:eastAsia="Arial" w:hAnsi="Arial"/>
                <w:sz w:val="18"/>
                <w:szCs w:val="18"/>
                <w:color w:val="auto"/>
              </w:rPr>
              <w:t>SECTION 4.07</w:t>
            </w:r>
          </w:p>
        </w:tc>
        <w:tc>
          <w:tcPr>
            <w:tcW w:w="7440" w:type="dxa"/>
            <w:vAlign w:val="bottom"/>
            <w:gridSpan w:val="7"/>
          </w:tcPr>
          <w:p>
            <w:pPr>
              <w:spacing w:after="0"/>
              <w:rPr>
                <w:sz w:val="20"/>
                <w:szCs w:val="20"/>
                <w:color w:val="auto"/>
              </w:rPr>
            </w:pPr>
            <w:r>
              <w:rPr>
                <w:rFonts w:ascii="Arial" w:cs="Arial" w:eastAsia="Arial" w:hAnsi="Arial"/>
                <w:sz w:val="18"/>
                <w:szCs w:val="18"/>
                <w:color w:val="auto"/>
              </w:rPr>
              <w:t>Indemnity</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4.08</w:t>
            </w:r>
          </w:p>
        </w:tc>
        <w:tc>
          <w:tcPr>
            <w:tcW w:w="8740" w:type="dxa"/>
            <w:vAlign w:val="bottom"/>
            <w:gridSpan w:val="7"/>
          </w:tcPr>
          <w:p>
            <w:pPr>
              <w:spacing w:after="0"/>
              <w:rPr>
                <w:sz w:val="20"/>
                <w:szCs w:val="20"/>
                <w:color w:val="auto"/>
              </w:rPr>
            </w:pPr>
            <w:r>
              <w:rPr>
                <w:rFonts w:ascii="Arial" w:cs="Arial" w:eastAsia="Arial" w:hAnsi="Arial"/>
                <w:sz w:val="18"/>
                <w:szCs w:val="18"/>
                <w:color w:val="auto"/>
              </w:rPr>
              <w:t>Increased Costs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4.09</w:t>
            </w:r>
          </w:p>
        </w:tc>
        <w:tc>
          <w:tcPr>
            <w:tcW w:w="8740" w:type="dxa"/>
            <w:vAlign w:val="bottom"/>
            <w:gridSpan w:val="7"/>
          </w:tcPr>
          <w:p>
            <w:pPr>
              <w:spacing w:after="0"/>
              <w:rPr>
                <w:sz w:val="20"/>
                <w:szCs w:val="20"/>
                <w:color w:val="auto"/>
              </w:rPr>
            </w:pPr>
            <w:r>
              <w:rPr>
                <w:rFonts w:ascii="Arial" w:cs="Arial" w:eastAsia="Arial" w:hAnsi="Arial"/>
                <w:sz w:val="18"/>
                <w:szCs w:val="18"/>
                <w:color w:val="auto"/>
              </w:rPr>
              <w:t>Determination of Exchange Rates; Cash Collateralization as a Result of Currency Fluctuations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4.10</w:t>
            </w:r>
          </w:p>
        </w:tc>
        <w:tc>
          <w:tcPr>
            <w:tcW w:w="8740" w:type="dxa"/>
            <w:vAlign w:val="bottom"/>
            <w:gridSpan w:val="7"/>
          </w:tcPr>
          <w:p>
            <w:pPr>
              <w:spacing w:after="0"/>
              <w:rPr>
                <w:sz w:val="20"/>
                <w:szCs w:val="20"/>
                <w:color w:val="auto"/>
              </w:rPr>
            </w:pPr>
            <w:r>
              <w:rPr>
                <w:rFonts w:ascii="Arial" w:cs="Arial" w:eastAsia="Arial" w:hAnsi="Arial"/>
                <w:sz w:val="18"/>
                <w:szCs w:val="18"/>
                <w:color w:val="auto"/>
              </w:rPr>
              <w:t>Several Liability; Agreement to Defer Exercise of Right of Contribution, Etc.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4.11</w:t>
            </w:r>
          </w:p>
        </w:tc>
        <w:tc>
          <w:tcPr>
            <w:tcW w:w="8740" w:type="dxa"/>
            <w:vAlign w:val="bottom"/>
            <w:gridSpan w:val="7"/>
          </w:tcPr>
          <w:p>
            <w:pPr>
              <w:spacing w:after="0" w:line="194" w:lineRule="exact"/>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rPr>
              <w:t>95</w:t>
            </w:r>
          </w:p>
        </w:tc>
        <w:tc>
          <w:tcPr>
            <w:tcW w:w="260" w:type="dxa"/>
            <w:vAlign w:val="bottom"/>
            <w:tcBorders>
              <w:bottom w:val="single" w:sz="8" w:color="0000FF"/>
            </w:tcBorders>
            <w:gridSpan w:val="2"/>
          </w:tcPr>
          <w:p>
            <w:pPr>
              <w:jc w:val="right"/>
              <w:spacing w:after="0" w:line="194" w:lineRule="exact"/>
              <w:rPr>
                <w:sz w:val="20"/>
                <w:szCs w:val="20"/>
                <w:color w:val="auto"/>
              </w:rPr>
            </w:pPr>
            <w:r>
              <w:rPr>
                <w:rFonts w:ascii="Arial" w:cs="Arial" w:eastAsia="Arial" w:hAnsi="Arial"/>
                <w:sz w:val="18"/>
                <w:szCs w:val="18"/>
                <w:b w:val="1"/>
                <w:bCs w:val="1"/>
                <w:color w:val="0000FF"/>
                <w:w w:val="79"/>
              </w:rPr>
              <w:t>105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4.12</w:t>
            </w:r>
          </w:p>
        </w:tc>
        <w:tc>
          <w:tcPr>
            <w:tcW w:w="648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FF0000"/>
                <w:strike w:val="1"/>
                <w:w w:val="91"/>
              </w:rPr>
              <w:t>Retranching of Revolving Credit Commitments and Performance LC Commitments</w:t>
            </w:r>
          </w:p>
        </w:tc>
        <w:tc>
          <w:tcPr>
            <w:tcW w:w="2260" w:type="dxa"/>
            <w:vAlign w:val="bottom"/>
            <w:gridSpan w:val="2"/>
            <w:vMerge w:val="restart"/>
          </w:tcPr>
          <w:p>
            <w:pPr>
              <w:ind w:left="20"/>
              <w:spacing w:after="0" w:line="196" w:lineRule="exact"/>
              <w:rPr>
                <w:sz w:val="20"/>
                <w:szCs w:val="20"/>
                <w:color w:val="auto"/>
              </w:rPr>
            </w:pPr>
            <w:r>
              <w:rPr>
                <w:rFonts w:ascii="Arial" w:cs="Arial" w:eastAsia="Arial" w:hAnsi="Arial"/>
                <w:sz w:val="18"/>
                <w:szCs w:val="18"/>
                <w:b w:val="1"/>
                <w:bCs w:val="1"/>
                <w:color w:val="0000FF"/>
              </w:rPr>
              <w:t>Additional Alternative</w:t>
            </w: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48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0000FF"/>
              </w:rPr>
              <w:t>Currencies</w:t>
            </w:r>
          </w:p>
        </w:tc>
        <w:tc>
          <w:tcPr>
            <w:tcW w:w="174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rPr>
              <w:t>98</w:t>
            </w: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0000FF"/>
                <w:w w:val="79"/>
              </w:rPr>
              <w:t>107</w:t>
            </w: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4.13</w:t>
            </w:r>
          </w:p>
        </w:tc>
        <w:tc>
          <w:tcPr>
            <w:tcW w:w="84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vMerge w:val="restart"/>
          </w:tcPr>
          <w:p>
            <w:pPr>
              <w:spacing w:after="0" w:line="196" w:lineRule="exact"/>
              <w:rPr>
                <w:sz w:val="20"/>
                <w:szCs w:val="20"/>
                <w:color w:val="auto"/>
              </w:rPr>
            </w:pPr>
            <w:r>
              <w:rPr>
                <w:rFonts w:ascii="Arial" w:cs="Arial" w:eastAsia="Arial" w:hAnsi="Arial"/>
                <w:sz w:val="18"/>
                <w:szCs w:val="18"/>
                <w:color w:val="auto"/>
                <w:w w:val="72"/>
              </w:rPr>
              <w:t>Incremental</w:t>
            </w:r>
          </w:p>
        </w:tc>
        <w:tc>
          <w:tcPr>
            <w:tcW w:w="114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93"/>
              </w:rPr>
              <w:t>Commitments</w:t>
            </w:r>
          </w:p>
        </w:tc>
        <w:tc>
          <w:tcPr>
            <w:tcW w:w="7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0000FF"/>
                <w:w w:val="84"/>
              </w:rPr>
              <w:t>Increases</w:t>
            </w:r>
          </w:p>
        </w:tc>
        <w:tc>
          <w:tcPr>
            <w:tcW w:w="5340" w:type="dxa"/>
            <w:vAlign w:val="bottom"/>
            <w:gridSpan w:val="3"/>
            <w:vMerge w:val="restart"/>
          </w:tcPr>
          <w:p>
            <w:pPr>
              <w:spacing w:after="0" w:line="20" w:lineRule="exact"/>
              <w:rPr>
                <w:sz w:val="1"/>
                <w:szCs w:val="1"/>
                <w:color w:val="auto"/>
              </w:rPr>
            </w:pP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101</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40" w:type="dxa"/>
            <w:vAlign w:val="bottom"/>
          </w:tcPr>
          <w:p>
            <w:pPr>
              <w:spacing w:after="0" w:line="156" w:lineRule="exact"/>
              <w:rPr>
                <w:sz w:val="20"/>
                <w:szCs w:val="20"/>
                <w:color w:val="auto"/>
              </w:rPr>
            </w:pPr>
            <w:r>
              <w:rPr>
                <w:rFonts w:ascii="Arial" w:cs="Arial" w:eastAsia="Arial" w:hAnsi="Arial"/>
                <w:sz w:val="18"/>
                <w:szCs w:val="18"/>
                <w:b w:val="1"/>
                <w:bCs w:val="1"/>
                <w:color w:val="FF0000"/>
                <w:strike w:val="1"/>
              </w:rPr>
              <w:t>Specific</w:t>
            </w:r>
          </w:p>
        </w:tc>
        <w:tc>
          <w:tcPr>
            <w:tcW w:w="7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720" w:type="dxa"/>
            <w:vAlign w:val="bottom"/>
            <w:tcBorders>
              <w:bottom w:val="single" w:sz="8" w:color="0000FF"/>
            </w:tcBorders>
            <w:vMerge w:val="continue"/>
          </w:tcPr>
          <w:p>
            <w:pPr>
              <w:spacing w:after="0"/>
              <w:rPr>
                <w:sz w:val="13"/>
                <w:szCs w:val="13"/>
                <w:color w:val="auto"/>
              </w:rPr>
            </w:pPr>
          </w:p>
        </w:tc>
        <w:tc>
          <w:tcPr>
            <w:tcW w:w="5340" w:type="dxa"/>
            <w:vAlign w:val="bottom"/>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gridSpan w:val="4"/>
          </w:tcPr>
          <w:p>
            <w:pPr>
              <w:jc w:val="center"/>
              <w:ind w:right="410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gridSpan w:val="5"/>
          </w:tcPr>
          <w:p>
            <w:pPr>
              <w:jc w:val="center"/>
              <w:ind w:right="2960"/>
              <w:spacing w:after="0"/>
              <w:rPr>
                <w:sz w:val="20"/>
                <w:szCs w:val="20"/>
                <w:color w:val="auto"/>
              </w:rPr>
            </w:pPr>
            <w:r>
              <w:rPr>
                <w:rFonts w:ascii="Arial" w:cs="Arial" w:eastAsia="Arial" w:hAnsi="Arial"/>
                <w:sz w:val="18"/>
                <w:szCs w:val="18"/>
                <w:color w:val="auto"/>
                <w:w w:val="94"/>
              </w:rPr>
              <w:t>PAYMENTS; PRO RATA TREATMENT; TAXES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tcPr>
          <w:p>
            <w:pPr>
              <w:spacing w:after="0"/>
              <w:rPr>
                <w:sz w:val="20"/>
                <w:szCs w:val="20"/>
                <w:color w:val="auto"/>
              </w:rPr>
            </w:pPr>
            <w:r>
              <w:rPr>
                <w:rFonts w:ascii="Arial" w:cs="Arial" w:eastAsia="Arial" w:hAnsi="Arial"/>
                <w:sz w:val="18"/>
                <w:szCs w:val="18"/>
                <w:color w:val="auto"/>
              </w:rPr>
              <w:t>SECTION 5.01</w:t>
            </w:r>
          </w:p>
        </w:tc>
        <w:tc>
          <w:tcPr>
            <w:tcW w:w="8740" w:type="dxa"/>
            <w:vAlign w:val="bottom"/>
            <w:gridSpan w:val="7"/>
          </w:tcPr>
          <w:p>
            <w:pPr>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w w:val="86"/>
              </w:rPr>
              <w:t>103</w:t>
            </w:r>
          </w:p>
        </w:tc>
        <w:tc>
          <w:tcPr>
            <w:tcW w:w="24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3"/>
              </w:rPr>
              <w:t>115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5.02</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Taxes/Additional Payments</w:t>
            </w:r>
          </w:p>
        </w:tc>
        <w:tc>
          <w:tcPr>
            <w:tcW w:w="3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106</w:t>
            </w: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117</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5.03</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110</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122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5.04</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Financial Assistance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111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5.05</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UK Limitation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113</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5.06</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Irish Limitation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113</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gridSpan w:val="4"/>
            <w:vMerge w:val="restart"/>
          </w:tcPr>
          <w:p>
            <w:pPr>
              <w:jc w:val="center"/>
              <w:ind w:right="4080"/>
              <w:spacing w:after="0"/>
              <w:rPr>
                <w:sz w:val="20"/>
                <w:szCs w:val="20"/>
                <w:color w:val="auto"/>
              </w:rPr>
            </w:pPr>
            <w:r>
              <w:rPr>
                <w:rFonts w:ascii="Arial" w:cs="Arial" w:eastAsia="Arial" w:hAnsi="Arial"/>
                <w:sz w:val="18"/>
                <w:szCs w:val="18"/>
                <w:color w:val="auto"/>
                <w:w w:val="99"/>
              </w:rPr>
              <w:t>ARTICLE VI</w:t>
            </w: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gridSpan w:val="5"/>
          </w:tcPr>
          <w:p>
            <w:pPr>
              <w:jc w:val="center"/>
              <w:ind w:right="2940"/>
              <w:spacing w:after="0"/>
              <w:rPr>
                <w:sz w:val="20"/>
                <w:szCs w:val="20"/>
                <w:color w:val="auto"/>
              </w:rPr>
            </w:pPr>
            <w:r>
              <w:rPr>
                <w:rFonts w:ascii="Arial" w:cs="Arial" w:eastAsia="Arial" w:hAnsi="Arial"/>
                <w:sz w:val="18"/>
                <w:szCs w:val="18"/>
                <w:color w:val="auto"/>
                <w:w w:val="95"/>
              </w:rPr>
              <w:t>CONDITIONS PRECEDENT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tcPr>
          <w:p>
            <w:pPr>
              <w:spacing w:after="0"/>
              <w:rPr>
                <w:sz w:val="20"/>
                <w:szCs w:val="20"/>
                <w:color w:val="auto"/>
              </w:rPr>
            </w:pPr>
            <w:r>
              <w:rPr>
                <w:rFonts w:ascii="Arial" w:cs="Arial" w:eastAsia="Arial" w:hAnsi="Arial"/>
                <w:sz w:val="18"/>
                <w:szCs w:val="18"/>
                <w:color w:val="auto"/>
              </w:rPr>
              <w:t>SECTION 6.01</w:t>
            </w:r>
          </w:p>
        </w:tc>
        <w:tc>
          <w:tcPr>
            <w:tcW w:w="8740" w:type="dxa"/>
            <w:vAlign w:val="bottom"/>
            <w:gridSpan w:val="7"/>
          </w:tcPr>
          <w:p>
            <w:pPr>
              <w:spacing w:after="0"/>
              <w:rPr>
                <w:sz w:val="20"/>
                <w:szCs w:val="20"/>
                <w:color w:val="auto"/>
              </w:rPr>
            </w:pPr>
            <w:r>
              <w:rPr>
                <w:rFonts w:ascii="Arial" w:cs="Arial" w:eastAsia="Arial" w:hAnsi="Arial"/>
                <w:sz w:val="18"/>
                <w:szCs w:val="18"/>
                <w:color w:val="auto"/>
              </w:rPr>
              <w:t>Conditions Precedent to the Effective Date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114</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6.02</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Conditions Precedent to All Credit Events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119</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gridSpan w:val="4"/>
            <w:vMerge w:val="restart"/>
          </w:tcPr>
          <w:p>
            <w:pPr>
              <w:jc w:val="center"/>
              <w:ind w:right="410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gridSpan w:val="5"/>
          </w:tcPr>
          <w:p>
            <w:pPr>
              <w:jc w:val="center"/>
              <w:ind w:right="2960"/>
              <w:spacing w:after="0"/>
              <w:rPr>
                <w:sz w:val="20"/>
                <w:szCs w:val="20"/>
                <w:color w:val="auto"/>
              </w:rPr>
            </w:pPr>
            <w:r>
              <w:rPr>
                <w:rFonts w:ascii="Arial" w:cs="Arial" w:eastAsia="Arial" w:hAnsi="Arial"/>
                <w:sz w:val="18"/>
                <w:szCs w:val="18"/>
                <w:color w:val="auto"/>
                <w:w w:val="95"/>
              </w:rPr>
              <w:t>REPRESENTATIONS AND WARRANTIES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tcPr>
          <w:p>
            <w:pPr>
              <w:spacing w:after="0"/>
              <w:rPr>
                <w:sz w:val="20"/>
                <w:szCs w:val="20"/>
                <w:color w:val="auto"/>
              </w:rPr>
            </w:pPr>
            <w:r>
              <w:rPr>
                <w:rFonts w:ascii="Arial" w:cs="Arial" w:eastAsia="Arial" w:hAnsi="Arial"/>
                <w:sz w:val="18"/>
                <w:szCs w:val="18"/>
                <w:color w:val="auto"/>
              </w:rPr>
              <w:t>SECTION 7.01</w:t>
            </w:r>
          </w:p>
        </w:tc>
        <w:tc>
          <w:tcPr>
            <w:tcW w:w="8740" w:type="dxa"/>
            <w:vAlign w:val="bottom"/>
            <w:gridSpan w:val="7"/>
          </w:tcPr>
          <w:p>
            <w:pPr>
              <w:spacing w:after="0"/>
              <w:rPr>
                <w:sz w:val="20"/>
                <w:szCs w:val="20"/>
                <w:color w:val="auto"/>
              </w:rPr>
            </w:pPr>
            <w:r>
              <w:rPr>
                <w:rFonts w:ascii="Arial" w:cs="Arial" w:eastAsia="Arial" w:hAnsi="Arial"/>
                <w:sz w:val="18"/>
                <w:szCs w:val="18"/>
                <w:color w:val="auto"/>
              </w:rPr>
              <w:t>Organization and Qualification</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120</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132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7.02</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Authorization, Validity,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7.03</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Governmental Consents,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7.04</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 Breach or Violation of Law or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121</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7.05</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Litigation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7.06</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Information; No Material Adverse Change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134</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7.07</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Investment Company Act; Margin Regulations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122</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134</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7.08</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ERISA; Canadian Defined Benefit Plans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123</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7.09</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Tax Returns and Payments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123</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7.10</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Requirements of Law</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123</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135</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7.11</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 Default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124</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7.12</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Anti-Corruption Laws and Sanctions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124</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7.13</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Properties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124</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7.14</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No Restrictive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125</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7.15</w:t>
            </w:r>
          </w:p>
        </w:tc>
        <w:tc>
          <w:tcPr>
            <w:tcW w:w="8740" w:type="dxa"/>
            <w:vAlign w:val="bottom"/>
            <w:gridSpan w:val="7"/>
            <w:vMerge w:val="restart"/>
          </w:tcPr>
          <w:p>
            <w:pPr>
              <w:spacing w:after="0" w:line="196" w:lineRule="exact"/>
              <w:rPr>
                <w:sz w:val="20"/>
                <w:szCs w:val="20"/>
                <w:color w:val="auto"/>
              </w:rPr>
            </w:pPr>
            <w:r>
              <w:rPr>
                <w:rFonts w:ascii="Arial" w:cs="Arial" w:eastAsia="Arial" w:hAnsi="Arial"/>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125</w:t>
            </w:r>
          </w:p>
        </w:tc>
        <w:tc>
          <w:tcPr>
            <w:tcW w:w="2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7"/>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33"/>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SECTION 7.16</w:t>
            </w:r>
          </w:p>
        </w:tc>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Insurance</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125</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line="20" w:lineRule="exact"/>
              <w:rPr>
                <w:sz w:val="1"/>
                <w:szCs w:val="1"/>
                <w:color w:val="auto"/>
              </w:rPr>
            </w:pPr>
          </w:p>
        </w:tc>
      </w:tr>
      <w:tr>
        <w:trPr>
          <w:trHeight w:val="174"/>
        </w:trPr>
        <w:tc>
          <w:tcPr>
            <w:tcW w:w="1960" w:type="dxa"/>
            <w:vAlign w:val="bottom"/>
            <w:gridSpan w:val="2"/>
            <w:vMerge w:val="continue"/>
          </w:tcPr>
          <w:p>
            <w:pPr>
              <w:spacing w:after="0"/>
              <w:rPr>
                <w:sz w:val="15"/>
                <w:szCs w:val="15"/>
                <w:color w:val="auto"/>
              </w:rPr>
            </w:pPr>
          </w:p>
        </w:tc>
        <w:tc>
          <w:tcPr>
            <w:tcW w:w="87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7.17</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Rank of Obligations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125</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7.18</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7.19</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Security Interest in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7.20</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Capital Stock</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126</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7.21</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Affected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126</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7.22</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Compliance with the Swiss Non-Bank Rules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126</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7.23</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Dutch Fiscal Unity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7.24</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Tax Residency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7.25</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Status as a Holding Company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740" w:type="dxa"/>
            <w:vAlign w:val="bottom"/>
            <w:gridSpan w:val="2"/>
            <w:vMerge w:val="restart"/>
          </w:tcPr>
          <w:p>
            <w:pPr>
              <w:jc w:val="center"/>
              <w:ind w:right="140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40" w:type="dxa"/>
            <w:vAlign w:val="bottom"/>
            <w:gridSpan w:val="2"/>
          </w:tcPr>
          <w:p>
            <w:pPr>
              <w:jc w:val="center"/>
              <w:ind w:right="1420"/>
              <w:spacing w:after="0"/>
              <w:rPr>
                <w:sz w:val="20"/>
                <w:szCs w:val="20"/>
                <w:color w:val="auto"/>
              </w:rPr>
            </w:pPr>
            <w:r>
              <w:rPr>
                <w:rFonts w:ascii="Arial" w:cs="Arial" w:eastAsia="Arial" w:hAnsi="Arial"/>
                <w:sz w:val="18"/>
                <w:szCs w:val="18"/>
                <w:color w:val="auto"/>
                <w:w w:val="98"/>
              </w:rPr>
              <w:t>AFFIRMATIVE COVENANTS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spacing w:after="0"/>
              <w:rPr>
                <w:sz w:val="20"/>
                <w:szCs w:val="20"/>
                <w:color w:val="auto"/>
              </w:rPr>
            </w:pPr>
            <w:r>
              <w:rPr>
                <w:rFonts w:ascii="Arial" w:cs="Arial" w:eastAsia="Arial" w:hAnsi="Arial"/>
                <w:sz w:val="18"/>
                <w:szCs w:val="18"/>
                <w:color w:val="auto"/>
              </w:rPr>
              <w:t>SECTION 8.01</w:t>
            </w:r>
          </w:p>
        </w:tc>
        <w:tc>
          <w:tcPr>
            <w:tcW w:w="8740" w:type="dxa"/>
            <w:vAlign w:val="bottom"/>
            <w:gridSpan w:val="2"/>
          </w:tcPr>
          <w:p>
            <w:pPr>
              <w:spacing w:after="0"/>
              <w:rPr>
                <w:sz w:val="20"/>
                <w:szCs w:val="20"/>
                <w:color w:val="auto"/>
              </w:rPr>
            </w:pPr>
            <w:r>
              <w:rPr>
                <w:rFonts w:ascii="Arial" w:cs="Arial" w:eastAsia="Arial" w:hAnsi="Arial"/>
                <w:sz w:val="18"/>
                <w:szCs w:val="18"/>
                <w:color w:val="auto"/>
              </w:rPr>
              <w:t>Information Covenants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127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9"/>
              </w:rPr>
              <w:t>139</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8.02</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Books, Records and Inspections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130</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8.03</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130</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8.04</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Payment of Taxes and other Claims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131</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8.05</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Existence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131</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8.06</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ERISA Compliance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131</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8.07</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Compliance with Laws and Material Contractual Obligations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131</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8.08</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Additional Guarantors; Additional Specified Jurisdictions; Additional Cash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132</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8.09</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98"/>
              </w:rPr>
              <w:t>Designation of Unrestricted Subsidiaries; Redesignation of Unrestricted Subsidiaries as Restricted 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8.10</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Compliance with the Swiss Non-Bank Rules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136</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8.11</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Post-Closing Grant and Perfection Requirements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8.12</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Status as a Holding Company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8.13</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Lender Meeting</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8.14</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Maintenance of Properties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0000FF"/>
              </w:rPr>
              <w:t>SECTION 8.15</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0000FF"/>
              </w:rPr>
              <w:t>Post-Fourth Amendment Effective Date Covenants</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tcBorders>
              <w:top w:val="single" w:sz="8" w:color="0000FF"/>
              <w:bottom w:val="single" w:sz="8" w:color="0000FF"/>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40" w:type="dxa"/>
            <w:vAlign w:val="bottom"/>
            <w:gridSpan w:val="2"/>
          </w:tcPr>
          <w:p>
            <w:pPr>
              <w:jc w:val="center"/>
              <w:ind w:right="140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40" w:type="dxa"/>
            <w:vAlign w:val="bottom"/>
            <w:gridSpan w:val="2"/>
          </w:tcPr>
          <w:p>
            <w:pPr>
              <w:jc w:val="center"/>
              <w:ind w:right="1400"/>
              <w:spacing w:after="0"/>
              <w:rPr>
                <w:sz w:val="20"/>
                <w:szCs w:val="20"/>
                <w:color w:val="auto"/>
              </w:rPr>
            </w:pPr>
            <w:r>
              <w:rPr>
                <w:rFonts w:ascii="Arial" w:cs="Arial" w:eastAsia="Arial" w:hAnsi="Arial"/>
                <w:sz w:val="18"/>
                <w:szCs w:val="18"/>
                <w:color w:val="auto"/>
                <w:w w:val="97"/>
              </w:rPr>
              <w:t>NEGATIVE COVENANTS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60" w:type="dxa"/>
            <w:vAlign w:val="bottom"/>
            <w:gridSpan w:val="2"/>
          </w:tcPr>
          <w:p>
            <w:pPr>
              <w:spacing w:after="0"/>
              <w:rPr>
                <w:sz w:val="20"/>
                <w:szCs w:val="20"/>
                <w:color w:val="auto"/>
              </w:rPr>
            </w:pPr>
            <w:r>
              <w:rPr>
                <w:rFonts w:ascii="Arial" w:cs="Arial" w:eastAsia="Arial" w:hAnsi="Arial"/>
                <w:sz w:val="18"/>
                <w:szCs w:val="18"/>
                <w:color w:val="auto"/>
              </w:rPr>
              <w:t>SECTION 9.01</w:t>
            </w:r>
          </w:p>
        </w:tc>
        <w:tc>
          <w:tcPr>
            <w:tcW w:w="874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0000"/>
                <w:strike w:val="1"/>
                <w:w w:val="86"/>
              </w:rPr>
              <w:t>138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9"/>
              </w:rPr>
              <w:t>150</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9.02</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Fundamental Changes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141</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9.03</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Material Change in Business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142</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9.04</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142</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9.05</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Asset Dispositions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143</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9.06</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Investments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9.07</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Swap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9.08</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Restricted Payments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147</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8"/>
                <w:szCs w:val="18"/>
                <w:color w:val="auto"/>
              </w:rPr>
              <w:t>SECTION 9.09</w:t>
            </w:r>
          </w:p>
        </w:tc>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Financial Covenants</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gridSpan w:val="2"/>
            <w:vMerge w:val="continue"/>
          </w:tcPr>
          <w:p>
            <w:pPr>
              <w:spacing w:after="0"/>
              <w:rPr>
                <w:sz w:val="15"/>
                <w:szCs w:val="15"/>
                <w:color w:val="auto"/>
              </w:rPr>
            </w:pPr>
          </w:p>
        </w:tc>
        <w:tc>
          <w:tcPr>
            <w:tcW w:w="87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w w:val="79"/>
              </w:rPr>
              <w:t>163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SECTION 9.10</w:t>
            </w:r>
          </w:p>
        </w:tc>
        <w:tc>
          <w:tcPr>
            <w:tcW w:w="8740" w:type="dxa"/>
            <w:vAlign w:val="bottom"/>
            <w:gridSpan w:val="2"/>
          </w:tcPr>
          <w:p>
            <w:pPr>
              <w:spacing w:after="0"/>
              <w:rPr>
                <w:sz w:val="20"/>
                <w:szCs w:val="20"/>
                <w:color w:val="auto"/>
              </w:rPr>
            </w:pPr>
            <w:r>
              <w:rPr>
                <w:rFonts w:ascii="Arial" w:cs="Arial" w:eastAsia="Arial" w:hAnsi="Arial"/>
                <w:sz w:val="18"/>
                <w:szCs w:val="18"/>
                <w:color w:val="auto"/>
              </w:rPr>
              <w:t>Limitation on Transactions with Affiliates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SECTION 9.11</w:t>
            </w:r>
          </w:p>
        </w:tc>
        <w:tc>
          <w:tcPr>
            <w:tcW w:w="8740" w:type="dxa"/>
            <w:vAlign w:val="bottom"/>
            <w:gridSpan w:val="2"/>
          </w:tcPr>
          <w:p>
            <w:pPr>
              <w:spacing w:after="0"/>
              <w:rPr>
                <w:sz w:val="20"/>
                <w:szCs w:val="20"/>
                <w:color w:val="auto"/>
              </w:rPr>
            </w:pPr>
            <w:r>
              <w:rPr>
                <w:rFonts w:ascii="Arial" w:cs="Arial" w:eastAsia="Arial" w:hAnsi="Arial"/>
                <w:sz w:val="18"/>
                <w:szCs w:val="18"/>
                <w:color w:val="auto"/>
              </w:rPr>
              <w:t>Restrictive Agreements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SECTION 9.12</w:t>
            </w:r>
          </w:p>
        </w:tc>
        <w:tc>
          <w:tcPr>
            <w:tcW w:w="87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9.13</w:t>
            </w:r>
          </w:p>
        </w:tc>
        <w:tc>
          <w:tcPr>
            <w:tcW w:w="8740" w:type="dxa"/>
            <w:vAlign w:val="bottom"/>
            <w:gridSpan w:val="2"/>
          </w:tcPr>
          <w:p>
            <w:pPr>
              <w:spacing w:after="0"/>
              <w:rPr>
                <w:sz w:val="20"/>
                <w:szCs w:val="20"/>
                <w:color w:val="auto"/>
              </w:rPr>
            </w:pPr>
            <w:r>
              <w:rPr>
                <w:rFonts w:ascii="Arial" w:cs="Arial" w:eastAsia="Arial" w:hAnsi="Arial"/>
                <w:sz w:val="18"/>
                <w:szCs w:val="18"/>
                <w:color w:val="auto"/>
              </w:rPr>
              <w:t>Changes to Fiscal Year</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9.14</w:t>
            </w:r>
          </w:p>
        </w:tc>
        <w:tc>
          <w:tcPr>
            <w:tcW w:w="8740" w:type="dxa"/>
            <w:vAlign w:val="bottom"/>
            <w:gridSpan w:val="2"/>
          </w:tcPr>
          <w:p>
            <w:pPr>
              <w:spacing w:after="0"/>
              <w:rPr>
                <w:sz w:val="20"/>
                <w:szCs w:val="20"/>
                <w:color w:val="auto"/>
              </w:rPr>
            </w:pPr>
            <w:r>
              <w:rPr>
                <w:rFonts w:ascii="Arial" w:cs="Arial" w:eastAsia="Arial" w:hAnsi="Arial"/>
                <w:sz w:val="18"/>
                <w:szCs w:val="18"/>
                <w:color w:val="auto"/>
              </w:rPr>
              <w:t>Amendments to Documents Governing Certain Indebtedness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9.15</w:t>
            </w:r>
          </w:p>
        </w:tc>
        <w:tc>
          <w:tcPr>
            <w:tcW w:w="8740" w:type="dxa"/>
            <w:vAlign w:val="bottom"/>
            <w:gridSpan w:val="2"/>
          </w:tcPr>
          <w:p>
            <w:pPr>
              <w:spacing w:after="0"/>
              <w:rPr>
                <w:sz w:val="20"/>
                <w:szCs w:val="20"/>
                <w:color w:val="auto"/>
              </w:rPr>
            </w:pPr>
            <w:r>
              <w:rPr>
                <w:rFonts w:ascii="Arial" w:cs="Arial" w:eastAsia="Arial" w:hAnsi="Arial"/>
                <w:sz w:val="18"/>
                <w:szCs w:val="18"/>
                <w:color w:val="auto"/>
              </w:rPr>
              <w:t>Limitation on Equity Issuances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FF0000"/>
                <w:strike w:val="1"/>
              </w:rPr>
              <w:t>SECTION 9.16</w:t>
            </w:r>
          </w:p>
        </w:tc>
        <w:tc>
          <w:tcPr>
            <w:tcW w:w="1580" w:type="dxa"/>
            <w:vAlign w:val="bottom"/>
          </w:tcPr>
          <w:p>
            <w:pPr>
              <w:spacing w:after="0"/>
              <w:rPr>
                <w:sz w:val="20"/>
                <w:szCs w:val="20"/>
                <w:color w:val="auto"/>
              </w:rPr>
            </w:pPr>
            <w:r>
              <w:rPr>
                <w:rFonts w:ascii="Arial" w:cs="Arial" w:eastAsia="Arial" w:hAnsi="Arial"/>
                <w:sz w:val="18"/>
                <w:szCs w:val="18"/>
                <w:b w:val="1"/>
                <w:bCs w:val="1"/>
                <w:color w:val="FF0000"/>
                <w:strike w:val="1"/>
                <w:w w:val="84"/>
              </w:rPr>
              <w:t>Book Value of Assets</w:t>
            </w:r>
          </w:p>
        </w:tc>
        <w:tc>
          <w:tcPr>
            <w:tcW w:w="7160" w:type="dxa"/>
            <w:vAlign w:val="bottom"/>
            <w:vMerge w:val="restart"/>
          </w:tcPr>
          <w:p>
            <w:pPr>
              <w:jc w:val="center"/>
              <w:ind w:right="2910"/>
              <w:spacing w:after="0"/>
              <w:rPr>
                <w:sz w:val="20"/>
                <w:szCs w:val="20"/>
                <w:color w:val="auto"/>
              </w:rPr>
            </w:pPr>
            <w:r>
              <w:rPr>
                <w:rFonts w:ascii="Arial" w:cs="Arial" w:eastAsia="Arial" w:hAnsi="Arial"/>
                <w:sz w:val="18"/>
                <w:szCs w:val="18"/>
                <w:color w:val="auto"/>
                <w:w w:val="98"/>
              </w:rPr>
              <w:t>ARTICLE X</w:t>
            </w: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160" w:type="dxa"/>
            <w:vAlign w:val="bottom"/>
          </w:tcPr>
          <w:p>
            <w:pPr>
              <w:jc w:val="center"/>
              <w:ind w:right="2890"/>
              <w:spacing w:after="0"/>
              <w:rPr>
                <w:sz w:val="20"/>
                <w:szCs w:val="20"/>
                <w:color w:val="auto"/>
              </w:rPr>
            </w:pPr>
            <w:r>
              <w:rPr>
                <w:rFonts w:ascii="Arial" w:cs="Arial" w:eastAsia="Arial" w:hAnsi="Arial"/>
                <w:sz w:val="18"/>
                <w:szCs w:val="18"/>
                <w:color w:val="auto"/>
                <w:w w:val="96"/>
              </w:rPr>
              <w:t>EVENTS OF DEFAULT AND REMEDIES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SECTION 10.01</w:t>
            </w:r>
          </w:p>
        </w:tc>
        <w:tc>
          <w:tcPr>
            <w:tcW w:w="8740" w:type="dxa"/>
            <w:vAlign w:val="bottom"/>
            <w:gridSpan w:val="2"/>
          </w:tcPr>
          <w:p>
            <w:pPr>
              <w:spacing w:after="0"/>
              <w:rPr>
                <w:sz w:val="20"/>
                <w:szCs w:val="20"/>
                <w:color w:val="auto"/>
              </w:rPr>
            </w:pPr>
            <w:r>
              <w:rPr>
                <w:rFonts w:ascii="Arial" w:cs="Arial" w:eastAsia="Arial" w:hAnsi="Arial"/>
                <w:sz w:val="18"/>
                <w:szCs w:val="18"/>
                <w:color w:val="auto"/>
              </w:rPr>
              <w:t>Events of Default and Remedies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10.02</w:t>
            </w:r>
          </w:p>
        </w:tc>
        <w:tc>
          <w:tcPr>
            <w:tcW w:w="8740" w:type="dxa"/>
            <w:vAlign w:val="bottom"/>
            <w:gridSpan w:val="2"/>
          </w:tcPr>
          <w:p>
            <w:pPr>
              <w:spacing w:after="0"/>
              <w:rPr>
                <w:sz w:val="20"/>
                <w:szCs w:val="20"/>
                <w:color w:val="auto"/>
              </w:rPr>
            </w:pPr>
            <w:r>
              <w:rPr>
                <w:rFonts w:ascii="Arial" w:cs="Arial" w:eastAsia="Arial" w:hAnsi="Arial"/>
                <w:sz w:val="18"/>
                <w:szCs w:val="18"/>
                <w:color w:val="auto"/>
              </w:rPr>
              <w:t>Right of Setoff</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10.03</w:t>
            </w:r>
          </w:p>
        </w:tc>
        <w:tc>
          <w:tcPr>
            <w:tcW w:w="8740" w:type="dxa"/>
            <w:vAlign w:val="bottom"/>
            <w:gridSpan w:val="2"/>
          </w:tcPr>
          <w:p>
            <w:pPr>
              <w:spacing w:after="0"/>
              <w:rPr>
                <w:sz w:val="20"/>
                <w:szCs w:val="20"/>
                <w:color w:val="auto"/>
              </w:rPr>
            </w:pPr>
            <w:r>
              <w:rPr>
                <w:rFonts w:ascii="Arial" w:cs="Arial" w:eastAsia="Arial" w:hAnsi="Arial"/>
                <w:sz w:val="18"/>
                <w:szCs w:val="18"/>
                <w:color w:val="auto"/>
              </w:rPr>
              <w:t>Other Remedies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10.04</w:t>
            </w:r>
          </w:p>
        </w:tc>
        <w:tc>
          <w:tcPr>
            <w:tcW w:w="8740" w:type="dxa"/>
            <w:vAlign w:val="bottom"/>
            <w:gridSpan w:val="2"/>
          </w:tcPr>
          <w:p>
            <w:pPr>
              <w:spacing w:after="0" w:line="194" w:lineRule="exact"/>
              <w:rPr>
                <w:sz w:val="20"/>
                <w:szCs w:val="20"/>
                <w:color w:val="auto"/>
              </w:rPr>
            </w:pPr>
            <w:r>
              <w:rPr>
                <w:rFonts w:ascii="Arial" w:cs="Arial" w:eastAsia="Arial" w:hAnsi="Arial"/>
                <w:sz w:val="18"/>
                <w:szCs w:val="18"/>
                <w:color w:val="auto"/>
              </w:rPr>
              <w:t>Application of Moneys During Continuation of Event of Default</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158</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171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160" w:type="dxa"/>
            <w:vAlign w:val="bottom"/>
            <w:vMerge w:val="restart"/>
          </w:tcPr>
          <w:p>
            <w:pPr>
              <w:jc w:val="center"/>
              <w:ind w:right="2890"/>
              <w:spacing w:after="0"/>
              <w:rPr>
                <w:sz w:val="20"/>
                <w:szCs w:val="20"/>
                <w:color w:val="auto"/>
              </w:rPr>
            </w:pPr>
            <w:r>
              <w:rPr>
                <w:rFonts w:ascii="Arial" w:cs="Arial" w:eastAsia="Arial" w:hAnsi="Arial"/>
                <w:sz w:val="18"/>
                <w:szCs w:val="18"/>
                <w:color w:val="auto"/>
                <w:w w:val="99"/>
              </w:rPr>
              <w:t>ARTICLE XI</w:t>
            </w:r>
          </w:p>
        </w:tc>
        <w:tc>
          <w:tcPr>
            <w:tcW w:w="2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160" w:type="dxa"/>
            <w:vAlign w:val="bottom"/>
          </w:tcPr>
          <w:p>
            <w:pPr>
              <w:jc w:val="center"/>
              <w:ind w:right="2890"/>
              <w:spacing w:after="0"/>
              <w:rPr>
                <w:sz w:val="20"/>
                <w:szCs w:val="20"/>
                <w:color w:val="auto"/>
              </w:rPr>
            </w:pPr>
            <w:r>
              <w:rPr>
                <w:rFonts w:ascii="Arial" w:cs="Arial" w:eastAsia="Arial" w:hAnsi="Arial"/>
                <w:sz w:val="18"/>
                <w:szCs w:val="18"/>
                <w:color w:val="auto"/>
                <w:w w:val="99"/>
              </w:rPr>
              <w:t>ADMINISTRATIVE AGENT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SECTION 11.01</w:t>
            </w:r>
          </w:p>
        </w:tc>
        <w:tc>
          <w:tcPr>
            <w:tcW w:w="8740" w:type="dxa"/>
            <w:vAlign w:val="bottom"/>
            <w:gridSpan w:val="2"/>
          </w:tcPr>
          <w:p>
            <w:pPr>
              <w:spacing w:after="0"/>
              <w:rPr>
                <w:sz w:val="20"/>
                <w:szCs w:val="20"/>
                <w:color w:val="auto"/>
              </w:rPr>
            </w:pPr>
            <w:r>
              <w:rPr>
                <w:rFonts w:ascii="Arial" w:cs="Arial" w:eastAsia="Arial" w:hAnsi="Arial"/>
                <w:sz w:val="18"/>
                <w:szCs w:val="18"/>
                <w:color w:val="auto"/>
              </w:rPr>
              <w:t>Authorization and Action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11.02</w:t>
            </w:r>
          </w:p>
        </w:tc>
        <w:tc>
          <w:tcPr>
            <w:tcW w:w="8740" w:type="dxa"/>
            <w:vAlign w:val="bottom"/>
            <w:gridSpan w:val="2"/>
          </w:tcPr>
          <w:p>
            <w:pPr>
              <w:spacing w:after="0"/>
              <w:rPr>
                <w:sz w:val="20"/>
                <w:szCs w:val="20"/>
                <w:color w:val="auto"/>
              </w:rPr>
            </w:pPr>
            <w:r>
              <w:rPr>
                <w:rFonts w:ascii="Arial" w:cs="Arial" w:eastAsia="Arial" w:hAnsi="Arial"/>
                <w:sz w:val="18"/>
                <w:szCs w:val="18"/>
                <w:color w:val="auto"/>
              </w:rPr>
              <w:t>Liability of Agents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11.03</w:t>
            </w:r>
          </w:p>
        </w:tc>
        <w:tc>
          <w:tcPr>
            <w:tcW w:w="8740" w:type="dxa"/>
            <w:vAlign w:val="bottom"/>
            <w:gridSpan w:val="2"/>
          </w:tcPr>
          <w:p>
            <w:pPr>
              <w:spacing w:after="0"/>
              <w:rPr>
                <w:sz w:val="20"/>
                <w:szCs w:val="20"/>
                <w:color w:val="auto"/>
              </w:rPr>
            </w:pPr>
            <w:r>
              <w:rPr>
                <w:rFonts w:ascii="Arial" w:cs="Arial" w:eastAsia="Arial" w:hAnsi="Arial"/>
                <w:sz w:val="18"/>
                <w:szCs w:val="18"/>
                <w:color w:val="auto"/>
              </w:rPr>
              <w:t>Reliance by Agents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11.04</w:t>
            </w:r>
          </w:p>
        </w:tc>
        <w:tc>
          <w:tcPr>
            <w:tcW w:w="8740" w:type="dxa"/>
            <w:vAlign w:val="bottom"/>
            <w:gridSpan w:val="2"/>
          </w:tcPr>
          <w:p>
            <w:pPr>
              <w:spacing w:after="0"/>
              <w:rPr>
                <w:sz w:val="20"/>
                <w:szCs w:val="20"/>
                <w:color w:val="auto"/>
              </w:rPr>
            </w:pPr>
            <w:r>
              <w:rPr>
                <w:rFonts w:ascii="Arial" w:cs="Arial" w:eastAsia="Arial" w:hAnsi="Arial"/>
                <w:sz w:val="18"/>
                <w:szCs w:val="18"/>
                <w:color w:val="auto"/>
              </w:rPr>
              <w:t>Delegation of Duties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11.05</w:t>
            </w:r>
          </w:p>
        </w:tc>
        <w:tc>
          <w:tcPr>
            <w:tcW w:w="8740" w:type="dxa"/>
            <w:vAlign w:val="bottom"/>
            <w:gridSpan w:val="2"/>
          </w:tcPr>
          <w:p>
            <w:pPr>
              <w:spacing w:after="0"/>
              <w:rPr>
                <w:sz w:val="20"/>
                <w:szCs w:val="20"/>
                <w:color w:val="auto"/>
              </w:rPr>
            </w:pPr>
            <w:r>
              <w:rPr>
                <w:rFonts w:ascii="Arial" w:cs="Arial" w:eastAsia="Arial" w:hAnsi="Arial"/>
                <w:sz w:val="18"/>
                <w:szCs w:val="18"/>
                <w:color w:val="auto"/>
              </w:rPr>
              <w:t>Successor Agents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11.06</w:t>
            </w:r>
          </w:p>
        </w:tc>
        <w:tc>
          <w:tcPr>
            <w:tcW w:w="8740" w:type="dxa"/>
            <w:vAlign w:val="bottom"/>
            <w:gridSpan w:val="2"/>
          </w:tcPr>
          <w:p>
            <w:pPr>
              <w:spacing w:after="0"/>
              <w:rPr>
                <w:sz w:val="20"/>
                <w:szCs w:val="20"/>
                <w:color w:val="auto"/>
              </w:rPr>
            </w:pPr>
            <w:r>
              <w:rPr>
                <w:rFonts w:ascii="Arial" w:cs="Arial" w:eastAsia="Arial" w:hAnsi="Arial"/>
                <w:sz w:val="18"/>
                <w:szCs w:val="18"/>
                <w:color w:val="auto"/>
              </w:rPr>
              <w:t>Credit Decision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11.07</w:t>
            </w:r>
          </w:p>
        </w:tc>
        <w:tc>
          <w:tcPr>
            <w:tcW w:w="8740" w:type="dxa"/>
            <w:vAlign w:val="bottom"/>
            <w:gridSpan w:val="2"/>
          </w:tcPr>
          <w:p>
            <w:pPr>
              <w:spacing w:after="0"/>
              <w:rPr>
                <w:sz w:val="20"/>
                <w:szCs w:val="20"/>
                <w:color w:val="auto"/>
              </w:rPr>
            </w:pPr>
            <w:r>
              <w:rPr>
                <w:rFonts w:ascii="Arial" w:cs="Arial" w:eastAsia="Arial" w:hAnsi="Arial"/>
                <w:sz w:val="18"/>
                <w:szCs w:val="18"/>
                <w:color w:val="auto"/>
              </w:rPr>
              <w:t>[Reserved]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11.08</w:t>
            </w:r>
          </w:p>
        </w:tc>
        <w:tc>
          <w:tcPr>
            <w:tcW w:w="8740" w:type="dxa"/>
            <w:vAlign w:val="bottom"/>
            <w:gridSpan w:val="2"/>
          </w:tcPr>
          <w:p>
            <w:pPr>
              <w:spacing w:after="0"/>
              <w:rPr>
                <w:sz w:val="20"/>
                <w:szCs w:val="20"/>
                <w:color w:val="auto"/>
              </w:rPr>
            </w:pPr>
            <w:r>
              <w:rPr>
                <w:rFonts w:ascii="Arial" w:cs="Arial" w:eastAsia="Arial" w:hAnsi="Arial"/>
                <w:sz w:val="18"/>
                <w:szCs w:val="18"/>
                <w:color w:val="auto"/>
              </w:rPr>
              <w:t>No Joint Venture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11.09</w:t>
            </w:r>
          </w:p>
        </w:tc>
        <w:tc>
          <w:tcPr>
            <w:tcW w:w="8740" w:type="dxa"/>
            <w:vAlign w:val="bottom"/>
            <w:gridSpan w:val="2"/>
          </w:tcPr>
          <w:p>
            <w:pPr>
              <w:spacing w:after="0"/>
              <w:rPr>
                <w:sz w:val="20"/>
                <w:szCs w:val="20"/>
                <w:color w:val="auto"/>
              </w:rPr>
            </w:pPr>
            <w:r>
              <w:rPr>
                <w:rFonts w:ascii="Arial" w:cs="Arial" w:eastAsia="Arial" w:hAnsi="Arial"/>
                <w:sz w:val="18"/>
                <w:szCs w:val="18"/>
                <w:color w:val="auto"/>
              </w:rPr>
              <w:t>Secured Party</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11.10</w:t>
            </w:r>
          </w:p>
        </w:tc>
        <w:tc>
          <w:tcPr>
            <w:tcW w:w="8740" w:type="dxa"/>
            <w:vAlign w:val="bottom"/>
            <w:gridSpan w:val="2"/>
          </w:tcPr>
          <w:p>
            <w:pPr>
              <w:spacing w:after="0" w:line="194" w:lineRule="exact"/>
              <w:rPr>
                <w:sz w:val="20"/>
                <w:szCs w:val="20"/>
                <w:color w:val="auto"/>
              </w:rPr>
            </w:pPr>
            <w:r>
              <w:rPr>
                <w:rFonts w:ascii="Arial" w:cs="Arial" w:eastAsia="Arial" w:hAnsi="Arial"/>
                <w:sz w:val="18"/>
                <w:szCs w:val="18"/>
                <w:color w:val="auto"/>
              </w:rPr>
              <w:t>Administrative Agent May File Proofs of Claim</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164</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177</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11.11</w:t>
            </w:r>
          </w:p>
        </w:tc>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Foreign Collateral Matters</w:t>
            </w:r>
          </w:p>
        </w:tc>
        <w:tc>
          <w:tcPr>
            <w:tcW w:w="28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vMerge w:val="continue"/>
          </w:tcPr>
          <w:p>
            <w:pPr>
              <w:spacing w:after="0"/>
              <w:rPr>
                <w:sz w:val="15"/>
                <w:szCs w:val="15"/>
                <w:color w:val="auto"/>
              </w:rPr>
            </w:pPr>
          </w:p>
        </w:tc>
        <w:tc>
          <w:tcPr>
            <w:tcW w:w="87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w w:val="79"/>
              </w:rPr>
              <w:t>178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11.12</w:t>
            </w:r>
          </w:p>
        </w:tc>
        <w:tc>
          <w:tcPr>
            <w:tcW w:w="8740" w:type="dxa"/>
            <w:vAlign w:val="bottom"/>
            <w:gridSpan w:val="2"/>
          </w:tcPr>
          <w:p>
            <w:pPr>
              <w:spacing w:after="0"/>
              <w:rPr>
                <w:sz w:val="20"/>
                <w:szCs w:val="20"/>
                <w:color w:val="auto"/>
              </w:rPr>
            </w:pPr>
            <w:r>
              <w:rPr>
                <w:rFonts w:ascii="Arial" w:cs="Arial" w:eastAsia="Arial" w:hAnsi="Arial"/>
                <w:sz w:val="18"/>
                <w:szCs w:val="18"/>
                <w:color w:val="auto"/>
              </w:rPr>
              <w:t>Credit Bid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11.13</w:t>
            </w:r>
          </w:p>
        </w:tc>
        <w:tc>
          <w:tcPr>
            <w:tcW w:w="8740" w:type="dxa"/>
            <w:vAlign w:val="bottom"/>
            <w:gridSpan w:val="2"/>
          </w:tcPr>
          <w:p>
            <w:pPr>
              <w:spacing w:after="0" w:line="194" w:lineRule="exact"/>
              <w:rPr>
                <w:sz w:val="20"/>
                <w:szCs w:val="20"/>
                <w:color w:val="auto"/>
              </w:rPr>
            </w:pPr>
            <w:r>
              <w:rPr>
                <w:rFonts w:ascii="Arial" w:cs="Arial" w:eastAsia="Arial" w:hAnsi="Arial"/>
                <w:sz w:val="18"/>
                <w:szCs w:val="18"/>
                <w:color w:val="auto"/>
              </w:rPr>
              <w:t>Certain ERISA Matters; Lender Representations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167</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11.14</w:t>
            </w:r>
          </w:p>
        </w:tc>
        <w:tc>
          <w:tcPr>
            <w:tcW w:w="87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Intercreditor Agreement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169</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87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11.15</w:t>
            </w:r>
          </w:p>
        </w:tc>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Filings</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vMerge w:val="continue"/>
          </w:tcPr>
          <w:p>
            <w:pPr>
              <w:spacing w:after="0"/>
              <w:rPr>
                <w:sz w:val="15"/>
                <w:szCs w:val="15"/>
                <w:color w:val="auto"/>
              </w:rPr>
            </w:pPr>
          </w:p>
        </w:tc>
        <w:tc>
          <w:tcPr>
            <w:tcW w:w="87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w w:val="79"/>
              </w:rPr>
              <w:t>182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11.16</w:t>
            </w:r>
          </w:p>
        </w:tc>
        <w:tc>
          <w:tcPr>
            <w:tcW w:w="8740" w:type="dxa"/>
            <w:vAlign w:val="bottom"/>
            <w:gridSpan w:val="2"/>
          </w:tcPr>
          <w:p>
            <w:pPr>
              <w:spacing w:after="0"/>
              <w:rPr>
                <w:sz w:val="20"/>
                <w:szCs w:val="20"/>
                <w:color w:val="auto"/>
              </w:rPr>
            </w:pPr>
            <w:r>
              <w:rPr>
                <w:rFonts w:ascii="Arial" w:cs="Arial" w:eastAsia="Arial" w:hAnsi="Arial"/>
                <w:sz w:val="18"/>
                <w:szCs w:val="18"/>
                <w:color w:val="auto"/>
              </w:rPr>
              <w:t>Force Majeure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11.17</w:t>
            </w:r>
          </w:p>
        </w:tc>
        <w:tc>
          <w:tcPr>
            <w:tcW w:w="8740" w:type="dxa"/>
            <w:vAlign w:val="bottom"/>
            <w:gridSpan w:val="2"/>
          </w:tcPr>
          <w:p>
            <w:pPr>
              <w:spacing w:after="0"/>
              <w:rPr>
                <w:sz w:val="20"/>
                <w:szCs w:val="20"/>
                <w:color w:val="auto"/>
              </w:rPr>
            </w:pPr>
            <w:r>
              <w:rPr>
                <w:rFonts w:ascii="Arial" w:cs="Arial" w:eastAsia="Arial" w:hAnsi="Arial"/>
                <w:sz w:val="18"/>
                <w:szCs w:val="18"/>
                <w:color w:val="auto"/>
              </w:rPr>
              <w:t>No Risk of Funds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11.18</w:t>
            </w:r>
          </w:p>
        </w:tc>
        <w:tc>
          <w:tcPr>
            <w:tcW w:w="8740" w:type="dxa"/>
            <w:vAlign w:val="bottom"/>
            <w:gridSpan w:val="2"/>
          </w:tcPr>
          <w:p>
            <w:pPr>
              <w:spacing w:after="0"/>
              <w:rPr>
                <w:sz w:val="20"/>
                <w:szCs w:val="20"/>
                <w:color w:val="auto"/>
              </w:rPr>
            </w:pPr>
            <w:r>
              <w:rPr>
                <w:rFonts w:ascii="Arial" w:cs="Arial" w:eastAsia="Arial" w:hAnsi="Arial"/>
                <w:sz w:val="18"/>
                <w:szCs w:val="18"/>
                <w:color w:val="auto"/>
              </w:rPr>
              <w:t>No Discretion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11.19</w:t>
            </w:r>
          </w:p>
        </w:tc>
        <w:tc>
          <w:tcPr>
            <w:tcW w:w="8740" w:type="dxa"/>
            <w:vAlign w:val="bottom"/>
            <w:gridSpan w:val="2"/>
          </w:tcPr>
          <w:p>
            <w:pPr>
              <w:spacing w:after="0"/>
              <w:rPr>
                <w:sz w:val="20"/>
                <w:szCs w:val="20"/>
                <w:color w:val="auto"/>
              </w:rPr>
            </w:pPr>
            <w:r>
              <w:rPr>
                <w:rFonts w:ascii="Arial" w:cs="Arial" w:eastAsia="Arial" w:hAnsi="Arial"/>
                <w:sz w:val="18"/>
                <w:szCs w:val="18"/>
                <w:color w:val="auto"/>
              </w:rPr>
              <w:t>Special, Consequential and Indirect Damages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SECTION 11.20</w:t>
            </w:r>
          </w:p>
        </w:tc>
        <w:tc>
          <w:tcPr>
            <w:tcW w:w="8740" w:type="dxa"/>
            <w:vAlign w:val="bottom"/>
            <w:gridSpan w:val="2"/>
          </w:tcPr>
          <w:p>
            <w:pPr>
              <w:spacing w:after="0"/>
              <w:rPr>
                <w:sz w:val="20"/>
                <w:szCs w:val="20"/>
                <w:color w:val="auto"/>
              </w:rPr>
            </w:pPr>
            <w:r>
              <w:rPr>
                <w:rFonts w:ascii="Arial" w:cs="Arial" w:eastAsia="Arial" w:hAnsi="Arial"/>
                <w:sz w:val="18"/>
                <w:szCs w:val="18"/>
                <w:color w:val="auto"/>
              </w:rPr>
              <w:t>No Environmental Liability</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SECTION 11.21</w:t>
            </w:r>
          </w:p>
        </w:tc>
        <w:tc>
          <w:tcPr>
            <w:tcW w:w="8740" w:type="dxa"/>
            <w:vAlign w:val="bottom"/>
            <w:gridSpan w:val="2"/>
          </w:tcPr>
          <w:p>
            <w:pPr>
              <w:spacing w:after="0"/>
              <w:rPr>
                <w:sz w:val="20"/>
                <w:szCs w:val="20"/>
                <w:color w:val="auto"/>
              </w:rPr>
            </w:pPr>
            <w:r>
              <w:rPr>
                <w:rFonts w:ascii="Arial" w:cs="Arial" w:eastAsia="Arial" w:hAnsi="Arial"/>
                <w:sz w:val="18"/>
                <w:szCs w:val="18"/>
                <w:color w:val="auto"/>
              </w:rPr>
              <w:t>Erroneous Payments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160" w:type="dxa"/>
            <w:vAlign w:val="bottom"/>
          </w:tcPr>
          <w:p>
            <w:pPr>
              <w:jc w:val="center"/>
              <w:ind w:right="2910"/>
              <w:spacing w:after="0"/>
              <w:rPr>
                <w:sz w:val="20"/>
                <w:szCs w:val="20"/>
                <w:color w:val="auto"/>
              </w:rPr>
            </w:pPr>
            <w:r>
              <w:rPr>
                <w:rFonts w:ascii="Arial" w:cs="Arial" w:eastAsia="Arial" w:hAnsi="Arial"/>
                <w:sz w:val="18"/>
                <w:szCs w:val="18"/>
                <w:color w:val="auto"/>
              </w:rPr>
              <w:t>ARTICLE XII</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160" w:type="dxa"/>
            <w:vAlign w:val="bottom"/>
          </w:tcPr>
          <w:p>
            <w:pPr>
              <w:jc w:val="center"/>
              <w:ind w:right="2890"/>
              <w:spacing w:after="0"/>
              <w:rPr>
                <w:sz w:val="20"/>
                <w:szCs w:val="20"/>
                <w:color w:val="auto"/>
              </w:rPr>
            </w:pPr>
            <w:r>
              <w:rPr>
                <w:rFonts w:ascii="Arial" w:cs="Arial" w:eastAsia="Arial" w:hAnsi="Arial"/>
                <w:sz w:val="18"/>
                <w:szCs w:val="18"/>
                <w:color w:val="auto"/>
                <w:w w:val="97"/>
              </w:rPr>
              <w:t>MISCELLANEOUS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SECTION 12.01</w:t>
            </w:r>
          </w:p>
        </w:tc>
        <w:tc>
          <w:tcPr>
            <w:tcW w:w="8740" w:type="dxa"/>
            <w:vAlign w:val="bottom"/>
            <w:gridSpan w:val="2"/>
          </w:tcPr>
          <w:p>
            <w:pPr>
              <w:spacing w:after="0"/>
              <w:rPr>
                <w:sz w:val="20"/>
                <w:szCs w:val="20"/>
                <w:color w:val="auto"/>
              </w:rPr>
            </w:pPr>
            <w:r>
              <w:rPr>
                <w:rFonts w:ascii="Arial" w:cs="Arial" w:eastAsia="Arial" w:hAnsi="Arial"/>
                <w:sz w:val="18"/>
                <w:szCs w:val="18"/>
                <w:color w:val="auto"/>
              </w:rPr>
              <w:t>Waiver; Amendments; Joinder; Release of Guarantors; Release of Collateral</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8"/>
                <w:szCs w:val="18"/>
                <w:color w:val="auto"/>
              </w:rPr>
              <w:t>SECTION 12.02</w:t>
            </w:r>
          </w:p>
        </w:tc>
        <w:tc>
          <w:tcPr>
            <w:tcW w:w="8740" w:type="dxa"/>
            <w:vAlign w:val="bottom"/>
            <w:gridSpan w:val="2"/>
          </w:tcPr>
          <w:p>
            <w:pPr>
              <w:spacing w:after="0"/>
              <w:rPr>
                <w:sz w:val="20"/>
                <w:szCs w:val="20"/>
                <w:color w:val="auto"/>
              </w:rPr>
            </w:pPr>
            <w:r>
              <w:rPr>
                <w:rFonts w:ascii="Arial" w:cs="Arial" w:eastAsia="Arial" w:hAnsi="Arial"/>
                <w:sz w:val="18"/>
                <w:szCs w:val="18"/>
                <w:color w:val="auto"/>
              </w:rPr>
              <w:t>Notices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12.03</w:t>
            </w:r>
          </w:p>
        </w:tc>
        <w:tc>
          <w:tcPr>
            <w:tcW w:w="8740" w:type="dxa"/>
            <w:vAlign w:val="bottom"/>
            <w:gridSpan w:val="2"/>
          </w:tcPr>
          <w:p>
            <w:pPr>
              <w:spacing w:after="0" w:line="194" w:lineRule="exact"/>
              <w:rPr>
                <w:sz w:val="20"/>
                <w:szCs w:val="20"/>
                <w:color w:val="auto"/>
              </w:rPr>
            </w:pPr>
            <w:r>
              <w:rPr>
                <w:rFonts w:ascii="Arial" w:cs="Arial" w:eastAsia="Arial" w:hAnsi="Arial"/>
                <w:sz w:val="18"/>
                <w:szCs w:val="18"/>
                <w:color w:val="auto"/>
              </w:rPr>
              <w:t>Expenses, Etc.</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179</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192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12.04</w:t>
            </w:r>
          </w:p>
        </w:tc>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Indemnity and Limitation of Liability</w:t>
            </w:r>
          </w:p>
        </w:tc>
        <w:tc>
          <w:tcPr>
            <w:tcW w:w="28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60" w:type="dxa"/>
            <w:vAlign w:val="bottom"/>
            <w:vMerge w:val="continue"/>
          </w:tcPr>
          <w:p>
            <w:pPr>
              <w:spacing w:after="0"/>
              <w:rPr>
                <w:sz w:val="15"/>
                <w:szCs w:val="15"/>
                <w:color w:val="auto"/>
              </w:rPr>
            </w:pPr>
          </w:p>
        </w:tc>
        <w:tc>
          <w:tcPr>
            <w:tcW w:w="87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193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8"/>
                <w:szCs w:val="18"/>
                <w:color w:val="auto"/>
              </w:rPr>
              <w:t>SECTION 12.05</w:t>
            </w:r>
          </w:p>
        </w:tc>
        <w:tc>
          <w:tcPr>
            <w:tcW w:w="8740" w:type="dxa"/>
            <w:vAlign w:val="bottom"/>
            <w:gridSpan w:val="2"/>
          </w:tcPr>
          <w:p>
            <w:pPr>
              <w:spacing w:after="0" w:line="194" w:lineRule="exact"/>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182</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195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33"/>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12.06</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Confidentiality</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187</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0000FF"/>
                <w:w w:val="79"/>
              </w:rPr>
              <w:t>200</w:t>
            </w:r>
          </w:p>
        </w:tc>
        <w:tc>
          <w:tcPr>
            <w:tcW w:w="0" w:type="dxa"/>
            <w:vAlign w:val="bottom"/>
          </w:tcPr>
          <w:p>
            <w:pPr>
              <w:spacing w:after="0" w:line="20" w:lineRule="exact"/>
              <w:rPr>
                <w:sz w:val="1"/>
                <w:szCs w:val="1"/>
                <w:color w:val="auto"/>
              </w:rPr>
            </w:pPr>
          </w:p>
        </w:tc>
      </w:tr>
      <w:tr>
        <w:trPr>
          <w:trHeight w:val="174"/>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12.07</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188</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12.08</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Governing Law</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202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line="194" w:lineRule="exact"/>
              <w:rPr>
                <w:sz w:val="20"/>
                <w:szCs w:val="20"/>
                <w:color w:val="auto"/>
              </w:rPr>
            </w:pPr>
            <w:r>
              <w:rPr>
                <w:rFonts w:ascii="Arial" w:cs="Arial" w:eastAsia="Arial" w:hAnsi="Arial"/>
                <w:sz w:val="18"/>
                <w:szCs w:val="18"/>
                <w:color w:val="auto"/>
              </w:rPr>
              <w:t>SECTION 12.09</w:t>
            </w:r>
          </w:p>
        </w:tc>
        <w:tc>
          <w:tcPr>
            <w:tcW w:w="9120" w:type="dxa"/>
            <w:vAlign w:val="bottom"/>
          </w:tcPr>
          <w:p>
            <w:pPr>
              <w:ind w:left="380"/>
              <w:spacing w:after="0" w:line="194" w:lineRule="exact"/>
              <w:rPr>
                <w:sz w:val="20"/>
                <w:szCs w:val="20"/>
                <w:color w:val="auto"/>
              </w:rPr>
            </w:pPr>
            <w:r>
              <w:rPr>
                <w:rFonts w:ascii="Arial" w:cs="Arial" w:eastAsia="Arial" w:hAnsi="Arial"/>
                <w:sz w:val="18"/>
                <w:szCs w:val="18"/>
                <w:color w:val="auto"/>
              </w:rPr>
              <w:t>Independence of Covenants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189</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202</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12.10</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Counterparts; Integration; Effectiveness; Electronic Execution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189</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12.11</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Severability</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203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line="194" w:lineRule="exact"/>
              <w:rPr>
                <w:sz w:val="20"/>
                <w:szCs w:val="20"/>
                <w:color w:val="auto"/>
              </w:rPr>
            </w:pPr>
            <w:r>
              <w:rPr>
                <w:rFonts w:ascii="Arial" w:cs="Arial" w:eastAsia="Arial" w:hAnsi="Arial"/>
                <w:sz w:val="18"/>
                <w:szCs w:val="18"/>
                <w:color w:val="auto"/>
              </w:rPr>
              <w:t>SECTION 12.12</w:t>
            </w:r>
          </w:p>
        </w:tc>
        <w:tc>
          <w:tcPr>
            <w:tcW w:w="9120" w:type="dxa"/>
            <w:vAlign w:val="bottom"/>
          </w:tcPr>
          <w:p>
            <w:pPr>
              <w:ind w:left="380"/>
              <w:spacing w:after="0" w:line="194" w:lineRule="exact"/>
              <w:rPr>
                <w:sz w:val="20"/>
                <w:szCs w:val="20"/>
                <w:color w:val="auto"/>
              </w:rPr>
            </w:pPr>
            <w:r>
              <w:rPr>
                <w:rFonts w:ascii="Arial" w:cs="Arial" w:eastAsia="Arial" w:hAnsi="Arial"/>
                <w:sz w:val="18"/>
                <w:szCs w:val="18"/>
                <w:color w:val="auto"/>
              </w:rPr>
              <w:t>Conflicts Between This Agreement and the Other Loan Documents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190</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203</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12.13</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190</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12.14</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Limitation of Interest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190</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12.15</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Submission to 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190</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12.16</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192</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12.17</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192</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12.18</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No Fiduciary Duty, etc.</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206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line="194" w:lineRule="exact"/>
              <w:rPr>
                <w:sz w:val="20"/>
                <w:szCs w:val="20"/>
                <w:color w:val="auto"/>
              </w:rPr>
            </w:pPr>
            <w:r>
              <w:rPr>
                <w:rFonts w:ascii="Arial" w:cs="Arial" w:eastAsia="Arial" w:hAnsi="Arial"/>
                <w:sz w:val="18"/>
                <w:szCs w:val="18"/>
                <w:color w:val="auto"/>
              </w:rPr>
              <w:t>SECTION 12.19</w:t>
            </w:r>
          </w:p>
        </w:tc>
        <w:tc>
          <w:tcPr>
            <w:tcW w:w="9120" w:type="dxa"/>
            <w:vAlign w:val="bottom"/>
          </w:tcPr>
          <w:p>
            <w:pPr>
              <w:ind w:left="380"/>
              <w:spacing w:after="0" w:line="194" w:lineRule="exact"/>
              <w:rPr>
                <w:sz w:val="20"/>
                <w:szCs w:val="20"/>
                <w:color w:val="auto"/>
              </w:rPr>
            </w:pPr>
            <w:r>
              <w:rPr>
                <w:rFonts w:ascii="Arial" w:cs="Arial" w:eastAsia="Arial" w:hAnsi="Arial"/>
                <w:sz w:val="18"/>
                <w:szCs w:val="18"/>
                <w:color w:val="auto"/>
              </w:rPr>
              <w:t>USA Patriot Act</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193</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207</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12.20</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Appointment for Perfection</w:t>
            </w:r>
          </w:p>
        </w:tc>
        <w:tc>
          <w:tcPr>
            <w:tcW w:w="28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207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line="194" w:lineRule="exact"/>
              <w:rPr>
                <w:sz w:val="20"/>
                <w:szCs w:val="20"/>
                <w:color w:val="auto"/>
              </w:rPr>
            </w:pPr>
            <w:r>
              <w:rPr>
                <w:rFonts w:ascii="Arial" w:cs="Arial" w:eastAsia="Arial" w:hAnsi="Arial"/>
                <w:sz w:val="18"/>
                <w:szCs w:val="18"/>
                <w:color w:val="auto"/>
              </w:rPr>
              <w:t>SECTION 12.21</w:t>
            </w:r>
          </w:p>
        </w:tc>
        <w:tc>
          <w:tcPr>
            <w:tcW w:w="9120" w:type="dxa"/>
            <w:vAlign w:val="bottom"/>
          </w:tcPr>
          <w:p>
            <w:pPr>
              <w:ind w:left="380"/>
              <w:spacing w:after="0" w:line="194" w:lineRule="exact"/>
              <w:rPr>
                <w:sz w:val="20"/>
                <w:szCs w:val="20"/>
                <w:color w:val="auto"/>
              </w:rPr>
            </w:pPr>
            <w:r>
              <w:rPr>
                <w:rFonts w:ascii="Arial" w:cs="Arial" w:eastAsia="Arial" w:hAnsi="Arial"/>
                <w:sz w:val="18"/>
                <w:szCs w:val="18"/>
                <w:color w:val="auto"/>
              </w:rPr>
              <w:t>Payments Set Aside</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194</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207</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12.22</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No Fiduciary Duty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194</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12.23</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Release of Guarantors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12.24</w:t>
            </w:r>
          </w:p>
        </w:tc>
        <w:tc>
          <w:tcPr>
            <w:tcW w:w="9120" w:type="dxa"/>
            <w:vAlign w:val="bottom"/>
            <w:vMerge w:val="restart"/>
          </w:tcPr>
          <w:p>
            <w:pPr>
              <w:ind w:left="380"/>
              <w:spacing w:after="0" w:line="196" w:lineRule="exact"/>
              <w:rPr>
                <w:sz w:val="20"/>
                <w:szCs w:val="20"/>
                <w:color w:val="auto"/>
              </w:rPr>
            </w:pPr>
            <w:r>
              <w:rPr>
                <w:rFonts w:ascii="Arial" w:cs="Arial" w:eastAsia="Arial" w:hAnsi="Arial"/>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195</w:t>
            </w: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12.25</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Confirmation of Lender’s Status as a Swiss Qualifying Lender</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color w:val="auto"/>
                <w:w w:val="79"/>
              </w:rPr>
              <w:t>209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line="194" w:lineRule="exact"/>
              <w:rPr>
                <w:sz w:val="20"/>
                <w:szCs w:val="20"/>
                <w:color w:val="auto"/>
              </w:rPr>
            </w:pPr>
            <w:r>
              <w:rPr>
                <w:rFonts w:ascii="Arial" w:cs="Arial" w:eastAsia="Arial" w:hAnsi="Arial"/>
                <w:sz w:val="18"/>
                <w:szCs w:val="18"/>
                <w:color w:val="auto"/>
              </w:rPr>
              <w:t>SECTION 12.26</w:t>
            </w:r>
          </w:p>
        </w:tc>
        <w:tc>
          <w:tcPr>
            <w:tcW w:w="9120" w:type="dxa"/>
            <w:vAlign w:val="bottom"/>
          </w:tcPr>
          <w:p>
            <w:pPr>
              <w:ind w:left="380"/>
              <w:spacing w:after="0" w:line="194" w:lineRule="exact"/>
              <w:rPr>
                <w:sz w:val="20"/>
                <w:szCs w:val="20"/>
                <w:color w:val="auto"/>
              </w:rPr>
            </w:pPr>
            <w:r>
              <w:rPr>
                <w:rFonts w:ascii="Arial" w:cs="Arial" w:eastAsia="Arial" w:hAnsi="Arial"/>
                <w:sz w:val="18"/>
                <w:szCs w:val="18"/>
                <w:color w:val="auto"/>
              </w:rPr>
              <w:t>Joint Lead Arrangers and Joint Book Runners</w:t>
            </w:r>
          </w:p>
        </w:tc>
        <w:tc>
          <w:tcPr>
            <w:tcW w:w="280" w:type="dxa"/>
            <w:vAlign w:val="bottom"/>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196</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210</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SECTION 12.27</w:t>
            </w:r>
          </w:p>
        </w:tc>
        <w:tc>
          <w:tcPr>
            <w:tcW w:w="9120" w:type="dxa"/>
            <w:vAlign w:val="bottom"/>
            <w:vMerge w:val="restart"/>
          </w:tcPr>
          <w:p>
            <w:pPr>
              <w:ind w:left="380"/>
              <w:spacing w:after="0"/>
              <w:rPr>
                <w:sz w:val="20"/>
                <w:szCs w:val="20"/>
                <w:color w:val="auto"/>
              </w:rPr>
            </w:pPr>
            <w:r>
              <w:rPr>
                <w:rFonts w:ascii="Arial" w:cs="Arial" w:eastAsia="Arial" w:hAnsi="Arial"/>
                <w:sz w:val="18"/>
                <w:szCs w:val="18"/>
                <w:color w:val="auto"/>
              </w:rPr>
              <w:t>Acknowledgement Regarding Any Supported QFCs</w:t>
            </w:r>
          </w:p>
        </w:tc>
        <w:tc>
          <w:tcPr>
            <w:tcW w:w="28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w w:val="79"/>
              </w:rPr>
              <w:t>210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12.28</w:t>
            </w:r>
          </w:p>
        </w:tc>
        <w:tc>
          <w:tcPr>
            <w:tcW w:w="9120" w:type="dxa"/>
            <w:vAlign w:val="bottom"/>
          </w:tcPr>
          <w:p>
            <w:pPr>
              <w:ind w:left="380"/>
              <w:spacing w:after="0"/>
              <w:rPr>
                <w:sz w:val="20"/>
                <w:szCs w:val="20"/>
                <w:color w:val="auto"/>
              </w:rPr>
            </w:pPr>
            <w:r>
              <w:rPr>
                <w:rFonts w:ascii="Arial" w:cs="Arial" w:eastAsia="Arial" w:hAnsi="Arial"/>
                <w:sz w:val="18"/>
                <w:szCs w:val="18"/>
                <w:color w:val="auto"/>
              </w:rPr>
              <w:t>[Reserved]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SECTION 12.29</w:t>
            </w:r>
          </w:p>
        </w:tc>
        <w:tc>
          <w:tcPr>
            <w:tcW w:w="9120" w:type="dxa"/>
            <w:vAlign w:val="bottom"/>
          </w:tcPr>
          <w:p>
            <w:pPr>
              <w:ind w:left="380"/>
              <w:spacing w:after="0"/>
              <w:rPr>
                <w:sz w:val="20"/>
                <w:szCs w:val="20"/>
                <w:color w:val="auto"/>
              </w:rPr>
            </w:pPr>
            <w:r>
              <w:rPr>
                <w:rFonts w:ascii="Arial" w:cs="Arial" w:eastAsia="Arial" w:hAnsi="Arial"/>
                <w:sz w:val="18"/>
                <w:szCs w:val="18"/>
                <w:color w:val="auto"/>
              </w:rPr>
              <w:t>Amendment and Restatement; No Novation</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960" w:type="dxa"/>
            <w:vAlign w:val="bottom"/>
            <w:gridSpan w:val="5"/>
          </w:tcPr>
          <w:p>
            <w:pPr>
              <w:spacing w:after="0"/>
              <w:rPr>
                <w:sz w:val="20"/>
                <w:szCs w:val="20"/>
                <w:color w:val="auto"/>
              </w:rPr>
            </w:pPr>
            <w:r>
              <w:rPr>
                <w:rFonts w:ascii="Arial" w:cs="Arial" w:eastAsia="Arial" w:hAnsi="Arial"/>
                <w:sz w:val="18"/>
                <w:szCs w:val="18"/>
                <w:color w:val="auto"/>
              </w:rPr>
              <w:t>EXHIBITS</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960" w:type="dxa"/>
            <w:vAlign w:val="bottom"/>
            <w:gridSpan w:val="5"/>
          </w:tcPr>
          <w:p>
            <w:pPr>
              <w:spacing w:after="0"/>
              <w:rPr>
                <w:sz w:val="20"/>
                <w:szCs w:val="20"/>
                <w:color w:val="auto"/>
              </w:rPr>
            </w:pPr>
            <w:r>
              <w:rPr>
                <w:rFonts w:ascii="Arial" w:cs="Arial" w:eastAsia="Arial" w:hAnsi="Arial"/>
                <w:sz w:val="18"/>
                <w:szCs w:val="18"/>
                <w:color w:val="auto"/>
              </w:rPr>
              <w:t>EXHIBIT A</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B</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Notice of Borrowing</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C</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Letter of Credit Request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D</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Notice of Account Designation</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E</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Notice of Prepayment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F</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Notice of Conversion/Continuation</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G</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H</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Assignee Certificate</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I</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Increasing Lender Supplement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J</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Additional Lender Supplement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K</w:t>
            </w:r>
          </w:p>
        </w:tc>
        <w:tc>
          <w:tcPr>
            <w:tcW w:w="9280" w:type="dxa"/>
            <w:vAlign w:val="bottom"/>
            <w:gridSpan w:val="5"/>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L</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Intercompany Subordination Agreement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M</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Participant Certificate</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EXHIBIT N</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Activity Report</w:t>
            </w:r>
          </w:p>
        </w:tc>
        <w:tc>
          <w:tcPr>
            <w:tcW w:w="0" w:type="dxa"/>
            <w:vAlign w:val="bottom"/>
          </w:tcPr>
          <w:p>
            <w:pPr>
              <w:spacing w:after="0"/>
              <w:rPr>
                <w:sz w:val="1"/>
                <w:szCs w:val="1"/>
                <w:color w:val="auto"/>
              </w:rPr>
            </w:pPr>
          </w:p>
        </w:tc>
      </w:tr>
      <w:tr>
        <w:trPr>
          <w:trHeight w:val="212"/>
        </w:trPr>
        <w:tc>
          <w:tcPr>
            <w:tcW w:w="1960" w:type="dxa"/>
            <w:vAlign w:val="bottom"/>
            <w:gridSpan w:val="5"/>
          </w:tcPr>
          <w:p>
            <w:pPr>
              <w:spacing w:after="0"/>
              <w:rPr>
                <w:sz w:val="20"/>
                <w:szCs w:val="20"/>
                <w:color w:val="auto"/>
              </w:rPr>
            </w:pPr>
            <w:r>
              <w:rPr>
                <w:rFonts w:ascii="Arial" w:cs="Arial" w:eastAsia="Arial" w:hAnsi="Arial"/>
                <w:sz w:val="18"/>
                <w:szCs w:val="18"/>
                <w:color w:val="auto"/>
              </w:rPr>
              <w:t>EXHIBIT O</w:t>
            </w:r>
          </w:p>
        </w:tc>
        <w:tc>
          <w:tcPr>
            <w:tcW w:w="9280" w:type="dxa"/>
            <w:vAlign w:val="bottom"/>
            <w:gridSpan w:val="5"/>
          </w:tcPr>
          <w:p>
            <w:pPr>
              <w:spacing w:after="0"/>
              <w:rPr>
                <w:sz w:val="20"/>
                <w:szCs w:val="20"/>
                <w:color w:val="auto"/>
              </w:rPr>
            </w:pPr>
            <w:r>
              <w:rPr>
                <w:rFonts w:ascii="Arial" w:cs="Arial" w:eastAsia="Arial" w:hAnsi="Arial"/>
                <w:sz w:val="18"/>
                <w:szCs w:val="18"/>
                <w:color w:val="auto"/>
              </w:rPr>
              <w:t>Form of Note</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FF0000"/>
                <w:strike w:val="1"/>
              </w:rPr>
              <w:t>EXHIBIT P</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gridSpan w:val="3"/>
          </w:tcPr>
          <w:p>
            <w:pPr>
              <w:spacing w:after="0"/>
              <w:rPr>
                <w:sz w:val="20"/>
                <w:szCs w:val="20"/>
                <w:color w:val="auto"/>
              </w:rPr>
            </w:pPr>
            <w:r>
              <w:rPr>
                <w:rFonts w:ascii="Arial" w:cs="Arial" w:eastAsia="Arial" w:hAnsi="Arial"/>
                <w:sz w:val="18"/>
                <w:szCs w:val="18"/>
                <w:b w:val="1"/>
                <w:bCs w:val="1"/>
                <w:color w:val="FF0000"/>
                <w:strike w:val="1"/>
                <w:w w:val="93"/>
              </w:rPr>
              <w:t>Form of Canadian Borrower Joinder</w:t>
            </w:r>
          </w:p>
        </w:tc>
        <w:tc>
          <w:tcPr>
            <w:tcW w:w="10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60" w:type="dxa"/>
            <w:vAlign w:val="bottom"/>
            <w:gridSpan w:val="5"/>
          </w:tcPr>
          <w:p>
            <w:pPr>
              <w:spacing w:after="0"/>
              <w:rPr>
                <w:sz w:val="20"/>
                <w:szCs w:val="20"/>
                <w:color w:val="auto"/>
              </w:rPr>
            </w:pPr>
            <w:r>
              <w:rPr>
                <w:rFonts w:ascii="Arial" w:cs="Arial" w:eastAsia="Arial" w:hAnsi="Arial"/>
                <w:sz w:val="18"/>
                <w:szCs w:val="18"/>
                <w:color w:val="auto"/>
              </w:rPr>
              <w:t>SCHEDULES</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960" w:type="dxa"/>
            <w:vAlign w:val="bottom"/>
            <w:gridSpan w:val="5"/>
          </w:tcPr>
          <w:p>
            <w:pPr>
              <w:spacing w:after="0"/>
              <w:rPr>
                <w:sz w:val="20"/>
                <w:szCs w:val="20"/>
                <w:color w:val="auto"/>
              </w:rPr>
            </w:pPr>
            <w:r>
              <w:rPr>
                <w:rFonts w:ascii="Arial" w:cs="Arial" w:eastAsia="Arial" w:hAnsi="Arial"/>
                <w:sz w:val="18"/>
                <w:szCs w:val="18"/>
                <w:color w:val="auto"/>
              </w:rPr>
              <w:t>SCHEDULE 1.01A</w:t>
            </w:r>
          </w:p>
        </w:tc>
        <w:tc>
          <w:tcPr>
            <w:tcW w:w="9280" w:type="dxa"/>
            <w:vAlign w:val="bottom"/>
            <w:gridSpan w:val="5"/>
          </w:tcPr>
          <w:p>
            <w:pPr>
              <w:spacing w:after="0"/>
              <w:rPr>
                <w:sz w:val="20"/>
                <w:szCs w:val="20"/>
                <w:color w:val="auto"/>
              </w:rPr>
            </w:pPr>
            <w:r>
              <w:rPr>
                <w:rFonts w:ascii="Arial" w:cs="Arial" w:eastAsia="Arial" w:hAnsi="Arial"/>
                <w:sz w:val="18"/>
                <w:szCs w:val="18"/>
                <w:color w:val="auto"/>
              </w:rPr>
              <w:t>Excluded Jurisdictions</w:t>
            </w:r>
          </w:p>
        </w:tc>
        <w:tc>
          <w:tcPr>
            <w:tcW w:w="0" w:type="dxa"/>
            <w:vAlign w:val="bottom"/>
          </w:tcPr>
          <w:p>
            <w:pPr>
              <w:spacing w:after="0"/>
              <w:rPr>
                <w:sz w:val="1"/>
                <w:szCs w:val="1"/>
                <w:color w:val="auto"/>
              </w:rPr>
            </w:pPr>
          </w:p>
        </w:tc>
      </w:tr>
      <w:tr>
        <w:trPr>
          <w:trHeight w:val="194"/>
        </w:trPr>
        <w:tc>
          <w:tcPr>
            <w:tcW w:w="1960" w:type="dxa"/>
            <w:vAlign w:val="bottom"/>
            <w:gridSpan w:val="5"/>
          </w:tcPr>
          <w:p>
            <w:pPr>
              <w:spacing w:after="0" w:line="194" w:lineRule="exact"/>
              <w:rPr>
                <w:sz w:val="20"/>
                <w:szCs w:val="20"/>
                <w:color w:val="auto"/>
              </w:rPr>
            </w:pPr>
            <w:r>
              <w:rPr>
                <w:rFonts w:ascii="Arial" w:cs="Arial" w:eastAsia="Arial" w:hAnsi="Arial"/>
                <w:sz w:val="18"/>
                <w:szCs w:val="18"/>
                <w:color w:val="auto"/>
              </w:rPr>
              <w:t>SCHEDULE 1.01B</w:t>
            </w:r>
          </w:p>
        </w:tc>
        <w:tc>
          <w:tcPr>
            <w:tcW w:w="9280" w:type="dxa"/>
            <w:vAlign w:val="bottom"/>
            <w:gridSpan w:val="5"/>
          </w:tcPr>
          <w:p>
            <w:pPr>
              <w:spacing w:after="0" w:line="194" w:lineRule="exact"/>
              <w:rPr>
                <w:sz w:val="20"/>
                <w:szCs w:val="20"/>
                <w:color w:val="auto"/>
              </w:rPr>
            </w:pPr>
            <w:r>
              <w:rPr>
                <w:rFonts w:ascii="Arial" w:cs="Arial" w:eastAsia="Arial" w:hAnsi="Arial"/>
                <w:sz w:val="18"/>
                <w:szCs w:val="18"/>
                <w:color w:val="auto"/>
              </w:rPr>
              <w:t xml:space="preserve">Guarantors on the </w:t>
            </w:r>
            <w:r>
              <w:rPr>
                <w:rFonts w:ascii="Arial" w:cs="Arial" w:eastAsia="Arial" w:hAnsi="Arial"/>
                <w:sz w:val="18"/>
                <w:szCs w:val="18"/>
                <w:b w:val="1"/>
                <w:bCs w:val="1"/>
                <w:color w:val="0000FF"/>
              </w:rPr>
              <w:t>Fourth Amendment</w:t>
            </w:r>
            <w:r>
              <w:rPr>
                <w:rFonts w:ascii="Arial" w:cs="Arial" w:eastAsia="Arial" w:hAnsi="Arial"/>
                <w:sz w:val="18"/>
                <w:szCs w:val="18"/>
                <w:color w:val="auto"/>
              </w:rPr>
              <w:t xml:space="preserve"> Effective Date</w:t>
            </w:r>
          </w:p>
        </w:tc>
        <w:tc>
          <w:tcPr>
            <w:tcW w:w="0" w:type="dxa"/>
            <w:vAlign w:val="bottom"/>
          </w:tcPr>
          <w:p>
            <w:pPr>
              <w:spacing w:after="0"/>
              <w:rPr>
                <w:sz w:val="1"/>
                <w:szCs w:val="1"/>
                <w:color w:val="auto"/>
              </w:rPr>
            </w:pPr>
          </w:p>
        </w:tc>
      </w:tr>
      <w:tr>
        <w:trPr>
          <w:trHeight w:val="20"/>
        </w:trPr>
        <w:tc>
          <w:tcPr>
            <w:tcW w:w="1960" w:type="dxa"/>
            <w:vAlign w:val="bottom"/>
            <w:gridSpan w:val="5"/>
            <w:vMerge w:val="restart"/>
          </w:tcPr>
          <w:p>
            <w:pPr>
              <w:spacing w:after="0"/>
              <w:rPr>
                <w:sz w:val="20"/>
                <w:szCs w:val="20"/>
                <w:color w:val="auto"/>
              </w:rPr>
            </w:pPr>
            <w:r>
              <w:rPr>
                <w:rFonts w:ascii="Arial" w:cs="Arial" w:eastAsia="Arial" w:hAnsi="Arial"/>
                <w:sz w:val="18"/>
                <w:szCs w:val="18"/>
                <w:color w:val="auto"/>
              </w:rPr>
              <w:t>SCHEDULE 1.01C</w:t>
            </w:r>
          </w:p>
        </w:tc>
        <w:tc>
          <w:tcPr>
            <w:tcW w:w="132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54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5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960" w:type="dxa"/>
            <w:vAlign w:val="bottom"/>
            <w:gridSpan w:val="5"/>
            <w:vMerge w:val="continue"/>
          </w:tcPr>
          <w:p>
            <w:pPr>
              <w:spacing w:after="0"/>
              <w:rPr>
                <w:sz w:val="15"/>
                <w:szCs w:val="15"/>
                <w:color w:val="auto"/>
              </w:rPr>
            </w:pPr>
          </w:p>
        </w:tc>
        <w:tc>
          <w:tcPr>
            <w:tcW w:w="2900" w:type="dxa"/>
            <w:vAlign w:val="bottom"/>
            <w:gridSpan w:val="3"/>
          </w:tcPr>
          <w:p>
            <w:pPr>
              <w:spacing w:after="0" w:line="182" w:lineRule="exact"/>
              <w:rPr>
                <w:sz w:val="20"/>
                <w:szCs w:val="20"/>
                <w:color w:val="auto"/>
              </w:rPr>
            </w:pPr>
            <w:r>
              <w:rPr>
                <w:rFonts w:ascii="Arial" w:cs="Arial" w:eastAsia="Arial" w:hAnsi="Arial"/>
                <w:sz w:val="18"/>
                <w:szCs w:val="18"/>
                <w:color w:val="auto"/>
              </w:rPr>
              <w:t>Effective Date Security Agreements</w:t>
            </w:r>
          </w:p>
        </w:tc>
        <w:tc>
          <w:tcPr>
            <w:tcW w:w="1000" w:type="dxa"/>
            <w:vAlign w:val="bottom"/>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60" w:type="dxa"/>
            <w:vAlign w:val="bottom"/>
            <w:gridSpan w:val="5"/>
          </w:tcPr>
          <w:p>
            <w:pPr>
              <w:spacing w:after="0"/>
              <w:rPr>
                <w:sz w:val="20"/>
                <w:szCs w:val="20"/>
                <w:color w:val="auto"/>
              </w:rPr>
            </w:pPr>
            <w:r>
              <w:rPr>
                <w:rFonts w:ascii="Arial" w:cs="Arial" w:eastAsia="Arial" w:hAnsi="Arial"/>
                <w:sz w:val="18"/>
                <w:szCs w:val="18"/>
                <w:color w:val="auto"/>
              </w:rPr>
              <w:t>SCHEDULE 1.01D</w:t>
            </w:r>
          </w:p>
        </w:tc>
        <w:tc>
          <w:tcPr>
            <w:tcW w:w="9280" w:type="dxa"/>
            <w:vAlign w:val="bottom"/>
            <w:gridSpan w:val="5"/>
          </w:tcPr>
          <w:p>
            <w:pPr>
              <w:spacing w:after="0"/>
              <w:rPr>
                <w:sz w:val="20"/>
                <w:szCs w:val="20"/>
                <w:color w:val="auto"/>
              </w:rPr>
            </w:pPr>
            <w:r>
              <w:rPr>
                <w:rFonts w:ascii="Arial" w:cs="Arial" w:eastAsia="Arial" w:hAnsi="Arial"/>
                <w:sz w:val="18"/>
                <w:szCs w:val="18"/>
                <w:color w:val="auto"/>
              </w:rPr>
              <w:t>Effective Date Real Property</w:t>
            </w:r>
          </w:p>
        </w:tc>
        <w:tc>
          <w:tcPr>
            <w:tcW w:w="0" w:type="dxa"/>
            <w:vAlign w:val="bottom"/>
          </w:tcPr>
          <w:p>
            <w:pPr>
              <w:spacing w:after="0"/>
              <w:rPr>
                <w:sz w:val="1"/>
                <w:szCs w:val="1"/>
                <w:color w:val="auto"/>
              </w:rPr>
            </w:pPr>
          </w:p>
        </w:tc>
      </w:tr>
      <w:tr>
        <w:trPr>
          <w:trHeight w:val="194"/>
        </w:trPr>
        <w:tc>
          <w:tcPr>
            <w:tcW w:w="1960" w:type="dxa"/>
            <w:vAlign w:val="bottom"/>
            <w:gridSpan w:val="5"/>
          </w:tcPr>
          <w:p>
            <w:pPr>
              <w:spacing w:after="0" w:line="194" w:lineRule="exact"/>
              <w:rPr>
                <w:sz w:val="20"/>
                <w:szCs w:val="20"/>
                <w:color w:val="auto"/>
              </w:rPr>
            </w:pPr>
            <w:r>
              <w:rPr>
                <w:rFonts w:ascii="Arial" w:cs="Arial" w:eastAsia="Arial" w:hAnsi="Arial"/>
                <w:sz w:val="18"/>
                <w:szCs w:val="18"/>
                <w:b w:val="1"/>
                <w:bCs w:val="1"/>
                <w:color w:val="0000FF"/>
              </w:rPr>
              <w:t>SCHEDULE 1.01E</w:t>
            </w:r>
          </w:p>
        </w:tc>
        <w:tc>
          <w:tcPr>
            <w:tcW w:w="9280" w:type="dxa"/>
            <w:vAlign w:val="bottom"/>
            <w:gridSpan w:val="5"/>
          </w:tcPr>
          <w:p>
            <w:pPr>
              <w:spacing w:after="0" w:line="194" w:lineRule="exact"/>
              <w:rPr>
                <w:sz w:val="20"/>
                <w:szCs w:val="20"/>
                <w:color w:val="auto"/>
              </w:rPr>
            </w:pPr>
            <w:r>
              <w:rPr>
                <w:rFonts w:ascii="Arial" w:cs="Arial" w:eastAsia="Arial" w:hAnsi="Arial"/>
                <w:sz w:val="18"/>
                <w:szCs w:val="18"/>
                <w:b w:val="1"/>
                <w:bCs w:val="1"/>
                <w:color w:val="0000FF"/>
              </w:rPr>
              <w:t>Specified Lenders</w:t>
            </w:r>
          </w:p>
        </w:tc>
        <w:tc>
          <w:tcPr>
            <w:tcW w:w="0" w:type="dxa"/>
            <w:vAlign w:val="bottom"/>
          </w:tcPr>
          <w:p>
            <w:pPr>
              <w:spacing w:after="0"/>
              <w:rPr>
                <w:sz w:val="1"/>
                <w:szCs w:val="1"/>
                <w:color w:val="auto"/>
              </w:rPr>
            </w:pPr>
          </w:p>
        </w:tc>
      </w:tr>
      <w:tr>
        <w:trPr>
          <w:trHeight w:val="40"/>
        </w:trPr>
        <w:tc>
          <w:tcPr>
            <w:tcW w:w="1040" w:type="dxa"/>
            <w:vAlign w:val="bottom"/>
            <w:tcBorders>
              <w:top w:val="single" w:sz="8" w:color="0000FF"/>
              <w:bottom w:val="single" w:sz="8" w:color="0000FF"/>
            </w:tcBorders>
            <w:gridSpan w:val="2"/>
          </w:tcPr>
          <w:p>
            <w:pPr>
              <w:spacing w:after="0"/>
              <w:rPr>
                <w:sz w:val="3"/>
                <w:szCs w:val="3"/>
                <w:color w:val="auto"/>
              </w:rPr>
            </w:pPr>
          </w:p>
        </w:tc>
        <w:tc>
          <w:tcPr>
            <w:tcW w:w="320" w:type="dxa"/>
            <w:vAlign w:val="bottom"/>
            <w:tcBorders>
              <w:top w:val="single" w:sz="8" w:color="0000FF"/>
              <w:bottom w:val="single" w:sz="8" w:color="0000FF"/>
            </w:tcBorders>
          </w:tcPr>
          <w:p>
            <w:pPr>
              <w:spacing w:after="0"/>
              <w:rPr>
                <w:sz w:val="3"/>
                <w:szCs w:val="3"/>
                <w:color w:val="auto"/>
              </w:rPr>
            </w:pPr>
          </w:p>
        </w:tc>
        <w:tc>
          <w:tcPr>
            <w:tcW w:w="120" w:type="dxa"/>
            <w:vAlign w:val="bottom"/>
            <w:tcBorders>
              <w:top w:val="single" w:sz="8" w:color="0000FF"/>
              <w:bottom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Borders>
              <w:top w:val="single" w:sz="8" w:color="0000FF"/>
              <w:bottom w:val="single" w:sz="8" w:color="0000FF"/>
            </w:tcBorders>
            <w:gridSpan w:val="2"/>
          </w:tcPr>
          <w:p>
            <w:pPr>
              <w:spacing w:after="0"/>
              <w:rPr>
                <w:sz w:val="3"/>
                <w:szCs w:val="3"/>
                <w:color w:val="auto"/>
              </w:rPr>
            </w:pPr>
          </w:p>
        </w:tc>
        <w:tc>
          <w:tcPr>
            <w:tcW w:w="2540" w:type="dxa"/>
            <w:vAlign w:val="bottom"/>
            <w:gridSpan w:val="2"/>
            <w:vMerge w:val="restart"/>
          </w:tcPr>
          <w:p>
            <w:pPr>
              <w:spacing w:after="0"/>
              <w:rPr>
                <w:sz w:val="3"/>
                <w:szCs w:val="3"/>
                <w:color w:val="auto"/>
              </w:rPr>
            </w:pPr>
          </w:p>
        </w:tc>
        <w:tc>
          <w:tcPr>
            <w:tcW w:w="53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480" w:type="dxa"/>
            <w:vAlign w:val="bottom"/>
            <w:gridSpan w:val="4"/>
          </w:tcPr>
          <w:p>
            <w:pPr>
              <w:spacing w:after="0" w:line="163" w:lineRule="exact"/>
              <w:rPr>
                <w:sz w:val="20"/>
                <w:szCs w:val="20"/>
                <w:color w:val="auto"/>
              </w:rPr>
            </w:pPr>
            <w:r>
              <w:rPr>
                <w:rFonts w:ascii="Arial" w:cs="Arial" w:eastAsia="Arial" w:hAnsi="Arial"/>
                <w:sz w:val="18"/>
                <w:szCs w:val="18"/>
                <w:color w:val="auto"/>
              </w:rPr>
              <w:t>SCHEDULE 2.01</w:t>
            </w:r>
          </w:p>
        </w:tc>
        <w:tc>
          <w:tcPr>
            <w:tcW w:w="480" w:type="dxa"/>
            <w:vAlign w:val="bottom"/>
          </w:tcPr>
          <w:p>
            <w:pPr>
              <w:spacing w:after="0"/>
              <w:rPr>
                <w:sz w:val="14"/>
                <w:szCs w:val="14"/>
                <w:color w:val="auto"/>
              </w:rPr>
            </w:pPr>
          </w:p>
        </w:tc>
        <w:tc>
          <w:tcPr>
            <w:tcW w:w="1360" w:type="dxa"/>
            <w:vAlign w:val="bottom"/>
            <w:gridSpan w:val="2"/>
          </w:tcPr>
          <w:p>
            <w:pPr>
              <w:spacing w:after="0" w:line="163" w:lineRule="exact"/>
              <w:rPr>
                <w:sz w:val="20"/>
                <w:szCs w:val="20"/>
                <w:color w:val="auto"/>
              </w:rPr>
            </w:pPr>
            <w:r>
              <w:rPr>
                <w:rFonts w:ascii="Arial" w:cs="Arial" w:eastAsia="Arial" w:hAnsi="Arial"/>
                <w:sz w:val="18"/>
                <w:szCs w:val="18"/>
                <w:color w:val="auto"/>
              </w:rPr>
              <w:t>Commitments</w:t>
            </w:r>
          </w:p>
        </w:tc>
        <w:tc>
          <w:tcPr>
            <w:tcW w:w="2540" w:type="dxa"/>
            <w:vAlign w:val="bottom"/>
            <w:gridSpan w:val="2"/>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3.01</w:t>
            </w:r>
          </w:p>
        </w:tc>
        <w:tc>
          <w:tcPr>
            <w:tcW w:w="9280" w:type="dxa"/>
            <w:vAlign w:val="bottom"/>
            <w:gridSpan w:val="5"/>
          </w:tcPr>
          <w:p>
            <w:pPr>
              <w:spacing w:after="0"/>
              <w:rPr>
                <w:sz w:val="20"/>
                <w:szCs w:val="20"/>
                <w:color w:val="auto"/>
              </w:rPr>
            </w:pPr>
            <w:r>
              <w:rPr>
                <w:rFonts w:ascii="Arial" w:cs="Arial" w:eastAsia="Arial" w:hAnsi="Arial"/>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7.05</w:t>
            </w:r>
          </w:p>
        </w:tc>
        <w:tc>
          <w:tcPr>
            <w:tcW w:w="9280" w:type="dxa"/>
            <w:vAlign w:val="bottom"/>
            <w:gridSpan w:val="5"/>
          </w:tcPr>
          <w:p>
            <w:pPr>
              <w:spacing w:after="0"/>
              <w:rPr>
                <w:sz w:val="20"/>
                <w:szCs w:val="20"/>
                <w:color w:val="auto"/>
              </w:rPr>
            </w:pPr>
            <w:r>
              <w:rPr>
                <w:rFonts w:ascii="Arial" w:cs="Arial" w:eastAsia="Arial" w:hAnsi="Arial"/>
                <w:sz w:val="18"/>
                <w:szCs w:val="18"/>
                <w:color w:val="auto"/>
              </w:rPr>
              <w:t>Disclosed Litigation</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7.12</w:t>
            </w:r>
          </w:p>
        </w:tc>
        <w:tc>
          <w:tcPr>
            <w:tcW w:w="9280" w:type="dxa"/>
            <w:vAlign w:val="bottom"/>
            <w:gridSpan w:val="5"/>
          </w:tcPr>
          <w:p>
            <w:pPr>
              <w:spacing w:after="0"/>
              <w:rPr>
                <w:sz w:val="20"/>
                <w:szCs w:val="20"/>
                <w:color w:val="auto"/>
              </w:rPr>
            </w:pPr>
            <w:r>
              <w:rPr>
                <w:rFonts w:ascii="Arial" w:cs="Arial" w:eastAsia="Arial" w:hAnsi="Arial"/>
                <w:sz w:val="18"/>
                <w:szCs w:val="18"/>
                <w:color w:val="auto"/>
              </w:rPr>
              <w:t>Sanctions</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7.20(a)</w:t>
            </w:r>
          </w:p>
        </w:tc>
        <w:tc>
          <w:tcPr>
            <w:tcW w:w="9280" w:type="dxa"/>
            <w:vAlign w:val="bottom"/>
            <w:gridSpan w:val="5"/>
          </w:tcPr>
          <w:p>
            <w:pPr>
              <w:spacing w:after="0"/>
              <w:rPr>
                <w:sz w:val="20"/>
                <w:szCs w:val="20"/>
                <w:color w:val="auto"/>
              </w:rPr>
            </w:pPr>
            <w:r>
              <w:rPr>
                <w:rFonts w:ascii="Arial" w:cs="Arial" w:eastAsia="Arial" w:hAnsi="Arial"/>
                <w:sz w:val="18"/>
                <w:szCs w:val="18"/>
                <w:color w:val="auto"/>
              </w:rPr>
              <w:t>Capitalization of Parent</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7.20(b)</w:t>
            </w:r>
          </w:p>
        </w:tc>
        <w:tc>
          <w:tcPr>
            <w:tcW w:w="9280" w:type="dxa"/>
            <w:vAlign w:val="bottom"/>
            <w:gridSpan w:val="5"/>
          </w:tcPr>
          <w:p>
            <w:pPr>
              <w:spacing w:after="0"/>
              <w:rPr>
                <w:sz w:val="20"/>
                <w:szCs w:val="20"/>
                <w:color w:val="auto"/>
              </w:rPr>
            </w:pPr>
            <w:r>
              <w:rPr>
                <w:rFonts w:ascii="Arial" w:cs="Arial" w:eastAsia="Arial" w:hAnsi="Arial"/>
                <w:sz w:val="18"/>
                <w:szCs w:val="18"/>
                <w:color w:val="auto"/>
              </w:rPr>
              <w:t>Capitalization of Subsidiaries</w:t>
            </w:r>
          </w:p>
        </w:tc>
        <w:tc>
          <w:tcPr>
            <w:tcW w:w="0" w:type="dxa"/>
            <w:vAlign w:val="bottom"/>
          </w:tcPr>
          <w:p>
            <w:pPr>
              <w:spacing w:after="0"/>
              <w:rPr>
                <w:sz w:val="1"/>
                <w:szCs w:val="1"/>
                <w:color w:val="auto"/>
              </w:rPr>
            </w:pPr>
          </w:p>
        </w:tc>
      </w:tr>
      <w:tr>
        <w:trPr>
          <w:trHeight w:val="212"/>
        </w:trPr>
        <w:tc>
          <w:tcPr>
            <w:tcW w:w="1960" w:type="dxa"/>
            <w:vAlign w:val="bottom"/>
            <w:gridSpan w:val="5"/>
          </w:tcPr>
          <w:p>
            <w:pPr>
              <w:spacing w:after="0"/>
              <w:rPr>
                <w:sz w:val="20"/>
                <w:szCs w:val="20"/>
                <w:color w:val="auto"/>
              </w:rPr>
            </w:pPr>
            <w:r>
              <w:rPr>
                <w:rFonts w:ascii="Arial" w:cs="Arial" w:eastAsia="Arial" w:hAnsi="Arial"/>
                <w:sz w:val="18"/>
                <w:szCs w:val="18"/>
                <w:color w:val="auto"/>
              </w:rPr>
              <w:t>SCHEDULE 8.11</w:t>
            </w:r>
          </w:p>
        </w:tc>
        <w:tc>
          <w:tcPr>
            <w:tcW w:w="9280" w:type="dxa"/>
            <w:vAlign w:val="bottom"/>
            <w:gridSpan w:val="5"/>
          </w:tcPr>
          <w:p>
            <w:pPr>
              <w:spacing w:after="0"/>
              <w:rPr>
                <w:sz w:val="20"/>
                <w:szCs w:val="20"/>
                <w:color w:val="auto"/>
              </w:rPr>
            </w:pPr>
            <w:r>
              <w:rPr>
                <w:rFonts w:ascii="Arial" w:cs="Arial" w:eastAsia="Arial" w:hAnsi="Arial"/>
                <w:sz w:val="18"/>
                <w:szCs w:val="18"/>
                <w:color w:val="auto"/>
              </w:rPr>
              <w:t>Post-Closing Grant and Perfection Requirements</w:t>
            </w:r>
          </w:p>
        </w:tc>
        <w:tc>
          <w:tcPr>
            <w:tcW w:w="0" w:type="dxa"/>
            <w:vAlign w:val="bottom"/>
          </w:tcPr>
          <w:p>
            <w:pPr>
              <w:spacing w:after="0"/>
              <w:rPr>
                <w:sz w:val="1"/>
                <w:szCs w:val="1"/>
                <w:color w:val="auto"/>
              </w:rPr>
            </w:pPr>
          </w:p>
        </w:tc>
      </w:tr>
      <w:tr>
        <w:trPr>
          <w:trHeight w:val="194"/>
        </w:trPr>
        <w:tc>
          <w:tcPr>
            <w:tcW w:w="1960" w:type="dxa"/>
            <w:vAlign w:val="bottom"/>
            <w:gridSpan w:val="5"/>
          </w:tcPr>
          <w:p>
            <w:pPr>
              <w:spacing w:after="0" w:line="194" w:lineRule="exact"/>
              <w:rPr>
                <w:sz w:val="20"/>
                <w:szCs w:val="20"/>
                <w:color w:val="auto"/>
              </w:rPr>
            </w:pPr>
            <w:r>
              <w:rPr>
                <w:rFonts w:ascii="Arial" w:cs="Arial" w:eastAsia="Arial" w:hAnsi="Arial"/>
                <w:sz w:val="18"/>
                <w:szCs w:val="18"/>
                <w:b w:val="1"/>
                <w:bCs w:val="1"/>
                <w:color w:val="0000FF"/>
              </w:rPr>
              <w:t>SCHEDULE 8.15</w:t>
            </w:r>
          </w:p>
        </w:tc>
        <w:tc>
          <w:tcPr>
            <w:tcW w:w="9280" w:type="dxa"/>
            <w:vAlign w:val="bottom"/>
            <w:gridSpan w:val="5"/>
          </w:tcPr>
          <w:p>
            <w:pPr>
              <w:spacing w:after="0" w:line="194" w:lineRule="exact"/>
              <w:rPr>
                <w:sz w:val="20"/>
                <w:szCs w:val="20"/>
                <w:color w:val="auto"/>
              </w:rPr>
            </w:pPr>
            <w:r>
              <w:rPr>
                <w:rFonts w:ascii="Arial" w:cs="Arial" w:eastAsia="Arial" w:hAnsi="Arial"/>
                <w:sz w:val="18"/>
                <w:szCs w:val="18"/>
                <w:b w:val="1"/>
                <w:bCs w:val="1"/>
                <w:color w:val="0000FF"/>
              </w:rPr>
              <w:t>Post-Fourth Amendment Effective Date Covenants</w:t>
            </w:r>
          </w:p>
        </w:tc>
        <w:tc>
          <w:tcPr>
            <w:tcW w:w="0" w:type="dxa"/>
            <w:vAlign w:val="bottom"/>
          </w:tcPr>
          <w:p>
            <w:pPr>
              <w:spacing w:after="0"/>
              <w:rPr>
                <w:sz w:val="1"/>
                <w:szCs w:val="1"/>
                <w:color w:val="auto"/>
              </w:rPr>
            </w:pPr>
          </w:p>
        </w:tc>
      </w:tr>
      <w:tr>
        <w:trPr>
          <w:trHeight w:val="20"/>
        </w:trPr>
        <w:tc>
          <w:tcPr>
            <w:tcW w:w="1040" w:type="dxa"/>
            <w:vAlign w:val="bottom"/>
            <w:tcBorders>
              <w:top w:val="single" w:sz="8" w:color="0000FF"/>
              <w:bottom w:val="single" w:sz="8" w:color="0000FF"/>
            </w:tcBorders>
            <w:gridSpan w:val="2"/>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3900" w:type="dxa"/>
            <w:vAlign w:val="bottom"/>
            <w:tcBorders>
              <w:top w:val="single" w:sz="8" w:color="0000FF"/>
              <w:bottom w:val="single" w:sz="8" w:color="0000FF"/>
            </w:tcBorders>
            <w:gridSpan w:val="4"/>
          </w:tcPr>
          <w:p>
            <w:pPr>
              <w:spacing w:after="0" w:line="20" w:lineRule="exact"/>
              <w:rPr>
                <w:sz w:val="1"/>
                <w:szCs w:val="1"/>
                <w:color w:val="auto"/>
              </w:rPr>
            </w:pPr>
          </w:p>
        </w:tc>
        <w:tc>
          <w:tcPr>
            <w:tcW w:w="5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60" w:type="dxa"/>
            <w:vAlign w:val="bottom"/>
            <w:gridSpan w:val="3"/>
          </w:tcPr>
          <w:p>
            <w:pPr>
              <w:spacing w:after="0" w:line="182" w:lineRule="exact"/>
              <w:rPr>
                <w:sz w:val="20"/>
                <w:szCs w:val="20"/>
                <w:color w:val="auto"/>
              </w:rPr>
            </w:pPr>
            <w:r>
              <w:rPr>
                <w:rFonts w:ascii="Arial" w:cs="Arial" w:eastAsia="Arial" w:hAnsi="Arial"/>
                <w:sz w:val="18"/>
                <w:szCs w:val="18"/>
                <w:color w:val="auto"/>
                <w:w w:val="97"/>
              </w:rPr>
              <w:t>SCHEDULE 9.01</w:t>
            </w:r>
          </w:p>
        </w:tc>
        <w:tc>
          <w:tcPr>
            <w:tcW w:w="600" w:type="dxa"/>
            <w:vAlign w:val="bottom"/>
            <w:gridSpan w:val="2"/>
            <w:vMerge w:val="continue"/>
          </w:tcPr>
          <w:p>
            <w:pPr>
              <w:spacing w:after="0"/>
              <w:rPr>
                <w:sz w:val="15"/>
                <w:szCs w:val="15"/>
                <w:color w:val="auto"/>
              </w:rPr>
            </w:pPr>
          </w:p>
        </w:tc>
        <w:tc>
          <w:tcPr>
            <w:tcW w:w="3900" w:type="dxa"/>
            <w:vAlign w:val="bottom"/>
            <w:gridSpan w:val="4"/>
          </w:tcPr>
          <w:p>
            <w:pPr>
              <w:spacing w:after="0" w:line="182" w:lineRule="exact"/>
              <w:rPr>
                <w:sz w:val="20"/>
                <w:szCs w:val="20"/>
                <w:color w:val="auto"/>
              </w:rPr>
            </w:pPr>
            <w:r>
              <w:rPr>
                <w:rFonts w:ascii="Arial" w:cs="Arial" w:eastAsia="Arial" w:hAnsi="Arial"/>
                <w:sz w:val="18"/>
                <w:szCs w:val="18"/>
                <w:color w:val="auto"/>
              </w:rPr>
              <w:t>Existing Indebtedness</w:t>
            </w:r>
          </w:p>
        </w:tc>
        <w:tc>
          <w:tcPr>
            <w:tcW w:w="5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9.04</w:t>
            </w:r>
          </w:p>
        </w:tc>
        <w:tc>
          <w:tcPr>
            <w:tcW w:w="9280" w:type="dxa"/>
            <w:vAlign w:val="bottom"/>
            <w:gridSpan w:val="5"/>
          </w:tcPr>
          <w:p>
            <w:pPr>
              <w:spacing w:after="0"/>
              <w:rPr>
                <w:sz w:val="20"/>
                <w:szCs w:val="20"/>
                <w:color w:val="auto"/>
              </w:rPr>
            </w:pPr>
            <w:r>
              <w:rPr>
                <w:rFonts w:ascii="Arial" w:cs="Arial" w:eastAsia="Arial" w:hAnsi="Arial"/>
                <w:sz w:val="18"/>
                <w:szCs w:val="18"/>
                <w:color w:val="auto"/>
              </w:rPr>
              <w:t>Existing Liens</w:t>
            </w:r>
          </w:p>
        </w:tc>
        <w:tc>
          <w:tcPr>
            <w:tcW w:w="0" w:type="dxa"/>
            <w:vAlign w:val="bottom"/>
          </w:tcPr>
          <w:p>
            <w:pPr>
              <w:spacing w:after="0"/>
              <w:rPr>
                <w:sz w:val="1"/>
                <w:szCs w:val="1"/>
                <w:color w:val="auto"/>
              </w:rPr>
            </w:pPr>
          </w:p>
        </w:tc>
      </w:tr>
      <w:tr>
        <w:trPr>
          <w:trHeight w:val="216"/>
        </w:trPr>
        <w:tc>
          <w:tcPr>
            <w:tcW w:w="1960" w:type="dxa"/>
            <w:vAlign w:val="bottom"/>
            <w:gridSpan w:val="5"/>
          </w:tcPr>
          <w:p>
            <w:pPr>
              <w:spacing w:after="0"/>
              <w:rPr>
                <w:sz w:val="20"/>
                <w:szCs w:val="20"/>
                <w:color w:val="auto"/>
              </w:rPr>
            </w:pPr>
            <w:r>
              <w:rPr>
                <w:rFonts w:ascii="Arial" w:cs="Arial" w:eastAsia="Arial" w:hAnsi="Arial"/>
                <w:sz w:val="18"/>
                <w:szCs w:val="18"/>
                <w:color w:val="auto"/>
              </w:rPr>
              <w:t>SCHEDULE 9.06</w:t>
            </w:r>
          </w:p>
        </w:tc>
        <w:tc>
          <w:tcPr>
            <w:tcW w:w="9280" w:type="dxa"/>
            <w:vAlign w:val="bottom"/>
            <w:gridSpan w:val="5"/>
          </w:tcPr>
          <w:p>
            <w:pPr>
              <w:spacing w:after="0"/>
              <w:rPr>
                <w:sz w:val="20"/>
                <w:szCs w:val="20"/>
                <w:color w:val="auto"/>
              </w:rPr>
            </w:pPr>
            <w:r>
              <w:rPr>
                <w:rFonts w:ascii="Arial" w:cs="Arial" w:eastAsia="Arial" w:hAnsi="Arial"/>
                <w:sz w:val="18"/>
                <w:szCs w:val="18"/>
                <w:color w:val="auto"/>
              </w:rPr>
              <w:t>Existing Investments</w:t>
            </w:r>
          </w:p>
        </w:tc>
        <w:tc>
          <w:tcPr>
            <w:tcW w:w="0" w:type="dxa"/>
            <w:vAlign w:val="bottom"/>
          </w:tcPr>
          <w:p>
            <w:pPr>
              <w:spacing w:after="0"/>
              <w:rPr>
                <w:sz w:val="1"/>
                <w:szCs w:val="1"/>
                <w:color w:val="auto"/>
              </w:rPr>
            </w:pPr>
          </w:p>
        </w:tc>
      </w:tr>
      <w:tr>
        <w:trPr>
          <w:trHeight w:val="230"/>
        </w:trPr>
        <w:tc>
          <w:tcPr>
            <w:tcW w:w="1960" w:type="dxa"/>
            <w:vAlign w:val="bottom"/>
            <w:gridSpan w:val="5"/>
          </w:tcPr>
          <w:p>
            <w:pPr>
              <w:spacing w:after="0"/>
              <w:rPr>
                <w:sz w:val="20"/>
                <w:szCs w:val="20"/>
                <w:color w:val="auto"/>
              </w:rPr>
            </w:pPr>
            <w:r>
              <w:rPr>
                <w:rFonts w:ascii="Arial" w:cs="Arial" w:eastAsia="Arial" w:hAnsi="Arial"/>
                <w:sz w:val="18"/>
                <w:szCs w:val="18"/>
                <w:color w:val="auto"/>
              </w:rPr>
              <w:t>SCHEDULE 9.11</w:t>
            </w:r>
          </w:p>
        </w:tc>
        <w:tc>
          <w:tcPr>
            <w:tcW w:w="9280" w:type="dxa"/>
            <w:vAlign w:val="bottom"/>
            <w:gridSpan w:val="5"/>
          </w:tcPr>
          <w:p>
            <w:pPr>
              <w:spacing w:after="0"/>
              <w:rPr>
                <w:sz w:val="20"/>
                <w:szCs w:val="20"/>
                <w:color w:val="auto"/>
              </w:rPr>
            </w:pPr>
            <w:r>
              <w:rPr>
                <w:rFonts w:ascii="Arial" w:cs="Arial" w:eastAsia="Arial" w:hAnsi="Arial"/>
                <w:sz w:val="18"/>
                <w:szCs w:val="18"/>
                <w:color w:val="auto"/>
              </w:rPr>
              <w:t>Existing Restrictive Agreements</w:t>
            </w:r>
          </w:p>
        </w:tc>
        <w:tc>
          <w:tcPr>
            <w:tcW w:w="0" w:type="dxa"/>
            <w:vAlign w:val="bottom"/>
          </w:tcPr>
          <w:p>
            <w:pPr>
              <w:spacing w:after="0"/>
              <w:rPr>
                <w:sz w:val="1"/>
                <w:szCs w:val="1"/>
                <w:color w:val="auto"/>
              </w:rPr>
            </w:pPr>
          </w:p>
        </w:tc>
      </w:tr>
      <w:tr>
        <w:trPr>
          <w:trHeight w:val="648"/>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AMENDED AND RESTATED CREDIT AGREEMENT, dated as of October 17, 2022, is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CANADA LTD., an Alberta corporation (“</w:t>
      </w:r>
      <w:r>
        <w:rPr>
          <w:rFonts w:ascii="Arial" w:cs="Arial" w:eastAsia="Arial" w:hAnsi="Arial"/>
          <w:sz w:val="17"/>
          <w:szCs w:val="17"/>
          <w:u w:val="single" w:color="auto"/>
          <w:color w:val="auto"/>
        </w:rPr>
        <w:t>WIL-Canada</w:t>
      </w:r>
      <w:r>
        <w:rPr>
          <w:rFonts w:ascii="Arial" w:cs="Arial" w:eastAsia="Arial" w:hAnsi="Arial"/>
          <w:sz w:val="17"/>
          <w:szCs w:val="17"/>
          <w:color w:val="auto"/>
        </w:rPr>
        <w:t>”), WEATHERFORD INTERNATIONAL, LLC, a Delaware limited liability company</w:t>
      </w:r>
      <w:r>
        <w:rPr>
          <w:rFonts w:ascii="Arial" w:cs="Arial" w:eastAsia="Arial" w:hAnsi="Arial"/>
          <w:sz w:val="17"/>
          <w:szCs w:val="17"/>
          <w:b w:val="1"/>
          <w:bCs w:val="1"/>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WIL-Delaware</w:t>
      </w:r>
      <w:r>
        <w:rPr>
          <w:rFonts w:ascii="Arial" w:cs="Arial" w:eastAsia="Arial" w:hAnsi="Arial"/>
          <w:sz w:val="17"/>
          <w:szCs w:val="17"/>
          <w:color w:val="auto"/>
        </w:rPr>
        <w:t>”</w:t>
      </w:r>
      <w:r>
        <w:rPr>
          <w:rFonts w:ascii="Arial" w:cs="Arial" w:eastAsia="Arial" w:hAnsi="Arial"/>
          <w:sz w:val="17"/>
          <w:szCs w:val="17"/>
          <w:b w:val="1"/>
          <w:bCs w:val="1"/>
          <w:u w:val="single" w:color="auto"/>
          <w:color w:val="0000FF"/>
        </w:rPr>
        <w:t>), WOFS INTERNATIONAL FINANCE GMBH, a Swiss limited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liability company, (“WIL-Switzerland”</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together with WIL-Bermuda</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w:t>
      </w:r>
      <w:r>
        <w:rPr>
          <w:rFonts w:ascii="Arial" w:cs="Arial" w:eastAsia="Arial" w:hAnsi="Arial"/>
          <w:sz w:val="17"/>
          <w:szCs w:val="17"/>
          <w:b w:val="1"/>
          <w:bCs w:val="1"/>
          <w:color w:val="0000FF"/>
        </w:rPr>
        <w:t xml:space="preserve"> </w:t>
      </w:r>
      <w:r>
        <w:rPr>
          <w:rFonts w:ascii="Arial" w:cs="Arial" w:eastAsia="Arial" w:hAnsi="Arial"/>
          <w:sz w:val="17"/>
          <w:szCs w:val="17"/>
          <w:color w:val="000000"/>
        </w:rPr>
        <w:t>WIL-Canada</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WIL-Delaware</w:t>
      </w:r>
      <w:r>
        <w:rPr>
          <w:rFonts w:ascii="Arial" w:cs="Arial" w:eastAsia="Arial" w:hAnsi="Arial"/>
          <w:sz w:val="17"/>
          <w:szCs w:val="17"/>
          <w:color w:val="000000"/>
        </w:rPr>
        <w:t>, the “</w:t>
      </w:r>
      <w:r>
        <w:rPr>
          <w:rFonts w:ascii="Arial" w:cs="Arial" w:eastAsia="Arial" w:hAnsi="Arial"/>
          <w:sz w:val="17"/>
          <w:szCs w:val="17"/>
          <w:u w:val="single" w:color="auto"/>
          <w:color w:val="000000"/>
        </w:rPr>
        <w:t>Borrowers</w:t>
      </w:r>
      <w:r>
        <w:rPr>
          <w:rFonts w:ascii="Arial" w:cs="Arial" w:eastAsia="Arial" w:hAnsi="Arial"/>
          <w:sz w:val="17"/>
          <w:szCs w:val="17"/>
          <w:color w:val="000000"/>
        </w:rPr>
        <w:t>”), WEATHERFORD</w:t>
      </w:r>
      <w:r>
        <w:rPr>
          <w:rFonts w:ascii="Arial" w:cs="Arial" w:eastAsia="Arial" w:hAnsi="Arial"/>
          <w:sz w:val="17"/>
          <w:szCs w:val="17"/>
          <w:b w:val="1"/>
          <w:bCs w:val="1"/>
          <w:color w:val="0000FF"/>
        </w:rPr>
        <w:t xml:space="preserve"> </w:t>
      </w:r>
      <w:r>
        <w:rPr>
          <w:rFonts w:ascii="Arial" w:cs="Arial" w:eastAsia="Arial" w:hAnsi="Arial"/>
          <w:sz w:val="17"/>
          <w:szCs w:val="17"/>
          <w:color w:val="000000"/>
        </w:rPr>
        <w:t>INTERNATIONAL PLC, as Parent, the Lenders from time to time party hereto, WELLS FARGO BANK, NATIONAL ASSOCIATION, as administrative agent for the Lenders (“</w:t>
      </w:r>
      <w:r>
        <w:rPr>
          <w:rFonts w:ascii="Arial" w:cs="Arial" w:eastAsia="Arial" w:hAnsi="Arial"/>
          <w:sz w:val="17"/>
          <w:szCs w:val="17"/>
          <w:u w:val="single" w:color="auto"/>
          <w:color w:val="000000"/>
        </w:rPr>
        <w:t>Wells Fargo</w:t>
      </w:r>
      <w:r>
        <w:rPr>
          <w:rFonts w:ascii="Arial" w:cs="Arial" w:eastAsia="Arial" w:hAnsi="Arial"/>
          <w:sz w:val="17"/>
          <w:szCs w:val="17"/>
          <w:color w:val="000000"/>
        </w:rPr>
        <w:t>”), and the Issuing Banks from time to time party hereto.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Borrowers, the Administrative Agent and certain of the Lenders are party to that certain LC Credit Agreement, dated as of December 13, 2019 (as amended, restated, amended and restated, supplemented or otherwise modified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parties hereto desire to (a) amend and restate the Existing Credit Agreement in its entirety, (b) extend the applicable maturity date for the Lenders under the Existing Credit Agreement, (c) re-evidence the “Obligations” under, and as defined in, the Existing Credit Agreement, which shall be repayable in accordance with the terms of this Agreement, and (d) set forth the terms and conditions under which the Lenders and/or Issuing Banks will, from time to time, make loans, issue letters of credit and extend other financial accommodations, as applicable, to or for the benefit of the Borrowers and, as provided herein, the Restricted Subsidiaries.</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consideration of the mutual covenants and agreements contained in this Agreement, and for other good and valuable consideration, the receipt and sufficiency of which are hereby acknowledged, the parties hereto hereby agree to amend and restate the Existing Credit Agreement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ACCOUNTING TERMS; INTERPRETATION</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Added Guarantor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8.08(i)</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3.02</w:t>
      </w:r>
      <w:r>
        <w:rPr>
          <w:rFonts w:ascii="Arial" w:cs="Arial" w:eastAsia="Arial" w:hAnsi="Arial"/>
          <w:sz w:val="18"/>
          <w:szCs w:val="18"/>
          <w:b w:val="1"/>
          <w:bCs w:val="1"/>
          <w:u w:val="single" w:color="auto"/>
          <w:color w:val="0000FF"/>
        </w:rPr>
        <w:t>4.13</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 Supplement</w:t>
      </w:r>
      <w:r>
        <w:rPr>
          <w:rFonts w:ascii="Arial" w:cs="Arial" w:eastAsia="Arial" w:hAnsi="Arial"/>
          <w:sz w:val="18"/>
          <w:szCs w:val="18"/>
          <w:color w:val="auto"/>
        </w:rPr>
        <w:t xml:space="preserve">” means an additional lender supplement entered into by the Borrowers and any Additional Lender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any other form reasonably acceptable to the Administrative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Additional Retranching</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4.12(b)</w:t>
      </w:r>
      <w:r>
        <w:rPr>
          <w:rFonts w:ascii="Arial" w:cs="Arial" w:eastAsia="Arial" w:hAnsi="Arial"/>
          <w:sz w:val="18"/>
          <w:szCs w:val="18"/>
          <w:b w:val="1"/>
          <w:bCs w:val="1"/>
          <w:color w:val="FF0000"/>
          <w:strike w:val="1"/>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Aggregate Commitments</w:t>
      </w:r>
      <w:r>
        <w:rPr>
          <w:rFonts w:ascii="Arial" w:cs="Arial" w:eastAsia="Arial" w:hAnsi="Arial"/>
          <w:sz w:val="18"/>
          <w:szCs w:val="18"/>
          <w:color w:val="auto"/>
        </w:rPr>
        <w:t>” means, at any time, the Aggregate Commitments minus the aggregate principal amount of outstanding Loans at such time.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Eurocurrency Rate</w:t>
      </w:r>
      <w:r>
        <w:rPr>
          <w:rFonts w:ascii="Arial" w:cs="Arial" w:eastAsia="Arial" w:hAnsi="Arial"/>
          <w:sz w:val="17"/>
          <w:szCs w:val="17"/>
          <w:color w:val="auto"/>
        </w:rPr>
        <w:t>” means, as to any Loan denominated in any applicable Currency not bearing interest based on an RFR or the Base Rate (which, as of the date hereof, shall mean each of the Currencies identified in clause (a) of the definition of “Alternative Currency”, other than Sterling and Swiss Francs) for any Interest Period, a rate per annum determined by the Administrative Agent pursuant to the following formula:</w:t>
      </w:r>
    </w:p>
    <w:p>
      <w:pPr>
        <w:spacing w:after="0" w:line="165"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Adjusted Eurocurrency Rate =</w:t>
            </w:r>
          </w:p>
        </w:tc>
        <w:tc>
          <w:tcPr>
            <w:tcW w:w="6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Eurocurrency Rate for such Currency for such Interest Period</w:t>
            </w:r>
          </w:p>
        </w:tc>
      </w:tr>
      <w:tr>
        <w:trPr>
          <w:trHeight w:val="224"/>
        </w:trPr>
        <w:tc>
          <w:tcPr>
            <w:tcW w:w="3400" w:type="dxa"/>
            <w:vAlign w:val="bottom"/>
          </w:tcPr>
          <w:p>
            <w:pPr>
              <w:spacing w:after="0"/>
              <w:rPr>
                <w:sz w:val="19"/>
                <w:szCs w:val="19"/>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88"/>
              </w:rPr>
              <w:t>1.00-Eurocurrency Reserve Percentage</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w:t>
      </w:r>
      <w:r>
        <w:rPr>
          <w:rFonts w:ascii="Arial" w:cs="Arial" w:eastAsia="Arial" w:hAnsi="Arial"/>
          <w:sz w:val="18"/>
          <w:szCs w:val="18"/>
          <w:color w:val="auto"/>
        </w:rPr>
        <w:t xml:space="preserve">” means, for purposes of any calculation, the rate per annum equal to (a) Term SOFR for such calculation plus (b) the Term SOFR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Adjusted Term SOFR as so determined shall ever be less than the Floor, then Adjusted Term SOFR shall be deemed to be the Floor.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for the Lenders and any successor in such capacity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Guaranty</w:t>
      </w:r>
      <w:r>
        <w:rPr>
          <w:rFonts w:ascii="Arial" w:cs="Arial" w:eastAsia="Arial" w:hAnsi="Arial"/>
          <w:sz w:val="18"/>
          <w:szCs w:val="18"/>
          <w:color w:val="auto"/>
        </w:rPr>
        <w:t>” means that certain Amended and Restated Affiliate Guaranty, dated as of the Effective Date, by and among the Guarantors party thereto in favor of the Administrative Agent, for the benefit of itself and the other holders of the Secured Obligations.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and Liens Assignment Agreement</w:t>
      </w:r>
      <w:r>
        <w:rPr>
          <w:rFonts w:ascii="Arial" w:cs="Arial" w:eastAsia="Arial" w:hAnsi="Arial"/>
          <w:sz w:val="18"/>
          <w:szCs w:val="18"/>
          <w:color w:val="auto"/>
        </w:rPr>
        <w:t>” means that certain Successor Agent and Assignment Agreement, dated as of the date hereof, by and among, Wells Fargo, in the capacities described therein, DBTCA, in the capacities described therein, the Borrowers, the Guarantors party thereto and the Lenders party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xml:space="preserve">” means, at any time, the sum of the Commitments of all Lenders at such time. The amount of the Aggregate Commitments as of the </w:t>
      </w:r>
      <w:r>
        <w:rPr>
          <w:rFonts w:ascii="Arial" w:cs="Arial" w:eastAsia="Arial" w:hAnsi="Arial"/>
          <w:sz w:val="18"/>
          <w:szCs w:val="18"/>
          <w:b w:val="1"/>
          <w:bCs w:val="1"/>
          <w:color w:val="FF0000"/>
          <w:strike w:val="1"/>
        </w:rPr>
        <w:t>First</w:t>
      </w:r>
      <w:r>
        <w:rPr>
          <w:rFonts w:ascii="Arial" w:cs="Arial" w:eastAsia="Arial" w:hAnsi="Arial"/>
          <w:sz w:val="18"/>
          <w:szCs w:val="18"/>
          <w:b w:val="1"/>
          <w:bCs w:val="1"/>
          <w:u w:val="single" w:color="auto"/>
          <w:color w:val="0000FF"/>
        </w:rPr>
        <w:t>Fourth</w:t>
      </w:r>
      <w:r>
        <w:rPr>
          <w:rFonts w:ascii="Arial" w:cs="Arial" w:eastAsia="Arial" w:hAnsi="Arial"/>
          <w:sz w:val="18"/>
          <w:szCs w:val="18"/>
          <w:color w:val="auto"/>
        </w:rPr>
        <w:t xml:space="preserve"> Amendment Effective Date is $</w:t>
      </w:r>
      <w:r>
        <w:rPr>
          <w:rFonts w:ascii="Arial" w:cs="Arial" w:eastAsia="Arial" w:hAnsi="Arial"/>
          <w:sz w:val="18"/>
          <w:szCs w:val="18"/>
          <w:b w:val="1"/>
          <w:bCs w:val="1"/>
          <w:color w:val="FF0000"/>
          <w:strike w:val="1"/>
        </w:rPr>
        <w:t>400,000,000</w:t>
      </w:r>
      <w:r>
        <w:rPr>
          <w:rFonts w:ascii="Arial" w:cs="Arial" w:eastAsia="Arial" w:hAnsi="Arial"/>
          <w:sz w:val="18"/>
          <w:szCs w:val="18"/>
          <w:b w:val="1"/>
          <w:bCs w:val="1"/>
          <w:u w:val="single" w:color="auto"/>
          <w:color w:val="0000FF"/>
        </w:rPr>
        <w:t>550,000,000</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Liquidity</w:t>
      </w:r>
      <w:r>
        <w:rPr>
          <w:rFonts w:ascii="Arial" w:cs="Arial" w:eastAsia="Arial" w:hAnsi="Arial"/>
          <w:sz w:val="16"/>
          <w:szCs w:val="16"/>
          <w:color w:val="auto"/>
        </w:rPr>
        <w:t xml:space="preserve">” means, as of any date of determination, all available, undrawn and unutilized Revolving Credit Commitments </w:t>
      </w:r>
      <w:r>
        <w:rPr>
          <w:rFonts w:ascii="Arial" w:cs="Arial" w:eastAsia="Arial" w:hAnsi="Arial"/>
          <w:sz w:val="16"/>
          <w:szCs w:val="16"/>
          <w:b w:val="1"/>
          <w:bCs w:val="1"/>
          <w:u w:val="single" w:color="auto"/>
          <w:color w:val="0000FF"/>
        </w:rPr>
        <w:t>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Revolving Loan-Specific Commitments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at such date</w:t>
      </w:r>
      <w:r>
        <w:rPr>
          <w:rFonts w:ascii="Arial" w:cs="Arial" w:eastAsia="Arial" w:hAnsi="Arial"/>
          <w:sz w:val="16"/>
          <w:szCs w:val="16"/>
          <w:b w:val="1"/>
          <w:bCs w:val="1"/>
          <w:color w:val="0000FF"/>
        </w:rPr>
        <w:t xml:space="preserve"> </w:t>
      </w:r>
      <w:r>
        <w:rPr>
          <w:rFonts w:ascii="Arial" w:cs="Arial" w:eastAsia="Arial" w:hAnsi="Arial"/>
          <w:sz w:val="16"/>
          <w:szCs w:val="16"/>
          <w:i w:val="1"/>
          <w:iCs w:val="1"/>
          <w:color w:val="000000"/>
        </w:rPr>
        <w:t>plus</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aggregate amount of Unrestricted Cash and Cash Equivalents of the Obligors at such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(a) any currency of a Specified State and (b) any Alternative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xml:space="preserve">” means each of (a) Euros, Sterling, Swiss Francs, Yen, Australian Dollars and Canadian Dollars, </w:t>
      </w:r>
      <w:r>
        <w:rPr>
          <w:rFonts w:ascii="Arial" w:cs="Arial" w:eastAsia="Arial" w:hAnsi="Arial"/>
          <w:sz w:val="17"/>
          <w:szCs w:val="17"/>
          <w:b w:val="1"/>
          <w:bCs w:val="1"/>
          <w:color w:val="FF0000"/>
          <w:strike w:val="1"/>
        </w:rPr>
        <w:t>and</w:t>
      </w:r>
      <w:r>
        <w:rPr>
          <w:rFonts w:ascii="Arial" w:cs="Arial" w:eastAsia="Arial" w:hAnsi="Arial"/>
          <w:sz w:val="17"/>
          <w:szCs w:val="17"/>
          <w:color w:val="auto"/>
        </w:rPr>
        <w:t xml:space="preserve"> (b) </w:t>
      </w:r>
      <w:r>
        <w:rPr>
          <w:rFonts w:ascii="Arial" w:cs="Arial" w:eastAsia="Arial" w:hAnsi="Arial"/>
          <w:sz w:val="17"/>
          <w:szCs w:val="17"/>
          <w:b w:val="1"/>
          <w:bCs w:val="1"/>
          <w:color w:val="FF0000"/>
          <w:strike w:val="1"/>
        </w:rPr>
        <w:t>one or more</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alternate currencies as requested by any Borrower and (i) to the extent relating to any Loan, agreed to by each of the Lenders, and (ii) to the extent related to any Letter of Credit, agreed to by the applicable Issuing Bank, in each case of clause (i) and (ii), with prior written consent of the Administrative Agent (such approvals and consents under this clause (b) not to be unreasonably withheld). </w:t>
      </w:r>
      <w:r>
        <w:rPr>
          <w:rFonts w:ascii="Arial" w:cs="Arial" w:eastAsia="Arial" w:hAnsi="Arial"/>
          <w:sz w:val="17"/>
          <w:szCs w:val="17"/>
          <w:b w:val="1"/>
          <w:bCs w:val="1"/>
          <w:u w:val="single" w:color="auto"/>
          <w:color w:val="0000FF"/>
          <w:strike w:val="1"/>
        </w:rPr>
        <w:t>with respect to Letters of Credit only</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(unless otherwise approved as provided in clause (c) below) Saudi Riyals, (c) each other currency (other than Dollars) that is approved in accordance with Section 4.12, in each case to the extent such currencies are (i) readily available and freely transferable and convertible into Dollars, (ii) are dealt with in the London or other applicable offshore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xml:space="preserve">” means, </w:t>
      </w:r>
      <w:r>
        <w:rPr>
          <w:rFonts w:ascii="Arial" w:cs="Arial" w:eastAsia="Arial" w:hAnsi="Arial"/>
          <w:sz w:val="16"/>
          <w:szCs w:val="16"/>
          <w:b w:val="1"/>
          <w:bCs w:val="1"/>
          <w:color w:val="FF0000"/>
          <w:strike w:val="1"/>
        </w:rPr>
        <w:t>at</w:t>
      </w:r>
      <w:r>
        <w:rPr>
          <w:rFonts w:ascii="Arial" w:cs="Arial" w:eastAsia="Arial" w:hAnsi="Arial"/>
          <w:sz w:val="16"/>
          <w:szCs w:val="16"/>
          <w:b w:val="1"/>
          <w:bCs w:val="1"/>
          <w:u w:val="single" w:color="auto"/>
          <w:color w:val="0000FF"/>
        </w:rPr>
        <w:t>subject to Section 4.09, for</w:t>
      </w:r>
      <w:r>
        <w:rPr>
          <w:rFonts w:ascii="Arial" w:cs="Arial" w:eastAsia="Arial" w:hAnsi="Arial"/>
          <w:sz w:val="16"/>
          <w:szCs w:val="16"/>
          <w:color w:val="auto"/>
        </w:rPr>
        <w:t xml:space="preserve"> any </w:t>
      </w:r>
      <w:r>
        <w:rPr>
          <w:rFonts w:ascii="Arial" w:cs="Arial" w:eastAsia="Arial" w:hAnsi="Arial"/>
          <w:sz w:val="16"/>
          <w:szCs w:val="16"/>
          <w:b w:val="1"/>
          <w:bCs w:val="1"/>
          <w:u w:val="single" w:color="auto"/>
          <w:color w:val="0000FF"/>
        </w:rPr>
        <w:t>amount, at the</w:t>
      </w:r>
      <w:r>
        <w:rPr>
          <w:rFonts w:ascii="Arial" w:cs="Arial" w:eastAsia="Arial" w:hAnsi="Arial"/>
          <w:sz w:val="16"/>
          <w:szCs w:val="16"/>
          <w:color w:val="auto"/>
        </w:rPr>
        <w:t xml:space="preserve"> time </w:t>
      </w:r>
      <w:r>
        <w:rPr>
          <w:rFonts w:ascii="Arial" w:cs="Arial" w:eastAsia="Arial" w:hAnsi="Arial"/>
          <w:sz w:val="16"/>
          <w:szCs w:val="16"/>
          <w:b w:val="1"/>
          <w:bCs w:val="1"/>
          <w:u w:val="single" w:color="auto"/>
          <w:color w:val="0000FF"/>
        </w:rPr>
        <w:t>of determination thereof</w:t>
      </w:r>
      <w:r>
        <w:rPr>
          <w:rFonts w:ascii="Arial" w:cs="Arial" w:eastAsia="Arial" w:hAnsi="Arial"/>
          <w:sz w:val="16"/>
          <w:szCs w:val="16"/>
          <w:color w:val="auto"/>
        </w:rPr>
        <w:t xml:space="preserve">, with respect to any amount </w:t>
      </w:r>
      <w:r>
        <w:rPr>
          <w:rFonts w:ascii="Arial" w:cs="Arial" w:eastAsia="Arial" w:hAnsi="Arial"/>
          <w:sz w:val="16"/>
          <w:szCs w:val="16"/>
          <w:b w:val="1"/>
          <w:bCs w:val="1"/>
          <w:color w:val="FF0000"/>
          <w:strike w:val="1"/>
        </w:rPr>
        <w:t>denominated</w:t>
      </w:r>
      <w:r>
        <w:rPr>
          <w:rFonts w:ascii="Arial" w:cs="Arial" w:eastAsia="Arial" w:hAnsi="Arial"/>
          <w:sz w:val="16"/>
          <w:szCs w:val="16"/>
          <w:b w:val="1"/>
          <w:bCs w:val="1"/>
          <w:u w:val="single" w:color="auto"/>
          <w:color w:val="0000FF"/>
        </w:rPr>
        <w:t>expressed</w:t>
      </w:r>
      <w:r>
        <w:rPr>
          <w:rFonts w:ascii="Arial" w:cs="Arial" w:eastAsia="Arial" w:hAnsi="Arial"/>
          <w:sz w:val="16"/>
          <w:szCs w:val="16"/>
          <w:color w:val="auto"/>
        </w:rPr>
        <w:t xml:space="preserve"> in Dollars, the equivalent </w:t>
      </w:r>
      <w:r>
        <w:rPr>
          <w:rFonts w:ascii="Arial" w:cs="Arial" w:eastAsia="Arial" w:hAnsi="Arial"/>
          <w:sz w:val="16"/>
          <w:szCs w:val="16"/>
          <w:b w:val="1"/>
          <w:bCs w:val="1"/>
          <w:u w:val="single" w:color="auto"/>
          <w:color w:val="0000FF"/>
        </w:rPr>
        <w:t>of such</w:t>
      </w:r>
      <w:r>
        <w:rPr>
          <w:rFonts w:ascii="Arial" w:cs="Arial" w:eastAsia="Arial" w:hAnsi="Arial"/>
          <w:sz w:val="16"/>
          <w:szCs w:val="16"/>
          <w:color w:val="auto"/>
        </w:rPr>
        <w:t xml:space="preserve"> amount thereof in the applicable Alternative Currency as determined by the Administrative Agent </w:t>
      </w:r>
      <w:r>
        <w:rPr>
          <w:rFonts w:ascii="Arial" w:cs="Arial" w:eastAsia="Arial" w:hAnsi="Arial"/>
          <w:sz w:val="16"/>
          <w:szCs w:val="16"/>
          <w:b w:val="1"/>
          <w:bCs w:val="1"/>
          <w:color w:val="FF0000"/>
          <w:strike w:val="1"/>
        </w:rPr>
        <w:t>or the applicable Issuing Bank (with notice thereof to the Administrative Agent), as the case may be,</w:t>
      </w:r>
      <w:r>
        <w:rPr>
          <w:rFonts w:ascii="Arial" w:cs="Arial" w:eastAsia="Arial" w:hAnsi="Arial"/>
          <w:sz w:val="16"/>
          <w:szCs w:val="16"/>
          <w:color w:val="auto"/>
        </w:rPr>
        <w:t xml:space="preserve"> in its sole discretion by reference to the most recent Spot Rate (as determined </w:t>
      </w:r>
      <w:r>
        <w:rPr>
          <w:rFonts w:ascii="Arial" w:cs="Arial" w:eastAsia="Arial" w:hAnsi="Arial"/>
          <w:sz w:val="16"/>
          <w:szCs w:val="16"/>
          <w:b w:val="1"/>
          <w:bCs w:val="1"/>
          <w:color w:val="FF0000"/>
          <w:strike w:val="1"/>
        </w:rPr>
        <w:t>in respect</w:t>
      </w:r>
      <w:r>
        <w:rPr>
          <w:rFonts w:ascii="Arial" w:cs="Arial" w:eastAsia="Arial" w:hAnsi="Arial"/>
          <w:sz w:val="16"/>
          <w:szCs w:val="16"/>
          <w:b w:val="1"/>
          <w:bCs w:val="1"/>
          <w:u w:val="single" w:color="auto"/>
          <w:color w:val="0000FF"/>
        </w:rPr>
        <w:t>as</w:t>
      </w:r>
      <w:r>
        <w:rPr>
          <w:rFonts w:ascii="Arial" w:cs="Arial" w:eastAsia="Arial" w:hAnsi="Arial"/>
          <w:sz w:val="16"/>
          <w:szCs w:val="16"/>
          <w:color w:val="auto"/>
        </w:rPr>
        <w:t xml:space="preserve"> of the most recent Revaluation Date) for the purchase of such Alternative Currency with Dollars</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however</w:t>
      </w:r>
      <w:r>
        <w:rPr>
          <w:rFonts w:ascii="Arial" w:cs="Arial" w:eastAsia="Arial" w:hAnsi="Arial"/>
          <w:sz w:val="16"/>
          <w:szCs w:val="16"/>
          <w:b w:val="1"/>
          <w:bCs w:val="1"/>
          <w:color w:val="FF0000"/>
          <w:strike w:val="1"/>
        </w:rPr>
        <w:t>, that if no such rate is available, the “Alternative Currency Equivalent” shall be determined by the Administrative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FF0000"/>
          <w:strike w:val="1"/>
        </w:rPr>
        <w:t>Agent or the applicable Issuing Bank (in either case, in consultation with the Borrowers), as the case may be, using any reasonable method of determination it deems appropriate in its reasonable discretion (and such determination shall be conclusive absent manifest error); provided that, upon the written request of any Borrower, the Administrative Agent or the Applicable Issuing Bank shall notify such Borrower of the sources used to make such determination.</w:t>
      </w:r>
      <w:r>
        <w:rPr>
          <w:rFonts w:ascii="Arial" w:cs="Arial" w:eastAsia="Arial" w:hAnsi="Arial"/>
          <w:sz w:val="18"/>
          <w:szCs w:val="18"/>
          <w:b w:val="1"/>
          <w:bCs w:val="1"/>
          <w:u w:val="single" w:color="auto"/>
          <w:color w:val="0000FF"/>
          <w:strike w:val="1"/>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Angolan Bond Investment</w:t>
      </w:r>
      <w:r>
        <w:rPr>
          <w:rFonts w:ascii="Arial" w:cs="Arial" w:eastAsia="Arial" w:hAnsi="Arial"/>
          <w:sz w:val="18"/>
          <w:szCs w:val="18"/>
          <w:color w:val="auto"/>
        </w:rPr>
        <w:t>” means the purchase of Dollar-linked or inflation-protected or other similar Angolan government sovereign or local corporate bonds or similar instruments having a similar purpose by Parent or a Restricted Subsidiary.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Parent or any of its Subsidiaries from time to time concerning or relating to bribery, corruption or money laundering, including the FCPA, the U.K. Bribery Act of 2010, as amended, and the Canadian Anti-Money Laundering &amp; Anti-Terrorism Legislation and the Corruption of Foreign Public Officials Act (Canada).</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w:t>
      </w:r>
      <w:r>
        <w:rPr>
          <w:rFonts w:ascii="Arial" w:cs="Arial" w:eastAsia="Arial" w:hAnsi="Arial"/>
          <w:sz w:val="17"/>
          <w:szCs w:val="17"/>
          <w:b w:val="1"/>
          <w:bCs w:val="1"/>
          <w:color w:val="FF0000"/>
          <w:strike w:val="1"/>
        </w:rPr>
        <w:t>, for any day, (a) with respect to any Loan or for purposes of calculating the LC Participation Fee Rate in</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respect of Letters of Credit constituting (i) Financial Standby Letters of Credit or (ii) Revolving Performance Letters of Credit, 3.50% per annum, </w:t>
      </w:r>
      <w:r>
        <w:rPr>
          <w:rFonts w:ascii="Arial" w:cs="Arial" w:eastAsia="Arial" w:hAnsi="Arial"/>
          <w:sz w:val="17"/>
          <w:szCs w:val="17"/>
          <w:b w:val="1"/>
          <w:bCs w:val="1"/>
          <w:u w:val="single" w:color="auto"/>
          <w:color w:val="FF0000"/>
          <w:strike w:val="1"/>
        </w:rPr>
        <w:t xml:space="preserve">provided </w:t>
      </w:r>
      <w:r>
        <w:rPr>
          <w:rFonts w:ascii="Arial" w:cs="Arial" w:eastAsia="Arial" w:hAnsi="Arial"/>
          <w:sz w:val="17"/>
          <w:szCs w:val="17"/>
          <w:b w:val="1"/>
          <w:bCs w:val="1"/>
          <w:color w:val="FF0000"/>
          <w:strike w:val="1"/>
        </w:rPr>
        <w:t>that if the LC Participation Fee Rate is being calculated with reference to the Base Rate, 2.50% per annum; and (b) for purposes of</w:t>
      </w:r>
      <w:r>
        <w:rPr>
          <w:rFonts w:ascii="Arial" w:cs="Arial" w:eastAsia="Arial" w:hAnsi="Arial"/>
          <w:sz w:val="17"/>
          <w:szCs w:val="17"/>
          <w:b w:val="1"/>
          <w:bCs w:val="1"/>
          <w:u w:val="single" w:color="auto"/>
          <w:color w:val="FF0000"/>
          <w:strike w:val="1"/>
        </w:rPr>
        <w:t xml:space="preserve"> </w:t>
      </w:r>
      <w:r>
        <w:rPr>
          <w:rFonts w:ascii="Arial" w:cs="Arial" w:eastAsia="Arial" w:hAnsi="Arial"/>
          <w:sz w:val="17"/>
          <w:szCs w:val="17"/>
          <w:b w:val="1"/>
          <w:bCs w:val="1"/>
          <w:color w:val="FF0000"/>
          <w:strike w:val="1"/>
        </w:rPr>
        <w:t xml:space="preserve">calculating the LC Participation Fee Rate in respect of any Performance Letters of Credit (excluding, for the avoidance of doubt, any Revolving Performance Letters of Credit), the applicable margin per annum set forth below under the caption “Eurocurrency Rate Extensions of Credit”, “RFR Extensions of Credit” or “Base Rate Extensions of Credit”, as the case may be, </w:t>
      </w:r>
      <w:r>
        <w:rPr>
          <w:rFonts w:ascii="Arial" w:cs="Arial" w:eastAsia="Arial" w:hAnsi="Arial"/>
          <w:sz w:val="17"/>
          <w:szCs w:val="17"/>
          <w:b w:val="1"/>
          <w:bCs w:val="1"/>
          <w:u w:val="single" w:color="auto"/>
          <w:color w:val="0000FF"/>
          <w:strike w:val="1"/>
        </w:rPr>
        <w:t>the corresponding percentages per annum as set forth below</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based </w:t>
      </w:r>
      <w:r>
        <w:rPr>
          <w:rFonts w:ascii="Arial" w:cs="Arial" w:eastAsia="Arial" w:hAnsi="Arial"/>
          <w:sz w:val="17"/>
          <w:szCs w:val="17"/>
          <w:b w:val="1"/>
          <w:bCs w:val="1"/>
          <w:color w:val="FF0000"/>
          <w:strike w:val="1"/>
        </w:rPr>
        <w:t>upon</w:t>
      </w:r>
      <w:r>
        <w:rPr>
          <w:rFonts w:ascii="Arial" w:cs="Arial" w:eastAsia="Arial" w:hAnsi="Arial"/>
          <w:sz w:val="17"/>
          <w:szCs w:val="17"/>
          <w:b w:val="1"/>
          <w:bCs w:val="1"/>
          <w:u w:val="single" w:color="auto"/>
          <w:color w:val="0000FF"/>
          <w:strike w:val="1"/>
        </w:rPr>
        <w:t>on</w:t>
      </w:r>
      <w:r>
        <w:rPr>
          <w:rFonts w:ascii="Arial" w:cs="Arial" w:eastAsia="Arial" w:hAnsi="Arial"/>
          <w:sz w:val="17"/>
          <w:szCs w:val="17"/>
          <w:color w:val="000000"/>
          <w:strike w:val="1"/>
        </w:rPr>
        <w:t xml:space="preserve"> the public corporate family rating and public corporate credit rating (each, a “</w:t>
      </w:r>
      <w:r>
        <w:rPr>
          <w:rFonts w:ascii="Arial" w:cs="Arial" w:eastAsia="Arial" w:hAnsi="Arial"/>
          <w:sz w:val="17"/>
          <w:szCs w:val="17"/>
          <w:u w:val="single" w:color="auto"/>
          <w:color w:val="000000"/>
          <w:strike w:val="1"/>
        </w:rPr>
        <w:t>Corporate Rating</w:t>
      </w:r>
      <w:r>
        <w:rPr>
          <w:rFonts w:ascii="Arial" w:cs="Arial" w:eastAsia="Arial" w:hAnsi="Arial"/>
          <w:sz w:val="17"/>
          <w:szCs w:val="17"/>
          <w:color w:val="000000"/>
          <w:strike w:val="1"/>
        </w:rPr>
        <w:t>”) from Moody’s</w:t>
      </w:r>
      <w:r>
        <w:rPr>
          <w:rFonts w:ascii="Arial" w:cs="Arial" w:eastAsia="Arial" w:hAnsi="Arial"/>
          <w:sz w:val="17"/>
          <w:szCs w:val="17"/>
          <w:b w:val="1"/>
          <w:bCs w:val="1"/>
          <w:u w:val="single" w:color="auto"/>
          <w:color w:val="0000FF"/>
          <w:strike w:val="1"/>
        </w:rPr>
        <w:t>, Fitch</w:t>
      </w:r>
      <w:r>
        <w:rPr>
          <w:rFonts w:ascii="Arial" w:cs="Arial" w:eastAsia="Arial" w:hAnsi="Arial"/>
          <w:sz w:val="17"/>
          <w:szCs w:val="17"/>
          <w:color w:val="000000"/>
          <w:strike w:val="1"/>
        </w:rPr>
        <w:t xml:space="preserve"> and S&amp;P, respectively, for any Obligor Party applicable on such date:</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Pricing</w:t>
            </w:r>
          </w:p>
        </w:tc>
        <w:tc>
          <w:tcPr>
            <w:tcW w:w="1540" w:type="dxa"/>
            <w:vAlign w:val="bottom"/>
            <w:gridSpan w:val="16"/>
          </w:tcPr>
          <w:p>
            <w:pPr>
              <w:ind w:left="360"/>
              <w:spacing w:after="0"/>
              <w:rPr>
                <w:sz w:val="20"/>
                <w:szCs w:val="20"/>
                <w:color w:val="auto"/>
              </w:rPr>
            </w:pPr>
            <w:r>
              <w:rPr>
                <w:rFonts w:ascii="Arial" w:cs="Arial" w:eastAsia="Arial" w:hAnsi="Arial"/>
                <w:sz w:val="18"/>
                <w:szCs w:val="18"/>
                <w:b w:val="1"/>
                <w:bCs w:val="1"/>
                <w:color w:val="auto"/>
              </w:rPr>
              <w:t>Corporate</w:t>
            </w:r>
          </w:p>
        </w:tc>
      </w:tr>
      <w:tr>
        <w:trPr>
          <w:trHeight w:val="234"/>
        </w:trPr>
        <w:tc>
          <w:tcPr>
            <w:tcW w:w="1580" w:type="dxa"/>
            <w:vAlign w:val="bottom"/>
            <w:gridSpan w:val="2"/>
          </w:tcPr>
          <w:p>
            <w:pPr>
              <w:ind w:left="540"/>
              <w:spacing w:after="0"/>
              <w:rPr>
                <w:sz w:val="20"/>
                <w:szCs w:val="20"/>
                <w:color w:val="auto"/>
              </w:rPr>
            </w:pPr>
            <w:r>
              <w:rPr>
                <w:rFonts w:ascii="Arial" w:cs="Arial" w:eastAsia="Arial" w:hAnsi="Arial"/>
                <w:sz w:val="18"/>
                <w:szCs w:val="18"/>
                <w:b w:val="1"/>
                <w:bCs w:val="1"/>
                <w:color w:val="auto"/>
              </w:rPr>
              <w:t>Level</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14"/>
          </w:tcPr>
          <w:p>
            <w:pPr>
              <w:spacing w:after="0"/>
              <w:rPr>
                <w:sz w:val="20"/>
                <w:szCs w:val="20"/>
                <w:color w:val="auto"/>
              </w:rPr>
            </w:pPr>
            <w:r>
              <w:rPr>
                <w:rFonts w:ascii="Arial" w:cs="Arial" w:eastAsia="Arial" w:hAnsi="Arial"/>
                <w:sz w:val="18"/>
                <w:szCs w:val="18"/>
                <w:b w:val="1"/>
                <w:bCs w:val="1"/>
                <w:color w:val="auto"/>
              </w:rPr>
              <w:t>Ratings:</w:t>
            </w:r>
          </w:p>
        </w:tc>
      </w:tr>
      <w:tr>
        <w:trPr>
          <w:trHeight w:val="169"/>
        </w:trPr>
        <w:tc>
          <w:tcPr>
            <w:tcW w:w="14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4"/>
                <w:szCs w:val="14"/>
                <w:color w:val="auto"/>
              </w:rPr>
            </w:pPr>
          </w:p>
        </w:tc>
        <w:tc>
          <w:tcPr>
            <w:tcW w:w="1540" w:type="dxa"/>
            <w:vAlign w:val="bottom"/>
            <w:tcBorders>
              <w:top w:val="single" w:sz="8" w:color="auto"/>
            </w:tcBorders>
            <w:gridSpan w:val="16"/>
          </w:tcPr>
          <w:p>
            <w:pPr>
              <w:ind w:left="120"/>
              <w:spacing w:after="0" w:line="169" w:lineRule="exact"/>
              <w:rPr>
                <w:sz w:val="20"/>
                <w:szCs w:val="20"/>
                <w:color w:val="auto"/>
              </w:rPr>
            </w:pPr>
            <w:r>
              <w:rPr>
                <w:rFonts w:ascii="Arial" w:cs="Arial" w:eastAsia="Arial" w:hAnsi="Arial"/>
                <w:sz w:val="18"/>
                <w:szCs w:val="18"/>
                <w:color w:val="auto"/>
              </w:rPr>
              <w:t>Ba1/BB</w:t>
            </w:r>
            <w:r>
              <w:rPr>
                <w:rFonts w:ascii="Arial" w:cs="Arial" w:eastAsia="Arial" w:hAnsi="Arial"/>
                <w:sz w:val="18"/>
                <w:szCs w:val="18"/>
                <w:b w:val="1"/>
                <w:bCs w:val="1"/>
                <w:color w:val="0000FF"/>
              </w:rPr>
              <w:t>+/BB</w:t>
            </w:r>
            <w:r>
              <w:rPr>
                <w:rFonts w:ascii="Arial" w:cs="Arial" w:eastAsia="Arial" w:hAnsi="Arial"/>
                <w:sz w:val="18"/>
                <w:szCs w:val="18"/>
                <w:color w:val="auto"/>
              </w:rPr>
              <w:t>+</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7"/>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2</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Ba2/</w:t>
            </w:r>
            <w:r>
              <w:rPr>
                <w:rFonts w:ascii="Arial" w:cs="Arial" w:eastAsia="Arial" w:hAnsi="Arial"/>
                <w:sz w:val="18"/>
                <w:szCs w:val="18"/>
                <w:b w:val="1"/>
                <w:bCs w:val="1"/>
                <w:color w:val="0000FF"/>
              </w:rPr>
              <w:t>BB/</w:t>
            </w:r>
            <w:r>
              <w:rPr>
                <w:rFonts w:ascii="Arial" w:cs="Arial" w:eastAsia="Arial" w:hAnsi="Arial"/>
                <w:sz w:val="18"/>
                <w:szCs w:val="18"/>
                <w:color w:val="auto"/>
              </w:rPr>
              <w:t>BB</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7"/>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3</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Ba3/BB</w:t>
            </w:r>
            <w:r>
              <w:rPr>
                <w:rFonts w:ascii="Arial" w:cs="Arial" w:eastAsia="Arial" w:hAnsi="Arial"/>
                <w:sz w:val="18"/>
                <w:szCs w:val="18"/>
                <w:b w:val="1"/>
                <w:bCs w:val="1"/>
                <w:color w:val="0000FF"/>
              </w:rPr>
              <w:t>-/BB</w:t>
            </w:r>
            <w:r>
              <w:rPr>
                <w:rFonts w:ascii="Arial" w:cs="Arial" w:eastAsia="Arial" w:hAnsi="Arial"/>
                <w:sz w:val="18"/>
                <w:szCs w:val="18"/>
                <w:color w:val="auto"/>
              </w:rPr>
              <w:t>-</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7"/>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4</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B1/B</w:t>
            </w:r>
            <w:r>
              <w:rPr>
                <w:rFonts w:ascii="Arial" w:cs="Arial" w:eastAsia="Arial" w:hAnsi="Arial"/>
                <w:sz w:val="18"/>
                <w:szCs w:val="18"/>
                <w:b w:val="1"/>
                <w:bCs w:val="1"/>
                <w:color w:val="0000FF"/>
              </w:rPr>
              <w:t>+/B</w:t>
            </w:r>
            <w:r>
              <w:rPr>
                <w:rFonts w:ascii="Arial" w:cs="Arial" w:eastAsia="Arial" w:hAnsi="Arial"/>
                <w:sz w:val="18"/>
                <w:szCs w:val="18"/>
                <w:color w:val="auto"/>
              </w:rPr>
              <w:t>+</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197"/>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5</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B2/</w:t>
            </w:r>
            <w:r>
              <w:rPr>
                <w:rFonts w:ascii="Arial" w:cs="Arial" w:eastAsia="Arial" w:hAnsi="Arial"/>
                <w:sz w:val="18"/>
                <w:szCs w:val="18"/>
                <w:b w:val="1"/>
                <w:bCs w:val="1"/>
                <w:color w:val="0000FF"/>
              </w:rPr>
              <w:t>B/</w:t>
            </w:r>
            <w:r>
              <w:rPr>
                <w:rFonts w:ascii="Arial" w:cs="Arial" w:eastAsia="Arial" w:hAnsi="Arial"/>
                <w:sz w:val="18"/>
                <w:szCs w:val="18"/>
                <w:color w:val="auto"/>
              </w:rPr>
              <w:t>B</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6</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B3/B</w:t>
            </w:r>
            <w:r>
              <w:rPr>
                <w:rFonts w:ascii="Arial" w:cs="Arial" w:eastAsia="Arial" w:hAnsi="Arial"/>
                <w:sz w:val="18"/>
                <w:szCs w:val="18"/>
                <w:b w:val="1"/>
                <w:bCs w:val="1"/>
                <w:color w:val="0000FF"/>
              </w:rPr>
              <w:t>-/B</w:t>
            </w:r>
            <w:r>
              <w:rPr>
                <w:rFonts w:ascii="Arial" w:cs="Arial" w:eastAsia="Arial" w:hAnsi="Arial"/>
                <w:sz w:val="18"/>
                <w:szCs w:val="18"/>
                <w:color w:val="auto"/>
              </w:rPr>
              <w:t>-</w:t>
            </w:r>
          </w:p>
        </w:tc>
      </w:tr>
      <w:tr>
        <w:trPr>
          <w:trHeight w:val="20"/>
        </w:trPr>
        <w:tc>
          <w:tcPr>
            <w:tcW w:w="15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3"/>
          </w:tcPr>
          <w:p>
            <w:pPr>
              <w:spacing w:after="0" w:line="20" w:lineRule="exact"/>
              <w:rPr>
                <w:sz w:val="1"/>
                <w:szCs w:val="1"/>
                <w:color w:val="auto"/>
              </w:rPr>
            </w:pPr>
          </w:p>
        </w:tc>
        <w:tc>
          <w:tcPr>
            <w:tcW w:w="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Level 7</w:t>
            </w:r>
          </w:p>
        </w:tc>
        <w:tc>
          <w:tcPr>
            <w:tcW w:w="154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&lt;B3/B</w:t>
            </w:r>
            <w:r>
              <w:rPr>
                <w:rFonts w:ascii="Arial" w:cs="Arial" w:eastAsia="Arial" w:hAnsi="Arial"/>
                <w:sz w:val="18"/>
                <w:szCs w:val="18"/>
                <w:b w:val="1"/>
                <w:bCs w:val="1"/>
                <w:color w:val="0000FF"/>
              </w:rPr>
              <w:t>-/B</w:t>
            </w:r>
            <w:r>
              <w:rPr>
                <w:rFonts w:ascii="Arial" w:cs="Arial" w:eastAsia="Arial" w:hAnsi="Arial"/>
                <w:sz w:val="18"/>
                <w:szCs w:val="18"/>
                <w:color w:val="auto"/>
              </w:rPr>
              <w:t>-</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0"/>
              </w:rPr>
              <w:t>Eurocurrency</w:t>
            </w:r>
          </w:p>
        </w:tc>
        <w:tc>
          <w:tcPr>
            <w:tcW w:w="180" w:type="dxa"/>
            <w:vAlign w:val="bottom"/>
          </w:tcPr>
          <w:p>
            <w:pPr>
              <w:spacing w:after="0"/>
              <w:rPr>
                <w:sz w:val="18"/>
                <w:szCs w:val="18"/>
                <w:color w:val="auto"/>
              </w:rPr>
            </w:pPr>
          </w:p>
        </w:tc>
        <w:tc>
          <w:tcPr>
            <w:tcW w:w="140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97"/>
              </w:rPr>
              <w:t>RFR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500" w:type="dxa"/>
            <w:vAlign w:val="bottom"/>
            <w:gridSpan w:val="5"/>
          </w:tcPr>
          <w:p>
            <w:pPr>
              <w:jc w:val="center"/>
              <w:ind w:right="390"/>
              <w:spacing w:after="0" w:line="194" w:lineRule="exact"/>
              <w:rPr>
                <w:sz w:val="20"/>
                <w:szCs w:val="20"/>
                <w:color w:val="auto"/>
              </w:rPr>
            </w:pPr>
            <w:r>
              <w:rPr>
                <w:rFonts w:ascii="Arial" w:cs="Arial" w:eastAsia="Arial" w:hAnsi="Arial"/>
                <w:sz w:val="18"/>
                <w:szCs w:val="18"/>
                <w:b w:val="1"/>
                <w:bCs w:val="1"/>
                <w:color w:val="auto"/>
                <w:w w:val="87"/>
              </w:rPr>
              <w:t>Rate</w:t>
            </w:r>
          </w:p>
        </w:tc>
        <w:tc>
          <w:tcPr>
            <w:tcW w:w="180" w:type="dxa"/>
            <w:vAlign w:val="bottom"/>
          </w:tcPr>
          <w:p>
            <w:pPr>
              <w:spacing w:after="0"/>
              <w:rPr>
                <w:sz w:val="16"/>
                <w:szCs w:val="16"/>
                <w:color w:val="auto"/>
              </w:rPr>
            </w:pPr>
          </w:p>
        </w:tc>
        <w:tc>
          <w:tcPr>
            <w:tcW w:w="960" w:type="dxa"/>
            <w:vAlign w:val="bottom"/>
            <w:gridSpan w:val="4"/>
          </w:tcPr>
          <w:p>
            <w:pPr>
              <w:jc w:val="center"/>
              <w:spacing w:after="0" w:line="194" w:lineRule="exact"/>
              <w:rPr>
                <w:sz w:val="20"/>
                <w:szCs w:val="20"/>
                <w:color w:val="auto"/>
              </w:rPr>
            </w:pPr>
            <w:r>
              <w:rPr>
                <w:rFonts w:ascii="Arial" w:cs="Arial" w:eastAsia="Arial" w:hAnsi="Arial"/>
                <w:sz w:val="18"/>
                <w:szCs w:val="18"/>
                <w:b w:val="1"/>
                <w:bCs w:val="1"/>
                <w:color w:val="FF0000"/>
                <w:strike w:val="1"/>
                <w:w w:val="87"/>
              </w:rPr>
              <w:t>Extensions</w:t>
            </w:r>
          </w:p>
        </w:tc>
        <w:tc>
          <w:tcPr>
            <w:tcW w:w="4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Base Rate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0000FF"/>
            </w:tcBorders>
          </w:tcPr>
          <w:p>
            <w:pPr>
              <w:jc w:val="center"/>
              <w:spacing w:after="0" w:line="194" w:lineRule="exact"/>
              <w:rPr>
                <w:sz w:val="20"/>
                <w:szCs w:val="20"/>
                <w:color w:val="auto"/>
              </w:rPr>
            </w:pPr>
            <w:r>
              <w:rPr>
                <w:rFonts w:ascii="Arial" w:cs="Arial" w:eastAsia="Arial" w:hAnsi="Arial"/>
                <w:sz w:val="18"/>
                <w:szCs w:val="18"/>
                <w:b w:val="1"/>
                <w:bCs w:val="1"/>
                <w:color w:val="0000FF"/>
                <w:w w:val="99"/>
              </w:rPr>
              <w:t>LC</w:t>
            </w:r>
          </w:p>
        </w:tc>
        <w:tc>
          <w:tcPr>
            <w:tcW w:w="800" w:type="dxa"/>
            <w:vAlign w:val="bottom"/>
            <w:gridSpan w:val="6"/>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Borders>
              <w:bottom w:val="single" w:sz="8" w:color="0000FF"/>
            </w:tcBorders>
            <w:gridSpan w:val="6"/>
          </w:tcPr>
          <w:p>
            <w:pPr>
              <w:jc w:val="center"/>
              <w:spacing w:after="0" w:line="194" w:lineRule="exact"/>
              <w:rPr>
                <w:sz w:val="20"/>
                <w:szCs w:val="20"/>
                <w:color w:val="auto"/>
              </w:rPr>
            </w:pPr>
            <w:r>
              <w:rPr>
                <w:rFonts w:ascii="Arial" w:cs="Arial" w:eastAsia="Arial" w:hAnsi="Arial"/>
                <w:sz w:val="18"/>
                <w:szCs w:val="18"/>
                <w:b w:val="1"/>
                <w:bCs w:val="1"/>
                <w:color w:val="0000FF"/>
                <w:w w:val="93"/>
              </w:rPr>
              <w:t>Facility</w:t>
            </w:r>
          </w:p>
        </w:tc>
        <w:tc>
          <w:tcPr>
            <w:tcW w:w="5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FF0000"/>
                <w:strike w:val="1"/>
                <w:w w:val="86"/>
              </w:rPr>
              <w:t>Extensions of</w:t>
            </w: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vMerge w:val="restart"/>
          </w:tcPr>
          <w:p>
            <w:pPr>
              <w:jc w:val="center"/>
              <w:spacing w:after="0" w:line="196" w:lineRule="exact"/>
              <w:rPr>
                <w:sz w:val="20"/>
                <w:szCs w:val="20"/>
                <w:color w:val="auto"/>
              </w:rPr>
            </w:pPr>
            <w:r>
              <w:rPr>
                <w:rFonts w:ascii="Arial" w:cs="Arial" w:eastAsia="Arial" w:hAnsi="Arial"/>
                <w:sz w:val="18"/>
                <w:szCs w:val="18"/>
                <w:b w:val="1"/>
                <w:bCs w:val="1"/>
                <w:color w:val="FF0000"/>
                <w:strike w:val="1"/>
                <w:w w:val="82"/>
              </w:rPr>
              <w:t>of</w:t>
            </w: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83"/>
              </w:rPr>
              <w:t>Extensions</w:t>
            </w: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620" w:type="dxa"/>
            <w:vAlign w:val="bottom"/>
            <w:gridSpan w:val="10"/>
          </w:tcPr>
          <w:p>
            <w:pPr>
              <w:jc w:val="center"/>
              <w:ind w:right="340"/>
              <w:spacing w:after="0" w:line="156" w:lineRule="exact"/>
              <w:rPr>
                <w:sz w:val="20"/>
                <w:szCs w:val="20"/>
                <w:color w:val="auto"/>
              </w:rPr>
            </w:pPr>
            <w:r>
              <w:rPr>
                <w:rFonts w:ascii="Arial" w:cs="Arial" w:eastAsia="Arial" w:hAnsi="Arial"/>
                <w:sz w:val="18"/>
                <w:szCs w:val="18"/>
                <w:b w:val="1"/>
                <w:bCs w:val="1"/>
                <w:color w:val="0000FF"/>
                <w:w w:val="91"/>
              </w:rPr>
              <w:t>Participation</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9"/>
          </w:tcPr>
          <w:p>
            <w:pPr>
              <w:jc w:val="center"/>
              <w:ind w:right="740"/>
              <w:spacing w:after="0" w:line="156" w:lineRule="exact"/>
              <w:rPr>
                <w:sz w:val="20"/>
                <w:szCs w:val="20"/>
                <w:color w:val="auto"/>
              </w:rPr>
            </w:pPr>
            <w:r>
              <w:rPr>
                <w:rFonts w:ascii="Arial" w:cs="Arial" w:eastAsia="Arial" w:hAnsi="Arial"/>
                <w:sz w:val="18"/>
                <w:szCs w:val="18"/>
                <w:b w:val="1"/>
                <w:bCs w:val="1"/>
                <w:color w:val="0000FF"/>
                <w:w w:val="83"/>
              </w:rPr>
              <w:t>Fee</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vMerge w:val="restart"/>
          </w:tcPr>
          <w:p>
            <w:pPr>
              <w:ind w:left="20"/>
              <w:spacing w:after="0" w:line="196" w:lineRule="exact"/>
              <w:rPr>
                <w:sz w:val="20"/>
                <w:szCs w:val="20"/>
                <w:color w:val="auto"/>
              </w:rPr>
            </w:pPr>
            <w:r>
              <w:rPr>
                <w:rFonts w:ascii="Arial" w:cs="Arial" w:eastAsia="Arial" w:hAnsi="Arial"/>
                <w:sz w:val="18"/>
                <w:szCs w:val="18"/>
                <w:b w:val="1"/>
                <w:bCs w:val="1"/>
                <w:color w:val="FF0000"/>
                <w:strike w:val="1"/>
                <w:w w:val="92"/>
              </w:rPr>
              <w:t>Credit</w:t>
            </w:r>
          </w:p>
        </w:tc>
        <w:tc>
          <w:tcPr>
            <w:tcW w:w="980" w:type="dxa"/>
            <w:vAlign w:val="bottom"/>
            <w:gridSpan w:val="4"/>
            <w:vMerge w:val="restart"/>
          </w:tcPr>
          <w:p>
            <w:pPr>
              <w:jc w:val="right"/>
              <w:ind w:right="410"/>
              <w:spacing w:after="0" w:line="196" w:lineRule="exact"/>
              <w:rPr>
                <w:sz w:val="20"/>
                <w:szCs w:val="20"/>
                <w:color w:val="auto"/>
              </w:rPr>
            </w:pPr>
            <w:r>
              <w:rPr>
                <w:rFonts w:ascii="Arial" w:cs="Arial" w:eastAsia="Arial" w:hAnsi="Arial"/>
                <w:sz w:val="18"/>
                <w:szCs w:val="18"/>
                <w:b w:val="1"/>
                <w:bCs w:val="1"/>
                <w:color w:val="0000FF"/>
                <w:w w:val="86"/>
              </w:rPr>
              <w:t>Loans</w:t>
            </w:r>
          </w:p>
        </w:tc>
        <w:tc>
          <w:tcPr>
            <w:tcW w:w="180" w:type="dxa"/>
            <w:vAlign w:val="bottom"/>
          </w:tcPr>
          <w:p>
            <w:pPr>
              <w:spacing w:after="0" w:line="20" w:lineRule="exact"/>
              <w:rPr>
                <w:sz w:val="1"/>
                <w:szCs w:val="1"/>
                <w:color w:val="auto"/>
              </w:rPr>
            </w:pPr>
          </w:p>
        </w:tc>
        <w:tc>
          <w:tcPr>
            <w:tcW w:w="5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92"/>
              </w:rPr>
              <w:t>Credit</w:t>
            </w:r>
          </w:p>
        </w:tc>
        <w:tc>
          <w:tcPr>
            <w:tcW w:w="900" w:type="dxa"/>
            <w:vAlign w:val="bottom"/>
            <w:gridSpan w:val="4"/>
            <w:vMerge w:val="restart"/>
          </w:tcPr>
          <w:p>
            <w:pPr>
              <w:jc w:val="right"/>
              <w:ind w:right="350"/>
              <w:spacing w:after="0" w:line="196" w:lineRule="exact"/>
              <w:rPr>
                <w:sz w:val="20"/>
                <w:szCs w:val="20"/>
                <w:color w:val="auto"/>
              </w:rPr>
            </w:pPr>
            <w:r>
              <w:rPr>
                <w:rFonts w:ascii="Arial" w:cs="Arial" w:eastAsia="Arial" w:hAnsi="Arial"/>
                <w:sz w:val="18"/>
                <w:szCs w:val="18"/>
                <w:b w:val="1"/>
                <w:bCs w:val="1"/>
                <w:color w:val="0000FF"/>
                <w:w w:val="82"/>
              </w:rPr>
              <w:t>Loans</w:t>
            </w:r>
          </w:p>
        </w:tc>
        <w:tc>
          <w:tcPr>
            <w:tcW w:w="80" w:type="dxa"/>
            <w:vAlign w:val="bottom"/>
          </w:tcPr>
          <w:p>
            <w:pPr>
              <w:spacing w:after="0" w:line="20" w:lineRule="exact"/>
              <w:rPr>
                <w:sz w:val="1"/>
                <w:szCs w:val="1"/>
                <w:color w:val="auto"/>
              </w:rPr>
            </w:pPr>
          </w:p>
        </w:tc>
        <w:tc>
          <w:tcPr>
            <w:tcW w:w="7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91"/>
              </w:rPr>
              <w:t>of Credit</w:t>
            </w:r>
          </w:p>
        </w:tc>
        <w:tc>
          <w:tcPr>
            <w:tcW w:w="820" w:type="dxa"/>
            <w:vAlign w:val="bottom"/>
            <w:gridSpan w:val="4"/>
            <w:vMerge w:val="restart"/>
          </w:tcPr>
          <w:p>
            <w:pPr>
              <w:jc w:val="right"/>
              <w:ind w:right="250"/>
              <w:spacing w:after="0" w:line="196" w:lineRule="exact"/>
              <w:rPr>
                <w:sz w:val="20"/>
                <w:szCs w:val="20"/>
                <w:color w:val="auto"/>
              </w:rPr>
            </w:pPr>
            <w:r>
              <w:rPr>
                <w:rFonts w:ascii="Arial" w:cs="Arial" w:eastAsia="Arial" w:hAnsi="Arial"/>
                <w:sz w:val="18"/>
                <w:szCs w:val="18"/>
                <w:b w:val="1"/>
                <w:bCs w:val="1"/>
                <w:color w:val="0000FF"/>
                <w:w w:val="86"/>
              </w:rPr>
              <w:t>Loans</w:t>
            </w:r>
          </w:p>
        </w:tc>
        <w:tc>
          <w:tcPr>
            <w:tcW w:w="14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gridSpan w:val="3"/>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4"/>
          </w:tcPr>
          <w:p>
            <w:pPr>
              <w:jc w:val="center"/>
              <w:ind w:right="110"/>
              <w:spacing w:after="0" w:line="156" w:lineRule="exact"/>
              <w:rPr>
                <w:sz w:val="20"/>
                <w:szCs w:val="20"/>
                <w:color w:val="auto"/>
              </w:rPr>
            </w:pPr>
            <w:r>
              <w:rPr>
                <w:rFonts w:ascii="Arial" w:cs="Arial" w:eastAsia="Arial" w:hAnsi="Arial"/>
                <w:sz w:val="18"/>
                <w:szCs w:val="18"/>
                <w:b w:val="1"/>
                <w:bCs w:val="1"/>
                <w:color w:val="0000FF"/>
                <w:w w:val="90"/>
              </w:rPr>
              <w:t>Fee Rate</w:t>
            </w:r>
          </w:p>
        </w:tc>
        <w:tc>
          <w:tcPr>
            <w:tcW w:w="1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Arial" w:cs="Arial" w:eastAsia="Arial" w:hAnsi="Arial"/>
                <w:sz w:val="18"/>
                <w:szCs w:val="18"/>
                <w:b w:val="1"/>
                <w:bCs w:val="1"/>
                <w:color w:val="0000FF"/>
                <w:w w:val="81"/>
              </w:rPr>
              <w:t>Rate</w:t>
            </w: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line="189"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0000FF"/>
                <w:w w:val="99"/>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20" w:type="dxa"/>
            <w:vAlign w:val="bottom"/>
            <w:gridSpan w:val="5"/>
            <w:vMerge w:val="restart"/>
          </w:tcPr>
          <w:p>
            <w:pPr>
              <w:jc w:val="right"/>
              <w:spacing w:after="0" w:line="182" w:lineRule="exact"/>
              <w:rPr>
                <w:sz w:val="20"/>
                <w:szCs w:val="20"/>
                <w:color w:val="auto"/>
              </w:rPr>
            </w:pPr>
            <w:r>
              <w:rPr>
                <w:rFonts w:ascii="Arial" w:cs="Arial" w:eastAsia="Arial" w:hAnsi="Arial"/>
                <w:sz w:val="18"/>
                <w:szCs w:val="18"/>
                <w:color w:val="auto"/>
              </w:rPr>
              <w:t>2.25</w:t>
            </w:r>
          </w:p>
        </w:tc>
        <w:tc>
          <w:tcPr>
            <w:tcW w:w="280" w:type="dxa"/>
            <w:vAlign w:val="bottom"/>
            <w:vMerge w:val="continue"/>
          </w:tcPr>
          <w:p>
            <w:pPr>
              <w:spacing w:after="0"/>
              <w:rPr>
                <w:sz w:val="14"/>
                <w:szCs w:val="14"/>
                <w:color w:val="auto"/>
              </w:rPr>
            </w:pPr>
          </w:p>
        </w:tc>
        <w:tc>
          <w:tcPr>
            <w:tcW w:w="1320" w:type="dxa"/>
            <w:vAlign w:val="bottom"/>
            <w:gridSpan w:val="6"/>
            <w:vMerge w:val="restart"/>
          </w:tcPr>
          <w:p>
            <w:pPr>
              <w:jc w:val="right"/>
              <w:spacing w:after="0" w:line="182" w:lineRule="exact"/>
              <w:rPr>
                <w:sz w:val="20"/>
                <w:szCs w:val="20"/>
                <w:color w:val="auto"/>
              </w:rPr>
            </w:pPr>
            <w:r>
              <w:rPr>
                <w:rFonts w:ascii="Arial" w:cs="Arial" w:eastAsia="Arial" w:hAnsi="Arial"/>
                <w:sz w:val="18"/>
                <w:szCs w:val="18"/>
                <w:color w:val="auto"/>
              </w:rPr>
              <w:t>2.25</w:t>
            </w:r>
          </w:p>
        </w:tc>
        <w:tc>
          <w:tcPr>
            <w:tcW w:w="260" w:type="dxa"/>
            <w:vAlign w:val="bottom"/>
            <w:vMerge w:val="continue"/>
          </w:tcPr>
          <w:p>
            <w:pPr>
              <w:spacing w:after="0"/>
              <w:rPr>
                <w:sz w:val="14"/>
                <w:szCs w:val="14"/>
                <w:color w:val="auto"/>
              </w:rPr>
            </w:pPr>
          </w:p>
        </w:tc>
        <w:tc>
          <w:tcPr>
            <w:tcW w:w="1340" w:type="dxa"/>
            <w:vAlign w:val="bottom"/>
            <w:gridSpan w:val="6"/>
            <w:vMerge w:val="restart"/>
          </w:tcPr>
          <w:p>
            <w:pPr>
              <w:jc w:val="right"/>
              <w:spacing w:after="0" w:line="182" w:lineRule="exact"/>
              <w:rPr>
                <w:sz w:val="20"/>
                <w:szCs w:val="20"/>
                <w:color w:val="auto"/>
              </w:rPr>
            </w:pPr>
            <w:r>
              <w:rPr>
                <w:rFonts w:ascii="Arial" w:cs="Arial" w:eastAsia="Arial" w:hAnsi="Arial"/>
                <w:sz w:val="18"/>
                <w:szCs w:val="18"/>
                <w:color w:val="auto"/>
              </w:rPr>
              <w:t>1.25</w:t>
            </w:r>
          </w:p>
        </w:tc>
        <w:tc>
          <w:tcPr>
            <w:tcW w:w="260" w:type="dxa"/>
            <w:vAlign w:val="bottom"/>
            <w:vMerge w:val="continue"/>
          </w:tcPr>
          <w:p>
            <w:pPr>
              <w:spacing w:after="0"/>
              <w:rPr>
                <w:sz w:val="14"/>
                <w:szCs w:val="14"/>
                <w:color w:val="auto"/>
              </w:rPr>
            </w:pPr>
          </w:p>
        </w:tc>
        <w:tc>
          <w:tcPr>
            <w:tcW w:w="1000" w:type="dxa"/>
            <w:vAlign w:val="bottom"/>
            <w:gridSpan w:val="5"/>
            <w:vMerge w:val="restart"/>
          </w:tcPr>
          <w:p>
            <w:pPr>
              <w:spacing w:after="0"/>
              <w:rPr>
                <w:sz w:val="14"/>
                <w:szCs w:val="14"/>
                <w:color w:val="auto"/>
              </w:rPr>
            </w:pPr>
          </w:p>
        </w:tc>
        <w:tc>
          <w:tcPr>
            <w:tcW w:w="320" w:type="dxa"/>
            <w:vAlign w:val="bottom"/>
            <w:gridSpan w:val="2"/>
            <w:vMerge w:val="restart"/>
          </w:tcPr>
          <w:p>
            <w:pPr>
              <w:jc w:val="right"/>
              <w:spacing w:after="0" w:line="182" w:lineRule="exact"/>
              <w:rPr>
                <w:sz w:val="20"/>
                <w:szCs w:val="20"/>
                <w:color w:val="auto"/>
              </w:rPr>
            </w:pPr>
            <w:r>
              <w:rPr>
                <w:rFonts w:ascii="Arial" w:cs="Arial" w:eastAsia="Arial" w:hAnsi="Arial"/>
                <w:sz w:val="18"/>
                <w:szCs w:val="18"/>
                <w:b w:val="1"/>
                <w:bCs w:val="1"/>
                <w:color w:val="0000FF"/>
                <w:w w:val="85"/>
              </w:rPr>
              <w:t>2.</w:t>
            </w:r>
            <w:r>
              <w:rPr>
                <w:rFonts w:ascii="Arial" w:cs="Arial" w:eastAsia="Arial" w:hAnsi="Arial"/>
                <w:sz w:val="18"/>
                <w:szCs w:val="18"/>
                <w:b w:val="1"/>
                <w:bCs w:val="1"/>
                <w:u w:val="single" w:color="auto"/>
                <w:color w:val="0000FF"/>
                <w:w w:val="85"/>
              </w:rPr>
              <w:t>25</w:t>
            </w:r>
          </w:p>
        </w:tc>
        <w:tc>
          <w:tcPr>
            <w:tcW w:w="180" w:type="dxa"/>
            <w:vAlign w:val="bottom"/>
            <w:tcBorders>
              <w:bottom w:val="single" w:sz="8" w:color="0000FF"/>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9"/>
            <w:vMerge w:val="restart"/>
          </w:tcPr>
          <w:p>
            <w:pPr>
              <w:jc w:val="right"/>
              <w:spacing w:after="0" w:line="182" w:lineRule="exact"/>
              <w:rPr>
                <w:sz w:val="20"/>
                <w:szCs w:val="20"/>
                <w:color w:val="auto"/>
              </w:rPr>
            </w:pPr>
            <w:r>
              <w:rPr>
                <w:rFonts w:ascii="Arial" w:cs="Arial" w:eastAsia="Arial" w:hAnsi="Arial"/>
                <w:sz w:val="18"/>
                <w:szCs w:val="18"/>
                <w:b w:val="1"/>
                <w:bCs w:val="1"/>
                <w:color w:val="0000FF"/>
              </w:rPr>
              <w:t>0.</w:t>
            </w:r>
            <w:r>
              <w:rPr>
                <w:rFonts w:ascii="Arial" w:cs="Arial" w:eastAsia="Arial" w:hAnsi="Arial"/>
                <w:sz w:val="18"/>
                <w:szCs w:val="18"/>
                <w:b w:val="1"/>
                <w:bCs w:val="1"/>
                <w:u w:val="single" w:color="auto"/>
                <w:color w:val="0000FF"/>
              </w:rPr>
              <w:t>35</w:t>
            </w:r>
          </w:p>
        </w:tc>
        <w:tc>
          <w:tcPr>
            <w:tcW w:w="180" w:type="dxa"/>
            <w:vAlign w:val="bottom"/>
            <w:tcBorders>
              <w:bottom w:val="single" w:sz="8" w:color="0000FF"/>
            </w:tcBorders>
            <w:vMerge w:val="continue"/>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gridSpan w:val="5"/>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320" w:type="dxa"/>
            <w:vAlign w:val="bottom"/>
            <w:gridSpan w:val="6"/>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340" w:type="dxa"/>
            <w:vAlign w:val="bottom"/>
            <w:gridSpan w:val="6"/>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9"/>
            <w:vMerge w:val="continue"/>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00" w:type="dxa"/>
            <w:vAlign w:val="bottom"/>
            <w:gridSpan w:val="6"/>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2.50</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2.50</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1.50</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vMerge w:val="restart"/>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2.</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gridSpan w:val="6"/>
            <w:vMerge w:val="restart"/>
          </w:tcPr>
          <w:p>
            <w:pPr>
              <w:spacing w:after="0"/>
              <w:rPr>
                <w:sz w:val="11"/>
                <w:szCs w:val="11"/>
                <w:color w:val="auto"/>
              </w:rPr>
            </w:pPr>
          </w:p>
        </w:tc>
        <w:tc>
          <w:tcPr>
            <w:tcW w:w="420" w:type="dxa"/>
            <w:vAlign w:val="bottom"/>
            <w:gridSpan w:val="3"/>
            <w:vMerge w:val="restart"/>
          </w:tcPr>
          <w:p>
            <w:pPr>
              <w:jc w:val="right"/>
              <w:spacing w:after="0" w:line="176" w:lineRule="exact"/>
              <w:rPr>
                <w:sz w:val="20"/>
                <w:szCs w:val="20"/>
                <w:color w:val="auto"/>
              </w:rPr>
            </w:pPr>
            <w:r>
              <w:rPr>
                <w:rFonts w:ascii="Arial" w:cs="Arial" w:eastAsia="Arial" w:hAnsi="Arial"/>
                <w:sz w:val="18"/>
                <w:szCs w:val="18"/>
                <w:b w:val="1"/>
                <w:bCs w:val="1"/>
                <w:color w:val="0000FF"/>
                <w:w w:val="88"/>
              </w:rPr>
              <w:t>0.</w:t>
            </w:r>
            <w:r>
              <w:rPr>
                <w:rFonts w:ascii="Arial" w:cs="Arial" w:eastAsia="Arial" w:hAnsi="Arial"/>
                <w:sz w:val="18"/>
                <w:szCs w:val="18"/>
                <w:b w:val="1"/>
                <w:bCs w:val="1"/>
                <w:u w:val="single" w:color="auto"/>
                <w:color w:val="0000FF"/>
                <w:w w:val="88"/>
              </w:rPr>
              <w:t>375</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gridSpan w:val="6"/>
            <w:vMerge w:val="continue"/>
          </w:tcPr>
          <w:p>
            <w:pPr>
              <w:spacing w:after="0"/>
              <w:rPr>
                <w:sz w:val="3"/>
                <w:szCs w:val="3"/>
                <w:color w:val="auto"/>
              </w:rPr>
            </w:pPr>
          </w:p>
        </w:tc>
        <w:tc>
          <w:tcPr>
            <w:tcW w:w="1580" w:type="dxa"/>
            <w:vAlign w:val="bottom"/>
            <w:gridSpan w:val="7"/>
            <w:vMerge w:val="continue"/>
          </w:tcPr>
          <w:p>
            <w:pPr>
              <w:spacing w:after="0"/>
              <w:rPr>
                <w:sz w:val="3"/>
                <w:szCs w:val="3"/>
                <w:color w:val="auto"/>
              </w:rPr>
            </w:pPr>
          </w:p>
        </w:tc>
        <w:tc>
          <w:tcPr>
            <w:tcW w:w="160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0000FF"/>
            </w:tcBorders>
            <w:gridSpan w:val="2"/>
            <w:vMerge w:val="continue"/>
          </w:tcPr>
          <w:p>
            <w:pPr>
              <w:spacing w:after="0"/>
              <w:rPr>
                <w:sz w:val="3"/>
                <w:szCs w:val="3"/>
                <w:color w:val="auto"/>
              </w:rPr>
            </w:pPr>
          </w:p>
        </w:tc>
        <w:tc>
          <w:tcPr>
            <w:tcW w:w="180" w:type="dxa"/>
            <w:vAlign w:val="bottom"/>
            <w:tcBorders>
              <w:bottom w:val="single" w:sz="8" w:color="0000FF"/>
            </w:tcBorders>
            <w:gridSpan w:val="2"/>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6"/>
            <w:vMerge w:val="continue"/>
          </w:tcPr>
          <w:p>
            <w:pPr>
              <w:spacing w:after="0"/>
              <w:rPr>
                <w:sz w:val="3"/>
                <w:szCs w:val="3"/>
                <w:color w:val="auto"/>
              </w:rPr>
            </w:pPr>
          </w:p>
        </w:tc>
        <w:tc>
          <w:tcPr>
            <w:tcW w:w="420" w:type="dxa"/>
            <w:vAlign w:val="bottom"/>
            <w:tcBorders>
              <w:bottom w:val="single" w:sz="8" w:color="0000FF"/>
            </w:tcBorders>
            <w:gridSpan w:val="3"/>
            <w:vMerge w:val="continue"/>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2.75</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2.75</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1.75</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900" w:type="dxa"/>
            <w:vAlign w:val="bottom"/>
            <w:gridSpan w:val="6"/>
            <w:vMerge w:val="restart"/>
          </w:tcPr>
          <w:p>
            <w:pPr>
              <w:spacing w:after="0" w:line="20" w:lineRule="exact"/>
              <w:rPr>
                <w:sz w:val="1"/>
                <w:szCs w:val="1"/>
                <w:color w:val="auto"/>
              </w:rPr>
            </w:pPr>
          </w:p>
        </w:tc>
        <w:tc>
          <w:tcPr>
            <w:tcW w:w="420" w:type="dxa"/>
            <w:vAlign w:val="bottom"/>
            <w:tcBorders>
              <w:bottom w:val="single" w:sz="8" w:color="0000FF"/>
            </w:tcBorders>
            <w:gridSpan w:val="3"/>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2.</w:t>
            </w:r>
            <w:r>
              <w:rPr>
                <w:rFonts w:ascii="Arial" w:cs="Arial" w:eastAsia="Arial" w:hAnsi="Arial"/>
                <w:sz w:val="18"/>
                <w:szCs w:val="18"/>
                <w:b w:val="1"/>
                <w:bCs w:val="1"/>
                <w:u w:val="single" w:color="auto"/>
                <w:color w:val="0000FF"/>
                <w:w w:val="85"/>
              </w:rPr>
              <w:t>75</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420" w:type="dxa"/>
            <w:vAlign w:val="bottom"/>
            <w:gridSpan w:val="3"/>
            <w:vMerge w:val="restart"/>
          </w:tcPr>
          <w:p>
            <w:pPr>
              <w:jc w:val="right"/>
              <w:spacing w:after="0" w:line="176" w:lineRule="exact"/>
              <w:rPr>
                <w:sz w:val="20"/>
                <w:szCs w:val="20"/>
                <w:color w:val="auto"/>
              </w:rPr>
            </w:pPr>
            <w:r>
              <w:rPr>
                <w:rFonts w:ascii="Arial" w:cs="Arial" w:eastAsia="Arial" w:hAnsi="Arial"/>
                <w:sz w:val="18"/>
                <w:szCs w:val="18"/>
                <w:b w:val="1"/>
                <w:bCs w:val="1"/>
                <w:color w:val="0000FF"/>
              </w:rPr>
              <w:t>0.</w:t>
            </w:r>
            <w:r>
              <w:rPr>
                <w:rFonts w:ascii="Arial" w:cs="Arial" w:eastAsia="Arial" w:hAnsi="Arial"/>
                <w:sz w:val="18"/>
                <w:szCs w:val="18"/>
                <w:b w:val="1"/>
                <w:bCs w:val="1"/>
                <w:u w:val="single" w:color="auto"/>
                <w:color w:val="0000FF"/>
              </w:rPr>
              <w:t>40</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gridSpan w:val="6"/>
            <w:vMerge w:val="continue"/>
          </w:tcPr>
          <w:p>
            <w:pPr>
              <w:spacing w:after="0" w:line="20" w:lineRule="exact"/>
              <w:rPr>
                <w:sz w:val="1"/>
                <w:szCs w:val="1"/>
                <w:color w:val="auto"/>
              </w:rPr>
            </w:pPr>
          </w:p>
        </w:tc>
        <w:tc>
          <w:tcPr>
            <w:tcW w:w="1580" w:type="dxa"/>
            <w:vAlign w:val="bottom"/>
            <w:gridSpan w:val="7"/>
            <w:vMerge w:val="continue"/>
          </w:tcPr>
          <w:p>
            <w:pPr>
              <w:spacing w:after="0" w:line="20" w:lineRule="exact"/>
              <w:rPr>
                <w:sz w:val="1"/>
                <w:szCs w:val="1"/>
                <w:color w:val="auto"/>
              </w:rPr>
            </w:pPr>
          </w:p>
        </w:tc>
        <w:tc>
          <w:tcPr>
            <w:tcW w:w="160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00" w:type="dxa"/>
            <w:vAlign w:val="bottom"/>
            <w:gridSpan w:val="6"/>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3.00</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3.00</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2.00</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3.</w:t>
            </w:r>
            <w:r>
              <w:rPr>
                <w:rFonts w:ascii="Arial" w:cs="Arial" w:eastAsia="Arial" w:hAnsi="Arial"/>
                <w:sz w:val="18"/>
                <w:szCs w:val="18"/>
                <w:b w:val="1"/>
                <w:bCs w:val="1"/>
                <w:u w:val="single" w:color="auto"/>
                <w:color w:val="0000FF"/>
                <w:w w:val="85"/>
              </w:rPr>
              <w:t>00</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8"/>
            <w:vMerge w:val="continue"/>
          </w:tcPr>
          <w:p>
            <w:pPr>
              <w:spacing w:after="0"/>
              <w:rPr>
                <w:sz w:val="11"/>
                <w:szCs w:val="11"/>
                <w:color w:val="auto"/>
              </w:rPr>
            </w:pPr>
          </w:p>
        </w:tc>
        <w:tc>
          <w:tcPr>
            <w:tcW w:w="32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0.</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gridSpan w:val="6"/>
            <w:vMerge w:val="continue"/>
          </w:tcPr>
          <w:p>
            <w:pPr>
              <w:spacing w:after="0"/>
              <w:rPr>
                <w:sz w:val="3"/>
                <w:szCs w:val="3"/>
                <w:color w:val="auto"/>
              </w:rPr>
            </w:pPr>
          </w:p>
        </w:tc>
        <w:tc>
          <w:tcPr>
            <w:tcW w:w="1580" w:type="dxa"/>
            <w:vAlign w:val="bottom"/>
            <w:gridSpan w:val="7"/>
            <w:vMerge w:val="continue"/>
          </w:tcPr>
          <w:p>
            <w:pPr>
              <w:spacing w:after="0"/>
              <w:rPr>
                <w:sz w:val="3"/>
                <w:szCs w:val="3"/>
                <w:color w:val="auto"/>
              </w:rPr>
            </w:pPr>
          </w:p>
        </w:tc>
        <w:tc>
          <w:tcPr>
            <w:tcW w:w="160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0000FF"/>
            </w:tcBorders>
            <w:gridSpan w:val="2"/>
            <w:vMerge w:val="continue"/>
          </w:tcPr>
          <w:p>
            <w:pPr>
              <w:spacing w:after="0"/>
              <w:rPr>
                <w:sz w:val="3"/>
                <w:szCs w:val="3"/>
                <w:color w:val="auto"/>
              </w:rPr>
            </w:pPr>
          </w:p>
        </w:tc>
        <w:tc>
          <w:tcPr>
            <w:tcW w:w="180" w:type="dxa"/>
            <w:vAlign w:val="bottom"/>
            <w:tcBorders>
              <w:bottom w:val="single" w:sz="8" w:color="0000FF"/>
            </w:tcBorders>
            <w:gridSpan w:val="2"/>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0000FF"/>
            </w:tcBorders>
            <w:vMerge w:val="continue"/>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3.25</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3.25</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2.25</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3.</w:t>
            </w:r>
            <w:r>
              <w:rPr>
                <w:rFonts w:ascii="Arial" w:cs="Arial" w:eastAsia="Arial" w:hAnsi="Arial"/>
                <w:sz w:val="18"/>
                <w:szCs w:val="18"/>
                <w:b w:val="1"/>
                <w:bCs w:val="1"/>
                <w:u w:val="single" w:color="auto"/>
                <w:color w:val="0000FF"/>
                <w:w w:val="85"/>
              </w:rPr>
              <w:t>25</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8"/>
            <w:vMerge w:val="continue"/>
          </w:tcPr>
          <w:p>
            <w:pPr>
              <w:spacing w:after="0"/>
              <w:rPr>
                <w:sz w:val="11"/>
                <w:szCs w:val="11"/>
                <w:color w:val="auto"/>
              </w:rPr>
            </w:pPr>
          </w:p>
        </w:tc>
        <w:tc>
          <w:tcPr>
            <w:tcW w:w="32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0.</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gridSpan w:val="6"/>
            <w:vMerge w:val="continue"/>
          </w:tcPr>
          <w:p>
            <w:pPr>
              <w:spacing w:after="0"/>
              <w:rPr>
                <w:sz w:val="3"/>
                <w:szCs w:val="3"/>
                <w:color w:val="auto"/>
              </w:rPr>
            </w:pPr>
          </w:p>
        </w:tc>
        <w:tc>
          <w:tcPr>
            <w:tcW w:w="1580" w:type="dxa"/>
            <w:vAlign w:val="bottom"/>
            <w:gridSpan w:val="7"/>
            <w:vMerge w:val="continue"/>
          </w:tcPr>
          <w:p>
            <w:pPr>
              <w:spacing w:after="0"/>
              <w:rPr>
                <w:sz w:val="3"/>
                <w:szCs w:val="3"/>
                <w:color w:val="auto"/>
              </w:rPr>
            </w:pPr>
          </w:p>
        </w:tc>
        <w:tc>
          <w:tcPr>
            <w:tcW w:w="160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0000FF"/>
            </w:tcBorders>
            <w:gridSpan w:val="2"/>
            <w:vMerge w:val="continue"/>
          </w:tcPr>
          <w:p>
            <w:pPr>
              <w:spacing w:after="0"/>
              <w:rPr>
                <w:sz w:val="3"/>
                <w:szCs w:val="3"/>
                <w:color w:val="auto"/>
              </w:rPr>
            </w:pPr>
          </w:p>
        </w:tc>
        <w:tc>
          <w:tcPr>
            <w:tcW w:w="180" w:type="dxa"/>
            <w:vAlign w:val="bottom"/>
            <w:tcBorders>
              <w:bottom w:val="single" w:sz="8" w:color="0000FF"/>
            </w:tcBorders>
            <w:gridSpan w:val="2"/>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0000FF"/>
            </w:tcBorders>
            <w:vMerge w:val="continue"/>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3.50</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3.50</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2.50</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3.</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8"/>
            <w:vMerge w:val="continue"/>
          </w:tcPr>
          <w:p>
            <w:pPr>
              <w:spacing w:after="0"/>
              <w:rPr>
                <w:sz w:val="11"/>
                <w:szCs w:val="11"/>
                <w:color w:val="auto"/>
              </w:rPr>
            </w:pPr>
          </w:p>
        </w:tc>
        <w:tc>
          <w:tcPr>
            <w:tcW w:w="32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0.</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gridSpan w:val="6"/>
            <w:vMerge w:val="continue"/>
          </w:tcPr>
          <w:p>
            <w:pPr>
              <w:spacing w:after="0"/>
              <w:rPr>
                <w:sz w:val="3"/>
                <w:szCs w:val="3"/>
                <w:color w:val="auto"/>
              </w:rPr>
            </w:pPr>
          </w:p>
        </w:tc>
        <w:tc>
          <w:tcPr>
            <w:tcW w:w="1580" w:type="dxa"/>
            <w:vAlign w:val="bottom"/>
            <w:gridSpan w:val="7"/>
            <w:vMerge w:val="continue"/>
          </w:tcPr>
          <w:p>
            <w:pPr>
              <w:spacing w:after="0"/>
              <w:rPr>
                <w:sz w:val="3"/>
                <w:szCs w:val="3"/>
                <w:color w:val="auto"/>
              </w:rPr>
            </w:pPr>
          </w:p>
        </w:tc>
        <w:tc>
          <w:tcPr>
            <w:tcW w:w="160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0000FF"/>
            </w:tcBorders>
            <w:gridSpan w:val="2"/>
            <w:vMerge w:val="continue"/>
          </w:tcPr>
          <w:p>
            <w:pPr>
              <w:spacing w:after="0"/>
              <w:rPr>
                <w:sz w:val="3"/>
                <w:szCs w:val="3"/>
                <w:color w:val="auto"/>
              </w:rPr>
            </w:pPr>
          </w:p>
        </w:tc>
        <w:tc>
          <w:tcPr>
            <w:tcW w:w="180" w:type="dxa"/>
            <w:vAlign w:val="bottom"/>
            <w:tcBorders>
              <w:bottom w:val="single" w:sz="8" w:color="0000FF"/>
            </w:tcBorders>
            <w:gridSpan w:val="2"/>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0000FF"/>
            </w:tcBorders>
            <w:vMerge w:val="continue"/>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00" w:type="dxa"/>
            <w:vAlign w:val="bottom"/>
            <w:gridSpan w:val="6"/>
            <w:vMerge w:val="restart"/>
          </w:tcPr>
          <w:p>
            <w:pPr>
              <w:jc w:val="right"/>
              <w:ind w:right="30"/>
              <w:spacing w:after="0" w:line="210" w:lineRule="exact"/>
              <w:rPr>
                <w:sz w:val="20"/>
                <w:szCs w:val="20"/>
                <w:color w:val="auto"/>
              </w:rPr>
            </w:pPr>
            <w:r>
              <w:rPr>
                <w:rFonts w:ascii="Arial" w:cs="Arial" w:eastAsia="Arial" w:hAnsi="Arial"/>
                <w:sz w:val="14"/>
                <w:szCs w:val="14"/>
                <w:color w:val="auto"/>
              </w:rPr>
              <w:t>3.75</w:t>
            </w:r>
            <w:r>
              <w:rPr>
                <w:rFonts w:ascii="Arial" w:cs="Arial" w:eastAsia="Arial" w:hAnsi="Arial"/>
                <w:sz w:val="24"/>
                <w:szCs w:val="24"/>
                <w:color w:val="auto"/>
                <w:vertAlign w:val="superscript"/>
              </w:rPr>
              <w:t>%</w:t>
            </w:r>
          </w:p>
        </w:tc>
        <w:tc>
          <w:tcPr>
            <w:tcW w:w="158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3.75</w:t>
            </w:r>
            <w:r>
              <w:rPr>
                <w:rFonts w:ascii="Arial" w:cs="Arial" w:eastAsia="Arial" w:hAnsi="Arial"/>
                <w:sz w:val="24"/>
                <w:szCs w:val="24"/>
                <w:color w:val="auto"/>
                <w:vertAlign w:val="superscript"/>
              </w:rPr>
              <w:t>%</w:t>
            </w:r>
          </w:p>
        </w:tc>
        <w:tc>
          <w:tcPr>
            <w:tcW w:w="1600" w:type="dxa"/>
            <w:vAlign w:val="bottom"/>
            <w:gridSpan w:val="7"/>
            <w:vMerge w:val="restart"/>
          </w:tcPr>
          <w:p>
            <w:pPr>
              <w:jc w:val="right"/>
              <w:ind w:right="30"/>
              <w:spacing w:after="0" w:line="210" w:lineRule="exact"/>
              <w:rPr>
                <w:sz w:val="20"/>
                <w:szCs w:val="20"/>
                <w:color w:val="auto"/>
              </w:rPr>
            </w:pPr>
            <w:r>
              <w:rPr>
                <w:rFonts w:ascii="Arial" w:cs="Arial" w:eastAsia="Arial" w:hAnsi="Arial"/>
                <w:sz w:val="14"/>
                <w:szCs w:val="14"/>
                <w:color w:val="auto"/>
              </w:rPr>
              <w:t>2.75</w:t>
            </w:r>
            <w:r>
              <w:rPr>
                <w:rFonts w:ascii="Arial" w:cs="Arial" w:eastAsia="Arial" w:hAnsi="Arial"/>
                <w:sz w:val="24"/>
                <w:szCs w:val="24"/>
                <w:color w:val="auto"/>
                <w:vertAlign w:val="superscript"/>
              </w:rPr>
              <w:t>%</w:t>
            </w:r>
          </w:p>
        </w:tc>
        <w:tc>
          <w:tcPr>
            <w:tcW w:w="1000" w:type="dxa"/>
            <w:vAlign w:val="bottom"/>
            <w:gridSpan w:val="5"/>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120" w:type="dxa"/>
            <w:vAlign w:val="bottom"/>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99"/>
              </w:rPr>
              <w:t>%</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00" w:type="dxa"/>
            <w:vAlign w:val="bottom"/>
            <w:gridSpan w:val="6"/>
            <w:vMerge w:val="continue"/>
          </w:tcPr>
          <w:p>
            <w:pPr>
              <w:spacing w:after="0"/>
              <w:rPr>
                <w:sz w:val="11"/>
                <w:szCs w:val="11"/>
                <w:color w:val="auto"/>
              </w:rPr>
            </w:pPr>
          </w:p>
        </w:tc>
        <w:tc>
          <w:tcPr>
            <w:tcW w:w="1580" w:type="dxa"/>
            <w:vAlign w:val="bottom"/>
            <w:gridSpan w:val="7"/>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320" w:type="dxa"/>
            <w:vAlign w:val="bottom"/>
            <w:gridSpan w:val="2"/>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3.</w:t>
            </w:r>
            <w:r>
              <w:rPr>
                <w:rFonts w:ascii="Arial" w:cs="Arial" w:eastAsia="Arial" w:hAnsi="Arial"/>
                <w:sz w:val="18"/>
                <w:szCs w:val="18"/>
                <w:b w:val="1"/>
                <w:bCs w:val="1"/>
                <w:u w:val="single" w:color="auto"/>
                <w:color w:val="0000FF"/>
                <w:w w:val="85"/>
              </w:rPr>
              <w:t>75</w:t>
            </w:r>
          </w:p>
        </w:tc>
        <w:tc>
          <w:tcPr>
            <w:tcW w:w="180" w:type="dxa"/>
            <w:vAlign w:val="bottom"/>
            <w:tcBorders>
              <w:bottom w:val="single" w:sz="8" w:color="0000FF"/>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8"/>
            <w:vMerge w:val="continue"/>
          </w:tcPr>
          <w:p>
            <w:pPr>
              <w:spacing w:after="0"/>
              <w:rPr>
                <w:sz w:val="11"/>
                <w:szCs w:val="11"/>
                <w:color w:val="auto"/>
              </w:rPr>
            </w:pPr>
          </w:p>
        </w:tc>
        <w:tc>
          <w:tcPr>
            <w:tcW w:w="32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0000FF"/>
                <w:w w:val="85"/>
              </w:rPr>
              <w:t>0.</w:t>
            </w:r>
            <w:r>
              <w:rPr>
                <w:rFonts w:ascii="Arial" w:cs="Arial" w:eastAsia="Arial" w:hAnsi="Arial"/>
                <w:sz w:val="18"/>
                <w:szCs w:val="18"/>
                <w:b w:val="1"/>
                <w:bCs w:val="1"/>
                <w:u w:val="single" w:color="auto"/>
                <w:color w:val="0000FF"/>
                <w:w w:val="85"/>
              </w:rPr>
              <w:t>50</w:t>
            </w:r>
          </w:p>
        </w:tc>
        <w:tc>
          <w:tcPr>
            <w:tcW w:w="180" w:type="dxa"/>
            <w:vAlign w:val="bottom"/>
            <w:tcBorders>
              <w:bottom w:val="single" w:sz="8" w:color="0000FF"/>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gridSpan w:val="6"/>
            <w:vMerge w:val="continue"/>
          </w:tcPr>
          <w:p>
            <w:pPr>
              <w:spacing w:after="0"/>
              <w:rPr>
                <w:sz w:val="3"/>
                <w:szCs w:val="3"/>
                <w:color w:val="auto"/>
              </w:rPr>
            </w:pPr>
          </w:p>
        </w:tc>
        <w:tc>
          <w:tcPr>
            <w:tcW w:w="1580" w:type="dxa"/>
            <w:vAlign w:val="bottom"/>
            <w:gridSpan w:val="7"/>
            <w:vMerge w:val="continue"/>
          </w:tcPr>
          <w:p>
            <w:pPr>
              <w:spacing w:after="0"/>
              <w:rPr>
                <w:sz w:val="3"/>
                <w:szCs w:val="3"/>
                <w:color w:val="auto"/>
              </w:rPr>
            </w:pPr>
          </w:p>
        </w:tc>
        <w:tc>
          <w:tcPr>
            <w:tcW w:w="160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0000FF"/>
            </w:tcBorders>
            <w:gridSpan w:val="2"/>
            <w:vMerge w:val="continue"/>
          </w:tcPr>
          <w:p>
            <w:pPr>
              <w:spacing w:after="0"/>
              <w:rPr>
                <w:sz w:val="3"/>
                <w:szCs w:val="3"/>
                <w:color w:val="auto"/>
              </w:rPr>
            </w:pPr>
          </w:p>
        </w:tc>
        <w:tc>
          <w:tcPr>
            <w:tcW w:w="180" w:type="dxa"/>
            <w:vAlign w:val="bottom"/>
            <w:tcBorders>
              <w:bottom w:val="single" w:sz="8" w:color="0000FF"/>
            </w:tcBorders>
            <w:gridSpan w:val="2"/>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0000FF"/>
            </w:tcBorders>
            <w:vMerge w:val="continue"/>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-1148080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-814070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-488315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-162560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120"/>
            <w:col w:w="8000"/>
          </w:cols>
          <w:pgMar w:left="320" w:top="908"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3" w:name="page54"/>
    <w:bookmarkEnd w:id="53"/>
    <w:p>
      <w:pPr>
        <w:jc w:val="both"/>
        <w:ind w:firstLine="648"/>
        <w:spacing w:after="0" w:line="288" w:lineRule="auto"/>
        <w:rPr>
          <w:sz w:val="20"/>
          <w:szCs w:val="20"/>
          <w:color w:val="auto"/>
        </w:rPr>
      </w:pPr>
      <w:r>
        <w:rPr>
          <w:rFonts w:ascii="Arial" w:cs="Arial" w:eastAsia="Arial" w:hAnsi="Arial"/>
          <w:sz w:val="16"/>
          <w:szCs w:val="16"/>
          <w:color w:val="auto"/>
        </w:rPr>
        <w:t xml:space="preserve">For purposes of the foregoing, (i) </w:t>
      </w:r>
      <w:r>
        <w:rPr>
          <w:rFonts w:ascii="Arial" w:cs="Arial" w:eastAsia="Arial" w:hAnsi="Arial"/>
          <w:sz w:val="16"/>
          <w:szCs w:val="16"/>
          <w:b w:val="1"/>
          <w:bCs w:val="1"/>
          <w:u w:val="single" w:color="auto"/>
          <w:color w:val="0000FF"/>
        </w:rPr>
        <w:t>the Applicable Margin shall be determined by reference to the Level in which at least two of the three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rating agencies shall have established an equivalent Corporate Rating; provided that, if all three rating agencies shall have in effect different Corporate Ratings, then the Level will be based on the Corporate Rating that falls in the middle of the three Corporate Ratings, (ii)</w:t>
      </w:r>
      <w:r>
        <w:rPr>
          <w:rFonts w:ascii="Arial" w:cs="Arial" w:eastAsia="Arial" w:hAnsi="Arial"/>
          <w:sz w:val="16"/>
          <w:szCs w:val="16"/>
          <w:b w:val="1"/>
          <w:bCs w:val="1"/>
          <w:color w:val="0000FF"/>
        </w:rPr>
        <w:t xml:space="preserve"> </w:t>
      </w:r>
      <w:r>
        <w:rPr>
          <w:rFonts w:ascii="Arial" w:cs="Arial" w:eastAsia="Arial" w:hAnsi="Arial"/>
          <w:sz w:val="16"/>
          <w:szCs w:val="16"/>
          <w:color w:val="000000"/>
        </w:rPr>
        <w:t>if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Corporate Ratings established by Moody’s</w:t>
      </w:r>
      <w:r>
        <w:rPr>
          <w:rFonts w:ascii="Arial" w:cs="Arial" w:eastAsia="Arial" w:hAnsi="Arial"/>
          <w:sz w:val="16"/>
          <w:szCs w:val="16"/>
          <w:b w:val="1"/>
          <w:bCs w:val="1"/>
          <w:u w:val="single" w:color="auto"/>
          <w:color w:val="0000FF"/>
        </w:rPr>
        <w:t>, Fitch</w:t>
      </w:r>
      <w:r>
        <w:rPr>
          <w:rFonts w:ascii="Arial" w:cs="Arial" w:eastAsia="Arial" w:hAnsi="Arial"/>
          <w:sz w:val="16"/>
          <w:szCs w:val="16"/>
          <w:color w:val="000000"/>
        </w:rPr>
        <w:t xml:space="preserve"> and S&amp;P shall fall within the same Level, the Applicable Margin shall be determined by reference to such Level; (</w:t>
      </w:r>
      <w:r>
        <w:rPr>
          <w:rFonts w:ascii="Arial" w:cs="Arial" w:eastAsia="Arial" w:hAnsi="Arial"/>
          <w:sz w:val="16"/>
          <w:szCs w:val="16"/>
          <w:b w:val="1"/>
          <w:bCs w:val="1"/>
          <w:color w:val="FF0000"/>
          <w:strike w:val="1"/>
        </w:rPr>
        <w:t>ii</w:t>
      </w:r>
      <w:r>
        <w:rPr>
          <w:rFonts w:ascii="Arial" w:cs="Arial" w:eastAsia="Arial" w:hAnsi="Arial"/>
          <w:sz w:val="16"/>
          <w:szCs w:val="16"/>
          <w:b w:val="1"/>
          <w:bCs w:val="1"/>
          <w:u w:val="single" w:color="auto"/>
          <w:color w:val="0000FF"/>
        </w:rPr>
        <w:t>iii</w:t>
      </w:r>
      <w:r>
        <w:rPr>
          <w:rFonts w:ascii="Arial" w:cs="Arial" w:eastAsia="Arial" w:hAnsi="Arial"/>
          <w:sz w:val="16"/>
          <w:szCs w:val="16"/>
          <w:color w:val="000000"/>
        </w:rPr>
        <w:t xml:space="preserve">) if </w:t>
      </w:r>
      <w:r>
        <w:rPr>
          <w:rFonts w:ascii="Arial" w:cs="Arial" w:eastAsia="Arial" w:hAnsi="Arial"/>
          <w:sz w:val="16"/>
          <w:szCs w:val="16"/>
          <w:b w:val="1"/>
          <w:bCs w:val="1"/>
          <w:color w:val="FF0000"/>
          <w:strike w:val="1"/>
        </w:rPr>
        <w:t>neither</w:t>
      </w:r>
      <w:r>
        <w:rPr>
          <w:rFonts w:ascii="Arial" w:cs="Arial" w:eastAsia="Arial" w:hAnsi="Arial"/>
          <w:sz w:val="16"/>
          <w:szCs w:val="16"/>
          <w:b w:val="1"/>
          <w:bCs w:val="1"/>
          <w:u w:val="single" w:color="auto"/>
          <w:color w:val="0000FF"/>
        </w:rPr>
        <w:t>none of</w:t>
      </w:r>
      <w:r>
        <w:rPr>
          <w:rFonts w:ascii="Arial" w:cs="Arial" w:eastAsia="Arial" w:hAnsi="Arial"/>
          <w:sz w:val="16"/>
          <w:szCs w:val="16"/>
          <w:color w:val="000000"/>
        </w:rPr>
        <w:t xml:space="preserve"> Moody’s </w:t>
      </w:r>
      <w:r>
        <w:rPr>
          <w:rFonts w:ascii="Arial" w:cs="Arial" w:eastAsia="Arial" w:hAnsi="Arial"/>
          <w:sz w:val="16"/>
          <w:szCs w:val="16"/>
          <w:b w:val="1"/>
          <w:bCs w:val="1"/>
          <w:color w:val="FF0000"/>
          <w:strike w:val="1"/>
        </w:rPr>
        <w:t>nor</w:t>
      </w:r>
      <w:r>
        <w:rPr>
          <w:rFonts w:ascii="Arial" w:cs="Arial" w:eastAsia="Arial" w:hAnsi="Arial"/>
          <w:sz w:val="16"/>
          <w:szCs w:val="16"/>
          <w:b w:val="1"/>
          <w:bCs w:val="1"/>
          <w:u w:val="single" w:color="auto"/>
          <w:color w:val="0000FF"/>
        </w:rPr>
        <w:t>, Fitch and</w:t>
      </w:r>
      <w:r>
        <w:rPr>
          <w:rFonts w:ascii="Arial" w:cs="Arial" w:eastAsia="Arial" w:hAnsi="Arial"/>
          <w:sz w:val="16"/>
          <w:szCs w:val="16"/>
          <w:color w:val="000000"/>
        </w:rPr>
        <w:t xml:space="preserve"> S&amp;P shall have in effect a Corporate Rating (other than by reason of the circumstances referred to in the last sentence of this definition), then such rating agencies shall be deemed to have established a rating in Level 7; (</w:t>
      </w:r>
      <w:r>
        <w:rPr>
          <w:rFonts w:ascii="Arial" w:cs="Arial" w:eastAsia="Arial" w:hAnsi="Arial"/>
          <w:sz w:val="16"/>
          <w:szCs w:val="16"/>
          <w:b w:val="1"/>
          <w:bCs w:val="1"/>
          <w:color w:val="FF0000"/>
          <w:strike w:val="1"/>
        </w:rPr>
        <w:t>iii</w:t>
      </w:r>
      <w:r>
        <w:rPr>
          <w:rFonts w:ascii="Arial" w:cs="Arial" w:eastAsia="Arial" w:hAnsi="Arial"/>
          <w:sz w:val="16"/>
          <w:szCs w:val="16"/>
          <w:b w:val="1"/>
          <w:bCs w:val="1"/>
          <w:u w:val="single" w:color="auto"/>
          <w:color w:val="0000FF"/>
        </w:rPr>
        <w:t>iv</w:t>
      </w:r>
      <w:r>
        <w:rPr>
          <w:rFonts w:ascii="Arial" w:cs="Arial" w:eastAsia="Arial" w:hAnsi="Arial"/>
          <w:sz w:val="16"/>
          <w:szCs w:val="16"/>
          <w:color w:val="000000"/>
        </w:rPr>
        <w:t>) if only one of Moody’s</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Fitch</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S&amp;P shall have in effect a Corporate Rating, the Applicable Margin shall be determined by reference to the Level in which such rating falls;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w:t>
      </w:r>
      <w:r>
        <w:rPr>
          <w:rFonts w:ascii="Arial" w:cs="Arial" w:eastAsia="Arial" w:hAnsi="Arial"/>
          <w:sz w:val="16"/>
          <w:szCs w:val="16"/>
          <w:b w:val="1"/>
          <w:bCs w:val="1"/>
          <w:color w:val="0000FF"/>
        </w:rPr>
        <w:t xml:space="preserve"> </w:t>
      </w:r>
      <w:r>
        <w:rPr>
          <w:rFonts w:ascii="Arial" w:cs="Arial" w:eastAsia="Arial" w:hAnsi="Arial"/>
          <w:sz w:val="16"/>
          <w:szCs w:val="16"/>
          <w:color w:val="000000"/>
        </w:rPr>
        <w:t>(</w:t>
      </w:r>
      <w:r>
        <w:rPr>
          <w:rFonts w:ascii="Arial" w:cs="Arial" w:eastAsia="Arial" w:hAnsi="Arial"/>
          <w:sz w:val="16"/>
          <w:szCs w:val="16"/>
          <w:b w:val="1"/>
          <w:bCs w:val="1"/>
          <w:color w:val="FF0000"/>
          <w:strike w:val="1"/>
        </w:rPr>
        <w:t>iv</w:t>
      </w:r>
      <w:r>
        <w:rPr>
          <w:rFonts w:ascii="Arial" w:cs="Arial" w:eastAsia="Arial" w:hAnsi="Arial"/>
          <w:sz w:val="16"/>
          <w:szCs w:val="16"/>
          <w:b w:val="1"/>
          <w:bCs w:val="1"/>
          <w:u w:val="single" w:color="auto"/>
          <w:color w:val="0000FF"/>
        </w:rPr>
        <w:t>v</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if only two of Moody’s, Fitch and S&amp;P shall have in effect a Corporate Rating and</w:t>
      </w:r>
      <w:r>
        <w:rPr>
          <w:rFonts w:ascii="Arial" w:cs="Arial" w:eastAsia="Arial" w:hAnsi="Arial"/>
          <w:sz w:val="16"/>
          <w:szCs w:val="16"/>
          <w:color w:val="000000"/>
        </w:rPr>
        <w:t xml:space="preserve"> if the Corporate Ratings established by </w:t>
      </w:r>
      <w:r>
        <w:rPr>
          <w:rFonts w:ascii="Arial" w:cs="Arial" w:eastAsia="Arial" w:hAnsi="Arial"/>
          <w:sz w:val="16"/>
          <w:szCs w:val="16"/>
          <w:b w:val="1"/>
          <w:bCs w:val="1"/>
          <w:color w:val="FF0000"/>
          <w:strike w:val="1"/>
        </w:rPr>
        <w:t>Moody’s and</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S&amp;P</w:t>
      </w:r>
      <w:r>
        <w:rPr>
          <w:rFonts w:ascii="Arial" w:cs="Arial" w:eastAsia="Arial" w:hAnsi="Arial"/>
          <w:sz w:val="16"/>
          <w:szCs w:val="16"/>
          <w:b w:val="1"/>
          <w:bCs w:val="1"/>
          <w:u w:val="single" w:color="auto"/>
          <w:color w:val="0000FF"/>
        </w:rPr>
        <w:t>such two rating agencies</w:t>
      </w:r>
      <w:r>
        <w:rPr>
          <w:rFonts w:ascii="Arial" w:cs="Arial" w:eastAsia="Arial" w:hAnsi="Arial"/>
          <w:sz w:val="16"/>
          <w:szCs w:val="16"/>
          <w:b w:val="1"/>
          <w:bCs w:val="1"/>
          <w:color w:val="FF0000"/>
        </w:rPr>
        <w:t xml:space="preserve"> </w:t>
      </w:r>
      <w:r>
        <w:rPr>
          <w:rFonts w:ascii="Arial" w:cs="Arial" w:eastAsia="Arial" w:hAnsi="Arial"/>
          <w:sz w:val="16"/>
          <w:szCs w:val="16"/>
          <w:color w:val="000000"/>
        </w:rPr>
        <w:t>shall fall within different Levels from each other, the Applicable Margin shall be based on the higher of the two Corporate</w:t>
      </w:r>
      <w:r>
        <w:rPr>
          <w:rFonts w:ascii="Arial" w:cs="Arial" w:eastAsia="Arial" w:hAnsi="Arial"/>
          <w:sz w:val="16"/>
          <w:szCs w:val="16"/>
          <w:b w:val="1"/>
          <w:bCs w:val="1"/>
          <w:color w:val="FF0000"/>
        </w:rPr>
        <w:t xml:space="preserve"> </w:t>
      </w:r>
      <w:r>
        <w:rPr>
          <w:rFonts w:ascii="Arial" w:cs="Arial" w:eastAsia="Arial" w:hAnsi="Arial"/>
          <w:sz w:val="16"/>
          <w:szCs w:val="16"/>
          <w:color w:val="000000"/>
        </w:rPr>
        <w:t>Ratings unless one of the Corporate Ratings is two or more Levels lower than the other Corporate Rating, in which case the Applicable Margin shall be determined by reference to the Level one Level above that corresponding to the lower Corporate Rating</w:t>
      </w:r>
      <w:r>
        <w:rPr>
          <w:rFonts w:ascii="Arial" w:cs="Arial" w:eastAsia="Arial" w:hAnsi="Arial"/>
          <w:sz w:val="16"/>
          <w:szCs w:val="16"/>
          <w:b w:val="1"/>
          <w:bCs w:val="1"/>
          <w:color w:val="FF0000"/>
          <w:strike w:val="1"/>
        </w:rPr>
        <w:t>; and (v) if</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u w:val="single" w:color="auto"/>
          <w:color w:val="0000FF"/>
        </w:rPr>
        <w:t>If</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Corporate Rating established or deemed to have been established by Moody’s</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w:t>
      </w:r>
      <w:r>
        <w:rPr>
          <w:rFonts w:ascii="Arial" w:cs="Arial" w:eastAsia="Arial" w:hAnsi="Arial"/>
          <w:sz w:val="17"/>
          <w:szCs w:val="17"/>
          <w:b w:val="1"/>
          <w:bCs w:val="1"/>
          <w:color w:val="0000FF"/>
        </w:rPr>
        <w:t xml:space="preserve"> </w:t>
      </w:r>
      <w:r>
        <w:rPr>
          <w:rFonts w:ascii="Arial" w:cs="Arial" w:eastAsia="Arial" w:hAnsi="Arial"/>
          <w:sz w:val="17"/>
          <w:szCs w:val="17"/>
          <w:color w:val="000000"/>
        </w:rPr>
        <w:t>S&amp;P</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and/or, if applicable, Fitch</w:t>
      </w:r>
      <w:r>
        <w:rPr>
          <w:rFonts w:ascii="Arial" w:cs="Arial" w:eastAsia="Arial" w:hAnsi="Arial"/>
          <w:sz w:val="17"/>
          <w:szCs w:val="17"/>
          <w:b w:val="1"/>
          <w:bCs w:val="1"/>
          <w:color w:val="0000FF"/>
        </w:rPr>
        <w:t xml:space="preserve"> </w:t>
      </w:r>
      <w:r>
        <w:rPr>
          <w:rFonts w:ascii="Arial" w:cs="Arial" w:eastAsia="Arial" w:hAnsi="Arial"/>
          <w:sz w:val="17"/>
          <w:szCs w:val="17"/>
          <w:color w:val="000000"/>
        </w:rPr>
        <w:t>shall be changed (other</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than as a result of a change in the rating system of Moody’s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xml:space="preserve"> S&amp;P </w:t>
      </w:r>
      <w:r>
        <w:rPr>
          <w:rFonts w:ascii="Arial" w:cs="Arial" w:eastAsia="Arial" w:hAnsi="Arial"/>
          <w:sz w:val="17"/>
          <w:szCs w:val="17"/>
          <w:b w:val="1"/>
          <w:bCs w:val="1"/>
          <w:u w:val="single" w:color="auto"/>
          <w:color w:val="0000FF"/>
        </w:rPr>
        <w:t>or Fitch</w:t>
      </w:r>
      <w:r>
        <w:rPr>
          <w:rFonts w:ascii="Arial" w:cs="Arial" w:eastAsia="Arial" w:hAnsi="Arial"/>
          <w:sz w:val="17"/>
          <w:szCs w:val="17"/>
          <w:color w:val="000000"/>
        </w:rPr>
        <w:t xml:space="preserve">), such change shall be effective as of the date on which it is first announced by the applicable rating agency, irrespective of when notice of such change shall have been furnished by the Borrowers to the Administrative Agent and the Lenders pursuant to </w:t>
      </w:r>
      <w:r>
        <w:rPr>
          <w:rFonts w:ascii="Arial" w:cs="Arial" w:eastAsia="Arial" w:hAnsi="Arial"/>
          <w:sz w:val="17"/>
          <w:szCs w:val="17"/>
          <w:u w:val="single" w:color="auto"/>
          <w:color w:val="000000"/>
        </w:rPr>
        <w:t>Section 8.01(j)</w:t>
      </w:r>
      <w:r>
        <w:rPr>
          <w:rFonts w:ascii="Arial" w:cs="Arial" w:eastAsia="Arial" w:hAnsi="Arial"/>
          <w:sz w:val="17"/>
          <w:szCs w:val="17"/>
          <w:color w:val="000000"/>
        </w:rPr>
        <w:t xml:space="preserve"> or otherwise. Each change in the Applicable Margin shall apply during the period commencing on the effective date of such change and ending on the date immediately preceding the effective date of the next such change. If the rating system of Moody’s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xml:space="preserve"> S&amp;P </w:t>
      </w:r>
      <w:r>
        <w:rPr>
          <w:rFonts w:ascii="Arial" w:cs="Arial" w:eastAsia="Arial" w:hAnsi="Arial"/>
          <w:sz w:val="17"/>
          <w:szCs w:val="17"/>
          <w:b w:val="1"/>
          <w:bCs w:val="1"/>
          <w:u w:val="single" w:color="auto"/>
          <w:color w:val="0000FF"/>
        </w:rPr>
        <w:t>and/or, if</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applicable, Fitch</w:t>
      </w:r>
      <w:r>
        <w:rPr>
          <w:rFonts w:ascii="Arial" w:cs="Arial" w:eastAsia="Arial" w:hAnsi="Arial"/>
          <w:sz w:val="17"/>
          <w:szCs w:val="17"/>
          <w:b w:val="1"/>
          <w:bCs w:val="1"/>
          <w:color w:val="0000FF"/>
        </w:rPr>
        <w:t xml:space="preserve"> </w:t>
      </w:r>
      <w:r>
        <w:rPr>
          <w:rFonts w:ascii="Arial" w:cs="Arial" w:eastAsia="Arial" w:hAnsi="Arial"/>
          <w:sz w:val="17"/>
          <w:szCs w:val="17"/>
          <w:color w:val="000000"/>
        </w:rPr>
        <w:t>shall change, or if any such rating agency shall cease to be in the business of rating corporate debt obligations, the Borrowers and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its Applicable Percentage (Total), Applicable Percentage (LCs) or Applicable Percentage (Loans),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 (LCs)</w:t>
      </w:r>
      <w:r>
        <w:rPr>
          <w:rFonts w:ascii="Arial" w:cs="Arial" w:eastAsia="Arial" w:hAnsi="Arial"/>
          <w:sz w:val="18"/>
          <w:szCs w:val="18"/>
          <w:color w:val="auto"/>
        </w:rPr>
        <w:t>” means, with respect to any Lender: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            to the extent related to any Performance Letter of Credit, the percentage (carried out to the twelfth decimal place) of the aggregate Performance LC Commitments represented by such Lender’s Performance LC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that a Defaulting Lender shall exist, the “Applicable Percentage (LCs)” in respect of this clause (a) shall mean the percentage of the aggregate Performance LC Commitments (disregarding any Defaulting Lender’s Performance LC Commitment at such time) represented by such Lender’s Performance LC Commitment. If all of the Performance LC Commitments have terminated or expired, the Applicable Percentages (LCs) in respect of this clause (a) shall be determined based upon the Performance LC Commitments most recently in effect, giving effect to any assignments permitted hereunder and to any Lender’s status as a Defaulting Lender at the time of determination. The Applicable Percentage (LCs) in respect of this clause (a) for each Lender as of the </w:t>
      </w:r>
      <w:r>
        <w:rPr>
          <w:rFonts w:ascii="Arial" w:cs="Arial" w:eastAsia="Arial" w:hAnsi="Arial"/>
          <w:sz w:val="17"/>
          <w:szCs w:val="17"/>
          <w:b w:val="1"/>
          <w:bCs w:val="1"/>
          <w:color w:val="FF0000"/>
          <w:strike w:val="1"/>
        </w:rPr>
        <w:t>First</w:t>
      </w:r>
      <w:r>
        <w:rPr>
          <w:rFonts w:ascii="Arial" w:cs="Arial" w:eastAsia="Arial" w:hAnsi="Arial"/>
          <w:sz w:val="17"/>
          <w:szCs w:val="17"/>
          <w:b w:val="1"/>
          <w:bCs w:val="1"/>
          <w:u w:val="single" w:color="auto"/>
          <w:color w:val="0000FF"/>
        </w:rPr>
        <w:t>Fourth</w:t>
      </w:r>
      <w:r>
        <w:rPr>
          <w:rFonts w:ascii="Arial" w:cs="Arial" w:eastAsia="Arial" w:hAnsi="Arial"/>
          <w:sz w:val="17"/>
          <w:szCs w:val="17"/>
          <w:color w:val="auto"/>
        </w:rPr>
        <w:t xml:space="preserve"> Amendment Effective Date is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column titled “Applicable Percentage (LCs) – Performance LCs” or in the Assignment and Assumption pursuant to which such Lender becomes a party hereto, as applicable</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89" w:lineRule="auto"/>
        <w:rPr>
          <w:sz w:val="20"/>
          <w:szCs w:val="20"/>
          <w:color w:val="auto"/>
        </w:rPr>
      </w:pPr>
      <w:r>
        <w:rPr>
          <w:rFonts w:ascii="Arial" w:cs="Arial" w:eastAsia="Arial" w:hAnsi="Arial"/>
          <w:sz w:val="16"/>
          <w:szCs w:val="16"/>
          <w:color w:val="auto"/>
        </w:rPr>
        <w:t xml:space="preserve">(b)            to the extent related to any Revolving </w:t>
      </w:r>
      <w:r>
        <w:rPr>
          <w:rFonts w:ascii="Arial" w:cs="Arial" w:eastAsia="Arial" w:hAnsi="Arial"/>
          <w:sz w:val="16"/>
          <w:szCs w:val="16"/>
          <w:b w:val="1"/>
          <w:bCs w:val="1"/>
          <w:color w:val="FF0000"/>
          <w:strike w:val="1"/>
        </w:rPr>
        <w:t>Performance Letter of Credit or Financial Standby</w:t>
      </w:r>
      <w:r>
        <w:rPr>
          <w:rFonts w:ascii="Arial" w:cs="Arial" w:eastAsia="Arial" w:hAnsi="Arial"/>
          <w:sz w:val="16"/>
          <w:szCs w:val="16"/>
          <w:color w:val="auto"/>
        </w:rPr>
        <w:t xml:space="preserve"> Letter of Credit, the percentage (carried out to the twelfth decimal place) of the Total Revolving Commitments represented by such Lender’s Revolving Credit Commitment </w:t>
      </w:r>
      <w:r>
        <w:rPr>
          <w:rFonts w:ascii="Arial" w:cs="Arial" w:eastAsia="Arial" w:hAnsi="Arial"/>
          <w:sz w:val="16"/>
          <w:szCs w:val="16"/>
          <w:b w:val="1"/>
          <w:bCs w:val="1"/>
          <w:color w:val="FF0000"/>
          <w:strike w:val="1"/>
        </w:rPr>
        <w:t>or Revolving LC-Specific</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Commitment, as applicable</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FF0000"/>
        </w:rPr>
        <w:t xml:space="preserve"> </w:t>
      </w:r>
      <w:r>
        <w:rPr>
          <w:rFonts w:ascii="Arial" w:cs="Arial" w:eastAsia="Arial" w:hAnsi="Arial"/>
          <w:sz w:val="16"/>
          <w:szCs w:val="16"/>
          <w:color w:val="000000"/>
        </w:rPr>
        <w:t>that at any time that a Defaulting Lender shall exist, “Applicable Percentage (LCs)” in respect of this clause</w:t>
      </w:r>
    </w:p>
    <w:p>
      <w:pPr>
        <w:spacing w:after="0" w:line="2" w:lineRule="exact"/>
        <w:rPr>
          <w:sz w:val="20"/>
          <w:szCs w:val="20"/>
          <w:color w:val="auto"/>
        </w:rPr>
      </w:pPr>
    </w:p>
    <w:p>
      <w:pPr>
        <w:jc w:val="both"/>
        <w:ind w:firstLine="8"/>
        <w:spacing w:after="0" w:line="251"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shall mean the percentage of the Total Revolving Commitments (disregarding any Defaulting Lender’s Revolving Credit Commitment </w:t>
      </w:r>
      <w:r>
        <w:rPr>
          <w:rFonts w:ascii="Arial" w:cs="Arial" w:eastAsia="Arial" w:hAnsi="Arial"/>
          <w:sz w:val="18"/>
          <w:szCs w:val="18"/>
          <w:b w:val="1"/>
          <w:bCs w:val="1"/>
          <w:color w:val="FF0000"/>
          <w:strike w:val="1"/>
        </w:rPr>
        <w:t>or Revolving</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LC-Specific Commitment</w:t>
      </w:r>
      <w:r>
        <w:rPr>
          <w:rFonts w:ascii="Arial" w:cs="Arial" w:eastAsia="Arial" w:hAnsi="Arial"/>
          <w:sz w:val="18"/>
          <w:szCs w:val="18"/>
          <w:b w:val="1"/>
          <w:bCs w:val="1"/>
          <w:color w:val="FF0000"/>
        </w:rPr>
        <w:t xml:space="preserve"> </w:t>
      </w:r>
      <w:r>
        <w:rPr>
          <w:rFonts w:ascii="Arial" w:cs="Arial" w:eastAsia="Arial" w:hAnsi="Arial"/>
          <w:sz w:val="18"/>
          <w:szCs w:val="18"/>
          <w:color w:val="000000"/>
        </w:rPr>
        <w:t>at such time) represented by such Lender’s Revolving Credit Commitment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or Revolving LC-Specific Commitment, as</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applicable</w:t>
      </w:r>
      <w:r>
        <w:rPr>
          <w:rFonts w:ascii="Arial" w:cs="Arial" w:eastAsia="Arial" w:hAnsi="Arial"/>
          <w:sz w:val="18"/>
          <w:szCs w:val="18"/>
          <w:color w:val="000000"/>
        </w:rPr>
        <w:t>. If the Total Revolving Commitments have terminated or expired, the Applicable Percentages (LCs) in respect of this clause (b) shall be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determined based upon the Revolving Credit </w:t>
      </w:r>
      <w:r>
        <w:rPr>
          <w:rFonts w:ascii="Arial" w:cs="Arial" w:eastAsia="Arial" w:hAnsi="Arial"/>
          <w:sz w:val="18"/>
          <w:szCs w:val="18"/>
          <w:b w:val="1"/>
          <w:bCs w:val="1"/>
          <w:color w:val="FF0000"/>
          <w:strike w:val="1"/>
        </w:rPr>
        <w:t>Commitments and Revolving LC-Specific</w:t>
      </w:r>
      <w:r>
        <w:rPr>
          <w:rFonts w:ascii="Arial" w:cs="Arial" w:eastAsia="Arial" w:hAnsi="Arial"/>
          <w:sz w:val="18"/>
          <w:szCs w:val="18"/>
          <w:color w:val="000000"/>
        </w:rPr>
        <w:t xml:space="preserve"> Commitments most recently in effect, giving effect to any assignments permitted hereunder and to any Lender’s status as a Defaulting Lender at the time of determination. The Applicable Percentage (LCs) in respect of this clause (b) for each Lender as of the </w:t>
      </w:r>
      <w:r>
        <w:rPr>
          <w:rFonts w:ascii="Arial" w:cs="Arial" w:eastAsia="Arial" w:hAnsi="Arial"/>
          <w:sz w:val="18"/>
          <w:szCs w:val="18"/>
          <w:b w:val="1"/>
          <w:bCs w:val="1"/>
          <w:color w:val="FF0000"/>
          <w:strike w:val="1"/>
        </w:rPr>
        <w:t>First</w:t>
      </w:r>
      <w:r>
        <w:rPr>
          <w:rFonts w:ascii="Arial" w:cs="Arial" w:eastAsia="Arial" w:hAnsi="Arial"/>
          <w:sz w:val="18"/>
          <w:szCs w:val="18"/>
          <w:b w:val="1"/>
          <w:bCs w:val="1"/>
          <w:u w:val="single" w:color="auto"/>
          <w:color w:val="0000FF"/>
        </w:rPr>
        <w:t>Fourth</w:t>
      </w:r>
      <w:r>
        <w:rPr>
          <w:rFonts w:ascii="Arial" w:cs="Arial" w:eastAsia="Arial" w:hAnsi="Arial"/>
          <w:sz w:val="18"/>
          <w:szCs w:val="18"/>
          <w:color w:val="000000"/>
        </w:rPr>
        <w:t xml:space="preserve"> Amendment Effective Date is set forth opposite such Lender’s name on </w:t>
      </w:r>
      <w:r>
        <w:rPr>
          <w:rFonts w:ascii="Arial" w:cs="Arial" w:eastAsia="Arial" w:hAnsi="Arial"/>
          <w:sz w:val="18"/>
          <w:szCs w:val="18"/>
          <w:u w:val="single" w:color="auto"/>
          <w:color w:val="000000"/>
        </w:rPr>
        <w:t>Schedule 2.01</w:t>
      </w:r>
      <w:r>
        <w:rPr>
          <w:rFonts w:ascii="Arial" w:cs="Arial" w:eastAsia="Arial" w:hAnsi="Arial"/>
          <w:sz w:val="18"/>
          <w:szCs w:val="18"/>
          <w:color w:val="000000"/>
        </w:rPr>
        <w:t xml:space="preserve"> under the column titled “Applicable Percentage (LCs) – Revolving LCs” or in the Assignment and Assumption pursuant to which such Lender becomes a party hereto, as applicable.</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 (Loans)</w:t>
      </w:r>
      <w:r>
        <w:rPr>
          <w:rFonts w:ascii="Arial" w:cs="Arial" w:eastAsia="Arial" w:hAnsi="Arial"/>
          <w:sz w:val="16"/>
          <w:szCs w:val="16"/>
          <w:color w:val="auto"/>
        </w:rPr>
        <w:t xml:space="preserve">” means, with respect to any Lender, the percentage (carried out to the twelfth decimal place) of the </w:t>
      </w:r>
      <w:r>
        <w:rPr>
          <w:rFonts w:ascii="Arial" w:cs="Arial" w:eastAsia="Arial" w:hAnsi="Arial"/>
          <w:sz w:val="16"/>
          <w:szCs w:val="16"/>
          <w:b w:val="1"/>
          <w:bCs w:val="1"/>
          <w:color w:val="FF0000"/>
          <w:strike w:val="1"/>
        </w:rPr>
        <w:t>aggregate</w:t>
      </w:r>
      <w:r>
        <w:rPr>
          <w:rFonts w:ascii="Arial" w:cs="Arial" w:eastAsia="Arial" w:hAnsi="Arial"/>
          <w:sz w:val="16"/>
          <w:szCs w:val="16"/>
          <w:b w:val="1"/>
          <w:bCs w:val="1"/>
          <w:u w:val="single" w:color="auto"/>
          <w:color w:val="0000FF"/>
        </w:rPr>
        <w:t>Total</w:t>
      </w:r>
      <w:r>
        <w:rPr>
          <w:rFonts w:ascii="Arial" w:cs="Arial" w:eastAsia="Arial" w:hAnsi="Arial"/>
          <w:sz w:val="16"/>
          <w:szCs w:val="16"/>
          <w:b w:val="1"/>
          <w:bCs w:val="1"/>
          <w:color w:val="FF0000"/>
        </w:rPr>
        <w:t xml:space="preserve"> </w:t>
      </w:r>
      <w:r>
        <w:rPr>
          <w:rFonts w:ascii="Arial" w:cs="Arial" w:eastAsia="Arial" w:hAnsi="Arial"/>
          <w:sz w:val="16"/>
          <w:szCs w:val="16"/>
          <w:color w:val="000000"/>
        </w:rPr>
        <w:t>Revolving</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Credit</w:t>
      </w:r>
      <w:r>
        <w:rPr>
          <w:rFonts w:ascii="Arial" w:cs="Arial" w:eastAsia="Arial" w:hAnsi="Arial"/>
          <w:sz w:val="16"/>
          <w:szCs w:val="16"/>
          <w:b w:val="1"/>
          <w:bCs w:val="1"/>
          <w:color w:val="FF0000"/>
        </w:rPr>
        <w:t xml:space="preserve"> </w:t>
      </w:r>
      <w:r>
        <w:rPr>
          <w:rFonts w:ascii="Arial" w:cs="Arial" w:eastAsia="Arial" w:hAnsi="Arial"/>
          <w:sz w:val="16"/>
          <w:szCs w:val="16"/>
          <w:color w:val="000000"/>
        </w:rPr>
        <w:t>Commitments represented by such Lender’s Revolving Credit Commitment</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or Revolving Loan-Specific Commitment,</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as applicable</w:t>
      </w:r>
      <w:r>
        <w:rPr>
          <w:rFonts w:ascii="Arial" w:cs="Arial" w:eastAsia="Arial" w:hAnsi="Arial"/>
          <w:sz w:val="16"/>
          <w:szCs w:val="16"/>
          <w:color w:val="000000"/>
        </w:rPr>
        <w:t>;</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at any time that a Defaulting Lender shall exist, “Applicable Percentage (Loans)” shall mean the percentage of 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aggregate</w:t>
      </w:r>
      <w:r>
        <w:rPr>
          <w:rFonts w:ascii="Arial" w:cs="Arial" w:eastAsia="Arial" w:hAnsi="Arial"/>
          <w:sz w:val="16"/>
          <w:szCs w:val="16"/>
          <w:b w:val="1"/>
          <w:bCs w:val="1"/>
          <w:u w:val="single" w:color="auto"/>
          <w:color w:val="0000FF"/>
        </w:rPr>
        <w:t>Total</w:t>
      </w:r>
      <w:r>
        <w:rPr>
          <w:rFonts w:ascii="Arial" w:cs="Arial" w:eastAsia="Arial" w:hAnsi="Arial"/>
          <w:sz w:val="16"/>
          <w:szCs w:val="16"/>
          <w:b w:val="1"/>
          <w:bCs w:val="1"/>
          <w:color w:val="FF0000"/>
        </w:rPr>
        <w:t xml:space="preserve"> </w:t>
      </w:r>
      <w:r>
        <w:rPr>
          <w:rFonts w:ascii="Arial" w:cs="Arial" w:eastAsia="Arial" w:hAnsi="Arial"/>
          <w:sz w:val="16"/>
          <w:szCs w:val="16"/>
          <w:color w:val="000000"/>
        </w:rPr>
        <w:t>Revolving</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Credit</w:t>
      </w:r>
      <w:r>
        <w:rPr>
          <w:rFonts w:ascii="Arial" w:cs="Arial" w:eastAsia="Arial" w:hAnsi="Arial"/>
          <w:sz w:val="16"/>
          <w:szCs w:val="16"/>
          <w:b w:val="1"/>
          <w:bCs w:val="1"/>
          <w:color w:val="FF0000"/>
        </w:rPr>
        <w:t xml:space="preserve"> </w:t>
      </w:r>
      <w:r>
        <w:rPr>
          <w:rFonts w:ascii="Arial" w:cs="Arial" w:eastAsia="Arial" w:hAnsi="Arial"/>
          <w:sz w:val="16"/>
          <w:szCs w:val="16"/>
          <w:color w:val="000000"/>
        </w:rPr>
        <w:t>Commitments (disregarding any Defaulting Lender’s Revolving</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Credit Commitment or Revolving Loan-Specific</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u w:val="single" w:color="auto"/>
          <w:color w:val="0000FF"/>
        </w:rPr>
        <w:t>Commitment at such time) represented by such Lender’s Revolving Credit Commitment or Revolving Loan-Specific Commitment, as applicable; provided further that, to the extent related to any Loan not denominated in Dollars or Canadian Dollars, “Applicable Percentage (Loans)” shall mean the percentage of the Total Revolving Commitments (disregarding ATB’s Revolving</w:t>
      </w:r>
      <w:r>
        <w:rPr>
          <w:rFonts w:ascii="Arial" w:cs="Arial" w:eastAsia="Arial" w:hAnsi="Arial"/>
          <w:sz w:val="17"/>
          <w:szCs w:val="17"/>
          <w:b w:val="1"/>
          <w:bCs w:val="1"/>
          <w:color w:val="0000FF"/>
        </w:rPr>
        <w:t xml:space="preserve"> </w:t>
      </w:r>
      <w:r>
        <w:rPr>
          <w:rFonts w:ascii="Arial" w:cs="Arial" w:eastAsia="Arial" w:hAnsi="Arial"/>
          <w:sz w:val="17"/>
          <w:szCs w:val="17"/>
          <w:color w:val="000000"/>
        </w:rPr>
        <w:t>Credit Commitment at such time) represented by such</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Lender’s Revolving Credit Commitment </w:t>
      </w:r>
      <w:r>
        <w:rPr>
          <w:rFonts w:ascii="Arial" w:cs="Arial" w:eastAsia="Arial" w:hAnsi="Arial"/>
          <w:sz w:val="17"/>
          <w:szCs w:val="17"/>
          <w:b w:val="1"/>
          <w:bCs w:val="1"/>
          <w:u w:val="single" w:color="auto"/>
          <w:color w:val="0000FF"/>
        </w:rPr>
        <w:t>or Revolving Loan-Specific Commitment, as applicable</w:t>
      </w:r>
      <w:r>
        <w:rPr>
          <w:rFonts w:ascii="Arial" w:cs="Arial" w:eastAsia="Arial" w:hAnsi="Arial"/>
          <w:sz w:val="17"/>
          <w:szCs w:val="17"/>
          <w:color w:val="000000"/>
        </w:rPr>
        <w:t xml:space="preserve">. If all of the Revolving Credit Commitments have terminated or expired, the Applicable Percentages (Loans) shall be determined based upon the Revolving Credit Commitments </w:t>
      </w:r>
      <w:r>
        <w:rPr>
          <w:rFonts w:ascii="Arial" w:cs="Arial" w:eastAsia="Arial" w:hAnsi="Arial"/>
          <w:sz w:val="17"/>
          <w:szCs w:val="17"/>
          <w:b w:val="1"/>
          <w:bCs w:val="1"/>
          <w:u w:val="single" w:color="auto"/>
          <w:color w:val="0000FF"/>
        </w:rPr>
        <w:t>and Revolving Loan-Specific Commitment</w:t>
      </w:r>
      <w:r>
        <w:rPr>
          <w:rFonts w:ascii="Arial" w:cs="Arial" w:eastAsia="Arial" w:hAnsi="Arial"/>
          <w:sz w:val="17"/>
          <w:szCs w:val="17"/>
          <w:b w:val="1"/>
          <w:bCs w:val="1"/>
          <w:color w:val="0000FF"/>
        </w:rPr>
        <w:t xml:space="preserve"> </w:t>
      </w:r>
      <w:r>
        <w:rPr>
          <w:rFonts w:ascii="Arial" w:cs="Arial" w:eastAsia="Arial" w:hAnsi="Arial"/>
          <w:sz w:val="17"/>
          <w:szCs w:val="17"/>
          <w:color w:val="000000"/>
        </w:rPr>
        <w:t>most recently in effect, giving effect to any assignments permitted hereunder and to any Lender’s status as a Defaulting Lender at</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the time of determination. The Applicable Percentage (Loans) of each Lender as of the </w:t>
      </w:r>
      <w:r>
        <w:rPr>
          <w:rFonts w:ascii="Arial" w:cs="Arial" w:eastAsia="Arial" w:hAnsi="Arial"/>
          <w:sz w:val="17"/>
          <w:szCs w:val="17"/>
          <w:b w:val="1"/>
          <w:bCs w:val="1"/>
          <w:color w:val="FF0000"/>
          <w:strike w:val="1"/>
        </w:rPr>
        <w:t>First</w:t>
      </w:r>
      <w:r>
        <w:rPr>
          <w:rFonts w:ascii="Arial" w:cs="Arial" w:eastAsia="Arial" w:hAnsi="Arial"/>
          <w:sz w:val="17"/>
          <w:szCs w:val="17"/>
          <w:b w:val="1"/>
          <w:bCs w:val="1"/>
          <w:u w:val="single" w:color="auto"/>
          <w:color w:val="0000FF"/>
        </w:rPr>
        <w:t>Fourth</w:t>
      </w:r>
      <w:r>
        <w:rPr>
          <w:rFonts w:ascii="Arial" w:cs="Arial" w:eastAsia="Arial" w:hAnsi="Arial"/>
          <w:sz w:val="17"/>
          <w:szCs w:val="17"/>
          <w:color w:val="000000"/>
        </w:rPr>
        <w:t xml:space="preserve"> Amendment Effective Date is set forth opposite such Lender’s name on </w:t>
      </w:r>
      <w:r>
        <w:rPr>
          <w:rFonts w:ascii="Arial" w:cs="Arial" w:eastAsia="Arial" w:hAnsi="Arial"/>
          <w:sz w:val="17"/>
          <w:szCs w:val="17"/>
          <w:u w:val="single" w:color="auto"/>
          <w:color w:val="000000"/>
        </w:rPr>
        <w:t>Schedule 2.01</w:t>
      </w:r>
      <w:r>
        <w:rPr>
          <w:rFonts w:ascii="Arial" w:cs="Arial" w:eastAsia="Arial" w:hAnsi="Arial"/>
          <w:sz w:val="17"/>
          <w:szCs w:val="17"/>
          <w:color w:val="000000"/>
        </w:rPr>
        <w:t xml:space="preserve"> under the column titled “</w:t>
      </w:r>
      <w:r>
        <w:rPr>
          <w:rFonts w:ascii="Arial" w:cs="Arial" w:eastAsia="Arial" w:hAnsi="Arial"/>
          <w:sz w:val="17"/>
          <w:szCs w:val="17"/>
          <w:b w:val="1"/>
          <w:bCs w:val="1"/>
          <w:color w:val="FF0000"/>
          <w:strike w:val="1"/>
        </w:rPr>
        <w:t>Revolving Credit Commitments</w:t>
      </w:r>
      <w:r>
        <w:rPr>
          <w:rFonts w:ascii="Arial" w:cs="Arial" w:eastAsia="Arial" w:hAnsi="Arial"/>
          <w:sz w:val="17"/>
          <w:szCs w:val="17"/>
          <w:b w:val="1"/>
          <w:bCs w:val="1"/>
          <w:u w:val="single" w:color="auto"/>
          <w:color w:val="0000FF"/>
        </w:rPr>
        <w:t>Applicable Percentage (Loans)</w:t>
      </w:r>
      <w:r>
        <w:rPr>
          <w:rFonts w:ascii="Arial" w:cs="Arial" w:eastAsia="Arial" w:hAnsi="Arial"/>
          <w:sz w:val="17"/>
          <w:szCs w:val="17"/>
          <w:color w:val="000000"/>
        </w:rPr>
        <w:t>” or in the Assignment and Assumption pursuant to which such Lender becomes a party hereto,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 (Total)</w:t>
      </w:r>
      <w:r>
        <w:rPr>
          <w:rFonts w:ascii="Arial" w:cs="Arial" w:eastAsia="Arial" w:hAnsi="Arial"/>
          <w:sz w:val="18"/>
          <w:szCs w:val="18"/>
          <w:color w:val="auto"/>
        </w:rPr>
        <w:t xml:space="preserve">” means, with respect to any Lender, the percentage (carried out to the twelfth decimal place) of the Aggregate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(Total) of each Lender as of the </w:t>
      </w:r>
      <w:r>
        <w:rPr>
          <w:rFonts w:ascii="Arial" w:cs="Arial" w:eastAsia="Arial" w:hAnsi="Arial"/>
          <w:sz w:val="18"/>
          <w:szCs w:val="18"/>
          <w:b w:val="1"/>
          <w:bCs w:val="1"/>
          <w:color w:val="FF0000"/>
          <w:strike w:val="1"/>
        </w:rPr>
        <w:t>First</w:t>
      </w:r>
      <w:r>
        <w:rPr>
          <w:rFonts w:ascii="Arial" w:cs="Arial" w:eastAsia="Arial" w:hAnsi="Arial"/>
          <w:sz w:val="18"/>
          <w:szCs w:val="18"/>
          <w:b w:val="1"/>
          <w:bCs w:val="1"/>
          <w:u w:val="single" w:color="auto"/>
          <w:color w:val="0000FF"/>
        </w:rPr>
        <w:t>Fourth</w:t>
      </w:r>
      <w:r>
        <w:rPr>
          <w:rFonts w:ascii="Arial" w:cs="Arial" w:eastAsia="Arial" w:hAnsi="Arial"/>
          <w:sz w:val="18"/>
          <w:szCs w:val="18"/>
          <w:color w:val="auto"/>
        </w:rPr>
        <w:t xml:space="preserve"> Amendment Effective Date is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under the column titled “Applicable Percentage (Total)”</w:t>
      </w:r>
      <w:r>
        <w:rPr>
          <w:rFonts w:ascii="Arial" w:cs="Arial" w:eastAsia="Arial" w:hAnsi="Arial"/>
          <w:sz w:val="18"/>
          <w:szCs w:val="18"/>
          <w:b w:val="1"/>
          <w:bCs w:val="1"/>
          <w:color w:val="0000FF"/>
        </w:rPr>
        <w:t xml:space="preserve"> </w:t>
      </w:r>
      <w:r>
        <w:rPr>
          <w:rFonts w:ascii="Arial" w:cs="Arial" w:eastAsia="Arial" w:hAnsi="Arial"/>
          <w:sz w:val="18"/>
          <w:szCs w:val="18"/>
          <w:color w:val="000000"/>
        </w:rPr>
        <w:t>or in the Assignment and Assumption pursuant to which such Lender becomes a party hereto,</w:t>
      </w:r>
      <w:r>
        <w:rPr>
          <w:rFonts w:ascii="Arial" w:cs="Arial" w:eastAsia="Arial" w:hAnsi="Arial"/>
          <w:sz w:val="18"/>
          <w:szCs w:val="18"/>
          <w:b w:val="1"/>
          <w:bCs w:val="1"/>
          <w:color w:val="0000FF"/>
        </w:rPr>
        <w:t xml:space="preserve"> </w:t>
      </w:r>
      <w:r>
        <w:rPr>
          <w:rFonts w:ascii="Arial" w:cs="Arial" w:eastAsia="Arial" w:hAnsi="Arial"/>
          <w:sz w:val="18"/>
          <w:szCs w:val="18"/>
          <w:color w:val="000000"/>
        </w:rPr>
        <w:t>as applicable.</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Loans and Letters of Credit and payments in any Alternative Currency, the local time in the place of settlement for such Alternative Currency as may be determined by the Administrative Agent or the applicable Issuing Bank (with notice to the Administrative Agent), as the case may be, to be necessary for timely settlement on the relevant date in accordance with normal banking procedures in the place of payment.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Argentine Bond Investment</w:t>
      </w:r>
      <w:r>
        <w:rPr>
          <w:rFonts w:ascii="Arial" w:cs="Arial" w:eastAsia="Arial" w:hAnsi="Arial"/>
          <w:sz w:val="18"/>
          <w:szCs w:val="18"/>
          <w:color w:val="auto"/>
        </w:rPr>
        <w:t>” means the purchase of Dollar-linked or inflation-protected or other similar Argentine government sovereign or local corporate bonds or similar instruments having a similar purpose by Parent or a 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 Certificate</w:t>
      </w:r>
      <w:r>
        <w:rPr>
          <w:rFonts w:ascii="Arial" w:cs="Arial" w:eastAsia="Arial" w:hAnsi="Arial"/>
          <w:sz w:val="16"/>
          <w:szCs w:val="16"/>
          <w:color w:val="auto"/>
        </w:rPr>
        <w:t xml:space="preserve">” means a certificate executed by an assignee under an Assignment and Assumption,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w:t>
      </w: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ATB</w:t>
      </w:r>
      <w:r>
        <w:rPr>
          <w:rFonts w:ascii="Arial" w:cs="Arial" w:eastAsia="Arial" w:hAnsi="Arial"/>
          <w:sz w:val="18"/>
          <w:szCs w:val="18"/>
          <w:color w:val="auto"/>
        </w:rPr>
        <w:t>” means ATB Financial.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Receivables Amount</w:t>
      </w:r>
      <w:r>
        <w:rPr>
          <w:rFonts w:ascii="Arial" w:cs="Arial" w:eastAsia="Arial" w:hAnsi="Arial"/>
          <w:sz w:val="17"/>
          <w:szCs w:val="17"/>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w:t>
      </w:r>
      <w:r>
        <w:rPr>
          <w:rFonts w:ascii="Arial" w:cs="Arial" w:eastAsia="Arial" w:hAnsi="Arial"/>
          <w:sz w:val="18"/>
          <w:szCs w:val="18"/>
          <w:color w:val="auto"/>
        </w:rPr>
        <w:t>” means the lawful currency of Australia.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the Effective Date to the earlier of (a) the Maturity Date and (b) the date of termination of all of the Commitments.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auto"/>
        </w:rPr>
        <w:t>Section 4.06(c)(iv)</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means, with respect to any Person, such Person becomes the subject of a bankruptcy, insolvency, </w:t>
      </w:r>
      <w:r>
        <w:rPr>
          <w:rFonts w:ascii="Arial" w:cs="Arial" w:eastAsia="Arial" w:hAnsi="Arial"/>
          <w:sz w:val="17"/>
          <w:szCs w:val="17"/>
          <w:i w:val="1"/>
          <w:iCs w:val="1"/>
          <w:color w:val="auto"/>
        </w:rPr>
        <w:t>concurso mercantil</w:t>
      </w:r>
      <w:r>
        <w:rPr>
          <w:rFonts w:ascii="Arial" w:cs="Arial" w:eastAsia="Arial" w:hAnsi="Arial"/>
          <w:sz w:val="17"/>
          <w:szCs w:val="17"/>
          <w:color w:val="auto"/>
        </w:rPr>
        <w:t xml:space="preserve"> or </w:t>
      </w:r>
      <w:r>
        <w:rPr>
          <w:rFonts w:ascii="Arial" w:cs="Arial" w:eastAsia="Arial" w:hAnsi="Arial"/>
          <w:sz w:val="17"/>
          <w:szCs w:val="17"/>
          <w:i w:val="1"/>
          <w:iCs w:val="1"/>
          <w:color w:val="auto"/>
        </w:rPr>
        <w:t xml:space="preserve">quiebra </w:t>
      </w:r>
      <w:r>
        <w:rPr>
          <w:rFonts w:ascii="Arial" w:cs="Arial" w:eastAsia="Arial" w:hAnsi="Arial"/>
          <w:sz w:val="17"/>
          <w:szCs w:val="17"/>
          <w:color w:val="auto"/>
        </w:rPr>
        <w:t>proceeding (whether on a provisional, interim, permanent or other basis), or has had a receiver, receiver or manager, conservator, trustee,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administrator, custodian, examiner, process adviser, liquidator, assignee for the benefit of creditors, </w:t>
      </w:r>
      <w:r>
        <w:rPr>
          <w:rFonts w:ascii="Arial" w:cs="Arial" w:eastAsia="Arial" w:hAnsi="Arial"/>
          <w:sz w:val="17"/>
          <w:szCs w:val="17"/>
          <w:i w:val="1"/>
          <w:iCs w:val="1"/>
          <w:color w:val="auto"/>
        </w:rPr>
        <w:t>síndico</w:t>
      </w:r>
      <w:r>
        <w:rPr>
          <w:rFonts w:ascii="Arial" w:cs="Arial" w:eastAsia="Arial" w:hAnsi="Arial"/>
          <w:sz w:val="17"/>
          <w:szCs w:val="17"/>
          <w:color w:val="auto"/>
        </w:rPr>
        <w:t xml:space="preserve">, </w:t>
      </w:r>
      <w:r>
        <w:rPr>
          <w:rFonts w:ascii="Arial" w:cs="Arial" w:eastAsia="Arial" w:hAnsi="Arial"/>
          <w:sz w:val="17"/>
          <w:szCs w:val="17"/>
          <w:i w:val="1"/>
          <w:iCs w:val="1"/>
          <w:color w:val="auto"/>
        </w:rPr>
        <w:t>liquidador</w:t>
      </w:r>
      <w:r>
        <w:rPr>
          <w:rFonts w:ascii="Arial" w:cs="Arial" w:eastAsia="Arial" w:hAnsi="Arial"/>
          <w:sz w:val="17"/>
          <w:szCs w:val="17"/>
          <w:color w:val="auto"/>
        </w:rPr>
        <w:t xml:space="preserve">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Barclays</w:t>
      </w:r>
      <w:r>
        <w:rPr>
          <w:rFonts w:ascii="Arial" w:cs="Arial" w:eastAsia="Arial" w:hAnsi="Arial"/>
          <w:sz w:val="18"/>
          <w:szCs w:val="18"/>
          <w:color w:val="auto"/>
        </w:rPr>
        <w:t>” means Barclays Bank PLC and its successors.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at any time, the highest of (a) the Prime Rate, (b)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and (c) Adjusted Term SOFR for a one-month tenor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each change in the Base Rate shall take effect simultaneously with the corresponding change or changes in the Prime Rate, the Federal Funds Rate or Adjusted Term SOFR,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be applicable during any period in which Adjusted Term SOFR is unavailable or unascertainable). Notwithstanding the foregoing, in no event shall the Base Rate be less than 1.00%.</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bearing interest at a rate based upon the Base Rate as provided in </w:t>
      </w:r>
      <w:r>
        <w:rPr>
          <w:rFonts w:ascii="Arial" w:cs="Arial" w:eastAsia="Arial" w:hAnsi="Arial"/>
          <w:sz w:val="18"/>
          <w:szCs w:val="18"/>
          <w:u w:val="single" w:color="auto"/>
          <w:color w:val="auto"/>
        </w:rPr>
        <w:t>Section 4.04(a)</w:t>
      </w:r>
      <w:r>
        <w:rPr>
          <w:rFonts w:ascii="Arial" w:cs="Arial" w:eastAsia="Arial" w:hAnsi="Arial"/>
          <w:sz w:val="18"/>
          <w:szCs w:val="18"/>
          <w:color w:val="auto"/>
        </w:rPr>
        <w:t>. All Base Rate Loans shall be denominated in Dollars.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has the meaning assigned thereto in the definition of “Term SOFR”.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BBSY</w:t>
      </w:r>
      <w:r>
        <w:rPr>
          <w:rFonts w:ascii="Arial" w:cs="Arial" w:eastAsia="Arial" w:hAnsi="Arial"/>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with respect to any (a) Obligations, interest, fees, commissions or other amounts denominated in, or calculated with respect to, Dollars, the Term SOFR Reference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6"/>
          <w:szCs w:val="16"/>
          <w:u w:val="single" w:color="auto"/>
          <w:color w:val="auto"/>
        </w:rPr>
        <w:t>Section 4.06(c)(i),</w:t>
      </w:r>
    </w:p>
    <w:p>
      <w:pPr>
        <w:spacing w:after="0" w:line="1" w:lineRule="exact"/>
        <w:rPr>
          <w:sz w:val="20"/>
          <w:szCs w:val="20"/>
          <w:color w:val="auto"/>
        </w:rPr>
      </w:pPr>
    </w:p>
    <w:p>
      <w:pPr>
        <w:jc w:val="both"/>
        <w:ind w:firstLine="8"/>
        <w:spacing w:after="0" w:line="281" w:lineRule="auto"/>
        <w:tabs>
          <w:tab w:leader="none" w:pos="2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Obligations, interest, fees, commissions or other amounts denominated in, or calculated with respect to, Sterling or Swiss Francs, the Daily Simple RFR applicable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6"/>
          <w:szCs w:val="16"/>
          <w:u w:val="single" w:color="auto"/>
          <w:color w:val="auto"/>
        </w:rPr>
        <w:t>Section 4.06(c)(i)</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jc w:val="both"/>
        <w:ind w:firstLine="8"/>
        <w:spacing w:after="0" w:line="253"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Obligations, interest, fees, commissions or other amounts denominated in, or calculated with respect to, Euros, Yen, Australian Dollars or Canadian Dollars, EURIBOR, TIBOR, BBSY or CDOR,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has occurred with respect to EURIBOR, TIBOR, BBSY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1.10 or 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4.06(c)(i)</w:t>
      </w:r>
      <w:r>
        <w:rPr>
          <w:rFonts w:ascii="Arial" w:cs="Arial" w:eastAsia="Arial" w:hAnsi="Arial"/>
          <w:sz w:val="18"/>
          <w:szCs w:val="18"/>
          <w:color w:val="auto"/>
        </w:rPr>
        <w:t>.</w:t>
      </w:r>
    </w:p>
    <w:p>
      <w:pPr>
        <w:spacing w:after="0" w:line="1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with respect to any Benchmark Transition Event for any then-current Benchmark, the first alternative set forth in the order below that can be determined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with respect to CDOR only: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1540" w:hanging="236"/>
        <w:spacing w:after="0"/>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sum of: (A) Term CORRA </w:t>
      </w:r>
      <w:r>
        <w:rPr>
          <w:rFonts w:ascii="Arial" w:cs="Arial" w:eastAsia="Arial" w:hAnsi="Arial"/>
          <w:sz w:val="17"/>
          <w:szCs w:val="17"/>
          <w:b w:val="1"/>
          <w:bCs w:val="1"/>
          <w:color w:val="FF0000"/>
          <w:strike w:val="1"/>
        </w:rPr>
        <w:t>for the Available Tenor and (B) 0.10%, or</w:t>
      </w:r>
      <w:r>
        <w:rPr>
          <w:rFonts w:ascii="Arial" w:cs="Arial" w:eastAsia="Arial" w:hAnsi="Arial"/>
          <w:sz w:val="17"/>
          <w:szCs w:val="17"/>
          <w:b w:val="1"/>
          <w:bCs w:val="1"/>
          <w:u w:val="single" w:color="auto"/>
          <w:color w:val="0000FF"/>
        </w:rPr>
        <w:t>and (B)(1) 0.29547% (29.547 basis points) for an</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b w:val="1"/>
          <w:bCs w:val="1"/>
          <w:u w:val="single" w:color="auto"/>
          <w:color w:val="0000FF"/>
        </w:rPr>
        <w:t>Available Tenor of one-month’s duration, or (2) 0.32138% (32.138 basis points) for an Available Tenor of three-months’ duration, or</w:t>
      </w:r>
    </w:p>
    <w:p>
      <w:pPr>
        <w:spacing w:after="0" w:line="218" w:lineRule="exact"/>
        <w:rPr>
          <w:rFonts w:ascii="Arial" w:cs="Arial" w:eastAsia="Arial" w:hAnsi="Arial"/>
          <w:sz w:val="17"/>
          <w:szCs w:val="17"/>
          <w:color w:val="auto"/>
        </w:rPr>
      </w:pPr>
    </w:p>
    <w:p>
      <w:pPr>
        <w:ind w:left="660" w:firstLine="644"/>
        <w:spacing w:after="0" w:line="312" w:lineRule="auto"/>
        <w:tabs>
          <w:tab w:leader="none" w:pos="15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sum of: (A) Daily </w:t>
      </w:r>
      <w:r>
        <w:rPr>
          <w:rFonts w:ascii="Arial" w:cs="Arial" w:eastAsia="Arial" w:hAnsi="Arial"/>
          <w:sz w:val="17"/>
          <w:szCs w:val="17"/>
          <w:b w:val="1"/>
          <w:bCs w:val="1"/>
          <w:color w:val="FF0000"/>
          <w:strike w:val="1"/>
        </w:rPr>
        <w:t>Simple</w:t>
      </w:r>
      <w:r>
        <w:rPr>
          <w:rFonts w:ascii="Arial" w:cs="Arial" w:eastAsia="Arial" w:hAnsi="Arial"/>
          <w:sz w:val="17"/>
          <w:szCs w:val="17"/>
          <w:b w:val="1"/>
          <w:bCs w:val="1"/>
          <w:u w:val="single" w:color="auto"/>
          <w:color w:val="0000FF"/>
        </w:rPr>
        <w:t>Compounded</w:t>
      </w:r>
      <w:r>
        <w:rPr>
          <w:rFonts w:ascii="Arial" w:cs="Arial" w:eastAsia="Arial" w:hAnsi="Arial"/>
          <w:sz w:val="17"/>
          <w:szCs w:val="17"/>
          <w:color w:val="auto"/>
        </w:rPr>
        <w:t xml:space="preserve"> CORRA and (B) </w:t>
      </w:r>
      <w:r>
        <w:rPr>
          <w:rFonts w:ascii="Arial" w:cs="Arial" w:eastAsia="Arial" w:hAnsi="Arial"/>
          <w:sz w:val="17"/>
          <w:szCs w:val="17"/>
          <w:b w:val="1"/>
          <w:bCs w:val="1"/>
          <w:color w:val="FF0000"/>
        </w:rPr>
        <w:t>0.10%; or</w:t>
      </w:r>
      <w:r>
        <w:rPr>
          <w:rFonts w:ascii="Arial" w:cs="Arial" w:eastAsia="Arial" w:hAnsi="Arial"/>
          <w:sz w:val="17"/>
          <w:szCs w:val="17"/>
          <w:b w:val="1"/>
          <w:bCs w:val="1"/>
          <w:u w:val="single" w:color="auto"/>
          <w:color w:val="0000FF"/>
        </w:rPr>
        <w:t>( 1) 0.29547% (29.547 basis points) for an Available Tenor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of one-month’s duration, or (2) 0.32138% (32.138 basis points) for an Available Tenor of three-months’ duration;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-250190</wp:posOffset>
            </wp:positionV>
            <wp:extent cx="516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pacing w:after="0" w:line="124" w:lineRule="exact"/>
        <w:rPr>
          <w:sz w:val="20"/>
          <w:szCs w:val="20"/>
          <w:color w:val="auto"/>
        </w:rPr>
      </w:pPr>
    </w:p>
    <w:p>
      <w:pPr>
        <w:jc w:val="both"/>
        <w:ind w:firstLine="656"/>
        <w:spacing w:after="0" w:line="257" w:lineRule="auto"/>
        <w:tabs>
          <w:tab w:leader="none" w:pos="9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sum of: (i) the alternate benchmark rate that has been selected by the Administrative Agent and the Borrowers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such Benchmark Replacement as so determined would be less than the Floor, such Benchmark Replacement will be deemed to be the Floor for the purposes of this Agreement and the other Loan Documents.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Date</w:t>
      </w:r>
      <w:r>
        <w:rPr>
          <w:rFonts w:ascii="Arial" w:cs="Arial" w:eastAsia="Arial" w:hAnsi="Arial"/>
          <w:sz w:val="16"/>
          <w:szCs w:val="16"/>
          <w:color w:val="auto"/>
        </w:rPr>
        <w:t>” means the earliest to occur of the following events with respect to the then-current Benchmark for any Currency:</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63"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the then-current Benchmark for any Currency other than CDOR, the occurrence of one or more of the following events with respect to such Benchmark: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            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Start Date</w:t>
      </w:r>
      <w:r>
        <w:rPr>
          <w:rFonts w:ascii="Arial" w:cs="Arial" w:eastAsia="Arial" w:hAnsi="Arial"/>
          <w:sz w:val="16"/>
          <w:szCs w:val="16"/>
          <w:color w:val="auto"/>
        </w:rPr>
        <w:t>” means, with respect to any Benchmark for any Currency, in the case of a Benchmark Transition Event, the earlier of (a) the applicable Benchmark Replacement Date and (b) if such Benchmark Transition Event is a public statement or publication of information</w:t>
      </w:r>
    </w:p>
    <w:p>
      <w:pPr>
        <w:jc w:val="both"/>
        <w:ind w:right="20"/>
        <w:spacing w:after="0" w:line="219" w:lineRule="auto"/>
        <w:rPr>
          <w:sz w:val="20"/>
          <w:szCs w:val="20"/>
          <w:color w:val="auto"/>
        </w:rPr>
      </w:pPr>
      <w:r>
        <w:rPr>
          <w:rFonts w:ascii="Arial" w:cs="Arial" w:eastAsia="Arial" w:hAnsi="Arial"/>
          <w:sz w:val="17"/>
          <w:szCs w:val="17"/>
          <w:color w:val="auto"/>
        </w:rPr>
        <w:t>of a prospective event,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Arial" w:cs="Arial" w:eastAsia="Arial" w:hAnsi="Arial"/>
          <w:sz w:val="16"/>
          <w:szCs w:val="16"/>
          <w:u w:val="single" w:color="auto"/>
          <w:color w:val="auto"/>
        </w:rPr>
        <w:t>Section 4.06(c)(i)</w:t>
      </w:r>
      <w:r>
        <w:rPr>
          <w:rFonts w:ascii="Arial" w:cs="Arial" w:eastAsia="Arial" w:hAnsi="Arial"/>
          <w:sz w:val="16"/>
          <w:szCs w:val="16"/>
          <w:color w:val="auto"/>
        </w:rPr>
        <w:t xml:space="preserve"> and</w:t>
      </w:r>
    </w:p>
    <w:p>
      <w:pPr>
        <w:spacing w:after="0" w:line="2" w:lineRule="exact"/>
        <w:rPr>
          <w:sz w:val="20"/>
          <w:szCs w:val="20"/>
          <w:color w:val="auto"/>
        </w:rPr>
      </w:pPr>
    </w:p>
    <w:p>
      <w:pPr>
        <w:ind w:firstLine="8"/>
        <w:spacing w:after="0" w:line="260" w:lineRule="auto"/>
        <w:tabs>
          <w:tab w:leader="none" w:pos="2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ending at the time that a Benchmark Replacement has replaced such Benchmark for all purposes hereunder and under any Loan Document in accordance with </w:t>
      </w:r>
      <w:r>
        <w:rPr>
          <w:rFonts w:ascii="Arial" w:cs="Arial" w:eastAsia="Arial" w:hAnsi="Arial"/>
          <w:sz w:val="18"/>
          <w:szCs w:val="18"/>
          <w:u w:val="single" w:color="auto"/>
          <w:color w:val="auto"/>
        </w:rPr>
        <w:t>Section 4.06(c)(i)</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the board of directors (or comparable managers) of such Person, or any committee thereof duly authorized to act on behalf of such board of directors (or comparable managers).</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Book Value of Assets</w:t>
      </w:r>
      <w:r>
        <w:rPr>
          <w:rFonts w:ascii="Arial" w:cs="Arial" w:eastAsia="Arial" w:hAnsi="Arial"/>
          <w:sz w:val="17"/>
          <w:szCs w:val="17"/>
          <w:b w:val="1"/>
          <w:bCs w:val="1"/>
          <w:color w:val="FF0000"/>
          <w:strike w:val="1"/>
        </w:rPr>
        <w:t xml:space="preserve">” means, as of any date of determination, (I) with respect to </w:t>
      </w:r>
      <w:r>
        <w:rPr>
          <w:rFonts w:ascii="Arial" w:cs="Arial" w:eastAsia="Arial" w:hAnsi="Arial"/>
          <w:sz w:val="17"/>
          <w:szCs w:val="17"/>
          <w:b w:val="1"/>
          <w:bCs w:val="1"/>
          <w:u w:val="single" w:color="auto"/>
          <w:color w:val="FF0000"/>
          <w:strike w:val="1"/>
        </w:rPr>
        <w:t>Sections 9.16</w:t>
      </w:r>
      <w:r>
        <w:rPr>
          <w:rFonts w:ascii="Arial" w:cs="Arial" w:eastAsia="Arial" w:hAnsi="Arial"/>
          <w:sz w:val="17"/>
          <w:szCs w:val="17"/>
          <w:b w:val="1"/>
          <w:bCs w:val="1"/>
          <w:color w:val="FF0000"/>
          <w:strike w:val="1"/>
        </w:rPr>
        <w:t xml:space="preserve"> and </w:t>
      </w:r>
      <w:r>
        <w:rPr>
          <w:rFonts w:ascii="Arial" w:cs="Arial" w:eastAsia="Arial" w:hAnsi="Arial"/>
          <w:sz w:val="17"/>
          <w:szCs w:val="17"/>
          <w:b w:val="1"/>
          <w:bCs w:val="1"/>
          <w:u w:val="single" w:color="auto"/>
          <w:color w:val="FF0000"/>
          <w:strike w:val="1"/>
        </w:rPr>
        <w:t>8.01(h)(ii)</w:t>
      </w:r>
      <w:r>
        <w:rPr>
          <w:rFonts w:ascii="Arial" w:cs="Arial" w:eastAsia="Arial" w:hAnsi="Arial"/>
          <w:sz w:val="17"/>
          <w:szCs w:val="17"/>
          <w:b w:val="1"/>
          <w:bCs w:val="1"/>
          <w:color w:val="FF0000"/>
          <w:strike w:val="1"/>
        </w:rPr>
        <w:t xml:space="preserve">, the aggregate net book value of all LC Priority Collateral, and (II) with respect to any Collateral Transfer, the aggregate net book value of all LC Priority Collateral subject to such transfer, in each case (a) excluding the value of any such LC Priority Collateral consisting of (i) intangible assets and (ii) Capital Stock of any Person, (b) calculated on a consolidated basis for all Obligors (so as to exclude the value of any such LC Priority Collateral consisting of obligations owing by one Obligor to another Obligor) and (c) with such net book values as stated in the most recent consolidated financial statements of the Parent delivered pursuant to </w:t>
      </w:r>
      <w:r>
        <w:rPr>
          <w:rFonts w:ascii="Arial" w:cs="Arial" w:eastAsia="Arial" w:hAnsi="Arial"/>
          <w:sz w:val="17"/>
          <w:szCs w:val="17"/>
          <w:b w:val="1"/>
          <w:bCs w:val="1"/>
          <w:u w:val="single" w:color="auto"/>
          <w:color w:val="FF0000"/>
          <w:strike w:val="1"/>
        </w:rPr>
        <w:t>Section 8.01(a)</w:t>
      </w:r>
      <w:r>
        <w:rPr>
          <w:rFonts w:ascii="Arial" w:cs="Arial" w:eastAsia="Arial" w:hAnsi="Arial"/>
          <w:sz w:val="17"/>
          <w:szCs w:val="17"/>
          <w:b w:val="1"/>
          <w:bCs w:val="1"/>
          <w:color w:val="FF0000"/>
          <w:strike w:val="1"/>
        </w:rPr>
        <w:t xml:space="preserve"> or </w:t>
      </w:r>
      <w:r>
        <w:rPr>
          <w:rFonts w:ascii="Arial" w:cs="Arial" w:eastAsia="Arial" w:hAnsi="Arial"/>
          <w:sz w:val="17"/>
          <w:szCs w:val="17"/>
          <w:b w:val="1"/>
          <w:bCs w:val="1"/>
          <w:u w:val="single" w:color="auto"/>
          <w:color w:val="FF0000"/>
          <w:strike w:val="1"/>
        </w:rPr>
        <w:t>Section 8.01(b)</w:t>
      </w:r>
      <w:r>
        <w:rPr>
          <w:rFonts w:ascii="Arial" w:cs="Arial" w:eastAsia="Arial" w:hAnsi="Arial"/>
          <w:sz w:val="17"/>
          <w:szCs w:val="17"/>
          <w:b w:val="1"/>
          <w:bCs w:val="1"/>
          <w:color w:val="FF0000"/>
          <w:strike w:val="1"/>
        </w:rPr>
        <w:t>.</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xml:space="preserve">” means, collectively, WIL-Bermuda, </w:t>
      </w:r>
      <w:r>
        <w:rPr>
          <w:rFonts w:ascii="Arial" w:cs="Arial" w:eastAsia="Arial" w:hAnsi="Arial"/>
          <w:sz w:val="18"/>
          <w:szCs w:val="18"/>
          <w:b w:val="1"/>
          <w:bCs w:val="1"/>
          <w:u w:val="single" w:color="auto"/>
          <w:color w:val="0000FF"/>
        </w:rPr>
        <w:t>WIL-Canada,</w:t>
      </w:r>
      <w:r>
        <w:rPr>
          <w:rFonts w:ascii="Arial" w:cs="Arial" w:eastAsia="Arial" w:hAnsi="Arial"/>
          <w:sz w:val="18"/>
          <w:szCs w:val="18"/>
          <w:color w:val="auto"/>
        </w:rPr>
        <w:t xml:space="preserve"> WIL-Delaware</w:t>
      </w:r>
      <w:r>
        <w:rPr>
          <w:rFonts w:ascii="Arial" w:cs="Arial" w:eastAsia="Arial" w:hAnsi="Arial"/>
          <w:sz w:val="18"/>
          <w:szCs w:val="18"/>
          <w:b w:val="1"/>
          <w:bCs w:val="1"/>
          <w:color w:val="FF0000"/>
          <w:strike w:val="1"/>
        </w:rPr>
        <w:t>, WIL-Canada and any Person who becomes a Borrower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pursuant to the joinder contemplated by</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FF0000"/>
          <w:strike w:val="1"/>
        </w:rPr>
        <w:t>Section 4.13(a)(ii)</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FF"/>
        </w:rPr>
        <w:t>and WIL-Switzerland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-48260</wp:posOffset>
            </wp:positionV>
            <wp:extent cx="10960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96010" cy="825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-31115</wp:posOffset>
            </wp:positionV>
            <wp:extent cx="10960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banks are authorized or required to close in the state of New York, the United Kingdom, Toronto, Ontario (Canada) </w:t>
      </w:r>
      <w:r>
        <w:rPr>
          <w:rFonts w:ascii="Arial" w:cs="Arial" w:eastAsia="Arial" w:hAnsi="Arial"/>
          <w:sz w:val="16"/>
          <w:szCs w:val="16"/>
          <w:b w:val="1"/>
          <w:bCs w:val="1"/>
          <w:color w:val="FF0000"/>
          <w:strike w:val="1"/>
        </w:rPr>
        <w:t>or</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Calgary, Alberta (Canada) </w:t>
      </w:r>
      <w:r>
        <w:rPr>
          <w:rFonts w:ascii="Arial" w:cs="Arial" w:eastAsia="Arial" w:hAnsi="Arial"/>
          <w:sz w:val="16"/>
          <w:szCs w:val="16"/>
          <w:b w:val="1"/>
          <w:bCs w:val="1"/>
          <w:u w:val="single" w:color="auto"/>
          <w:color w:val="0000FF"/>
        </w:rPr>
        <w:t>or Canton Zurich (Switzerland) and Canton Zug (Switzerland)</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Anti-Money Laundering &amp; Anti-Terrorism Legislation</w:t>
      </w:r>
      <w:r>
        <w:rPr>
          <w:rFonts w:ascii="Arial" w:cs="Arial" w:eastAsia="Arial" w:hAnsi="Arial"/>
          <w:sz w:val="18"/>
          <w:szCs w:val="18"/>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Canadian Borrower Joinder</w:t>
      </w:r>
      <w:r>
        <w:rPr>
          <w:rFonts w:ascii="Arial" w:cs="Arial" w:eastAsia="Arial" w:hAnsi="Arial"/>
          <w:sz w:val="18"/>
          <w:szCs w:val="18"/>
          <w:b w:val="1"/>
          <w:bCs w:val="1"/>
          <w:color w:val="FF0000"/>
          <w:strike w:val="1"/>
        </w:rPr>
        <w:t xml:space="preserve">” means the joinder substantially in the form of </w:t>
      </w:r>
      <w:r>
        <w:rPr>
          <w:rFonts w:ascii="Arial" w:cs="Arial" w:eastAsia="Arial" w:hAnsi="Arial"/>
          <w:sz w:val="18"/>
          <w:szCs w:val="18"/>
          <w:b w:val="1"/>
          <w:bCs w:val="1"/>
          <w:u w:val="single" w:color="auto"/>
          <w:color w:val="FF0000"/>
          <w:strike w:val="1"/>
        </w:rPr>
        <w:t>Exhibit P</w:t>
      </w:r>
      <w:r>
        <w:rPr>
          <w:rFonts w:ascii="Arial" w:cs="Arial" w:eastAsia="Arial" w:hAnsi="Arial"/>
          <w:sz w:val="18"/>
          <w:szCs w:val="18"/>
          <w:b w:val="1"/>
          <w:bCs w:val="1"/>
          <w:color w:val="FF0000"/>
          <w:strike w:val="1"/>
        </w:rPr>
        <w:t xml:space="preserve"> hereto.</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Defined Benefit Plan</w:t>
      </w:r>
      <w:r>
        <w:rPr>
          <w:rFonts w:ascii="Arial" w:cs="Arial" w:eastAsia="Arial" w:hAnsi="Arial"/>
          <w:sz w:val="18"/>
          <w:szCs w:val="18"/>
          <w:color w:val="auto"/>
        </w:rPr>
        <w:t xml:space="preserve">” means any pension plan registered under the Income Tax Act (Canada), the </w:t>
      </w:r>
      <w:r>
        <w:rPr>
          <w:rFonts w:ascii="Arial" w:cs="Arial" w:eastAsia="Arial" w:hAnsi="Arial"/>
          <w:sz w:val="18"/>
          <w:szCs w:val="18"/>
          <w:i w:val="1"/>
          <w:iCs w:val="1"/>
          <w:color w:val="auto"/>
        </w:rPr>
        <w:t>Pension Benefits Act</w:t>
      </w:r>
      <w:r>
        <w:rPr>
          <w:rFonts w:ascii="Arial" w:cs="Arial" w:eastAsia="Arial" w:hAnsi="Arial"/>
          <w:sz w:val="18"/>
          <w:szCs w:val="18"/>
          <w:color w:val="auto"/>
        </w:rPr>
        <w:t xml:space="preserve"> (Ontario) or any other applicable pension standards legislation which contains a “defined benefit provision” as defined in subsection 147.1(1) of the Income Tax Act (Canada).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means the lawful currency of Canada.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w:t>
      </w:r>
      <w:r>
        <w:rPr>
          <w:rFonts w:ascii="Arial" w:cs="Arial" w:eastAsia="Arial" w:hAnsi="Arial"/>
          <w:sz w:val="18"/>
          <w:szCs w:val="18"/>
          <w:color w:val="auto"/>
        </w:rPr>
        <w:t xml:space="preserve">” means that certain Canadian Security Agreement dated as of December 13, 2019, among, Weatherford Canada Ltd., Weatherford (Nova </w:t>
      </w:r>
      <w:r>
        <w:rPr>
          <w:rFonts w:ascii="Arial" w:cs="Arial" w:eastAsia="Arial" w:hAnsi="Arial"/>
          <w:sz w:val="18"/>
          <w:szCs w:val="18"/>
          <w:b w:val="1"/>
          <w:bCs w:val="1"/>
          <w:color w:val="FF0000"/>
          <w:strike w:val="1"/>
        </w:rPr>
        <w:t>Scoita</w:t>
      </w:r>
      <w:r>
        <w:rPr>
          <w:rFonts w:ascii="Arial" w:cs="Arial" w:eastAsia="Arial" w:hAnsi="Arial"/>
          <w:sz w:val="18"/>
          <w:szCs w:val="18"/>
          <w:b w:val="1"/>
          <w:bCs w:val="1"/>
          <w:u w:val="single" w:color="auto"/>
          <w:color w:val="0000FF"/>
        </w:rPr>
        <w:t>Scotia</w:t>
      </w:r>
      <w:r>
        <w:rPr>
          <w:rFonts w:ascii="Arial" w:cs="Arial" w:eastAsia="Arial" w:hAnsi="Arial"/>
          <w:sz w:val="18"/>
          <w:szCs w:val="18"/>
          <w:color w:val="auto"/>
        </w:rPr>
        <w:t>) ULC, Precisions Energy Services ULC, Precision Energy International Ltd., Precision Energy Services Colombia Ltd., the other “Grantors” from time to time party thereto and the Administrative Agent, as amended, restated, amended and restated, supplemented or otherwise modified from time to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 lease that is required to be capitalized and accounted for as a financing lease for financial reporting purposes in accordance with GAAP.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all of the shares, options, warrants, interests, participations, equity interests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Lease Obligation</w:t>
      </w:r>
      <w:r>
        <w:rPr>
          <w:rFonts w:ascii="Arial" w:cs="Arial" w:eastAsia="Arial" w:hAnsi="Arial"/>
          <w:sz w:val="16"/>
          <w:szCs w:val="16"/>
          <w:color w:val="auto"/>
        </w:rPr>
        <w:t>” means that portion of the obligations under a Capital Lease that is required to be capitalized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“Cash Collateralized Letter of Credit” has the meaning given to such term in Section 3.01(q)(iii).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Domestic Cash Equivalents, and (b) Foreign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w:t>
      </w:r>
      <w:r>
        <w:rPr>
          <w:rFonts w:ascii="Arial" w:cs="Arial" w:eastAsia="Arial" w:hAnsi="Arial"/>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(a)            any Person or two or more Persons acting in concert </w:t>
      </w:r>
      <w:r>
        <w:rPr>
          <w:rFonts w:ascii="Arial" w:cs="Arial" w:eastAsia="Arial" w:hAnsi="Arial"/>
          <w:sz w:val="18"/>
          <w:szCs w:val="18"/>
          <w:b w:val="1"/>
          <w:bCs w:val="1"/>
          <w:color w:val="FF0000"/>
          <w:strike w:val="1"/>
        </w:rPr>
        <w:t>(other than Permitted Holders)</w:t>
      </w:r>
      <w:r>
        <w:rPr>
          <w:rFonts w:ascii="Arial" w:cs="Arial" w:eastAsia="Arial" w:hAnsi="Arial"/>
          <w:sz w:val="18"/>
          <w:szCs w:val="18"/>
          <w:color w:val="auto"/>
        </w:rPr>
        <w:t xml:space="preserve"> shall have acquired beneficial ownership, directly or indirectly, of equity interests of Weatherford Parent Company (or other securities convertible into such equity interests) representing </w:t>
      </w:r>
      <w:r>
        <w:rPr>
          <w:rFonts w:ascii="Arial" w:cs="Arial" w:eastAsia="Arial" w:hAnsi="Arial"/>
          <w:sz w:val="18"/>
          <w:szCs w:val="18"/>
          <w:b w:val="1"/>
          <w:bCs w:val="1"/>
          <w:color w:val="FF0000"/>
          <w:strike w:val="1"/>
        </w:rPr>
        <w:t>30</w:t>
      </w:r>
      <w:r>
        <w:rPr>
          <w:rFonts w:ascii="Arial" w:cs="Arial" w:eastAsia="Arial" w:hAnsi="Arial"/>
          <w:sz w:val="18"/>
          <w:szCs w:val="18"/>
          <w:b w:val="1"/>
          <w:bCs w:val="1"/>
          <w:u w:val="single" w:color="auto"/>
          <w:color w:val="0000FF"/>
        </w:rPr>
        <w:t>50</w:t>
      </w:r>
      <w:r>
        <w:rPr>
          <w:rFonts w:ascii="Arial" w:cs="Arial" w:eastAsia="Arial" w:hAnsi="Arial"/>
          <w:sz w:val="18"/>
          <w:szCs w:val="18"/>
          <w:color w:val="auto"/>
        </w:rPr>
        <w:t>%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(c)            the occurrence of any “Change of Control” or similar event under the Senior Secured Notes</w:t>
      </w:r>
      <w:r>
        <w:rPr>
          <w:rFonts w:ascii="Arial" w:cs="Arial" w:eastAsia="Arial" w:hAnsi="Arial"/>
          <w:sz w:val="18"/>
          <w:szCs w:val="18"/>
          <w:b w:val="1"/>
          <w:bCs w:val="1"/>
          <w:color w:val="FF0000"/>
          <w:strike w:val="1"/>
        </w:rPr>
        <w:t>, the Exit Senior Notes</w:t>
      </w:r>
      <w:r>
        <w:rPr>
          <w:rFonts w:ascii="Arial" w:cs="Arial" w:eastAsia="Arial" w:hAnsi="Arial"/>
          <w:sz w:val="18"/>
          <w:szCs w:val="18"/>
          <w:color w:val="auto"/>
        </w:rPr>
        <w:t xml:space="preserve"> or the Senior Notes </w:t>
      </w:r>
      <w:r>
        <w:rPr>
          <w:rFonts w:ascii="Arial" w:cs="Arial" w:eastAsia="Arial" w:hAnsi="Arial"/>
          <w:sz w:val="18"/>
          <w:szCs w:val="18"/>
          <w:b w:val="1"/>
          <w:bCs w:val="1"/>
          <w:u w:val="single" w:color="auto"/>
          <w:color w:val="0000FF"/>
        </w:rPr>
        <w:t>or the documentation governing any Permitted Convertible Indebtedness</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property owned, leased or operated by an Obligor (or, in the case of property pledged pursuant to a Pledge Agreement, another Person) covered by the Collateral Documents and any and all other property of any Obligor (or, in the case of property pledged pursuant to a Pledge Agreement, another Person),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Collateral Transfer</w:t>
      </w:r>
      <w:r>
        <w:rPr>
          <w:rFonts w:ascii="Arial" w:cs="Arial" w:eastAsia="Arial" w:hAnsi="Arial"/>
          <w:sz w:val="18"/>
          <w:szCs w:val="18"/>
          <w:b w:val="1"/>
          <w:bCs w:val="1"/>
          <w:color w:val="FF0000"/>
          <w:strike w:val="1"/>
        </w:rPr>
        <w:t>” means any Disposition, Investment or Restricted Payment involving any Collateral.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any letter of credit, bank guarantee or similar instrument issued for the purpose of providing the primary payment mechanism in connection with the purchase of materials, goods or services.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at any time, the sum of such Lender’s Revolving Credit Commitment, Revolving </w:t>
      </w:r>
      <w:r>
        <w:rPr>
          <w:rFonts w:ascii="Arial" w:cs="Arial" w:eastAsia="Arial" w:hAnsi="Arial"/>
          <w:sz w:val="18"/>
          <w:szCs w:val="18"/>
          <w:b w:val="1"/>
          <w:bCs w:val="1"/>
          <w:color w:val="FF0000"/>
          <w:strike w:val="1"/>
        </w:rPr>
        <w:t>LC-Specific</w:t>
      </w:r>
      <w:r>
        <w:rPr>
          <w:rFonts w:ascii="Arial" w:cs="Arial" w:eastAsia="Arial" w:hAnsi="Arial"/>
          <w:sz w:val="18"/>
          <w:szCs w:val="18"/>
          <w:b w:val="1"/>
          <w:bCs w:val="1"/>
          <w:u w:val="single" w:color="auto"/>
          <w:color w:val="0000FF"/>
        </w:rPr>
        <w:t>Loan-Specific</w:t>
      </w:r>
      <w:r>
        <w:rPr>
          <w:rFonts w:ascii="Arial" w:cs="Arial" w:eastAsia="Arial" w:hAnsi="Arial"/>
          <w:sz w:val="18"/>
          <w:szCs w:val="18"/>
          <w:b w:val="1"/>
          <w:bCs w:val="1"/>
          <w:color w:val="FF0000"/>
        </w:rPr>
        <w:t xml:space="preserve"> </w:t>
      </w:r>
      <w:r>
        <w:rPr>
          <w:rFonts w:ascii="Arial" w:cs="Arial" w:eastAsia="Arial" w:hAnsi="Arial"/>
          <w:sz w:val="18"/>
          <w:szCs w:val="18"/>
          <w:color w:val="000000"/>
        </w:rPr>
        <w:t>Commitment and Performance LC Commitment at such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12.02(e)(ii)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means, with respect to any fiscal period, a certificate of a Principal Financial Officer of Parent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 certifying as to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and, if any such change has occurred, specifying the effect of such change on the financial statements accompanying such certificate, (f) setting forth a current list of Standalone Performance LCs, including the face amount thereof and the issuer with respect thereto and (g) any changes to exhibits or schedules to any Collateral Document as required by such Collateral Document.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Conforming Changes</w:t>
      </w:r>
      <w:r>
        <w:rPr>
          <w:rFonts w:ascii="Arial" w:cs="Arial" w:eastAsia="Arial" w:hAnsi="Arial"/>
          <w:sz w:val="17"/>
          <w:szCs w:val="17"/>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Borrowers) decides is reasonably necessary in connection with the administration of this Agreement and the other Loan Documents).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of Parent and its Restricted Subsidiaries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w:t>
      </w:r>
    </w:p>
    <w:p>
      <w:pPr>
        <w:spacing w:after="0" w:line="46" w:lineRule="exact"/>
        <w:rPr>
          <w:sz w:val="20"/>
          <w:szCs w:val="20"/>
          <w:color w:val="auto"/>
        </w:rPr>
      </w:pPr>
    </w:p>
    <w:p>
      <w:pPr>
        <w:jc w:val="both"/>
        <w:ind w:firstLine="8"/>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following expenses or charges (without duplication) and to the extent deducted from revenues in determining consolidated net income for such period (i) consolidated interest expense, (ii) expense for income taxes, (iii) depreciation, (iv) amortization, (v) [reserved], (vi) fees, expenses, premiums and similar charges related to any incurrence, modification, repayment or Redemption of Indebtedness permitted to be incurred under this Agreement (including bond redemption premiums and loss on extinguishment of debt), (vii) non-cash foreign exchange losses, (viii) extraordinary or non-recurring expenses and charges, including those related to (A) severance, cost savings, operating expense reductions, facilities closings, percentage of completion contracts, consolidations, and integration costs, other restructuring charges or reserves, and impairment charges and (B) reorganization, litigation, settlement and judgment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included in the determination of Consolidated Adjusted EBITDA pursuant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below shall not exceed the greater of (x) $50,000,000 or (y) 10% of Consolidated Adjusted EBITDA for any Testing Period (calculated prior to giving effect to this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below), (ix) any losses or charges under Swap Agreements resulting from the application of FASB ASC 815, (x) share-based compensation expenses or costs related to any management equity plan or stock option plan or any other management or employee benefit plan or agreement, (xi) fees, expenses, premiums and similar charges incurred in connection with this Agreement and the Transactions, and (xii) fees, expenses, premiums and similar charges incurred in connection with other bilateral letter of credit arrangements, and any acquisition, Investment, disposition or issuance of Capital Stock, in each case,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included in the determination of Consolidated Adjusted EBITDA pursuant to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above shall not exceed the greater of</w:t>
      </w:r>
    </w:p>
    <w:p>
      <w:pPr>
        <w:spacing w:after="0" w:line="8" w:lineRule="exact"/>
        <w:rPr>
          <w:rFonts w:ascii="Arial" w:cs="Arial" w:eastAsia="Arial" w:hAnsi="Arial"/>
          <w:sz w:val="16"/>
          <w:szCs w:val="16"/>
          <w:color w:val="auto"/>
        </w:rPr>
      </w:pPr>
    </w:p>
    <w:p>
      <w:pPr>
        <w:jc w:val="both"/>
        <w:ind w:right="20" w:firstLine="8"/>
        <w:spacing w:after="0" w:line="265" w:lineRule="auto"/>
        <w:tabs>
          <w:tab w:leader="none" w:pos="2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$50,000,000 or (y) 10% of Consolidated Adjusted EBITDA for any Testing Period (calculated prior to giving effect to this </w:t>
      </w:r>
      <w:r>
        <w:rPr>
          <w:rFonts w:ascii="Arial" w:cs="Arial" w:eastAsia="Arial" w:hAnsi="Arial"/>
          <w:sz w:val="17"/>
          <w:szCs w:val="17"/>
          <w:u w:val="single" w:color="auto"/>
          <w:color w:val="auto"/>
        </w:rPr>
        <w:t>clause (xii)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minus</w:t>
      </w:r>
      <w:r>
        <w:rPr>
          <w:rFonts w:ascii="Arial" w:cs="Arial" w:eastAsia="Arial" w:hAnsi="Arial"/>
          <w:sz w:val="17"/>
          <w:szCs w:val="17"/>
          <w:color w:val="auto"/>
        </w:rPr>
        <w:t>, (b) the following items of income or gains (without duplication) to the extent included in consolidated net income for such period,</w:t>
      </w:r>
    </w:p>
    <w:p>
      <w:pPr>
        <w:jc w:val="both"/>
        <w:ind w:firstLine="8"/>
        <w:spacing w:after="0" w:line="252" w:lineRule="auto"/>
        <w:tabs>
          <w:tab w:leader="none" w:pos="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(ii) income tax benefits (to the extent not netted from tax expense), (iii) any gains under Swap Agreements resulting from the application of FASB ASC 815, (iv) non-cash foreign exchange gains, and (v) net income attributable to non-controlling interest or minority interest (except to the extent of dividends or other distributions therefrom received by Parent or any Restricted Subsidiary).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sum of the following determined on a consolidated basis, without duplication, for Parent and its Restricted Subsidiaries in accordance with GAAP, interest expense (including interest expense attributable to Capitalized Lease Obligations and all net cash payment obligations pursuant to Swap Agreements) for such period, in all cases net of the consolidated interest income of Parent and its Restricted Subsidiaries for such period.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0000FF"/>
        </w:rPr>
        <w:t xml:space="preserve">“Consolidated Net </w:t>
      </w:r>
      <w:r>
        <w:rPr>
          <w:rFonts w:ascii="Arial" w:cs="Arial" w:eastAsia="Arial" w:hAnsi="Arial"/>
          <w:sz w:val="16"/>
          <w:szCs w:val="16"/>
          <w:i w:val="1"/>
          <w:iCs w:val="1"/>
          <w:u w:val="single" w:color="auto"/>
          <w:color w:val="008000"/>
        </w:rPr>
        <w:t>Leverage Ratio” means, as of any date of determination and on a consolidated basis, the result of (a) the amount equal to</w:t>
      </w:r>
    </w:p>
    <w:p>
      <w:pPr>
        <w:spacing w:after="0" w:line="50" w:lineRule="exact"/>
        <w:rPr>
          <w:sz w:val="20"/>
          <w:szCs w:val="20"/>
          <w:color w:val="auto"/>
        </w:rPr>
      </w:pPr>
    </w:p>
    <w:p>
      <w:pPr>
        <w:ind w:firstLine="8"/>
        <w:spacing w:after="0" w:line="260" w:lineRule="auto"/>
        <w:tabs>
          <w:tab w:leader="none" w:pos="222" w:val="left"/>
        </w:tabs>
        <w:numPr>
          <w:ilvl w:val="0"/>
          <w:numId w:val="22"/>
        </w:numPr>
        <w:rPr>
          <w:rFonts w:ascii="Arial" w:cs="Arial" w:eastAsia="Arial" w:hAnsi="Arial"/>
          <w:sz w:val="18"/>
          <w:szCs w:val="18"/>
          <w:i w:val="1"/>
          <w:iCs w:val="1"/>
          <w:u w:val="single" w:color="auto"/>
          <w:color w:val="008000"/>
        </w:rPr>
      </w:pPr>
      <w:r>
        <w:rPr>
          <w:rFonts w:ascii="Arial" w:cs="Arial" w:eastAsia="Arial" w:hAnsi="Arial"/>
          <w:sz w:val="18"/>
          <w:szCs w:val="18"/>
          <w:i w:val="1"/>
          <w:iCs w:val="1"/>
          <w:u w:val="single" w:color="auto"/>
          <w:color w:val="008000"/>
        </w:rPr>
        <w:t>Funded Indebtedness as of such date minus (ii) Unrestricted Cash in excess of $400,000,000, to (b) Consolidated Adjusted EBITDA for the four Fiscal Quarter period ended as of such date.</w:t>
      </w:r>
    </w:p>
    <w:p>
      <w:pPr>
        <w:spacing w:after="0" w:line="18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u w:val="single" w:color="auto"/>
          <w:color w:val="0000FF"/>
        </w:rPr>
        <w:t xml:space="preserve">“Consolidated Secured Net Leverage Ratio” means, as of any date of determination and on a consolidated basis, the result of (a) the amount equal to (i) Funded Indebtedness that is secured on a </w:t>
      </w:r>
      <w:r>
        <w:rPr>
          <w:rFonts w:ascii="Arial" w:cs="Arial" w:eastAsia="Arial" w:hAnsi="Arial"/>
          <w:sz w:val="16"/>
          <w:szCs w:val="16"/>
          <w:b w:val="1"/>
          <w:bCs w:val="1"/>
          <w:i w:val="1"/>
          <w:iCs w:val="1"/>
          <w:u w:val="single" w:color="auto"/>
          <w:color w:val="0000FF"/>
        </w:rPr>
        <w:t>pari passu</w:t>
      </w:r>
      <w:r>
        <w:rPr>
          <w:rFonts w:ascii="Arial" w:cs="Arial" w:eastAsia="Arial" w:hAnsi="Arial"/>
          <w:sz w:val="16"/>
          <w:szCs w:val="16"/>
          <w:b w:val="1"/>
          <w:bCs w:val="1"/>
          <w:u w:val="single" w:color="auto"/>
          <w:color w:val="0000FF"/>
        </w:rPr>
        <w:t xml:space="preserve"> or junior lien basis with the Secured Obligations as of such date minus (ii) Unrestricted Cash in excess of $400,000,000, to (b) Consolidated Adjusted EBITDA for the four Fiscal Quarter period ended as of such date.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xml:space="preserve">”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w:t>
      </w:r>
      <w:r>
        <w:rPr>
          <w:rFonts w:ascii="Arial" w:cs="Arial" w:eastAsia="Arial" w:hAnsi="Arial"/>
          <w:sz w:val="17"/>
          <w:szCs w:val="17"/>
          <w:b w:val="1"/>
          <w:bCs w:val="1"/>
          <w:color w:val="FF0000"/>
          <w:strike w:val="1"/>
        </w:rPr>
        <w:t>either the Permitted Holders or</w:t>
      </w:r>
      <w:r>
        <w:rPr>
          <w:rFonts w:ascii="Arial" w:cs="Arial" w:eastAsia="Arial" w:hAnsi="Arial"/>
          <w:sz w:val="17"/>
          <w:szCs w:val="17"/>
          <w:color w:val="auto"/>
        </w:rPr>
        <w:t xml:space="preserve"> a majority of the Continuing Directors.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CORRA</w:t>
      </w:r>
      <w:r>
        <w:rPr>
          <w:rFonts w:ascii="Arial" w:cs="Arial" w:eastAsia="Arial" w:hAnsi="Arial"/>
          <w:sz w:val="18"/>
          <w:szCs w:val="18"/>
          <w:color w:val="auto"/>
        </w:rPr>
        <w:t>” means the Canadian Overnight Repo Rate Average administered and published by the Bank of Canada (or any successor administrator).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Facility</w:t>
      </w:r>
      <w:r>
        <w:rPr>
          <w:rFonts w:ascii="Arial" w:cs="Arial" w:eastAsia="Arial" w:hAnsi="Arial"/>
          <w:sz w:val="16"/>
          <w:szCs w:val="16"/>
          <w:color w:val="auto"/>
        </w:rPr>
        <w:t>” means the revolving credit facility hereunder comprised of, collectively, the Commitments, the Loans and the Letters of Credit.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or any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Currencies</w:t>
      </w:r>
      <w:r>
        <w:rPr>
          <w:rFonts w:ascii="Arial" w:cs="Arial" w:eastAsia="Arial" w:hAnsi="Arial"/>
          <w:sz w:val="18"/>
          <w:szCs w:val="18"/>
          <w:color w:val="auto"/>
        </w:rPr>
        <w:t>” means Dollars and each Alternative Currency, and “</w:t>
      </w:r>
      <w:r>
        <w:rPr>
          <w:rFonts w:ascii="Arial" w:cs="Arial" w:eastAsia="Arial" w:hAnsi="Arial"/>
          <w:sz w:val="18"/>
          <w:szCs w:val="18"/>
          <w:u w:val="single" w:color="auto"/>
          <w:color w:val="auto"/>
        </w:rPr>
        <w:t>Currency</w:t>
      </w:r>
      <w:r>
        <w:rPr>
          <w:rFonts w:ascii="Arial" w:cs="Arial" w:eastAsia="Arial" w:hAnsi="Arial"/>
          <w:sz w:val="18"/>
          <w:szCs w:val="18"/>
          <w:color w:val="auto"/>
        </w:rPr>
        <w:t>” means any of such Currencies.</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Simple</w:t>
      </w:r>
      <w:r>
        <w:rPr>
          <w:rFonts w:ascii="Arial" w:cs="Arial" w:eastAsia="Arial" w:hAnsi="Arial"/>
          <w:sz w:val="17"/>
          <w:szCs w:val="17"/>
          <w:b w:val="1"/>
          <w:bCs w:val="1"/>
          <w:u w:val="single" w:color="auto"/>
          <w:color w:val="0000FF"/>
        </w:rPr>
        <w:t>Compounded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CORRA</w:t>
      </w:r>
      <w:r>
        <w:rPr>
          <w:rFonts w:ascii="Arial" w:cs="Arial" w:eastAsia="Arial" w:hAnsi="Arial"/>
          <w:sz w:val="17"/>
          <w:szCs w:val="17"/>
          <w:color w:val="auto"/>
        </w:rPr>
        <w:t xml:space="preserve">” means, for any </w:t>
      </w:r>
      <w:r>
        <w:rPr>
          <w:rFonts w:ascii="Arial" w:cs="Arial" w:eastAsia="Arial" w:hAnsi="Arial"/>
          <w:sz w:val="17"/>
          <w:szCs w:val="17"/>
          <w:b w:val="1"/>
          <w:bCs w:val="1"/>
          <w:color w:val="FF0000"/>
          <w:strike w:val="1"/>
        </w:rPr>
        <w:t>day, CORRA, with the</w:t>
      </w:r>
      <w:r>
        <w:rPr>
          <w:rFonts w:ascii="Arial" w:cs="Arial" w:eastAsia="Arial" w:hAnsi="Arial"/>
          <w:sz w:val="17"/>
          <w:szCs w:val="17"/>
          <w:b w:val="1"/>
          <w:bCs w:val="1"/>
          <w:u w:val="single" w:color="auto"/>
          <w:color w:val="0000FF"/>
        </w:rPr>
        <w:t>Business Day in an interest payment period, CORRA with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interest accruing on a compounded daily basis, with the methodology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conventions for this rate (which</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may</w:t>
      </w:r>
      <w:r>
        <w:rPr>
          <w:rFonts w:ascii="Arial" w:cs="Arial" w:eastAsia="Arial" w:hAnsi="Arial"/>
          <w:sz w:val="17"/>
          <w:szCs w:val="17"/>
          <w:b w:val="1"/>
          <w:bCs w:val="1"/>
          <w:u w:val="single" w:color="auto"/>
          <w:color w:val="0000FF"/>
        </w:rPr>
        <w:t>will</w:t>
      </w:r>
      <w:r>
        <w:rPr>
          <w:rFonts w:ascii="Arial" w:cs="Arial" w:eastAsia="Arial" w:hAnsi="Arial"/>
          <w:sz w:val="17"/>
          <w:szCs w:val="17"/>
          <w:b w:val="1"/>
          <w:bCs w:val="1"/>
          <w:color w:val="0000FF"/>
        </w:rPr>
        <w:t xml:space="preserve"> </w:t>
      </w:r>
      <w:r>
        <w:rPr>
          <w:rFonts w:ascii="Arial" w:cs="Arial" w:eastAsia="Arial" w:hAnsi="Arial"/>
          <w:sz w:val="17"/>
          <w:szCs w:val="17"/>
          <w:color w:val="000000"/>
        </w:rPr>
        <w:t>include</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compounding in arrears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with</w:t>
      </w:r>
      <w:r>
        <w:rPr>
          <w:rFonts w:ascii="Arial" w:cs="Arial" w:eastAsia="Arial" w:hAnsi="Arial"/>
          <w:sz w:val="17"/>
          <w:szCs w:val="17"/>
          <w:b w:val="1"/>
          <w:bCs w:val="1"/>
          <w:color w:val="0000FF"/>
        </w:rPr>
        <w:t xml:space="preserve"> </w:t>
      </w:r>
      <w:r>
        <w:rPr>
          <w:rFonts w:ascii="Arial" w:cs="Arial" w:eastAsia="Arial" w:hAnsi="Arial"/>
          <w:sz w:val="17"/>
          <w:szCs w:val="17"/>
          <w:color w:val="000000"/>
        </w:rPr>
        <w:t>a lookback) being established by the Administrative Agent in accordance with the</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methodology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conventions for this rate selected or</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recommended by the Relevant Governmental Body for determining </w:t>
      </w:r>
      <w:r>
        <w:rPr>
          <w:rFonts w:ascii="Arial" w:cs="Arial" w:eastAsia="Arial" w:hAnsi="Arial"/>
          <w:sz w:val="17"/>
          <w:szCs w:val="17"/>
          <w:b w:val="1"/>
          <w:bCs w:val="1"/>
          <w:color w:val="FF0000"/>
          <w:strike w:val="1"/>
        </w:rPr>
        <w:t>“Daily Simple</w:t>
      </w:r>
      <w:r>
        <w:rPr>
          <w:rFonts w:ascii="Arial" w:cs="Arial" w:eastAsia="Arial" w:hAnsi="Arial"/>
          <w:sz w:val="17"/>
          <w:szCs w:val="17"/>
          <w:b w:val="1"/>
          <w:bCs w:val="1"/>
          <w:u w:val="single" w:color="auto"/>
          <w:color w:val="0000FF"/>
        </w:rPr>
        <w:t>compounded</w:t>
      </w:r>
      <w:r>
        <w:rPr>
          <w:rFonts w:ascii="Arial" w:cs="Arial" w:eastAsia="Arial" w:hAnsi="Arial"/>
          <w:sz w:val="17"/>
          <w:szCs w:val="17"/>
          <w:color w:val="000000"/>
        </w:rPr>
        <w:t xml:space="preserve"> CORRA</w:t>
      </w:r>
      <w:r>
        <w:rPr>
          <w:rFonts w:ascii="Arial" w:cs="Arial" w:eastAsia="Arial" w:hAnsi="Arial"/>
          <w:sz w:val="17"/>
          <w:szCs w:val="17"/>
          <w:b w:val="1"/>
          <w:bCs w:val="1"/>
          <w:color w:val="FF0000"/>
          <w:strike w:val="1"/>
        </w:rPr>
        <w:t>”</w:t>
      </w:r>
      <w:r>
        <w:rPr>
          <w:rFonts w:ascii="Arial" w:cs="Arial" w:eastAsia="Arial" w:hAnsi="Arial"/>
          <w:sz w:val="17"/>
          <w:szCs w:val="17"/>
          <w:color w:val="000000"/>
        </w:rPr>
        <w:t xml:space="preserve"> for business loans; provided that if the Administrative Agent decides </w:t>
      </w:r>
      <w:r>
        <w:rPr>
          <w:rFonts w:ascii="Arial" w:cs="Arial" w:eastAsia="Arial" w:hAnsi="Arial"/>
          <w:sz w:val="17"/>
          <w:szCs w:val="17"/>
          <w:b w:val="1"/>
          <w:bCs w:val="1"/>
          <w:u w:val="single" w:color="auto"/>
          <w:color w:val="0000FF"/>
        </w:rPr>
        <w:t>(in its sole discretion)</w:t>
      </w:r>
      <w:r>
        <w:rPr>
          <w:rFonts w:ascii="Arial" w:cs="Arial" w:eastAsia="Arial" w:hAnsi="Arial"/>
          <w:sz w:val="17"/>
          <w:szCs w:val="17"/>
          <w:color w:val="000000"/>
        </w:rPr>
        <w:t xml:space="preserve"> that any such convention is not administratively feasible for the Administrative Agent, then the Administrative Agent may establish another convention in its reasonable discretion</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 and provided that if the administrator has not provided or</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published CORRA and a Benchmark Transition Event with respect to CORRA has not occurred, then, in respect of any day for which CORRA is required, references to CORRA will be deemed to be references to the last provided or published CORRA.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w:t>
      </w:r>
      <w:r>
        <w:rPr>
          <w:rFonts w:ascii="Arial" w:cs="Arial" w:eastAsia="Arial" w:hAnsi="Arial"/>
          <w:sz w:val="18"/>
          <w:szCs w:val="18"/>
          <w:color w:val="auto"/>
        </w:rPr>
        <w:t>” means, for any day (an “</w:t>
      </w:r>
      <w:r>
        <w:rPr>
          <w:rFonts w:ascii="Arial" w:cs="Arial" w:eastAsia="Arial" w:hAnsi="Arial"/>
          <w:sz w:val="18"/>
          <w:szCs w:val="18"/>
          <w:u w:val="single" w:color="auto"/>
          <w:color w:val="auto"/>
        </w:rPr>
        <w:t>RFR Rate Day</w:t>
      </w:r>
      <w:r>
        <w:rPr>
          <w:rFonts w:ascii="Arial" w:cs="Arial" w:eastAsia="Arial" w:hAnsi="Arial"/>
          <w:sz w:val="18"/>
          <w:szCs w:val="18"/>
          <w:color w:val="auto"/>
        </w:rPr>
        <w:t>”), a rate per annum equal to, for any Obligations, interest, fees, commissions or other amounts denominated in, or calculated with respect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Sterling, the greater of (i) SONIA for the day (such day, a “</w:t>
      </w:r>
      <w:r>
        <w:rPr>
          <w:rFonts w:ascii="Arial" w:cs="Arial" w:eastAsia="Arial" w:hAnsi="Arial"/>
          <w:sz w:val="16"/>
          <w:szCs w:val="16"/>
          <w:u w:val="single" w:color="auto"/>
          <w:color w:val="auto"/>
        </w:rPr>
        <w:t>Sterling RFR Determination Day</w:t>
      </w:r>
      <w:r>
        <w:rPr>
          <w:rFonts w:ascii="Arial" w:cs="Arial" w:eastAsia="Arial" w:hAnsi="Arial"/>
          <w:sz w:val="16"/>
          <w:szCs w:val="16"/>
          <w:color w:val="auto"/>
        </w:rPr>
        <w:t>”) that is five (5) RFR Business Days prior to</w:t>
      </w:r>
    </w:p>
    <w:p>
      <w:pPr>
        <w:spacing w:after="0" w:line="46" w:lineRule="exact"/>
        <w:rPr>
          <w:sz w:val="20"/>
          <w:szCs w:val="20"/>
          <w:color w:val="auto"/>
        </w:rPr>
      </w:pPr>
    </w:p>
    <w:p>
      <w:pPr>
        <w:jc w:val="both"/>
        <w:ind w:firstLine="8"/>
        <w:spacing w:after="0" w:line="281" w:lineRule="auto"/>
        <w:tabs>
          <w:tab w:leader="none" w:pos="29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such RFR Rate Day is an RFR Business Day, such RFR Rate Day or (B) if such RFR Rate Day is not an RFR Business Day, the RFR Business Day immediately preceding such RFR Rate Day, in each case, as such SONIA is published by the SONIA Administrator on the SONIA Administrator’s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5:00 p.m. (London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SONIA as determined pursuant to this proviso shall be utilized for purposes of calculation of Daily Simple RFR for no more than three (3) consecutive RFR Rate Days and (ii) the Floor; and</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            Swiss Francs, the greater of (i) SARON for the day (such day, a “</w:t>
      </w:r>
      <w:r>
        <w:rPr>
          <w:rFonts w:ascii="Arial" w:cs="Arial" w:eastAsia="Arial" w:hAnsi="Arial"/>
          <w:sz w:val="16"/>
          <w:szCs w:val="16"/>
          <w:u w:val="single" w:color="auto"/>
          <w:color w:val="auto"/>
        </w:rPr>
        <w:t>Swiss Francs RFR Determination Day</w:t>
      </w:r>
      <w:r>
        <w:rPr>
          <w:rFonts w:ascii="Arial" w:cs="Arial" w:eastAsia="Arial" w:hAnsi="Arial"/>
          <w:sz w:val="16"/>
          <w:szCs w:val="16"/>
          <w:color w:val="auto"/>
        </w:rPr>
        <w:t>”) that is five (5) 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Administrator’s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by 5:00 p.m. (Zurich time)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RFR Business Day immediately following any Swiss Francs RFR Determination Day, SARON in respect of such Swiss Francs RFR Determination Day has not been published on the SARON Administrator’s Website and a Benchmark Replacement Date with respect to the Daily Simple RFR for Swiss Francs has not occurred, then SARON for such Swiss Francs RFR Determination Day will be SARON as published in respect of the first preceding RFR Business Day for which such SARON was published on the SARON Administrator’s Website;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SARON as determined pursuant to this proviso shall be utilized for purposes of calculation of Daily Simple RFR for no more than three (3) consecutive RFR Rate Days and (ii) the Floor.</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change in Daily Simple RFR due to a change in the applicable RFR shall be effective from and including the effective date of such change in the RFR without notice to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 Loan</w:t>
      </w:r>
      <w:r>
        <w:rPr>
          <w:rFonts w:ascii="Arial" w:cs="Arial" w:eastAsia="Arial" w:hAnsi="Arial"/>
          <w:sz w:val="18"/>
          <w:szCs w:val="18"/>
          <w:color w:val="auto"/>
        </w:rPr>
        <w:t>” means any Loan that bears interest at a rate based on Daily Simple RFR.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DBTCA</w:t>
      </w:r>
      <w:r>
        <w:rPr>
          <w:rFonts w:ascii="Arial" w:cs="Arial" w:eastAsia="Arial" w:hAnsi="Arial"/>
          <w:sz w:val="18"/>
          <w:szCs w:val="18"/>
          <w:color w:val="auto"/>
        </w:rPr>
        <w:t>” means Deutsche Bank Trust Company Americas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the occurrence of any event that with the giving of notice or the passage of time or both would become an Event of Default.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within two (2) Business Days of the date required to be funded or paid, to (i) fund all or any portion of the Loans required to be funded by it hereunder or (ii) pay over to any Credit Party any other amount required to be paid by it hereunder (including in respect of participations in Letters of Credit) unless, in the case of either clause (i) or clause (ii),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w:t>
      </w:r>
    </w:p>
    <w:p>
      <w:pPr>
        <w:spacing w:after="0" w:line="2" w:lineRule="exact"/>
        <w:rPr>
          <w:sz w:val="20"/>
          <w:szCs w:val="20"/>
          <w:color w:val="auto"/>
        </w:rPr>
      </w:pPr>
    </w:p>
    <w:p>
      <w:pPr>
        <w:jc w:val="both"/>
        <w:ind w:firstLine="8"/>
        <w:spacing w:after="0" w:line="281"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w:t>
      </w:r>
    </w:p>
    <w:p>
      <w:pPr>
        <w:spacing w:after="0" w:line="1"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(3) Business Days after request by any Obligor Party or any Credit Party, acting in good faith, to provide a certification in writing from an authorized officer of such Lender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5" w:lineRule="exact"/>
        <w:rPr>
          <w:rFonts w:ascii="Arial" w:cs="Arial" w:eastAsia="Arial" w:hAnsi="Arial"/>
          <w:sz w:val="16"/>
          <w:szCs w:val="16"/>
          <w:color w:val="auto"/>
        </w:rPr>
      </w:pPr>
    </w:p>
    <w:p>
      <w:pPr>
        <w:ind w:firstLine="8"/>
        <w:spacing w:after="0" w:line="260" w:lineRule="auto"/>
        <w:tabs>
          <w:tab w:leader="none" w:pos="256"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color w:val="auto"/>
        </w:rPr>
        <w:t>above shall be conclusive and binding absent manifest error, and such Lender shall be deemed to be a Defaulting Lender upon delivery of written notice of such determination to the Borrowers, the Issuing Banks and each Lender.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means Deutsche Bank AG New York Branch and its successors.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Dispose</w:t>
      </w:r>
      <w:r>
        <w:rPr>
          <w:rFonts w:ascii="Arial" w:cs="Arial" w:eastAsia="Arial" w:hAnsi="Arial"/>
          <w:sz w:val="16"/>
          <w:szCs w:val="16"/>
          <w:color w:val="auto"/>
        </w:rPr>
        <w:t>” means to sell, lease, assign, exchange, convey or otherwise transfer (excluding the granting of a Lien on) any property or license any Intellectual Property to another Person. “</w:t>
      </w:r>
      <w:r>
        <w:rPr>
          <w:rFonts w:ascii="Arial" w:cs="Arial" w:eastAsia="Arial" w:hAnsi="Arial"/>
          <w:sz w:val="16"/>
          <w:szCs w:val="16"/>
          <w:u w:val="single" w:color="auto"/>
          <w:color w:val="auto"/>
        </w:rPr>
        <w:t>Disposition</w:t>
      </w:r>
      <w:r>
        <w:rPr>
          <w:rFonts w:ascii="Arial" w:cs="Arial" w:eastAsia="Arial" w:hAnsi="Arial"/>
          <w:sz w:val="16"/>
          <w:szCs w:val="16"/>
          <w:color w:val="auto"/>
        </w:rPr>
        <w:t xml:space="preserve">” has a meaning correlative thereto. </w:t>
      </w:r>
      <w:r>
        <w:rPr>
          <w:rFonts w:ascii="Arial" w:cs="Arial" w:eastAsia="Arial" w:hAnsi="Arial"/>
          <w:sz w:val="16"/>
          <w:szCs w:val="16"/>
          <w:b w:val="1"/>
          <w:bCs w:val="1"/>
          <w:u w:val="single" w:color="auto"/>
          <w:color w:val="0000FF"/>
        </w:rPr>
        <w:t>For the avoidance of doubt, none of (a) the sale of any</w:t>
      </w:r>
    </w:p>
    <w:p>
      <w:pPr>
        <w:jc w:val="both"/>
        <w:spacing w:after="0" w:line="273" w:lineRule="auto"/>
        <w:rPr>
          <w:sz w:val="20"/>
          <w:szCs w:val="20"/>
          <w:color w:val="auto"/>
        </w:rPr>
      </w:pPr>
      <w:r>
        <w:rPr>
          <w:rFonts w:ascii="Arial" w:cs="Arial" w:eastAsia="Arial" w:hAnsi="Arial"/>
          <w:sz w:val="17"/>
          <w:szCs w:val="17"/>
          <w:b w:val="1"/>
          <w:bCs w:val="1"/>
          <w:u w:val="single" w:color="auto"/>
          <w:color w:val="0000FF"/>
        </w:rPr>
        <w:t>Permitted Convertible Indebtedness by the Parent and/or any Restricted Subsidiary, (b) the Guarantee of any Permitted Convertible Indebtedness by the Parent and/or any Restricted Subsidiary, (c) the sale of any Permitted Warrant Transaction by the Parent nor (d) the performance by the Parent and/or any Restricted Subsidiary of its or their obligations under any Permitted Convertible Indebtedness, and Guarantee of any Permitted Convertible Indebtedness or any Permitted Warrant Transaction, shall constitute a Disposition.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xml:space="preserve">” means, </w:t>
      </w:r>
      <w:r>
        <w:rPr>
          <w:rFonts w:ascii="Arial" w:cs="Arial" w:eastAsia="Arial" w:hAnsi="Arial"/>
          <w:sz w:val="16"/>
          <w:szCs w:val="16"/>
          <w:b w:val="1"/>
          <w:bCs w:val="1"/>
          <w:color w:val="FF0000"/>
          <w:strike w:val="1"/>
        </w:rPr>
        <w:t>on any date</w:t>
      </w:r>
      <w:r>
        <w:rPr>
          <w:rFonts w:ascii="Arial" w:cs="Arial" w:eastAsia="Arial" w:hAnsi="Arial"/>
          <w:sz w:val="16"/>
          <w:szCs w:val="16"/>
          <w:b w:val="1"/>
          <w:bCs w:val="1"/>
          <w:u w:val="single" w:color="auto"/>
          <w:color w:val="0000FF"/>
        </w:rPr>
        <w:t>subject to Section 4.09, for any amount, at the time</w:t>
      </w:r>
      <w:r>
        <w:rPr>
          <w:rFonts w:ascii="Arial" w:cs="Arial" w:eastAsia="Arial" w:hAnsi="Arial"/>
          <w:sz w:val="16"/>
          <w:szCs w:val="16"/>
          <w:color w:val="auto"/>
        </w:rPr>
        <w:t xml:space="preserve"> of determination </w:t>
      </w:r>
      <w:r>
        <w:rPr>
          <w:rFonts w:ascii="Arial" w:cs="Arial" w:eastAsia="Arial" w:hAnsi="Arial"/>
          <w:sz w:val="16"/>
          <w:szCs w:val="16"/>
          <w:b w:val="1"/>
          <w:bCs w:val="1"/>
          <w:u w:val="single" w:color="auto"/>
          <w:color w:val="0000FF"/>
        </w:rPr>
        <w:t>thereof</w:t>
      </w:r>
      <w:r>
        <w:rPr>
          <w:rFonts w:ascii="Arial" w:cs="Arial" w:eastAsia="Arial" w:hAnsi="Arial"/>
          <w:sz w:val="16"/>
          <w:szCs w:val="16"/>
          <w:color w:val="auto"/>
        </w:rPr>
        <w:t xml:space="preserve">, (a) </w:t>
      </w:r>
      <w:r>
        <w:rPr>
          <w:rFonts w:ascii="Arial" w:cs="Arial" w:eastAsia="Arial" w:hAnsi="Arial"/>
          <w:sz w:val="16"/>
          <w:szCs w:val="16"/>
          <w:b w:val="1"/>
          <w:bCs w:val="1"/>
          <w:color w:val="FF0000"/>
          <w:strike w:val="1"/>
        </w:rPr>
        <w:t>with respect to any</w:t>
      </w:r>
      <w:r>
        <w:rPr>
          <w:rFonts w:ascii="Arial" w:cs="Arial" w:eastAsia="Arial" w:hAnsi="Arial"/>
          <w:sz w:val="16"/>
          <w:szCs w:val="16"/>
          <w:b w:val="1"/>
          <w:bCs w:val="1"/>
          <w:u w:val="single" w:color="auto"/>
          <w:color w:val="0000FF"/>
        </w:rPr>
        <w:t>if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amount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denominated</w:t>
      </w:r>
      <w:r>
        <w:rPr>
          <w:rFonts w:ascii="Arial" w:cs="Arial" w:eastAsia="Arial" w:hAnsi="Arial"/>
          <w:sz w:val="16"/>
          <w:szCs w:val="16"/>
          <w:b w:val="1"/>
          <w:bCs w:val="1"/>
          <w:u w:val="single" w:color="auto"/>
          <w:color w:val="0000FF"/>
        </w:rPr>
        <w:t>is expressed</w:t>
      </w:r>
      <w:r>
        <w:rPr>
          <w:rFonts w:ascii="Arial" w:cs="Arial" w:eastAsia="Arial" w:hAnsi="Arial"/>
          <w:sz w:val="16"/>
          <w:szCs w:val="16"/>
          <w:b w:val="1"/>
          <w:bCs w:val="1"/>
          <w:color w:val="0000FF"/>
        </w:rPr>
        <w:t xml:space="preserve"> </w:t>
      </w:r>
      <w:r>
        <w:rPr>
          <w:rFonts w:ascii="Arial" w:cs="Arial" w:eastAsia="Arial" w:hAnsi="Arial"/>
          <w:sz w:val="16"/>
          <w:szCs w:val="16"/>
          <w:color w:val="000000"/>
        </w:rPr>
        <w:t>in Dollars, such amount</w:t>
      </w:r>
      <w:r>
        <w:rPr>
          <w:rFonts w:ascii="Arial" w:cs="Arial" w:eastAsia="Arial" w:hAnsi="Arial"/>
          <w:sz w:val="16"/>
          <w:szCs w:val="16"/>
          <w:b w:val="1"/>
          <w:bCs w:val="1"/>
          <w:color w:val="FF0000"/>
          <w:strike w:val="1"/>
        </w:rPr>
        <w: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w:t>
      </w:r>
      <w:r>
        <w:rPr>
          <w:rFonts w:ascii="Arial" w:cs="Arial" w:eastAsia="Arial" w:hAnsi="Arial"/>
          <w:sz w:val="16"/>
          <w:szCs w:val="16"/>
          <w:b w:val="1"/>
          <w:bCs w:val="1"/>
          <w:color w:val="0000FF"/>
        </w:rPr>
        <w:t xml:space="preserve"> </w:t>
      </w:r>
      <w:r>
        <w:rPr>
          <w:rFonts w:ascii="Arial" w:cs="Arial" w:eastAsia="Arial" w:hAnsi="Arial"/>
          <w:sz w:val="16"/>
          <w:szCs w:val="16"/>
          <w:color w:val="000000"/>
        </w:rPr>
        <w:t>(b)</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with respect to any</w:t>
      </w:r>
      <w:r>
        <w:rPr>
          <w:rFonts w:ascii="Arial" w:cs="Arial" w:eastAsia="Arial" w:hAnsi="Arial"/>
          <w:sz w:val="16"/>
          <w:szCs w:val="16"/>
          <w:b w:val="1"/>
          <w:bCs w:val="1"/>
          <w:u w:val="single" w:color="auto"/>
          <w:color w:val="0000FF"/>
        </w:rPr>
        <w:t>if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amount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denominated</w:t>
      </w:r>
      <w:r>
        <w:rPr>
          <w:rFonts w:ascii="Arial" w:cs="Arial" w:eastAsia="Arial" w:hAnsi="Arial"/>
          <w:sz w:val="16"/>
          <w:szCs w:val="16"/>
          <w:b w:val="1"/>
          <w:bCs w:val="1"/>
          <w:u w:val="single" w:color="auto"/>
          <w:color w:val="0000FF"/>
        </w:rPr>
        <w:t>is expressed</w:t>
      </w:r>
      <w:r>
        <w:rPr>
          <w:rFonts w:ascii="Arial" w:cs="Arial" w:eastAsia="Arial" w:hAnsi="Arial"/>
          <w:sz w:val="16"/>
          <w:szCs w:val="16"/>
          <w:b w:val="1"/>
          <w:bCs w:val="1"/>
          <w:color w:val="0000FF"/>
        </w:rPr>
        <w:t xml:space="preserve"> </w:t>
      </w:r>
      <w:r>
        <w:rPr>
          <w:rFonts w:ascii="Arial" w:cs="Arial" w:eastAsia="Arial" w:hAnsi="Arial"/>
          <w:sz w:val="16"/>
          <w:szCs w:val="16"/>
          <w:color w:val="000000"/>
        </w:rPr>
        <w:t>in an Alternative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Currency, the equivalent of such amount in Dollars </w:t>
      </w:r>
      <w:r>
        <w:rPr>
          <w:rFonts w:ascii="Arial" w:cs="Arial" w:eastAsia="Arial" w:hAnsi="Arial"/>
          <w:sz w:val="16"/>
          <w:szCs w:val="16"/>
          <w:b w:val="1"/>
          <w:bCs w:val="1"/>
          <w:u w:val="single" w:color="auto"/>
          <w:color w:val="0000FF"/>
        </w:rPr>
        <w:t>as</w:t>
      </w:r>
      <w:r>
        <w:rPr>
          <w:rFonts w:ascii="Arial" w:cs="Arial" w:eastAsia="Arial" w:hAnsi="Arial"/>
          <w:sz w:val="16"/>
          <w:szCs w:val="16"/>
          <w:color w:val="000000"/>
        </w:rPr>
        <w:t xml:space="preserve"> determined by the Administrative Agent </w:t>
      </w:r>
      <w:r>
        <w:rPr>
          <w:rFonts w:ascii="Arial" w:cs="Arial" w:eastAsia="Arial" w:hAnsi="Arial"/>
          <w:sz w:val="16"/>
          <w:szCs w:val="16"/>
          <w:b w:val="1"/>
          <w:bCs w:val="1"/>
          <w:color w:val="FF0000"/>
          <w:strike w:val="1"/>
        </w:rPr>
        <w:t>or the applicable Issuing Bank</w:t>
      </w:r>
      <w:r>
        <w:rPr>
          <w:rFonts w:ascii="Arial" w:cs="Arial" w:eastAsia="Arial" w:hAnsi="Arial"/>
          <w:sz w:val="16"/>
          <w:szCs w:val="16"/>
          <w:color w:val="000000"/>
        </w:rPr>
        <w:t xml:space="preserve"> at such time </w:t>
      </w:r>
      <w:r>
        <w:rPr>
          <w:rFonts w:ascii="Arial" w:cs="Arial" w:eastAsia="Arial" w:hAnsi="Arial"/>
          <w:sz w:val="16"/>
          <w:szCs w:val="16"/>
          <w:b w:val="1"/>
          <w:bCs w:val="1"/>
          <w:color w:val="FF0000"/>
          <w:strike w:val="1"/>
        </w:rPr>
        <w:t>on the basis</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of the</w:t>
      </w:r>
      <w:r>
        <w:rPr>
          <w:rFonts w:ascii="Arial" w:cs="Arial" w:eastAsia="Arial" w:hAnsi="Arial"/>
          <w:sz w:val="16"/>
          <w:szCs w:val="16"/>
          <w:b w:val="1"/>
          <w:bCs w:val="1"/>
          <w:u w:val="single" w:color="auto"/>
          <w:color w:val="0000FF"/>
        </w:rPr>
        <w:t>in its sole discretion by reference to the most recent</w:t>
      </w:r>
      <w:r>
        <w:rPr>
          <w:rFonts w:ascii="Arial" w:cs="Arial" w:eastAsia="Arial" w:hAnsi="Arial"/>
          <w:sz w:val="16"/>
          <w:szCs w:val="16"/>
          <w:b w:val="1"/>
          <w:bCs w:val="1"/>
          <w:color w:val="FF0000"/>
        </w:rPr>
        <w:t xml:space="preserve"> </w:t>
      </w:r>
      <w:r>
        <w:rPr>
          <w:rFonts w:ascii="Arial" w:cs="Arial" w:eastAsia="Arial" w:hAnsi="Arial"/>
          <w:sz w:val="16"/>
          <w:szCs w:val="16"/>
          <w:color w:val="000000"/>
        </w:rPr>
        <w:t>Spot Rate for such</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currency</w:t>
      </w:r>
      <w:r>
        <w:rPr>
          <w:rFonts w:ascii="Arial" w:cs="Arial" w:eastAsia="Arial" w:hAnsi="Arial"/>
          <w:sz w:val="16"/>
          <w:szCs w:val="16"/>
          <w:b w:val="1"/>
          <w:bCs w:val="1"/>
          <w:u w:val="single" w:color="auto"/>
          <w:color w:val="0000FF"/>
        </w:rPr>
        <w:t>Alternative Currency (as</w:t>
      </w:r>
      <w:r>
        <w:rPr>
          <w:rFonts w:ascii="Arial" w:cs="Arial" w:eastAsia="Arial" w:hAnsi="Arial"/>
          <w:sz w:val="16"/>
          <w:szCs w:val="16"/>
          <w:b w:val="1"/>
          <w:bCs w:val="1"/>
          <w:color w:val="FF0000"/>
        </w:rPr>
        <w:t xml:space="preserve"> </w:t>
      </w:r>
      <w:r>
        <w:rPr>
          <w:rFonts w:ascii="Arial" w:cs="Arial" w:eastAsia="Arial" w:hAnsi="Arial"/>
          <w:sz w:val="16"/>
          <w:szCs w:val="16"/>
          <w:color w:val="000000"/>
        </w:rPr>
        <w:t>determined</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in respect</w:t>
      </w:r>
      <w:r>
        <w:rPr>
          <w:rFonts w:ascii="Arial" w:cs="Arial" w:eastAsia="Arial" w:hAnsi="Arial"/>
          <w:sz w:val="16"/>
          <w:szCs w:val="16"/>
          <w:b w:val="1"/>
          <w:bCs w:val="1"/>
          <w:u w:val="single" w:color="auto"/>
          <w:color w:val="0000FF"/>
        </w:rPr>
        <w:t>as</w:t>
      </w:r>
      <w:r>
        <w:rPr>
          <w:rFonts w:ascii="Arial" w:cs="Arial" w:eastAsia="Arial" w:hAnsi="Arial"/>
          <w:sz w:val="16"/>
          <w:szCs w:val="16"/>
          <w:b w:val="1"/>
          <w:bCs w:val="1"/>
          <w:color w:val="FF0000"/>
        </w:rPr>
        <w:t xml:space="preserve"> </w:t>
      </w:r>
      <w:r>
        <w:rPr>
          <w:rFonts w:ascii="Arial" w:cs="Arial" w:eastAsia="Arial" w:hAnsi="Arial"/>
          <w:sz w:val="16"/>
          <w:szCs w:val="16"/>
          <w:color w:val="000000"/>
        </w:rPr>
        <w:t>of the most</w:t>
      </w:r>
      <w:r>
        <w:rPr>
          <w:rFonts w:ascii="Arial" w:cs="Arial" w:eastAsia="Arial" w:hAnsi="Arial"/>
          <w:sz w:val="16"/>
          <w:szCs w:val="16"/>
          <w:b w:val="1"/>
          <w:bCs w:val="1"/>
          <w:color w:val="FF0000"/>
        </w:rPr>
        <w:t xml:space="preserve"> </w:t>
      </w:r>
      <w:r>
        <w:rPr>
          <w:rFonts w:ascii="Arial" w:cs="Arial" w:eastAsia="Arial" w:hAnsi="Arial"/>
          <w:sz w:val="16"/>
          <w:szCs w:val="16"/>
          <w:color w:val="000000"/>
        </w:rPr>
        <w:t>recent Revaluation Date</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xml:space="preserve"> for the purchase of Dollars with such </w:t>
      </w:r>
      <w:r>
        <w:rPr>
          <w:rFonts w:ascii="Arial" w:cs="Arial" w:eastAsia="Arial" w:hAnsi="Arial"/>
          <w:sz w:val="16"/>
          <w:szCs w:val="16"/>
          <w:b w:val="1"/>
          <w:bCs w:val="1"/>
          <w:color w:val="FF0000"/>
          <w:strike w:val="1"/>
        </w:rPr>
        <w:t>currency and (c) if such amount is denominated in any other currency, the equivalent</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 xml:space="preserve">of such amount in U.S. Dollars as determined by the Administrative Agent or the applicable Issuing Bank, as applicable (in either case, in consultation with the Borrowers), using any reasonable method of determination it deems appropriate in its reasonable discretion. Any determination by the Administrative Agent or the applicable Issuing Bank pursuant to clauses (b) or (c) above shall be conclusive absent manifest error;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upon the written request of any Borrower, the Administrative Agent or the Applicable Issuing Bank shall notify such Borrower of the sources used to make such determination. As appropriate, amounts specified in this Agreement as amounts in Dollars shall be or include any relevant Dollar Equivalent amount.</w:t>
      </w:r>
      <w:r>
        <w:rPr>
          <w:rFonts w:ascii="Arial" w:cs="Arial" w:eastAsia="Arial" w:hAnsi="Arial"/>
          <w:sz w:val="16"/>
          <w:szCs w:val="16"/>
          <w:b w:val="1"/>
          <w:bCs w:val="1"/>
          <w:u w:val="single" w:color="auto"/>
          <w:color w:val="0000FF"/>
          <w:strike w:val="1"/>
        </w:rPr>
        <w:t>Alternative Currency.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Cash Equivalents</w:t>
      </w:r>
      <w:r>
        <w:rPr>
          <w:rFonts w:ascii="Arial" w:cs="Arial" w:eastAsia="Arial" w:hAnsi="Arial"/>
          <w:sz w:val="16"/>
          <w:szCs w:val="16"/>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w:t>
      </w:r>
    </w:p>
    <w:p>
      <w:pPr>
        <w:jc w:val="both"/>
        <w:ind w:firstLine="8"/>
        <w:spacing w:after="0" w:line="281" w:lineRule="auto"/>
        <w:tabs>
          <w:tab w:leader="none" w:pos="2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jc w:val="both"/>
        <w:ind w:firstLine="8"/>
        <w:spacing w:after="0" w:line="290" w:lineRule="auto"/>
        <w:tabs>
          <w:tab w:leader="none" w:pos="268" w:val="left"/>
        </w:tabs>
        <w:numPr>
          <w:ilvl w:val="0"/>
          <w:numId w:val="27"/>
        </w:numPr>
        <w:rPr>
          <w:rFonts w:ascii="Arial" w:cs="Arial" w:eastAsia="Arial" w:hAnsi="Arial"/>
          <w:sz w:val="16"/>
          <w:szCs w:val="16"/>
          <w:u w:val="single" w:color="auto"/>
          <w:color w:val="auto"/>
        </w:rPr>
      </w:pPr>
      <w:r>
        <w:rPr>
          <w:rFonts w:ascii="Arial" w:cs="Arial" w:eastAsia="Arial" w:hAnsi="Arial"/>
          <w:sz w:val="16"/>
          <w:szCs w:val="16"/>
          <w:color w:val="auto"/>
        </w:rPr>
        <w:t xml:space="preserve">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(g) debt securities with maturities of six months or less from the date of acquisition backed by standby letters of credit issued by any commercial bank satisfying the criteria described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and (h) Investments in money market funds substantially all of whose assets are invested in the types of assets described in clauses (a) through (g) above.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any Obligor that is organized under the laws of a jurisdiction located in the United States of America.</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of this definition, or (c) any financial institution established in an EEA Member Country which is a subsidiary of an institution described in clauses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 (b) of this definition and is subject to consolidated supervision with its parent.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each party hereto has executed and delivered this Agreement and the other conditions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are first satisfied (or waived in accordance with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Real Property</w:t>
      </w:r>
      <w:r>
        <w:rPr>
          <w:rFonts w:ascii="Arial" w:cs="Arial" w:eastAsia="Arial" w:hAnsi="Arial"/>
          <w:sz w:val="18"/>
          <w:szCs w:val="18"/>
          <w:color w:val="auto"/>
        </w:rPr>
        <w:t xml:space="preserve">” means the real property listed on </w:t>
      </w:r>
      <w:r>
        <w:rPr>
          <w:rFonts w:ascii="Arial" w:cs="Arial" w:eastAsia="Arial" w:hAnsi="Arial"/>
          <w:sz w:val="18"/>
          <w:szCs w:val="18"/>
          <w:u w:val="single" w:color="auto"/>
          <w:color w:val="auto"/>
        </w:rPr>
        <w:t>Schedule 1.01D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Intralinks®, ClearPar®, Debt Domain, Syndtrak and any other Internet or extranet-based site, whether such electronic system is owned, operated or hosted by the Administrative Agent, an Issuing Bank or any of their respective Related Parties or any other Person, providing for access to data protected by passcodes or other security system.</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Jurisdiction</w:t>
      </w:r>
      <w:r>
        <w:rPr>
          <w:rFonts w:ascii="Arial" w:cs="Arial" w:eastAsia="Arial" w:hAnsi="Arial"/>
          <w:sz w:val="18"/>
          <w:szCs w:val="18"/>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and the Borrowers, by mutual written agreement, may re-categorize any country between the definitions of “Eligible Jurisdiction” and “Ineligible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11.21(d)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has the meaning assigned thereto in the definition of “Eurocurrency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Participating Member States introduced in accordance with the EMU Legislation.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Banking Day</w:t>
      </w:r>
      <w:r>
        <w:rPr>
          <w:rFonts w:ascii="Arial" w:cs="Arial" w:eastAsia="Arial" w:hAnsi="Arial"/>
          <w:sz w:val="18"/>
          <w:szCs w:val="18"/>
          <w:color w:val="auto"/>
        </w:rPr>
        <w:t xml:space="preserve">” means, (a) for Obligations, interest, fees, commissions or other amounts denominated in, or calculated with respect to, Euros, a TARGET Day, (b) for Obligations, interest, fees, commissions or other amounts denominated in, or calculated with respect to, Yen, any day (other than a Saturday or Sunday) on which banks are open for business in Japan, (c) for Obligations, interest, fees, commissions or other amounts denominated in, or calculated with respect to, Australian Dollars, any day (other than a Saturday or Sunday) on which banks are open for business in Melbourne and (d) for Obligations, interest, fees, commissions or other amounts denominated in, or calculated with respect to, Canadian Dollars, any day (other than a Saturday or Sunday) on which banks are open for business in Toronto;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notice requirements in </w:t>
      </w:r>
      <w:r>
        <w:rPr>
          <w:rFonts w:ascii="Arial" w:cs="Arial" w:eastAsia="Arial" w:hAnsi="Arial"/>
          <w:sz w:val="18"/>
          <w:szCs w:val="18"/>
          <w:u w:val="single" w:color="auto"/>
          <w:color w:val="auto"/>
        </w:rPr>
        <w:t>Sections 2.02(a)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in each case, such day is also a Business Day.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for any Eurocurrency Rate Loan for any Interest Period: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            denominated in Euros, the greater of (i) the rate of interest per annum equal to the Euro Interbank Offered Rate (“</w:t>
      </w:r>
      <w:r>
        <w:rPr>
          <w:rFonts w:ascii="Arial" w:cs="Arial" w:eastAsia="Arial" w:hAnsi="Arial"/>
          <w:sz w:val="16"/>
          <w:szCs w:val="16"/>
          <w:u w:val="single" w:color="auto"/>
          <w:color w:val="auto"/>
        </w:rPr>
        <w:t>EURIBOR</w:t>
      </w:r>
      <w:r>
        <w:rPr>
          <w:rFonts w:ascii="Arial" w:cs="Arial" w:eastAsia="Arial" w:hAnsi="Arial"/>
          <w:sz w:val="16"/>
          <w:szCs w:val="16"/>
          <w:color w:val="auto"/>
        </w:rPr>
        <w:t>”) as administered by the European Money Markets Institute, or a comparable or successor administrator approved by the Administrative Agent, for a period comparable to the applicable Interest Period</w:t>
      </w:r>
      <w:r>
        <w:rPr>
          <w:rFonts w:ascii="Arial" w:cs="Arial" w:eastAsia="Arial" w:hAnsi="Arial"/>
          <w:sz w:val="16"/>
          <w:szCs w:val="16"/>
          <w:b w:val="1"/>
          <w:bCs w:val="1"/>
          <w:color w:val="FF0000"/>
          <w:strike w:val="1"/>
        </w:rPr>
        <w:t>)</w:t>
      </w:r>
      <w:r>
        <w:rPr>
          <w:rFonts w:ascii="Arial" w:cs="Arial" w:eastAsia="Arial" w:hAnsi="Arial"/>
          <w:sz w:val="16"/>
          <w:szCs w:val="16"/>
          <w:color w:val="auto"/>
        </w:rPr>
        <w:t>, at approximately 11:00 a.m. (Brussels time) on the applicable Rate Determination Date and (ii) the Floor;</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            denominated in Yen, the greater of (i) the rate per annum equal to the Tokyo Interbank Offered Rate (“</w:t>
      </w:r>
      <w:r>
        <w:rPr>
          <w:rFonts w:ascii="Arial" w:cs="Arial" w:eastAsia="Arial" w:hAnsi="Arial"/>
          <w:sz w:val="17"/>
          <w:szCs w:val="17"/>
          <w:u w:val="single" w:color="auto"/>
          <w:color w:val="auto"/>
        </w:rPr>
        <w:t>TIBOR</w:t>
      </w:r>
      <w:r>
        <w:rPr>
          <w:rFonts w:ascii="Arial" w:cs="Arial" w:eastAsia="Arial" w:hAnsi="Arial"/>
          <w:sz w:val="17"/>
          <w:szCs w:val="17"/>
          <w:color w:val="auto"/>
        </w:rPr>
        <w:t>”) as administered by the Ippan Shadan Hojin JBA TIBOR Administration, or a comparable or successor administrator approved by the Administrative Agent, for a period comparable to the applicable Interest Period, at approximately 11:00 a.m. (Tokyo time) on the applicable Rate Determination Date and (ii) the Floor;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59" w:lineRule="auto"/>
        <w:rPr>
          <w:sz w:val="20"/>
          <w:szCs w:val="20"/>
          <w:color w:val="auto"/>
        </w:rPr>
      </w:pPr>
      <w:r>
        <w:rPr>
          <w:rFonts w:ascii="Arial" w:cs="Arial" w:eastAsia="Arial" w:hAnsi="Arial"/>
          <w:sz w:val="18"/>
          <w:szCs w:val="18"/>
          <w:color w:val="auto"/>
        </w:rPr>
        <w:t>(c)            denominated in Australian Dollars, the greater of (i) the rate per annum equal to the Bank Bill Swap Reference Bid Rate (“</w:t>
      </w:r>
      <w:r>
        <w:rPr>
          <w:rFonts w:ascii="Arial" w:cs="Arial" w:eastAsia="Arial" w:hAnsi="Arial"/>
          <w:sz w:val="18"/>
          <w:szCs w:val="18"/>
          <w:u w:val="single" w:color="auto"/>
          <w:color w:val="auto"/>
        </w:rPr>
        <w:t>BBSY</w:t>
      </w:r>
      <w:r>
        <w:rPr>
          <w:rFonts w:ascii="Arial" w:cs="Arial" w:eastAsia="Arial" w:hAnsi="Arial"/>
          <w:sz w:val="18"/>
          <w:szCs w:val="18"/>
          <w:color w:val="auto"/>
        </w:rPr>
        <w:t xml:space="preserve">”)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w:t>
      </w:r>
      <w:r>
        <w:rPr>
          <w:rFonts w:ascii="Arial" w:cs="Arial" w:eastAsia="Arial" w:hAnsi="Arial"/>
          <w:sz w:val="18"/>
          <w:szCs w:val="18"/>
          <w:b w:val="1"/>
          <w:bCs w:val="1"/>
          <w:color w:val="FF0000"/>
          <w:strike w:val="1"/>
        </w:rPr>
        <w:t>and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            denominated in Canadian Dollars, the greater of (i) the rate per annum equal to the rate determined by the Administrative Agent on the basis of the rate applicable to Canadian Dollar bankers’ acceptances (“</w:t>
      </w:r>
      <w:r>
        <w:rPr>
          <w:rFonts w:ascii="Arial" w:cs="Arial" w:eastAsia="Arial" w:hAnsi="Arial"/>
          <w:sz w:val="18"/>
          <w:szCs w:val="18"/>
          <w:u w:val="single" w:color="auto"/>
          <w:color w:val="auto"/>
        </w:rPr>
        <w:t>CDOR</w:t>
      </w:r>
      <w:r>
        <w:rPr>
          <w:rFonts w:ascii="Arial" w:cs="Arial" w:eastAsia="Arial" w:hAnsi="Arial"/>
          <w:sz w:val="18"/>
          <w:szCs w:val="18"/>
          <w:color w:val="auto"/>
        </w:rPr>
        <w:t>”) as administered by RBSL or a comparable or successor administrator approved by the Administrative Agent, for a period comparable to the applicable Interest Period, at approximately 10:00 a.m. (Toronto time) on the applicable Rate Determination Date and (ii) the Floor</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 and</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(e)            if applicable and approved by the Administrative Agent and the Lenders pursuant to Section 4.12, denominated in any other Currency (other than a Currency referenced in clauses (a) through (d) above), the rate designated with respect to such Currency at the time such Currency is approved by the Administrative Agent and the Lenders pursuant to Section 4.12.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any Loan bearing interest at a rate based on the Adjusted Eurocurrency Rate.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Percentage</w:t>
      </w:r>
      <w:r>
        <w:rPr>
          <w:rFonts w:ascii="Arial" w:cs="Arial" w:eastAsia="Arial" w:hAnsi="Arial"/>
          <w:sz w:val="18"/>
          <w:szCs w:val="18"/>
          <w:color w:val="auto"/>
        </w:rPr>
        <w:t>” means, for any day, the percentage which is in effect for such day as prescribed by the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means Regulation (EU) 2015/848 of the European Parliament and of the Council of 20 May 2015 on insolvency proceedings (recast).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w:t>
      </w:r>
      <w:r>
        <w:rPr>
          <w:rFonts w:ascii="Arial" w:cs="Arial" w:eastAsia="Arial" w:hAnsi="Arial"/>
          <w:sz w:val="17"/>
          <w:szCs w:val="17"/>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does not at any time exceed $10,000,000.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asset will only constitute an Excluded Asset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(o) real property consisting of a “Building” or “Mobile Home” (each, as defined in 12 CFR Chapter III, Section 339.2) existing as of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auto"/>
        </w:rPr>
        <w:t xml:space="preserve"> Effective</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Date and located at (i) 710 S Faudree Road, Odessa, Texas 79766 and (ii) 611 37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SE, Williston, North Dakota 58801, in </w:t>
      </w:r>
      <w:r>
        <w:rPr>
          <w:rFonts w:ascii="Arial" w:cs="Arial" w:eastAsia="Arial" w:hAnsi="Arial"/>
          <w:sz w:val="17"/>
          <w:szCs w:val="17"/>
          <w:b w:val="1"/>
          <w:bCs w:val="1"/>
          <w:color w:val="FF0000"/>
          <w:strike w:val="1"/>
        </w:rPr>
        <w:t>eachc</w:t>
      </w:r>
      <w:r>
        <w:rPr>
          <w:rFonts w:ascii="Arial" w:cs="Arial" w:eastAsia="Arial" w:hAnsi="Arial"/>
          <w:sz w:val="17"/>
          <w:szCs w:val="17"/>
          <w:b w:val="1"/>
          <w:bCs w:val="1"/>
          <w:u w:val="single" w:color="auto"/>
          <w:color w:val="0000FF"/>
        </w:rPr>
        <w:t>each</w:t>
      </w:r>
      <w:r>
        <w:rPr>
          <w:rFonts w:ascii="Arial" w:cs="Arial" w:eastAsia="Arial" w:hAnsi="Arial"/>
          <w:sz w:val="17"/>
          <w:szCs w:val="17"/>
          <w:color w:val="auto"/>
        </w:rPr>
        <w:t xml:space="preserve"> case, to the extent such real property is located in an area designated by the Federal Emergency Management Agency as a special flood hazard area and (p) any real property other than the Effective Date Real Property that has a net book value of less than $</w:t>
      </w:r>
      <w:r>
        <w:rPr>
          <w:rFonts w:ascii="Arial" w:cs="Arial" w:eastAsia="Arial" w:hAnsi="Arial"/>
          <w:sz w:val="17"/>
          <w:szCs w:val="17"/>
          <w:b w:val="1"/>
          <w:bCs w:val="1"/>
          <w:color w:val="FF0000"/>
          <w:strike w:val="1"/>
        </w:rPr>
        <w:t>10,000,000</w:t>
      </w:r>
      <w:r>
        <w:rPr>
          <w:rFonts w:ascii="Arial" w:cs="Arial" w:eastAsia="Arial" w:hAnsi="Arial"/>
          <w:sz w:val="17"/>
          <w:szCs w:val="17"/>
          <w:b w:val="1"/>
          <w:bCs w:val="1"/>
          <w:u w:val="single" w:color="auto"/>
          <w:color w:val="0000FF"/>
        </w:rPr>
        <w:t>20,000,000</w:t>
      </w:r>
      <w:r>
        <w:rPr>
          <w:rFonts w:ascii="Arial" w:cs="Arial" w:eastAsia="Arial" w:hAnsi="Arial"/>
          <w:sz w:val="17"/>
          <w:szCs w:val="17"/>
          <w:color w:val="auto"/>
        </w:rPr>
        <w:t xml:space="preserve"> as reflected in the most recent consolidated financial statements of Parent delivered pursuant to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except in the case of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of this definition, the foregoing exclusions shall not apply to any asset or property of any Borrower and its Subsidiaries on which a Lien has been granted in favor of the Senior Secured Notes Trustee to secure the Senior Secured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Jurisdictions</w:t>
      </w:r>
      <w:r>
        <w:rPr>
          <w:rFonts w:ascii="Arial" w:cs="Arial" w:eastAsia="Arial" w:hAnsi="Arial"/>
          <w:sz w:val="18"/>
          <w:szCs w:val="18"/>
          <w:color w:val="auto"/>
        </w:rPr>
        <w:t xml:space="preserve">” means the countries or other jurisdictions identified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w:t>
      </w:r>
    </w:p>
    <w:p>
      <w:pPr>
        <w:spacing w:after="0" w:line="2" w:lineRule="exact"/>
        <w:rPr>
          <w:sz w:val="20"/>
          <w:szCs w:val="20"/>
          <w:color w:val="auto"/>
        </w:rPr>
      </w:pPr>
    </w:p>
    <w:p>
      <w:pPr>
        <w:jc w:val="both"/>
        <w:ind w:firstLine="8"/>
        <w:spacing w:after="0" w:line="281"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in the case of a Lender (other than an assignee pursuant to an assignment requested by a Borrower under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5.02(e)</w:t>
      </w:r>
      <w:r>
        <w:rPr>
          <w:rFonts w:ascii="Arial" w:cs="Arial" w:eastAsia="Arial" w:hAnsi="Arial"/>
          <w:sz w:val="16"/>
          <w:szCs w:val="16"/>
          <w:color w:val="auto"/>
        </w:rPr>
        <w:t>, (f) any United States federal withholding Taxes imposed by FATCA,</w:t>
      </w:r>
    </w:p>
    <w:p>
      <w:pPr>
        <w:spacing w:after="0" w:line="5" w:lineRule="exact"/>
        <w:rPr>
          <w:rFonts w:ascii="Arial" w:cs="Arial" w:eastAsia="Arial" w:hAnsi="Arial"/>
          <w:sz w:val="16"/>
          <w:szCs w:val="16"/>
          <w:color w:val="auto"/>
        </w:rPr>
      </w:pPr>
    </w:p>
    <w:p>
      <w:pPr>
        <w:jc w:val="both"/>
        <w:ind w:firstLine="8"/>
        <w:spacing w:after="0" w:line="268" w:lineRule="auto"/>
        <w:tabs>
          <w:tab w:leader="none" w:pos="2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Taxes assessed on a Lender under the laws of Germany solely due to the fact that the Obligations are secured (directly or indirectly) by real estate located in Germany (</w:t>
      </w:r>
      <w:r>
        <w:rPr>
          <w:rFonts w:ascii="Arial" w:cs="Arial" w:eastAsia="Arial" w:hAnsi="Arial"/>
          <w:sz w:val="17"/>
          <w:szCs w:val="17"/>
          <w:i w:val="1"/>
          <w:iCs w:val="1"/>
          <w:color w:val="auto"/>
        </w:rPr>
        <w:t>inländischer Grundbesitz</w:t>
      </w:r>
      <w:r>
        <w:rPr>
          <w:rFonts w:ascii="Arial" w:cs="Arial" w:eastAsia="Arial" w:hAnsi="Arial"/>
          <w:sz w:val="17"/>
          <w:szCs w:val="17"/>
          <w:color w:val="auto"/>
        </w:rPr>
        <w:t>) or by German rights subject to the civil code provisions relating to real estate (</w:t>
      </w:r>
      <w:r>
        <w:rPr>
          <w:rFonts w:ascii="Arial" w:cs="Arial" w:eastAsia="Arial" w:hAnsi="Arial"/>
          <w:sz w:val="17"/>
          <w:szCs w:val="17"/>
          <w:i w:val="1"/>
          <w:iCs w:val="1"/>
          <w:color w:val="auto"/>
        </w:rPr>
        <w:t>inländische Rechte, die den</w:t>
      </w:r>
      <w:r>
        <w:rPr>
          <w:rFonts w:ascii="Arial" w:cs="Arial" w:eastAsia="Arial" w:hAnsi="Arial"/>
          <w:sz w:val="17"/>
          <w:szCs w:val="17"/>
          <w:color w:val="auto"/>
        </w:rPr>
        <w:t xml:space="preserve"> </w:t>
      </w:r>
      <w:r>
        <w:rPr>
          <w:rFonts w:ascii="Arial" w:cs="Arial" w:eastAsia="Arial" w:hAnsi="Arial"/>
          <w:sz w:val="17"/>
          <w:szCs w:val="17"/>
          <w:i w:val="1"/>
          <w:iCs w:val="1"/>
          <w:color w:val="auto"/>
        </w:rPr>
        <w:t>Vorschriften des bürgerlichen Rechts über Grundstücke unterliegen</w:t>
      </w:r>
      <w:r>
        <w:rPr>
          <w:rFonts w:ascii="Arial" w:cs="Arial" w:eastAsia="Arial" w:hAnsi="Arial"/>
          <w:sz w:val="17"/>
          <w:szCs w:val="17"/>
          <w:color w:val="auto"/>
        </w:rPr>
        <w:t>) or ships which are registered in a German ship register and (h) any German</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for which the relevant obligor is required by the relevant German tax office to make a Tax deduction on account of German Tax pursuant to Section 50a paragraph 7 of the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xml:space="preserve">) or a comparable replacement regulation; </w:t>
      </w:r>
      <w:r>
        <w:rPr>
          <w:rFonts w:ascii="Arial" w:cs="Arial" w:eastAsia="Arial" w:hAnsi="Arial"/>
          <w:sz w:val="17"/>
          <w:szCs w:val="17"/>
          <w:i w:val="1"/>
          <w:iCs w:val="1"/>
          <w:color w:val="auto"/>
        </w:rPr>
        <w:t>except that</w:t>
      </w:r>
      <w:r>
        <w:rPr>
          <w:rFonts w:ascii="Arial" w:cs="Arial" w:eastAsia="Arial" w:hAnsi="Arial"/>
          <w:sz w:val="17"/>
          <w:szCs w:val="17"/>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thereto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xml:space="preserve">” means the outstanding letters of credit and bank guarantees issued by the Issuing Banks and set forth on </w:t>
      </w:r>
      <w:r>
        <w:rPr>
          <w:rFonts w:ascii="Arial" w:cs="Arial" w:eastAsia="Arial" w:hAnsi="Arial"/>
          <w:sz w:val="16"/>
          <w:szCs w:val="16"/>
          <w:u w:val="single" w:color="auto"/>
          <w:color w:val="auto"/>
        </w:rPr>
        <w:t>Schedule 3.01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“Extended Expiration LC Cash Collateral Account” has the meaning specified in Section 3.01(q)(i).</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Exit Senior Notes</w:t>
      </w:r>
      <w:r>
        <w:rPr>
          <w:rFonts w:ascii="Arial" w:cs="Arial" w:eastAsia="Arial" w:hAnsi="Arial"/>
          <w:sz w:val="18"/>
          <w:szCs w:val="18"/>
          <w:b w:val="1"/>
          <w:bCs w:val="1"/>
          <w:color w:val="FF0000"/>
          <w:strike w:val="1"/>
        </w:rPr>
        <w:t>” means the 11.00% Senior Notes due 2024 issued by WIL-Bermuda on December 13, 2019 pursuant to the Exit Senior Notes Indenture.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Exit Senior Notes Indenture</w:t>
      </w:r>
      <w:r>
        <w:rPr>
          <w:rFonts w:ascii="Arial" w:cs="Arial" w:eastAsia="Arial" w:hAnsi="Arial"/>
          <w:sz w:val="17"/>
          <w:szCs w:val="17"/>
          <w:b w:val="1"/>
          <w:bCs w:val="1"/>
          <w:color w:val="FF0000"/>
          <w:strike w:val="1"/>
        </w:rPr>
        <w:t>” means that certain Indenture, dated as of December 13, 2019,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Expiration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Loans made by such Lender then outstanding and (ii) such Lender’s LC Exposure at such time or (b) the making of any Loan or participation in any Letter of Credit by such Lender, as the context requires.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0.500%</w:t>
      </w:r>
      <w:r>
        <w:rPr>
          <w:rFonts w:ascii="Arial" w:cs="Arial" w:eastAsia="Arial" w:hAnsi="Arial"/>
          <w:sz w:val="18"/>
          <w:szCs w:val="18"/>
          <w:b w:val="1"/>
          <w:bCs w:val="1"/>
          <w:u w:val="single" w:color="auto"/>
          <w:color w:val="0000FF"/>
        </w:rPr>
        <w:t>the applicable rate</w:t>
      </w:r>
      <w:r>
        <w:rPr>
          <w:rFonts w:ascii="Arial" w:cs="Arial" w:eastAsia="Arial" w:hAnsi="Arial"/>
          <w:sz w:val="18"/>
          <w:szCs w:val="18"/>
          <w:color w:val="auto"/>
        </w:rPr>
        <w:t xml:space="preserve"> per annum </w:t>
      </w:r>
      <w:r>
        <w:rPr>
          <w:rFonts w:ascii="Arial" w:cs="Arial" w:eastAsia="Arial" w:hAnsi="Arial"/>
          <w:sz w:val="18"/>
          <w:szCs w:val="18"/>
          <w:b w:val="1"/>
          <w:bCs w:val="1"/>
          <w:u w:val="single" w:color="auto"/>
          <w:color w:val="0000FF"/>
        </w:rPr>
        <w:t>set forth under the column “Facility Fee Rate” in the definition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“Applicable Margin”</w:t>
      </w:r>
      <w:r>
        <w:rPr>
          <w:rFonts w:ascii="Arial" w:cs="Arial" w:eastAsia="Arial" w:hAnsi="Arial"/>
          <w:sz w:val="18"/>
          <w:szCs w:val="18"/>
          <w:color w:val="000000"/>
        </w:rPr>
        <w: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Financial LC-Specific Commitment</w:t>
      </w:r>
      <w:r>
        <w:rPr>
          <w:rFonts w:ascii="Arial" w:cs="Arial" w:eastAsia="Arial" w:hAnsi="Arial"/>
          <w:sz w:val="18"/>
          <w:szCs w:val="18"/>
          <w:b w:val="1"/>
          <w:bCs w:val="1"/>
          <w:color w:val="FF0000"/>
          <w:strike w:val="1"/>
        </w:rPr>
        <w:t xml:space="preserve">” means $45,000,000, as such amount may be increased pursuant to </w:t>
      </w:r>
      <w:r>
        <w:rPr>
          <w:rFonts w:ascii="Arial" w:cs="Arial" w:eastAsia="Arial" w:hAnsi="Arial"/>
          <w:sz w:val="18"/>
          <w:szCs w:val="18"/>
          <w:b w:val="1"/>
          <w:bCs w:val="1"/>
          <w:u w:val="single" w:color="auto"/>
          <w:color w:val="FF0000"/>
          <w:strike w:val="1"/>
        </w:rPr>
        <w:t>Section 4.13</w:t>
      </w:r>
      <w:r>
        <w:rPr>
          <w:rFonts w:ascii="Arial" w:cs="Arial" w:eastAsia="Arial" w:hAnsi="Arial"/>
          <w:sz w:val="18"/>
          <w:szCs w:val="18"/>
          <w:b w:val="1"/>
          <w:bCs w:val="1"/>
          <w:color w:val="FF0000"/>
          <w:strike w:val="1"/>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Standby LC</w:t>
      </w:r>
      <w:r>
        <w:rPr>
          <w:rFonts w:ascii="Arial" w:cs="Arial" w:eastAsia="Arial" w:hAnsi="Arial"/>
          <w:sz w:val="16"/>
          <w:szCs w:val="16"/>
          <w:color w:val="auto"/>
        </w:rPr>
        <w:t>” means a standby letter of credit or bank guarantee under which the beneficiary is entitled to draw thereon in the event that the account party (or the Person or Persons on whose behalf such letter of credit or bank guarantee was issued) fails to perform a financial obligation.</w:t>
      </w:r>
    </w:p>
    <w:p>
      <w:pPr>
        <w:spacing w:after="0" w:line="1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Financial Standby Letter of Credit</w:t>
      </w:r>
      <w:r>
        <w:rPr>
          <w:rFonts w:ascii="Arial" w:cs="Arial" w:eastAsia="Arial" w:hAnsi="Arial"/>
          <w:sz w:val="18"/>
          <w:szCs w:val="18"/>
          <w:b w:val="1"/>
          <w:bCs w:val="1"/>
          <w:color w:val="FF0000"/>
          <w:strike w:val="1"/>
        </w:rPr>
        <w:t>” means, as determined by the applicable Issuing Bank, a Letter of Credit issued under this Agreement and constituting a Financial Standby LC.</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that certain First Amendment to Amended and Restated Credit Agreement, dated as of November 22, 2022, among the Borrowers, Parent and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has the meaning specified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Parent, ending on the last day of each March, June, September and December.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Parent, ending on December 31 of each year.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“Fitch” means Fitch Ratings Inc. or any successor to the rating agency business thereof.</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a rate of interest equal to 0.00%.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Follow-On Retranching Request</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4.12(c)</w:t>
      </w:r>
      <w:r>
        <w:rPr>
          <w:rFonts w:ascii="Arial" w:cs="Arial" w:eastAsia="Arial" w:hAnsi="Arial"/>
          <w:sz w:val="18"/>
          <w:szCs w:val="18"/>
          <w:b w:val="1"/>
          <w:bCs w:val="1"/>
          <w:color w:val="FF0000"/>
          <w:strike w:val="1"/>
        </w:rPr>
        <w:t>.</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Cash Equivalents</w:t>
      </w:r>
      <w:r>
        <w:rPr>
          <w:rFonts w:ascii="Arial" w:cs="Arial" w:eastAsia="Arial" w:hAnsi="Arial"/>
          <w:sz w:val="16"/>
          <w:szCs w:val="16"/>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or that has a branch or is otherwise operating in any Specified State, and having at the date of acquisition thereof combined capital and surplus and undivided profits of not less than $500,000,000 (calculated at the then-applicable Spot Rate), (b) deposit accounts maintained with any bank that satisfies the criteria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and (c) Investments in money market funds substantially all of whose assets are invested in the types of assets described in </w:t>
      </w:r>
      <w:r>
        <w:rPr>
          <w:rFonts w:ascii="Arial" w:cs="Arial" w:eastAsia="Arial" w:hAnsi="Arial"/>
          <w:sz w:val="16"/>
          <w:szCs w:val="16"/>
          <w:u w:val="single" w:color="auto"/>
          <w:color w:val="auto"/>
        </w:rPr>
        <w:t>clauses</w:t>
      </w:r>
    </w:p>
    <w:p>
      <w:pPr>
        <w:spacing w:after="0" w:line="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Collateral Agent</w:t>
      </w:r>
      <w:r>
        <w:rPr>
          <w:rFonts w:ascii="Arial" w:cs="Arial" w:eastAsia="Arial" w:hAnsi="Arial"/>
          <w:sz w:val="18"/>
          <w:szCs w:val="18"/>
          <w:color w:val="auto"/>
        </w:rPr>
        <w:t>” means the foreign collateral agent as defined in the Intercreditor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organized under the laws of a jurisdiction other than the United States of America or any State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 Event</w:t>
      </w:r>
      <w:r>
        <w:rPr>
          <w:rFonts w:ascii="Arial" w:cs="Arial" w:eastAsia="Arial" w:hAnsi="Arial"/>
          <w:sz w:val="17"/>
          <w:szCs w:val="17"/>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any Obligor that is not a Domestic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right="20" w:firstLine="648"/>
        <w:spacing w:after="0" w:line="312" w:lineRule="auto"/>
        <w:rPr>
          <w:sz w:val="20"/>
          <w:szCs w:val="20"/>
          <w:color w:val="auto"/>
        </w:rPr>
      </w:pPr>
      <w:r>
        <w:rPr>
          <w:rFonts w:ascii="Arial" w:cs="Arial" w:eastAsia="Arial" w:hAnsi="Arial"/>
          <w:sz w:val="17"/>
          <w:szCs w:val="17"/>
          <w:b w:val="1"/>
          <w:bCs w:val="1"/>
          <w:u w:val="single" w:color="auto"/>
          <w:color w:val="0000FF"/>
        </w:rPr>
        <w:t>“Fourth Amendment” means that certain Fourth Amendment to Amended and Restated Credit Agreement, dated as of October 24, 2023, among the Borrowers, Parent, the other Guarantors party thereto, the Administrative Agent, the Issuing Banks and the Lenders.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“Fourth Amendment Effective Date” has the meaning specified in the Fourth Amendment.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u w:val="single" w:color="auto"/>
          <w:color w:val="0000FF"/>
        </w:rPr>
        <w:t xml:space="preserve">“Fronting </w:t>
      </w:r>
      <w:r>
        <w:rPr>
          <w:rFonts w:ascii="Arial" w:cs="Arial" w:eastAsia="Arial" w:hAnsi="Arial"/>
          <w:sz w:val="17"/>
          <w:szCs w:val="17"/>
          <w:i w:val="1"/>
          <w:iCs w:val="1"/>
          <w:u w:val="single" w:color="auto"/>
          <w:color w:val="008000"/>
        </w:rPr>
        <w:t>Commitment” means, as to each Issuing Bank, the commitment of such Issuing Bank to issue Letters of Credit pursuant to Section 3.01.</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The amount of each Issuing Bank’s </w:t>
      </w:r>
      <w:r>
        <w:rPr>
          <w:rFonts w:ascii="Arial" w:cs="Arial" w:eastAsia="Arial" w:hAnsi="Arial"/>
          <w:sz w:val="17"/>
          <w:szCs w:val="17"/>
          <w:b w:val="1"/>
          <w:bCs w:val="1"/>
          <w:u w:val="single" w:color="auto"/>
          <w:color w:val="0000FF"/>
        </w:rPr>
        <w:t>Fronting</w:t>
      </w:r>
      <w:r>
        <w:rPr>
          <w:rFonts w:ascii="Arial" w:cs="Arial" w:eastAsia="Arial" w:hAnsi="Arial"/>
          <w:sz w:val="17"/>
          <w:szCs w:val="17"/>
          <w:i w:val="1"/>
          <w:iCs w:val="1"/>
          <w:u w:val="single" w:color="auto"/>
          <w:color w:val="008000"/>
        </w:rPr>
        <w:t xml:space="preserve"> Commitment, at any time, shall be (a) with respect to each Issuing Bank as of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 xml:space="preserve">Effective Date, its “Fronting </w:t>
      </w:r>
      <w:r>
        <w:rPr>
          <w:rFonts w:ascii="Arial" w:cs="Arial" w:eastAsia="Arial" w:hAnsi="Arial"/>
          <w:sz w:val="17"/>
          <w:szCs w:val="17"/>
          <w:i w:val="1"/>
          <w:iCs w:val="1"/>
          <w:u w:val="single" w:color="auto"/>
          <w:color w:val="008000"/>
        </w:rPr>
        <w:t>Commitment” as set forth on Schedule 2.01, and (b) with respect to any other Issuing Bank after the</w:t>
      </w:r>
      <w:r>
        <w:rPr>
          <w:rFonts w:ascii="Arial" w:cs="Arial" w:eastAsia="Arial" w:hAnsi="Arial"/>
          <w:sz w:val="17"/>
          <w:szCs w:val="17"/>
          <w:b w:val="1"/>
          <w:bCs w:val="1"/>
          <w:u w:val="single" w:color="auto"/>
          <w:color w:val="0000FF"/>
        </w:rPr>
        <w:t xml:space="preserve"> Fourth Amendment Effective Date</w:t>
      </w:r>
      <w:r>
        <w:rPr>
          <w:rFonts w:ascii="Arial" w:cs="Arial" w:eastAsia="Arial" w:hAnsi="Arial"/>
          <w:sz w:val="17"/>
          <w:szCs w:val="17"/>
          <w:i w:val="1"/>
          <w:iCs w:val="1"/>
          <w:u w:val="single" w:color="auto"/>
          <w:color w:val="008000"/>
        </w:rPr>
        <w:t>, an amount agreed to by such Issuing Bank, in the case of any Issuing Bank described in the preceding clause (a) or clause (b), as such</w:t>
      </w:r>
      <w:r>
        <w:rPr>
          <w:rFonts w:ascii="Arial" w:cs="Arial" w:eastAsia="Arial" w:hAnsi="Arial"/>
          <w:sz w:val="17"/>
          <w:szCs w:val="17"/>
          <w:b w:val="1"/>
          <w:bCs w:val="1"/>
          <w:u w:val="single" w:color="auto"/>
          <w:color w:val="0000FF"/>
        </w:rPr>
        <w:t xml:space="preserve"> Fronting Commitment may be allocated or </w:t>
      </w:r>
      <w:r>
        <w:rPr>
          <w:rFonts w:ascii="Arial" w:cs="Arial" w:eastAsia="Arial" w:hAnsi="Arial"/>
          <w:sz w:val="17"/>
          <w:szCs w:val="17"/>
          <w:i w:val="1"/>
          <w:iCs w:val="1"/>
          <w:u w:val="single" w:color="auto"/>
          <w:color w:val="008000"/>
        </w:rPr>
        <w:t>adjusted from time to time in accordance with Section 3.01(j).</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xml:space="preserve">” means, with respect to Parent and its Restricted Subsidiaries as of any date, the sum, without duplication, of (a) all Indebtedness of the type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Parent and each Restricted Subsidiary that enters into a Guaranty Agreement with respect to the Secured Obligations. The Guarantors as of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are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Agreements</w:t>
      </w:r>
      <w:r>
        <w:rPr>
          <w:rFonts w:ascii="Arial" w:cs="Arial" w:eastAsia="Arial" w:hAnsi="Arial"/>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Hypothecary Representative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3.02</w:t>
      </w:r>
      <w:r>
        <w:rPr>
          <w:rFonts w:ascii="Arial" w:cs="Arial" w:eastAsia="Arial" w:hAnsi="Arial"/>
          <w:sz w:val="18"/>
          <w:szCs w:val="18"/>
          <w:b w:val="1"/>
          <w:bCs w:val="1"/>
          <w:u w:val="single" w:color="auto"/>
          <w:color w:val="0000FF"/>
        </w:rPr>
        <w:t>4.13</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 Supplement</w:t>
      </w:r>
      <w:r>
        <w:rPr>
          <w:rFonts w:ascii="Arial" w:cs="Arial" w:eastAsia="Arial" w:hAnsi="Arial"/>
          <w:sz w:val="18"/>
          <w:szCs w:val="18"/>
          <w:color w:val="auto"/>
        </w:rPr>
        <w:t xml:space="preserve">” means an increasing lender supplement entered into by the Borrowers and any Increasing Lender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any other form reasonably acceptable to the Administrative Agent.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w:t>
      </w:r>
      <w:r>
        <w:rPr>
          <w:rFonts w:ascii="Arial" w:cs="Arial" w:eastAsia="Arial" w:hAnsi="Arial"/>
          <w:sz w:val="16"/>
          <w:szCs w:val="16"/>
          <w:b w:val="1"/>
          <w:bCs w:val="1"/>
          <w:u w:val="single" w:color="auto"/>
          <w:color w:val="0000FF"/>
        </w:rPr>
        <w:t>For the avoidance of doubt,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obligations of the Parent under any Permitted Warrant Transaction shall not constitute Indebtedness.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Jurisdiction</w:t>
      </w:r>
      <w:r>
        <w:rPr>
          <w:rFonts w:ascii="Arial" w:cs="Arial" w:eastAsia="Arial" w:hAnsi="Arial"/>
          <w:sz w:val="16"/>
          <w:szCs w:val="16"/>
          <w:color w:val="auto"/>
        </w:rPr>
        <w:t xml:space="preserve">” means the countries of Albania, Angola, Congo, Egypt, Gabon, and Nigeria;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Borrowers, by mutual written agreement, may re-categorize any country between the definitions of “Ineligible Jurisdiction” and “Eligible Jurisdiction”.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Initial LC Fee Period</w:t>
      </w:r>
      <w:r>
        <w:rPr>
          <w:rFonts w:ascii="Arial" w:cs="Arial" w:eastAsia="Arial" w:hAnsi="Arial"/>
          <w:sz w:val="18"/>
          <w:szCs w:val="18"/>
          <w:b w:val="1"/>
          <w:bCs w:val="1"/>
          <w:color w:val="FF0000"/>
          <w:strike w:val="1"/>
        </w:rPr>
        <w:t>” means the period from October 17, 2022 until October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Initial Retranching</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4.12(a)</w:t>
      </w:r>
      <w:r>
        <w:rPr>
          <w:rFonts w:ascii="Arial" w:cs="Arial" w:eastAsia="Arial" w:hAnsi="Arial"/>
          <w:sz w:val="18"/>
          <w:szCs w:val="18"/>
          <w:b w:val="1"/>
          <w:bCs w:val="1"/>
          <w:color w:val="FF0000"/>
          <w:strike w:val="1"/>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Laws</w:t>
      </w:r>
      <w:r>
        <w:rPr>
          <w:rFonts w:ascii="Arial" w:cs="Arial" w:eastAsia="Arial" w:hAnsi="Arial"/>
          <w:sz w:val="18"/>
          <w:szCs w:val="18"/>
          <w:color w:val="auto"/>
        </w:rPr>
        <w:t>” means (a) the Bankruptcy Code, (b) the Bankruptcy and Insolvency Act (Canada), (c) the Companies’ Creditors Arrangement Act (Canada), (d) the Winding-Up and Restructuring Act (Canada), (e) the Canada Business Corporations Act (Canada) where such statute is used by a Person to propose an arrangement, (f) the German Insolvency Act (Insolvenzordnung), (g) the German Insolvency Code (Insolvenzordnung) (Anordnung von Sicherungsmaßnahmen)), (h) the Swiss Federal Act on Debt Enforcement and Bankruptcy, (i) the Dutch Bankruptcy Code (Faillissementswet), (j) the Mexican Insolvency Law (Ley de Concursos Mecantiles) and/or (k) any similar legislation in a relevant jurisdiction, in each case as applicable and as in effect from time to time.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Proceeding</w:t>
      </w:r>
      <w:r>
        <w:rPr>
          <w:rFonts w:ascii="Arial" w:cs="Arial" w:eastAsia="Arial" w:hAnsi="Arial"/>
          <w:sz w:val="17"/>
          <w:szCs w:val="17"/>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 or Section 60 of the Social Insurance Financing Act of the Netherlands (</w:t>
      </w:r>
      <w:r>
        <w:rPr>
          <w:rFonts w:ascii="Arial" w:cs="Arial" w:eastAsia="Arial" w:hAnsi="Arial"/>
          <w:sz w:val="17"/>
          <w:szCs w:val="17"/>
          <w:i w:val="1"/>
          <w:iCs w:val="1"/>
          <w:color w:val="auto"/>
        </w:rPr>
        <w:t>Wet Financiering Sociale Verzekeringen</w:t>
      </w:r>
      <w:r>
        <w:rPr>
          <w:rFonts w:ascii="Arial" w:cs="Arial" w:eastAsia="Arial" w:hAnsi="Arial"/>
          <w:sz w:val="17"/>
          <w:szCs w:val="17"/>
          <w:color w:val="auto"/>
        </w:rPr>
        <w:t>) in conjunction with Section 36 of the Tax Collection Act of the Netherlands (</w:t>
      </w:r>
      <w:r>
        <w:rPr>
          <w:rFonts w:ascii="Arial" w:cs="Arial" w:eastAsia="Arial" w:hAnsi="Arial"/>
          <w:sz w:val="17"/>
          <w:szCs w:val="17"/>
          <w:i w:val="1"/>
          <w:iCs w:val="1"/>
          <w:color w:val="auto"/>
        </w:rPr>
        <w:t>Invorderingswet 1990</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U.S. Security Agreement, and includes all Industrial Designs (as defined in the Canadian Security Agreement).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xml:space="preserve">” means (a) an intercompany subordination agreement, dated as of the date hereof, executed and delivered by each Obligor and the Parent’s Subsidiaries party thereto, in substantially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or as otherwise reasonably agreed by the Required Lenders and (b) with respect to each non-Obligor Subsidiary of the Parent that is party thereto, the intercompany subordination agreement, dated as of December 13, 2019, and delivered in connection with the Existing Credit Agreement; provided that the agreement described in this clause (b) shall constitute an Intercompany Subordination Agreement with respect to each such non-Obligor Subsidiary only until the date on which such non-Obligor Subsidiary executes and delivers a supplement to the agreement described in clause (a) of this definition.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collectively,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that certain Intercreditor Agreement, dated as of August 28, 2020, by and among the Administrative Agent (as successor to DBTCA), the Senior Secured Notes Trustee, the LC Australian Collateral Agent, Parent and the other Obligors from time to time party thereto, as amended or supplemented by the Joinder Agreement (Notes Obligations), dated as of September 30, 2021, and the joinder agreement, dated as of the Effective Date, required by Section 6.01(a)(iii); and</w:t>
      </w:r>
    </w:p>
    <w:p>
      <w:pPr>
        <w:spacing w:after="0" w:line="187" w:lineRule="exact"/>
        <w:rPr>
          <w:sz w:val="20"/>
          <w:szCs w:val="20"/>
          <w:color w:val="auto"/>
        </w:rPr>
      </w:pPr>
    </w:p>
    <w:p>
      <w:pPr>
        <w:jc w:val="both"/>
        <w:ind w:firstLine="656"/>
        <w:spacing w:after="0" w:line="257" w:lineRule="auto"/>
        <w:tabs>
          <w:tab w:leader="none" w:pos="9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as of any date of determination, the ratio of (a) Consolidated Adjusted EBITDA for the most recently completed Testing Period to (b) Consolidated Interest Expense for the most recently completed Testing Period.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Base Rate Loan or Daily Simple RFR Loan, the last Business Day of each March, June, September and December and the Maturity Date and (b) as to any Eurocurrency Rate Loan or Term SOFR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Maturity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as to any Eurocurrency Rate Loan or Term SOFR Loan, the period commencing on the date such Loan is disbursed or converted to or continued as a Eurocurrency Rate Loan or Term SOFR Loan, as applicable, and ending on the date one (1), three (3) or (except with respect to any Loan bearing interest based on CDOR</w:t>
      </w:r>
      <w:r>
        <w:rPr>
          <w:rFonts w:ascii="Arial" w:cs="Arial" w:eastAsia="Arial" w:hAnsi="Arial"/>
          <w:sz w:val="17"/>
          <w:szCs w:val="17"/>
          <w:u w:val="single" w:color="auto"/>
          <w:color w:val="0000FF"/>
        </w:rPr>
        <w:t>, Term CORRA or Daily Compounded CORRA</w:t>
      </w:r>
      <w:r>
        <w:rPr>
          <w:rFonts w:ascii="Arial" w:cs="Arial" w:eastAsia="Arial" w:hAnsi="Arial"/>
          <w:sz w:val="17"/>
          <w:szCs w:val="17"/>
          <w:color w:val="auto"/>
        </w:rPr>
        <w:t xml:space="preserve">) six (6) months thereafter, in each case as selected by the applicable Borrower in its Notice of Borrowing or Notice of Conversion/Continuation and subject to availability;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sz w:val="20"/>
          <w:szCs w:val="20"/>
          <w:color w:val="auto"/>
        </w:rPr>
      </w:pPr>
    </w:p>
    <w:p>
      <w:pPr>
        <w:jc w:val="both"/>
        <w:ind w:left="1300" w:hanging="320"/>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Period shall commence on the date of advance of or conversion to any Eurocurrency Rate Loan or Term SOFR Loan, as applicable, and, in the case of immediately successive Interest Periods, each successive Interest Period shall commence on the date on which the immediately preceding Interest Period expires;</w:t>
      </w:r>
    </w:p>
    <w:p>
      <w:pPr>
        <w:spacing w:after="0" w:line="183"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any Interest Period would otherwise expire on a day that is not a Business Day, such Interest Period shall expire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shall be no more than five (5) Interest Periods in effect at any time;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 tenor that has been removed from this definition pursuant to </w:t>
      </w:r>
      <w:r>
        <w:rPr>
          <w:rFonts w:ascii="Arial" w:cs="Arial" w:eastAsia="Arial" w:hAnsi="Arial"/>
          <w:sz w:val="18"/>
          <w:szCs w:val="18"/>
          <w:u w:val="single" w:color="auto"/>
          <w:color w:val="auto"/>
        </w:rPr>
        <w:t>Section 4.06(c)(iv)</w:t>
      </w:r>
      <w:r>
        <w:rPr>
          <w:rFonts w:ascii="Arial" w:cs="Arial" w:eastAsia="Arial" w:hAnsi="Arial"/>
          <w:sz w:val="18"/>
          <w:szCs w:val="18"/>
          <w:color w:val="auto"/>
        </w:rPr>
        <w:t xml:space="preserve"> shall be available for specification in any Notice of Borrowing or Notice of Conversion/Continuation.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2" w:lineRule="exact"/>
        <w:rPr>
          <w:sz w:val="20"/>
          <w:szCs w:val="20"/>
          <w:color w:val="auto"/>
        </w:rPr>
      </w:pPr>
    </w:p>
    <w:p>
      <w:pPr>
        <w:ind w:right="20" w:firstLine="8"/>
        <w:spacing w:after="0" w:line="260"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Short Forms</w:t>
      </w:r>
      <w:r>
        <w:rPr>
          <w:rFonts w:ascii="Arial" w:cs="Arial" w:eastAsia="Arial" w:hAnsi="Arial"/>
          <w:sz w:val="18"/>
          <w:szCs w:val="18"/>
          <w:color w:val="auto"/>
        </w:rPr>
        <w:t>” means a Trademark Security Agreement and Patent Security Agreement entered into and recorded in connection with the Existing Credit Agreement or an agreement in substantially similar form and to the extent applicable, a copyright security agreement in a form substantially similar thereto and, in all cases, any supplements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each of Wells Fargo, </w:t>
      </w:r>
      <w:r>
        <w:rPr>
          <w:rFonts w:ascii="Arial" w:cs="Arial" w:eastAsia="Arial" w:hAnsi="Arial"/>
          <w:sz w:val="18"/>
          <w:szCs w:val="18"/>
          <w:b w:val="1"/>
          <w:bCs w:val="1"/>
          <w:u w:val="single" w:color="auto"/>
          <w:color w:val="0000FF"/>
        </w:rPr>
        <w:t>ATB,</w:t>
      </w:r>
      <w:r>
        <w:rPr>
          <w:rFonts w:ascii="Arial" w:cs="Arial" w:eastAsia="Arial" w:hAnsi="Arial"/>
          <w:sz w:val="18"/>
          <w:szCs w:val="18"/>
          <w:color w:val="auto"/>
        </w:rPr>
        <w:t xml:space="preserve"> Deutsche Bank, Barclays, Citibank, N.A., Morgan Stanley Senior Funding, Inc. (“</w:t>
      </w:r>
      <w:r>
        <w:rPr>
          <w:rFonts w:ascii="Arial" w:cs="Arial" w:eastAsia="Arial" w:hAnsi="Arial"/>
          <w:sz w:val="18"/>
          <w:szCs w:val="18"/>
          <w:u w:val="single" w:color="auto"/>
          <w:color w:val="auto"/>
        </w:rPr>
        <w:t>Morgan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Stanley</w:t>
      </w:r>
      <w:r>
        <w:rPr>
          <w:rFonts w:ascii="Arial" w:cs="Arial" w:eastAsia="Arial" w:hAnsi="Arial"/>
          <w:sz w:val="18"/>
          <w:szCs w:val="18"/>
          <w:color w:val="auto"/>
        </w:rPr>
        <w:t xml:space="preserve">”), Standard Chartered Bank and any other Lender that agrees to issue Letters of Credit hereunder as contemplated by </w:t>
      </w:r>
      <w:r>
        <w:rPr>
          <w:rFonts w:ascii="Arial" w:cs="Arial" w:eastAsia="Arial" w:hAnsi="Arial"/>
          <w:sz w:val="18"/>
          <w:szCs w:val="18"/>
          <w:u w:val="single" w:color="auto"/>
          <w:color w:val="auto"/>
        </w:rPr>
        <w:t>Section 3.01(l)</w:t>
      </w:r>
      <w:r>
        <w:rPr>
          <w:rFonts w:ascii="Arial" w:cs="Arial" w:eastAsia="Arial" w:hAnsi="Arial"/>
          <w:sz w:val="18"/>
          <w:szCs w:val="18"/>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3.01(l)</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xml:space="preserve">” means Wells Fargo Securities, LLC, Barclays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Bank PLC, Citi Bank, N.A.,</w:t>
      </w:r>
      <w:r>
        <w:rPr>
          <w:rFonts w:ascii="Arial" w:cs="Arial" w:eastAsia="Arial" w:hAnsi="Arial"/>
          <w:sz w:val="17"/>
          <w:szCs w:val="17"/>
          <w:color w:val="auto"/>
        </w:rPr>
        <w:t xml:space="preserve"> Deutsche </w:t>
      </w:r>
      <w:r>
        <w:rPr>
          <w:rFonts w:ascii="Arial" w:cs="Arial" w:eastAsia="Arial" w:hAnsi="Arial"/>
          <w:sz w:val="17"/>
          <w:szCs w:val="17"/>
          <w:b w:val="1"/>
          <w:bCs w:val="1"/>
          <w:u w:val="single" w:color="auto"/>
          <w:color w:val="0000FF"/>
        </w:rPr>
        <w:t>Bank Securities Inc., Morgan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Stanley Senior Funding, Inc. and Standard Chartered</w:t>
      </w:r>
      <w:r>
        <w:rPr>
          <w:rFonts w:ascii="Arial" w:cs="Arial" w:eastAsia="Arial" w:hAnsi="Arial"/>
          <w:sz w:val="17"/>
          <w:szCs w:val="17"/>
          <w:b w:val="1"/>
          <w:bCs w:val="1"/>
          <w:color w:val="0000FF"/>
        </w:rPr>
        <w:t xml:space="preserve"> </w:t>
      </w:r>
      <w:r>
        <w:rPr>
          <w:rFonts w:ascii="Arial" w:cs="Arial" w:eastAsia="Arial" w:hAnsi="Arial"/>
          <w:sz w:val="17"/>
          <w:szCs w:val="17"/>
          <w:color w:val="000000"/>
        </w:rPr>
        <w:t>Bank, each in its capacity as Joint Lead Arranger and Joint Bookrunner hereunder.</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Australian Collateral Agent</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3.01(k)</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FF0000"/>
          <w:strike w:val="1"/>
        </w:rPr>
        <w:t xml:space="preserve">“LC </w:t>
      </w:r>
      <w:r>
        <w:rPr>
          <w:rFonts w:ascii="Arial" w:cs="Arial" w:eastAsia="Arial" w:hAnsi="Arial"/>
          <w:sz w:val="18"/>
          <w:szCs w:val="18"/>
          <w:i w:val="1"/>
          <w:iCs w:val="1"/>
          <w:color w:val="008000"/>
          <w:strike w:val="1"/>
        </w:rPr>
        <w:t>Commitment” means, as to each Issuing Bank, the commitment of such Issuing Bank to issue Letters of Credit pursuant to Section 3.01. The</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 xml:space="preserve">amount of each Issuing Bank’s </w:t>
      </w:r>
      <w:r>
        <w:rPr>
          <w:rFonts w:ascii="Arial" w:cs="Arial" w:eastAsia="Arial" w:hAnsi="Arial"/>
          <w:sz w:val="18"/>
          <w:szCs w:val="18"/>
          <w:b w:val="1"/>
          <w:bCs w:val="1"/>
          <w:color w:val="FF0000"/>
          <w:strike w:val="1"/>
        </w:rPr>
        <w:t>LC</w:t>
      </w:r>
      <w:r>
        <w:rPr>
          <w:rFonts w:ascii="Arial" w:cs="Arial" w:eastAsia="Arial" w:hAnsi="Arial"/>
          <w:sz w:val="18"/>
          <w:szCs w:val="18"/>
          <w:i w:val="1"/>
          <w:iCs w:val="1"/>
          <w:color w:val="008000"/>
          <w:strike w:val="1"/>
        </w:rPr>
        <w:t xml:space="preserve"> Commitment, at any time, shall be (a) with respect to each Issuing Bank as of the </w:t>
      </w:r>
      <w:r>
        <w:rPr>
          <w:rFonts w:ascii="Arial" w:cs="Arial" w:eastAsia="Arial" w:hAnsi="Arial"/>
          <w:sz w:val="18"/>
          <w:szCs w:val="18"/>
          <w:b w:val="1"/>
          <w:bCs w:val="1"/>
          <w:color w:val="FF0000"/>
          <w:strike w:val="1"/>
        </w:rPr>
        <w:t>First Amendment Effective Date, its</w:t>
      </w:r>
      <w:r>
        <w:rPr>
          <w:rFonts w:ascii="Arial" w:cs="Arial" w:eastAsia="Arial" w:hAnsi="Arial"/>
          <w:sz w:val="18"/>
          <w:szCs w:val="18"/>
          <w:i w:val="1"/>
          <w:iCs w:val="1"/>
          <w:color w:val="008000"/>
          <w:strike w:val="1"/>
        </w:rPr>
        <w:t xml:space="preserve"> </w:t>
      </w:r>
      <w:r>
        <w:rPr>
          <w:rFonts w:ascii="Arial" w:cs="Arial" w:eastAsia="Arial" w:hAnsi="Arial"/>
          <w:sz w:val="18"/>
          <w:szCs w:val="18"/>
          <w:b w:val="1"/>
          <w:bCs w:val="1"/>
          <w:color w:val="FF0000"/>
          <w:strike w:val="1"/>
        </w:rPr>
        <w:t xml:space="preserve">“LC </w:t>
      </w:r>
      <w:r>
        <w:rPr>
          <w:rFonts w:ascii="Arial" w:cs="Arial" w:eastAsia="Arial" w:hAnsi="Arial"/>
          <w:sz w:val="18"/>
          <w:szCs w:val="18"/>
          <w:i w:val="1"/>
          <w:iCs w:val="1"/>
          <w:color w:val="008000"/>
          <w:strike w:val="1"/>
        </w:rPr>
        <w:t>Commitment” as set forth on Schedule 2.01, and (b) with respect to any other Issuing Bank after the</w:t>
      </w:r>
      <w:r>
        <w:rPr>
          <w:rFonts w:ascii="Arial" w:cs="Arial" w:eastAsia="Arial" w:hAnsi="Arial"/>
          <w:sz w:val="18"/>
          <w:szCs w:val="18"/>
          <w:b w:val="1"/>
          <w:bCs w:val="1"/>
          <w:color w:val="FF0000"/>
          <w:strike w:val="1"/>
        </w:rPr>
        <w:t xml:space="preserve"> First Amendment Effective Date</w:t>
      </w:r>
      <w:r>
        <w:rPr>
          <w:rFonts w:ascii="Arial" w:cs="Arial" w:eastAsia="Arial" w:hAnsi="Arial"/>
          <w:sz w:val="18"/>
          <w:szCs w:val="18"/>
          <w:i w:val="1"/>
          <w:iCs w:val="1"/>
          <w:color w:val="008000"/>
          <w:strike w:val="1"/>
        </w:rPr>
        <w:t>, an amount</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 xml:space="preserve">agreed to by such Issuing Bank, in the case of any Issuing Bank described in the preceding clause (a) or clause (b), as such </w:t>
      </w:r>
      <w:r>
        <w:rPr>
          <w:rFonts w:ascii="Arial" w:cs="Arial" w:eastAsia="Arial" w:hAnsi="Arial"/>
          <w:sz w:val="18"/>
          <w:szCs w:val="18"/>
          <w:b w:val="1"/>
          <w:bCs w:val="1"/>
          <w:color w:val="FF0000"/>
          <w:strike w:val="1"/>
        </w:rPr>
        <w:t>LC Commitment may be</w:t>
      </w:r>
      <w:r>
        <w:rPr>
          <w:rFonts w:ascii="Arial" w:cs="Arial" w:eastAsia="Arial" w:hAnsi="Arial"/>
          <w:sz w:val="18"/>
          <w:szCs w:val="18"/>
          <w:i w:val="1"/>
          <w:iCs w:val="1"/>
          <w:color w:val="008000"/>
          <w:strike w:val="1"/>
        </w:rPr>
        <w:t xml:space="preserve"> adjusted from time to time in accordance with Section 3.01(j).</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means, with respect to any Lender at any time, such Lender’s Applicable Percentage (LCs) of the Total LC Exposure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LC Exposure, to the extent a portion of Total LC Exposure constitutes Total Revolving LC Exposure, such portion shall be subject to such Lender’s Applicable Percentage (LCs) specified in clause (b) of the definition thereof, and the balance of Total LC Exposure shall be subject to such Lender’s Applicable Percentage (LCs) specified in clause (a) of the definition thereof.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LC Fee Period</w:t>
      </w:r>
      <w:r>
        <w:rPr>
          <w:rFonts w:ascii="Arial" w:cs="Arial" w:eastAsia="Arial" w:hAnsi="Arial"/>
          <w:sz w:val="18"/>
          <w:szCs w:val="18"/>
          <w:b w:val="1"/>
          <w:bCs w:val="1"/>
          <w:color w:val="FF0000"/>
          <w:strike w:val="1"/>
        </w:rPr>
        <w:t>” means, initially, the Initial LC Fee Period, and subsequently, the applicable one calendar month period commencing on the first Business Day of the calendar month and ending on the last Business Day of such calendar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4.05(b)(i)</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Participation Fee Rate</w:t>
      </w:r>
      <w:r>
        <w:rPr>
          <w:rFonts w:ascii="Arial" w:cs="Arial" w:eastAsia="Arial" w:hAnsi="Arial"/>
          <w:sz w:val="17"/>
          <w:szCs w:val="17"/>
          <w:color w:val="auto"/>
        </w:rPr>
        <w:t>” means</w:t>
      </w:r>
      <w:r>
        <w:rPr>
          <w:rFonts w:ascii="Arial" w:cs="Arial" w:eastAsia="Arial" w:hAnsi="Arial"/>
          <w:sz w:val="17"/>
          <w:szCs w:val="17"/>
          <w:b w:val="1"/>
          <w:bCs w:val="1"/>
          <w:color w:val="FF0000"/>
          <w:strike w:val="1"/>
        </w:rPr>
        <w:t>, for any LC Fee Period, (a) in the case of Letters of Credit denominated in Dollars, Euros, Sterling,</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 xml:space="preserve">Swiss Francs, Yen, Australian Dollars or Canadian Dollars, the interest rate applicable to Loans (if applicable, for a one (1) month Interest Period) denominated in the same Currency, plus the Applicable Margin and (b) in the case of Letters of Credit denominated in any other Alternative Currency, Adjusted Term SOFR for a one-month tenor, </w:t>
      </w:r>
      <w:r>
        <w:rPr>
          <w:rFonts w:ascii="Arial" w:cs="Arial" w:eastAsia="Arial" w:hAnsi="Arial"/>
          <w:sz w:val="17"/>
          <w:szCs w:val="17"/>
          <w:b w:val="1"/>
          <w:bCs w:val="1"/>
          <w:u w:val="single" w:color="auto"/>
          <w:color w:val="FF0000"/>
          <w:strike w:val="1"/>
        </w:rPr>
        <w:t>plus</w:t>
      </w:r>
      <w:r>
        <w:rPr>
          <w:rFonts w:ascii="Arial" w:cs="Arial" w:eastAsia="Arial" w:hAnsi="Arial"/>
          <w:sz w:val="17"/>
          <w:szCs w:val="17"/>
          <w:b w:val="1"/>
          <w:bCs w:val="1"/>
          <w:color w:val="FF0000"/>
          <w:strike w:val="1"/>
        </w:rPr>
        <w:t xml:space="preserve"> the Applicable Margin;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b w:val="1"/>
          <w:bCs w:val="1"/>
          <w:color w:val="FF0000"/>
          <w:strike w:val="1"/>
        </w:rPr>
        <w:t xml:space="preserve"> that, for the avoidance of doubt, the interest rate applied to Letters of Credit denominated in Dollars or to any other Letter of Credit of the type specified in </w:t>
      </w:r>
      <w:r>
        <w:rPr>
          <w:rFonts w:ascii="Arial" w:cs="Arial" w:eastAsia="Arial" w:hAnsi="Arial"/>
          <w:sz w:val="17"/>
          <w:szCs w:val="17"/>
          <w:b w:val="1"/>
          <w:bCs w:val="1"/>
          <w:u w:val="single" w:color="auto"/>
          <w:color w:val="FF0000"/>
          <w:strike w:val="1"/>
        </w:rPr>
        <w:t>clause (b)</w:t>
      </w:r>
      <w:r>
        <w:rPr>
          <w:rFonts w:ascii="Arial" w:cs="Arial" w:eastAsia="Arial" w:hAnsi="Arial"/>
          <w:sz w:val="17"/>
          <w:szCs w:val="17"/>
          <w:b w:val="1"/>
          <w:bCs w:val="1"/>
          <w:color w:val="FF0000"/>
          <w:strike w:val="1"/>
        </w:rPr>
        <w:t xml:space="preserve"> shall be Adjusted Term SOFR unless the circustances described in </w:t>
      </w:r>
      <w:r>
        <w:rPr>
          <w:rFonts w:ascii="Arial" w:cs="Arial" w:eastAsia="Arial" w:hAnsi="Arial"/>
          <w:sz w:val="17"/>
          <w:szCs w:val="17"/>
          <w:b w:val="1"/>
          <w:bCs w:val="1"/>
          <w:u w:val="single" w:color="auto"/>
          <w:color w:val="FF0000"/>
          <w:strike w:val="1"/>
        </w:rPr>
        <w:t>Section 4.06(a)</w:t>
      </w:r>
      <w:r>
        <w:rPr>
          <w:rFonts w:ascii="Arial" w:cs="Arial" w:eastAsia="Arial" w:hAnsi="Arial"/>
          <w:sz w:val="17"/>
          <w:szCs w:val="17"/>
          <w:b w:val="1"/>
          <w:bCs w:val="1"/>
          <w:color w:val="FF0000"/>
          <w:strike w:val="1"/>
        </w:rPr>
        <w:t xml:space="preserve"> or </w:t>
      </w:r>
      <w:r>
        <w:rPr>
          <w:rFonts w:ascii="Arial" w:cs="Arial" w:eastAsia="Arial" w:hAnsi="Arial"/>
          <w:sz w:val="17"/>
          <w:szCs w:val="17"/>
          <w:b w:val="1"/>
          <w:bCs w:val="1"/>
          <w:u w:val="single" w:color="auto"/>
          <w:color w:val="FF0000"/>
          <w:strike w:val="1"/>
        </w:rPr>
        <w:t>4.06(c)(v)</w:t>
      </w:r>
      <w:r>
        <w:rPr>
          <w:rFonts w:ascii="Arial" w:cs="Arial" w:eastAsia="Arial" w:hAnsi="Arial"/>
          <w:sz w:val="17"/>
          <w:szCs w:val="17"/>
          <w:b w:val="1"/>
          <w:bCs w:val="1"/>
          <w:color w:val="FF0000"/>
          <w:strike w:val="1"/>
        </w:rPr>
        <w:t xml:space="preserve"> have occurred, in which case the </w:t>
      </w:r>
      <w:r>
        <w:rPr>
          <w:rFonts w:ascii="Arial" w:cs="Arial" w:eastAsia="Arial" w:hAnsi="Arial"/>
          <w:sz w:val="17"/>
          <w:szCs w:val="17"/>
          <w:b w:val="1"/>
          <w:bCs w:val="1"/>
          <w:u w:val="single" w:color="auto"/>
          <w:color w:val="0000FF"/>
          <w:strike w:val="1"/>
        </w:rPr>
        <w:t>the applicable rate per annum set forth</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under the column “</w:t>
      </w:r>
      <w:r>
        <w:rPr>
          <w:rFonts w:ascii="Arial" w:cs="Arial" w:eastAsia="Arial" w:hAnsi="Arial"/>
          <w:sz w:val="17"/>
          <w:szCs w:val="17"/>
          <w:color w:val="000000"/>
          <w:strike w:val="1"/>
        </w:rPr>
        <w:t>LC Participation Fee Rate</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shall be calculated by reference to the Base Rate,</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FF0000"/>
          <w:strike w:val="1"/>
        </w:rPr>
        <w:t>plus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the</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0000FF"/>
          <w:strike w:val="1"/>
        </w:rPr>
        <w:t>” in the definition of “</w:t>
      </w:r>
      <w:r>
        <w:rPr>
          <w:rFonts w:ascii="Arial" w:cs="Arial" w:eastAsia="Arial" w:hAnsi="Arial"/>
          <w:sz w:val="17"/>
          <w:szCs w:val="17"/>
          <w:color w:val="000000"/>
          <w:strike w:val="1"/>
        </w:rPr>
        <w:t>Applicable Margin</w:t>
      </w:r>
      <w:r>
        <w:rPr>
          <w:rFonts w:ascii="Arial" w:cs="Arial" w:eastAsia="Arial" w:hAnsi="Arial"/>
          <w:sz w:val="17"/>
          <w:szCs w:val="17"/>
          <w:b w:val="1"/>
          <w:bCs w:val="1"/>
          <w:color w:val="FF0000"/>
          <w:strike w:val="1"/>
        </w:rPr>
        <w:t>,</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 xml:space="preserve">commencing on the first date of such LC Fee Period (if such circumstances arose prior to the start of the applicable LC Fee Period) or the first date of the next succeeding LC Fee Period (if such circumstances arose after the start of such LC Fee Period), until such time as such circumstances no longer exist and/or Adjusted Term SOFR has been replaced as a Benchmark for Dollar-denominated extensions of credit, in each case in accordance with </w:t>
      </w:r>
      <w:r>
        <w:rPr>
          <w:rFonts w:ascii="Arial" w:cs="Arial" w:eastAsia="Arial" w:hAnsi="Arial"/>
          <w:sz w:val="17"/>
          <w:szCs w:val="17"/>
          <w:b w:val="1"/>
          <w:bCs w:val="1"/>
          <w:u w:val="single" w:color="auto"/>
          <w:color w:val="FF0000"/>
          <w:strike w:val="1"/>
        </w:rPr>
        <w:t>Section 4.06</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strike w:val="1"/>
        </w:rPr>
        <w:t>”.</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Priority Collateral</w:t>
      </w:r>
      <w:r>
        <w:rPr>
          <w:rFonts w:ascii="Arial" w:cs="Arial" w:eastAsia="Arial" w:hAnsi="Arial"/>
          <w:sz w:val="18"/>
          <w:szCs w:val="18"/>
          <w:color w:val="auto"/>
        </w:rPr>
        <w:t>” has the meaning specified for “LC Priority Collateral” or “LC/RCF Priority Collateral”, as applicable, in the Intercreditor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or bank guarantee issued pursuant to this Agreement (including the Existing Letters of Credit pursuant to </w:t>
      </w:r>
      <w:r>
        <w:rPr>
          <w:rFonts w:ascii="Arial" w:cs="Arial" w:eastAsia="Arial" w:hAnsi="Arial"/>
          <w:sz w:val="18"/>
          <w:szCs w:val="18"/>
          <w:u w:val="single" w:color="auto"/>
          <w:color w:val="auto"/>
        </w:rPr>
        <w:t>Section 3.01(n)</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means a request by a Borrower for the issuance, amendment, renewal or extension, as the case may be, of a Letter of Credit in accordance with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i w:val="1"/>
          <w:iCs w:val="1"/>
          <w:u w:val="single" w:color="auto"/>
          <w:color w:val="008000"/>
        </w:rPr>
        <w:t>Leverage Ratio</w:t>
      </w:r>
      <w:r>
        <w:rPr>
          <w:rFonts w:ascii="Arial" w:cs="Arial" w:eastAsia="Arial" w:hAnsi="Arial"/>
          <w:sz w:val="18"/>
          <w:szCs w:val="18"/>
          <w:i w:val="1"/>
          <w:iCs w:val="1"/>
          <w:color w:val="008000"/>
        </w:rPr>
        <w:t>” means, as of any date of determination and on a consolidated basis, the result of (a) the amount equal to (i) Funded</w:t>
      </w:r>
      <w:r>
        <w:rPr>
          <w:rFonts w:ascii="Arial" w:cs="Arial" w:eastAsia="Arial" w:hAnsi="Arial"/>
          <w:sz w:val="18"/>
          <w:szCs w:val="18"/>
          <w:b w:val="1"/>
          <w:bCs w:val="1"/>
          <w:color w:val="FF0000"/>
        </w:rPr>
        <w:t xml:space="preserve"> </w:t>
      </w:r>
      <w:r>
        <w:rPr>
          <w:rFonts w:ascii="Arial" w:cs="Arial" w:eastAsia="Arial" w:hAnsi="Arial"/>
          <w:sz w:val="18"/>
          <w:szCs w:val="18"/>
          <w:i w:val="1"/>
          <w:iCs w:val="1"/>
          <w:color w:val="008000"/>
          <w:strike w:val="1"/>
        </w:rPr>
        <w:t xml:space="preserve">Indebtedness as of such date </w:t>
      </w:r>
      <w:r>
        <w:rPr>
          <w:rFonts w:ascii="Arial" w:cs="Arial" w:eastAsia="Arial" w:hAnsi="Arial"/>
          <w:sz w:val="18"/>
          <w:szCs w:val="18"/>
          <w:i w:val="1"/>
          <w:iCs w:val="1"/>
          <w:u w:val="single" w:color="auto"/>
          <w:color w:val="008000"/>
          <w:strike w:val="1"/>
        </w:rPr>
        <w:t>minus</w:t>
      </w:r>
      <w:r>
        <w:rPr>
          <w:rFonts w:ascii="Arial" w:cs="Arial" w:eastAsia="Arial" w:hAnsi="Arial"/>
          <w:sz w:val="18"/>
          <w:szCs w:val="18"/>
          <w:i w:val="1"/>
          <w:iCs w:val="1"/>
          <w:color w:val="008000"/>
          <w:strike w:val="1"/>
        </w:rPr>
        <w:t xml:space="preserve"> (ii) Unrestricted Cash in excess of $400,000,000, to (b) Consolidated Adjusted EBITDA for the four Fiscal Quarter period ended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-364490</wp:posOffset>
            </wp:positionV>
            <wp:extent cx="66598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5988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Acts</w:t>
      </w:r>
      <w:r>
        <w:rPr>
          <w:rFonts w:ascii="Arial" w:cs="Arial" w:eastAsia="Arial" w:hAnsi="Arial"/>
          <w:sz w:val="18"/>
          <w:szCs w:val="18"/>
          <w:color w:val="auto"/>
        </w:rPr>
        <w:t>” means the Limitation Act 1980 and the Foreign Limitation Periods Act 1984.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any revolving loan made to a Borrower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and all such revolving loans collectively as the context requires.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Guaranty Agreements, the Letters of Credit (and applications therefor), the Collateral Documents, the Intercompany Subordination Agreement, the Security Trust Deed, the Agency and Liens Assignment Agreement,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Obligors</w:t>
      </w:r>
      <w:r>
        <w:rPr>
          <w:rFonts w:ascii="Arial" w:cs="Arial" w:eastAsia="Arial" w:hAnsi="Arial"/>
          <w:sz w:val="18"/>
          <w:szCs w:val="18"/>
          <w:color w:val="auto"/>
        </w:rPr>
        <w:t>” means any Obligor organized under the laws of the Grand Duchy of Luxembourg.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of any one or more of Parent and its Restricted Subsidiaries in an aggregate principal amount exceeding $</w:t>
      </w:r>
      <w:r>
        <w:rPr>
          <w:rFonts w:ascii="Arial" w:cs="Arial" w:eastAsia="Arial" w:hAnsi="Arial"/>
          <w:sz w:val="18"/>
          <w:szCs w:val="18"/>
          <w:b w:val="1"/>
          <w:bCs w:val="1"/>
          <w:color w:val="FF0000"/>
          <w:strike w:val="1"/>
        </w:rPr>
        <w:t>50,000,000</w:t>
      </w:r>
      <w:r>
        <w:rPr>
          <w:rFonts w:ascii="Arial" w:cs="Arial" w:eastAsia="Arial" w:hAnsi="Arial"/>
          <w:sz w:val="18"/>
          <w:szCs w:val="18"/>
          <w:b w:val="1"/>
          <w:bCs w:val="1"/>
          <w:u w:val="single" w:color="auto"/>
          <w:color w:val="0000FF"/>
        </w:rPr>
        <w:t>65,000,000</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real property located in the United States of America, Canada or the United Kingdom owned by any Obligor with a net book value in excess of $</w:t>
      </w:r>
      <w:r>
        <w:rPr>
          <w:rFonts w:ascii="Arial" w:cs="Arial" w:eastAsia="Arial" w:hAnsi="Arial"/>
          <w:sz w:val="18"/>
          <w:szCs w:val="18"/>
          <w:b w:val="1"/>
          <w:bCs w:val="1"/>
          <w:color w:val="FF0000"/>
          <w:strike w:val="1"/>
        </w:rPr>
        <w:t>10,000,000</w:t>
      </w:r>
      <w:r>
        <w:rPr>
          <w:rFonts w:ascii="Arial" w:cs="Arial" w:eastAsia="Arial" w:hAnsi="Arial"/>
          <w:sz w:val="18"/>
          <w:szCs w:val="18"/>
          <w:b w:val="1"/>
          <w:bCs w:val="1"/>
          <w:u w:val="single" w:color="auto"/>
          <w:color w:val="0000FF"/>
        </w:rPr>
        <w:t>20,000,000</w:t>
      </w:r>
      <w:r>
        <w:rPr>
          <w:rFonts w:ascii="Arial" w:cs="Arial" w:eastAsia="Arial" w:hAnsi="Arial"/>
          <w:sz w:val="18"/>
          <w:szCs w:val="18"/>
          <w:color w:val="auto"/>
        </w:rPr>
        <w:t xml:space="preserve"> and that is not an Excluded Asset and each Effective Date Real Property.</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Specified Subsidiary</w:t>
      </w:r>
      <w:r>
        <w:rPr>
          <w:rFonts w:ascii="Arial" w:cs="Arial" w:eastAsia="Arial" w:hAnsi="Arial"/>
          <w:sz w:val="16"/>
          <w:szCs w:val="16"/>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w:t>
      </w:r>
    </w:p>
    <w:p>
      <w:pPr>
        <w:jc w:val="both"/>
        <w:ind w:firstLine="8"/>
        <w:spacing w:after="0" w:line="255"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October 17, 2026;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that if WIL-Bermuda has not voluntarily Redeemed a necessary amount of its Exit</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Senior Notes prior to August 30, 2024 such that no more than $50,000,000 of its Exit Senior Notes remain outstanding on such date, then the Maturity Date shall be August 30, 2024 unless WIL-Bermuda has deposited such necessary amount in cash into a controlled account maintained with the Administrative Agent, in the name of the Administrative Agent and for the benefit of the Issuing Banks and the Lenders, on or before such date.</w:t>
      </w:r>
      <w:r>
        <w:rPr>
          <w:rFonts w:ascii="Arial" w:cs="Arial" w:eastAsia="Arial" w:hAnsi="Arial"/>
          <w:sz w:val="18"/>
          <w:szCs w:val="18"/>
          <w:b w:val="1"/>
          <w:bCs w:val="1"/>
          <w:u w:val="single" w:color="auto"/>
          <w:color w:val="0000FF"/>
          <w:strike w:val="1"/>
        </w:rPr>
        <w:t>the earlier of (a) October 24, 2028 and (b) the date that is 91 days prior to the stated maturity date of the Senior Secured Notes or any</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Permitted Refinancing Indebtedness in respect thereof.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w:t>
      </w:r>
      <w:r>
        <w:rPr>
          <w:rFonts w:ascii="Arial" w:cs="Arial" w:eastAsia="Arial" w:hAnsi="Arial"/>
          <w:sz w:val="18"/>
          <w:szCs w:val="18"/>
          <w:color w:val="auto"/>
        </w:rPr>
        <w:t>” means the United Mexican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Morgan Stanley</w:t>
      </w:r>
      <w:r>
        <w:rPr>
          <w:rFonts w:ascii="Arial" w:cs="Arial" w:eastAsia="Arial" w:hAnsi="Arial"/>
          <w:sz w:val="18"/>
          <w:szCs w:val="18"/>
          <w:color w:val="auto"/>
        </w:rPr>
        <w:t>” has the meaning specified in “Issuing Bank”.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Mortgages</w:t>
      </w:r>
      <w:r>
        <w:rPr>
          <w:rFonts w:ascii="Arial" w:cs="Arial" w:eastAsia="Arial" w:hAnsi="Arial"/>
          <w:sz w:val="17"/>
          <w:szCs w:val="17"/>
          <w:color w:val="auto"/>
        </w:rPr>
        <w:t xml:space="preserve">” means, collectively, (a) the instruments described on </w:t>
      </w:r>
      <w:r>
        <w:rPr>
          <w:rFonts w:ascii="Arial" w:cs="Arial" w:eastAsia="Arial" w:hAnsi="Arial"/>
          <w:sz w:val="17"/>
          <w:szCs w:val="17"/>
          <w:u w:val="single" w:color="auto"/>
          <w:color w:val="auto"/>
        </w:rPr>
        <w:t>Schedule 8.11</w:t>
      </w:r>
      <w:r>
        <w:rPr>
          <w:rFonts w:ascii="Arial" w:cs="Arial" w:eastAsia="Arial" w:hAnsi="Arial"/>
          <w:sz w:val="17"/>
          <w:szCs w:val="17"/>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assignment or supplement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plan covered by Title IV of ERISA which is a “multiemployer plan” (as such term is defined in Section 4001(a)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ERISA).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“Redomestication”.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means a promissory note made by a Borrower in favor of a Lender evidencing the Loans made by such Lender, substantially in the form attached as </w:t>
      </w:r>
      <w:r>
        <w:rPr>
          <w:rFonts w:ascii="Arial" w:cs="Arial" w:eastAsia="Arial" w:hAnsi="Arial"/>
          <w:sz w:val="17"/>
          <w:szCs w:val="17"/>
          <w:u w:val="single" w:color="auto"/>
          <w:color w:val="auto"/>
        </w:rPr>
        <w:t>Exhibit O</w:t>
      </w:r>
      <w:r>
        <w:rPr>
          <w:rFonts w:ascii="Arial" w:cs="Arial" w:eastAsia="Arial" w:hAnsi="Arial"/>
          <w:sz w:val="17"/>
          <w:szCs w:val="17"/>
          <w:color w:val="auto"/>
        </w:rPr>
        <w:t>, and any substitutes therefor, and any replacements, restatements, renewals or extension thereof, in whole or in part.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Priority Collateral</w:t>
      </w:r>
      <w:r>
        <w:rPr>
          <w:rFonts w:ascii="Arial" w:cs="Arial" w:eastAsia="Arial" w:hAnsi="Arial"/>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in each case, whether now in existence or hereafter arising: (a) the principal of and interest on (including interest accruing after the filing of any bankruptcy or similar petition) the Loans; (b) all obligations with respect to Letters of Credit (including unreimbursed LC Disbursements); and (c) all other accrued and unpaid fees and all expenses, reimbursements, indemnities and other obligations and indebtedness (including interest and fees accruing during the pendency of any bankruptcy, insolvency, administration, examinership, rescue process,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Letters of Credit.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Parties</w:t>
      </w:r>
      <w:r>
        <w:rPr>
          <w:rFonts w:ascii="Arial" w:cs="Arial" w:eastAsia="Arial" w:hAnsi="Arial"/>
          <w:sz w:val="18"/>
          <w:szCs w:val="18"/>
          <w:color w:val="auto"/>
        </w:rPr>
        <w:t>” means the Borrowers and Parent, and “</w:t>
      </w:r>
      <w:r>
        <w:rPr>
          <w:rFonts w:ascii="Arial" w:cs="Arial" w:eastAsia="Arial" w:hAnsi="Arial"/>
          <w:sz w:val="18"/>
          <w:szCs w:val="18"/>
          <w:u w:val="single" w:color="auto"/>
          <w:color w:val="auto"/>
        </w:rPr>
        <w:t>Obligor Party</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Obligors</w:t>
      </w:r>
      <w:r>
        <w:rPr>
          <w:rFonts w:ascii="Arial" w:cs="Arial" w:eastAsia="Arial" w:hAnsi="Arial"/>
          <w:sz w:val="18"/>
          <w:szCs w:val="18"/>
          <w:color w:val="auto"/>
        </w:rPr>
        <w:t>” means the Obligor Parties and any other Guarantors, and “</w:t>
      </w:r>
      <w:r>
        <w:rPr>
          <w:rFonts w:ascii="Arial" w:cs="Arial" w:eastAsia="Arial" w:hAnsi="Arial"/>
          <w:sz w:val="18"/>
          <w:szCs w:val="18"/>
          <w:u w:val="single" w:color="auto"/>
          <w:color w:val="auto"/>
        </w:rPr>
        <w:t>Obligor</w:t>
      </w:r>
      <w:r>
        <w:rPr>
          <w:rFonts w:ascii="Arial" w:cs="Arial" w:eastAsia="Arial" w:hAnsi="Arial"/>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Debt</w:t>
      </w:r>
      <w:r>
        <w:rPr>
          <w:rFonts w:ascii="Arial" w:cs="Arial" w:eastAsia="Arial" w:hAnsi="Arial"/>
          <w:sz w:val="18"/>
          <w:szCs w:val="18"/>
          <w:color w:val="auto"/>
        </w:rPr>
        <w:t>” means “Parallel Debt” (as defined in Section 13 in the Affiliate Guaranty).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means Weatherford International plc, an Irish public limited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Certificate</w:t>
      </w:r>
      <w:r>
        <w:rPr>
          <w:rFonts w:ascii="Arial" w:cs="Arial" w:eastAsia="Arial" w:hAnsi="Arial"/>
          <w:sz w:val="18"/>
          <w:szCs w:val="18"/>
          <w:color w:val="auto"/>
        </w:rPr>
        <w:t xml:space="preserve">” means a certificate executed by a Participant,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4.10(b)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in Full</w:t>
      </w:r>
      <w:r>
        <w:rPr>
          <w:rFonts w:ascii="Arial" w:cs="Arial" w:eastAsia="Arial" w:hAnsi="Arial"/>
          <w:sz w:val="16"/>
          <w:szCs w:val="16"/>
          <w:color w:val="auto"/>
        </w:rPr>
        <w:t>” means the Commitments have expired or been terminated and the Obligations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Standalone Performance LCs and Swap Obligations constituting Secured Obligations shall have been paid in full in cash (or alternative collateral arrangements have been made satisfactory to the parties thereto).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LC Commitment</w:t>
      </w:r>
      <w:r>
        <w:rPr>
          <w:rFonts w:ascii="Arial" w:cs="Arial" w:eastAsia="Arial" w:hAnsi="Arial"/>
          <w:sz w:val="16"/>
          <w:szCs w:val="16"/>
          <w:color w:val="auto"/>
        </w:rPr>
        <w:t>” means, with respect to each Lender, the commitment of such Lender to acquire participations in Performance Letters of Credit (other than</w:t>
      </w:r>
      <w:r>
        <w:rPr>
          <w:rFonts w:ascii="Arial" w:cs="Arial" w:eastAsia="Arial" w:hAnsi="Arial"/>
          <w:sz w:val="16"/>
          <w:szCs w:val="16"/>
          <w:b w:val="1"/>
          <w:bCs w:val="1"/>
          <w:u w:val="single" w:color="auto"/>
          <w:color w:val="0000FF"/>
        </w:rPr>
        <w:t>, for the avoidance of doubt,</w:t>
      </w:r>
      <w:r>
        <w:rPr>
          <w:rFonts w:ascii="Arial" w:cs="Arial" w:eastAsia="Arial" w:hAnsi="Arial"/>
          <w:sz w:val="16"/>
          <w:szCs w:val="16"/>
          <w:color w:val="auto"/>
        </w:rPr>
        <w:t xml:space="preserve"> Revolving </w:t>
      </w:r>
      <w:r>
        <w:rPr>
          <w:rFonts w:ascii="Arial" w:cs="Arial" w:eastAsia="Arial" w:hAnsi="Arial"/>
          <w:sz w:val="16"/>
          <w:szCs w:val="16"/>
          <w:b w:val="1"/>
          <w:bCs w:val="1"/>
          <w:color w:val="FF0000"/>
          <w:strike w:val="1"/>
        </w:rPr>
        <w:t>Performance</w:t>
      </w:r>
      <w:r>
        <w:rPr>
          <w:rFonts w:ascii="Arial" w:cs="Arial" w:eastAsia="Arial" w:hAnsi="Arial"/>
          <w:sz w:val="16"/>
          <w:szCs w:val="16"/>
          <w:color w:val="auto"/>
        </w:rPr>
        <w:t xml:space="preserve"> Letters of Credit) hereunder in an aggregate principal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heading “Performance LC Commitment”, as such amount may be (a) reduced from time to time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and/or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Section 4.12</w:t>
      </w:r>
      <w:r>
        <w:rPr>
          <w:rFonts w:ascii="Arial" w:cs="Arial" w:eastAsia="Arial" w:hAnsi="Arial"/>
          <w:sz w:val="16"/>
          <w:szCs w:val="16"/>
          <w:color w:val="auto"/>
        </w:rPr>
        <w:t xml:space="preserve">, (b) reduced or increased from time to time pursuant to assignments by or to such Lender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or (c) increased from time to time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3.02</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The aggregate Performance LC </w:t>
      </w:r>
      <w:r>
        <w:rPr>
          <w:rFonts w:ascii="Arial" w:cs="Arial" w:eastAsia="Arial" w:hAnsi="Arial"/>
          <w:sz w:val="16"/>
          <w:szCs w:val="16"/>
          <w:b w:val="1"/>
          <w:bCs w:val="1"/>
          <w:color w:val="FF0000"/>
          <w:strike w:val="1"/>
        </w:rPr>
        <w:t>Commitment</w:t>
      </w:r>
      <w:r>
        <w:rPr>
          <w:rFonts w:ascii="Arial" w:cs="Arial" w:eastAsia="Arial" w:hAnsi="Arial"/>
          <w:sz w:val="16"/>
          <w:szCs w:val="16"/>
          <w:b w:val="1"/>
          <w:bCs w:val="1"/>
          <w:u w:val="single" w:color="auto"/>
          <w:color w:val="0000FF"/>
        </w:rPr>
        <w:t>Commitments</w:t>
      </w:r>
      <w:r>
        <w:rPr>
          <w:rFonts w:ascii="Arial" w:cs="Arial" w:eastAsia="Arial" w:hAnsi="Arial"/>
          <w:sz w:val="16"/>
          <w:szCs w:val="16"/>
          <w:b w:val="1"/>
          <w:bCs w:val="1"/>
          <w:color w:val="FF0000"/>
        </w:rPr>
        <w:t xml:space="preserve"> </w:t>
      </w:r>
      <w:r>
        <w:rPr>
          <w:rFonts w:ascii="Arial" w:cs="Arial" w:eastAsia="Arial" w:hAnsi="Arial"/>
          <w:sz w:val="16"/>
          <w:szCs w:val="16"/>
          <w:color w:val="000000"/>
        </w:rPr>
        <w:t>of all the Lenders on the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First</w:t>
      </w:r>
      <w:r>
        <w:rPr>
          <w:rFonts w:ascii="Arial" w:cs="Arial" w:eastAsia="Arial" w:hAnsi="Arial"/>
          <w:sz w:val="16"/>
          <w:szCs w:val="16"/>
          <w:b w:val="1"/>
          <w:bCs w:val="1"/>
          <w:u w:val="single" w:color="auto"/>
          <w:color w:val="0000FF"/>
        </w:rPr>
        <w:t>Fourth</w:t>
      </w:r>
      <w:r>
        <w:rPr>
          <w:rFonts w:ascii="Arial" w:cs="Arial" w:eastAsia="Arial" w:hAnsi="Arial"/>
          <w:sz w:val="16"/>
          <w:szCs w:val="16"/>
          <w:b w:val="1"/>
          <w:bCs w:val="1"/>
          <w:color w:val="FF0000"/>
        </w:rPr>
        <w:t xml:space="preserve"> </w:t>
      </w:r>
      <w:r>
        <w:rPr>
          <w:rFonts w:ascii="Arial" w:cs="Arial" w:eastAsia="Arial" w:hAnsi="Arial"/>
          <w:sz w:val="16"/>
          <w:szCs w:val="16"/>
          <w:color w:val="000000"/>
        </w:rPr>
        <w:t>Amendment Effective Date shall be $</w:t>
      </w:r>
      <w:r>
        <w:rPr>
          <w:rFonts w:ascii="Arial" w:cs="Arial" w:eastAsia="Arial" w:hAnsi="Arial"/>
          <w:sz w:val="16"/>
          <w:szCs w:val="16"/>
          <w:b w:val="1"/>
          <w:bCs w:val="1"/>
          <w:color w:val="FF0000"/>
          <w:strike w:val="1"/>
        </w:rPr>
        <w:t>302,500,000.</w:t>
      </w:r>
      <w:r>
        <w:rPr>
          <w:rFonts w:ascii="Arial" w:cs="Arial" w:eastAsia="Arial" w:hAnsi="Arial"/>
          <w:sz w:val="16"/>
          <w:szCs w:val="16"/>
          <w:b w:val="1"/>
          <w:bCs w:val="1"/>
          <w:u w:val="single" w:color="auto"/>
          <w:color w:val="0000FF"/>
        </w:rPr>
        <w:t>250,000,000. The reference to</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“Performance LC Facility” on the cover page hereof is a reference to the facility in respect of Performance LC Commitments.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LCs</w:t>
      </w:r>
      <w:r>
        <w:rPr>
          <w:rFonts w:ascii="Arial" w:cs="Arial" w:eastAsia="Arial" w:hAnsi="Arial"/>
          <w:sz w:val="17"/>
          <w:szCs w:val="17"/>
          <w:color w:val="auto"/>
        </w:rPr>
        <w:t>” means bid, performance or other letters of credit or bank guarantees (in each case other than Financial Standby LCs).</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Letters of Credit</w:t>
      </w:r>
      <w:r>
        <w:rPr>
          <w:rFonts w:ascii="Arial" w:cs="Arial" w:eastAsia="Arial" w:hAnsi="Arial"/>
          <w:sz w:val="17"/>
          <w:szCs w:val="17"/>
          <w:color w:val="auto"/>
        </w:rPr>
        <w:t xml:space="preserve">” means Letters of Credit constituting Performance LCs;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references herein to “Performance Letters of Credit” shall exclude Revolving </w:t>
      </w:r>
      <w:r>
        <w:rPr>
          <w:rFonts w:ascii="Arial" w:cs="Arial" w:eastAsia="Arial" w:hAnsi="Arial"/>
          <w:sz w:val="17"/>
          <w:szCs w:val="17"/>
          <w:b w:val="1"/>
          <w:bCs w:val="1"/>
          <w:color w:val="FF0000"/>
          <w:strike w:val="1"/>
        </w:rPr>
        <w:t>Performance</w:t>
      </w:r>
      <w:r>
        <w:rPr>
          <w:rFonts w:ascii="Arial" w:cs="Arial" w:eastAsia="Arial" w:hAnsi="Arial"/>
          <w:sz w:val="17"/>
          <w:szCs w:val="17"/>
          <w:color w:val="auto"/>
        </w:rPr>
        <w:t xml:space="preserve"> Letters of Credit unless otherwise specified herein or the context requires otherwise.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has the meaning assigned thereto in the definition of “Term SOFR”.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Arial" w:cs="Arial" w:eastAsia="Arial" w:hAnsi="Arial"/>
          <w:sz w:val="16"/>
          <w:szCs w:val="16"/>
          <w:u w:val="single" w:color="auto"/>
          <w:color w:val="auto"/>
        </w:rPr>
        <w:t>Section 9.03</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(b) all actions required to be taken with respect to such acquired or newly formed Subsidiary under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have been taken or will be taken within the time periods set forth therein</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(c) such Acquisition involves a merger, consolidation or amalgamation of Parent or a Restricted Subsidiary with any other Person, such Acquisition is permitted under </w:t>
      </w:r>
      <w:r>
        <w:rPr>
          <w:rFonts w:ascii="Arial" w:cs="Arial" w:eastAsia="Arial" w:hAnsi="Arial"/>
          <w:sz w:val="16"/>
          <w:szCs w:val="16"/>
          <w:u w:val="single" w:color="auto"/>
          <w:color w:val="auto"/>
        </w:rPr>
        <w:t>Section 9.02</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(d) in the case of any Acquisition made by the Restricted Subsidiaries that are not Wholly-Owned Subsidiaries and Restricted Subsidiaries that are not Obligors (including Wholly-Owned Subsidiaries), </w:t>
      </w:r>
      <w:r>
        <w:rPr>
          <w:rFonts w:ascii="Arial" w:cs="Arial" w:eastAsia="Arial" w:hAnsi="Arial"/>
          <w:sz w:val="16"/>
          <w:szCs w:val="16"/>
          <w:b w:val="1"/>
          <w:bCs w:val="1"/>
          <w:u w:val="single" w:color="auto"/>
          <w:color w:val="0000FF"/>
        </w:rPr>
        <w:t>either (i)</w:t>
      </w:r>
      <w:r>
        <w:rPr>
          <w:rFonts w:ascii="Arial" w:cs="Arial" w:eastAsia="Arial" w:hAnsi="Arial"/>
          <w:sz w:val="16"/>
          <w:szCs w:val="16"/>
          <w:color w:val="auto"/>
        </w:rPr>
        <w:t xml:space="preserve"> the aggregate consideration paid in respect of such Acquisition, when taken together with the aggregate consideration paid in respect of all other Acquisitions consummated by such Persons since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auto"/>
        </w:rPr>
        <w:t xml:space="preserve"> Effective Date </w:t>
      </w:r>
      <w:r>
        <w:rPr>
          <w:rFonts w:ascii="Arial" w:cs="Arial" w:eastAsia="Arial" w:hAnsi="Arial"/>
          <w:sz w:val="16"/>
          <w:szCs w:val="16"/>
          <w:b w:val="1"/>
          <w:bCs w:val="1"/>
          <w:u w:val="single" w:color="auto"/>
          <w:color w:val="0000FF"/>
        </w:rPr>
        <w:t>(other than pursuant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to clause (d)(ii) below)</w:t>
      </w:r>
      <w:r>
        <w:rPr>
          <w:rFonts w:ascii="Arial" w:cs="Arial" w:eastAsia="Arial" w:hAnsi="Arial"/>
          <w:sz w:val="16"/>
          <w:szCs w:val="16"/>
          <w:color w:val="000000"/>
        </w:rPr>
        <w:t>, does not exceed at any date of determination, an amount equal to the sum of (</w:t>
      </w:r>
      <w:r>
        <w:rPr>
          <w:rFonts w:ascii="Arial" w:cs="Arial" w:eastAsia="Arial" w:hAnsi="Arial"/>
          <w:sz w:val="16"/>
          <w:szCs w:val="16"/>
          <w:b w:val="1"/>
          <w:bCs w:val="1"/>
          <w:color w:val="FF0000"/>
          <w:strike w:val="1"/>
        </w:rPr>
        <w:t>i</w:t>
      </w:r>
      <w:r>
        <w:rPr>
          <w:rFonts w:ascii="Arial" w:cs="Arial" w:eastAsia="Arial" w:hAnsi="Arial"/>
          <w:sz w:val="16"/>
          <w:szCs w:val="16"/>
          <w:b w:val="1"/>
          <w:bCs w:val="1"/>
          <w:u w:val="single" w:color="auto"/>
          <w:color w:val="0000FF"/>
        </w:rPr>
        <w:t>A</w:t>
      </w:r>
      <w:r>
        <w:rPr>
          <w:rFonts w:ascii="Arial" w:cs="Arial" w:eastAsia="Arial" w:hAnsi="Arial"/>
          <w:sz w:val="16"/>
          <w:szCs w:val="16"/>
          <w:color w:val="000000"/>
        </w:rPr>
        <w:t>) $200,000,000 plus (</w:t>
      </w:r>
      <w:r>
        <w:rPr>
          <w:rFonts w:ascii="Arial" w:cs="Arial" w:eastAsia="Arial" w:hAnsi="Arial"/>
          <w:sz w:val="16"/>
          <w:szCs w:val="16"/>
          <w:b w:val="1"/>
          <w:bCs w:val="1"/>
          <w:color w:val="FF0000"/>
          <w:strike w:val="1"/>
        </w:rPr>
        <w:t>ii</w:t>
      </w:r>
      <w:r>
        <w:rPr>
          <w:rFonts w:ascii="Arial" w:cs="Arial" w:eastAsia="Arial" w:hAnsi="Arial"/>
          <w:sz w:val="16"/>
          <w:szCs w:val="16"/>
          <w:b w:val="1"/>
          <w:bCs w:val="1"/>
          <w:u w:val="single" w:color="auto"/>
          <w:color w:val="0000FF"/>
        </w:rPr>
        <w:t>B</w:t>
      </w:r>
      <w:r>
        <w:rPr>
          <w:rFonts w:ascii="Arial" w:cs="Arial" w:eastAsia="Arial" w:hAnsi="Arial"/>
          <w:sz w:val="16"/>
          <w:szCs w:val="16"/>
          <w:color w:val="000000"/>
        </w:rPr>
        <w:t>) the amount of net cash</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6"/>
          <w:szCs w:val="16"/>
          <w:u w:val="single" w:color="auto"/>
          <w:color w:val="000000"/>
        </w:rPr>
        <w:t>clause (e)(</w:t>
      </w:r>
      <w:r>
        <w:rPr>
          <w:rFonts w:ascii="Arial" w:cs="Arial" w:eastAsia="Arial" w:hAnsi="Arial"/>
          <w:sz w:val="16"/>
          <w:szCs w:val="16"/>
          <w:b w:val="1"/>
          <w:bCs w:val="1"/>
          <w:u w:val="single" w:color="auto"/>
          <w:color w:val="FF0000"/>
          <w:strike w:val="1"/>
        </w:rPr>
        <w:t>ii</w:t>
      </w:r>
      <w:r>
        <w:rPr>
          <w:rFonts w:ascii="Arial" w:cs="Arial" w:eastAsia="Arial" w:hAnsi="Arial"/>
          <w:sz w:val="16"/>
          <w:szCs w:val="16"/>
          <w:b w:val="1"/>
          <w:bCs w:val="1"/>
          <w:u w:val="single" w:color="auto"/>
          <w:color w:val="0000FF"/>
        </w:rPr>
        <w:t>i)(B</w:t>
      </w:r>
      <w:r>
        <w:rPr>
          <w:rFonts w:ascii="Arial" w:cs="Arial" w:eastAsia="Arial" w:hAnsi="Arial"/>
          <w:sz w:val="16"/>
          <w:szCs w:val="16"/>
          <w:u w:val="single" w:color="auto"/>
          <w:color w:val="000000"/>
        </w:rPr>
        <w:t>)</w:t>
      </w:r>
      <w:r>
        <w:rPr>
          <w:rFonts w:ascii="Arial" w:cs="Arial" w:eastAsia="Arial" w:hAnsi="Arial"/>
          <w:sz w:val="16"/>
          <w:szCs w:val="16"/>
          <w:color w:val="000000"/>
        </w:rPr>
        <w:t xml:space="preserve"> below </w:t>
      </w:r>
      <w:r>
        <w:rPr>
          <w:rFonts w:ascii="Arial" w:cs="Arial" w:eastAsia="Arial" w:hAnsi="Arial"/>
          <w:sz w:val="16"/>
          <w:szCs w:val="16"/>
          <w:b w:val="1"/>
          <w:bCs w:val="1"/>
          <w:u w:val="single" w:color="auto"/>
          <w:color w:val="0000FF"/>
        </w:rPr>
        <w:t>or (ii) at the time of such Acquisition and immediately after giving effect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thereto, (A) the Consolidated Net Leverage Ratio (calculated on a pro forma basis as of the last day of the most recently ended period for which financial statements are available as if such Acquisition had been made on the first day of such period) shall not exceed 2.00 to 1.00 and (B) the Aggregate Liquidity is at least $400,000,000, in which case there shall be no limit on the aggregate consideration paid in respect of such Acquisition;</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(e) in the case of any Acquisition made by Obligors,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either (i)</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aggregate consideration paid in respect of such Acquisition, when</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taken together with the aggregate consideration paid in respect of all other Acquisitions consummated by such Persons since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000000"/>
        </w:rPr>
        <w:t xml:space="preserve"> Effective Date </w:t>
      </w:r>
      <w:r>
        <w:rPr>
          <w:rFonts w:ascii="Arial" w:cs="Arial" w:eastAsia="Arial" w:hAnsi="Arial"/>
          <w:sz w:val="16"/>
          <w:szCs w:val="16"/>
          <w:b w:val="1"/>
          <w:bCs w:val="1"/>
          <w:u w:val="single" w:color="auto"/>
          <w:color w:val="0000FF"/>
        </w:rPr>
        <w:t>(other than pursuant to clause (e)(ii) below)</w:t>
      </w:r>
      <w:r>
        <w:rPr>
          <w:rFonts w:ascii="Arial" w:cs="Arial" w:eastAsia="Arial" w:hAnsi="Arial"/>
          <w:sz w:val="16"/>
          <w:szCs w:val="16"/>
          <w:color w:val="000000"/>
        </w:rPr>
        <w:t>, does not exceed, at any date of determination, an amount equal to the sum of (</w:t>
      </w:r>
      <w:r>
        <w:rPr>
          <w:rFonts w:ascii="Arial" w:cs="Arial" w:eastAsia="Arial" w:hAnsi="Arial"/>
          <w:sz w:val="16"/>
          <w:szCs w:val="16"/>
          <w:b w:val="1"/>
          <w:bCs w:val="1"/>
          <w:color w:val="FF0000"/>
          <w:strike w:val="1"/>
        </w:rPr>
        <w:t>i</w:t>
      </w:r>
      <w:r>
        <w:rPr>
          <w:rFonts w:ascii="Arial" w:cs="Arial" w:eastAsia="Arial" w:hAnsi="Arial"/>
          <w:sz w:val="16"/>
          <w:szCs w:val="16"/>
          <w:b w:val="1"/>
          <w:bCs w:val="1"/>
          <w:u w:val="single" w:color="auto"/>
          <w:color w:val="0000FF"/>
        </w:rPr>
        <w:t>A</w:t>
      </w:r>
      <w:r>
        <w:rPr>
          <w:rFonts w:ascii="Arial" w:cs="Arial" w:eastAsia="Arial" w:hAnsi="Arial"/>
          <w:sz w:val="16"/>
          <w:szCs w:val="16"/>
          <w:color w:val="000000"/>
        </w:rPr>
        <w:t xml:space="preserve">) $600,000,000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ii</w:t>
      </w:r>
      <w:r>
        <w:rPr>
          <w:rFonts w:ascii="Arial" w:cs="Arial" w:eastAsia="Arial" w:hAnsi="Arial"/>
          <w:sz w:val="16"/>
          <w:szCs w:val="16"/>
          <w:b w:val="1"/>
          <w:bCs w:val="1"/>
          <w:u w:val="single" w:color="auto"/>
          <w:color w:val="0000FF"/>
        </w:rPr>
        <w:t>B</w:t>
      </w:r>
      <w:r>
        <w:rPr>
          <w:rFonts w:ascii="Arial" w:cs="Arial" w:eastAsia="Arial" w:hAnsi="Arial"/>
          <w:sz w:val="16"/>
          <w:szCs w:val="16"/>
          <w:color w:val="000000"/>
        </w:rPr>
        <w:t xml:space="preserve">)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Arial" w:cs="Arial" w:eastAsia="Arial" w:hAnsi="Arial"/>
          <w:sz w:val="16"/>
          <w:szCs w:val="16"/>
          <w:u w:val="single" w:color="auto"/>
          <w:color w:val="000000"/>
        </w:rPr>
        <w:t>clause (d)(</w:t>
      </w:r>
      <w:r>
        <w:rPr>
          <w:rFonts w:ascii="Arial" w:cs="Arial" w:eastAsia="Arial" w:hAnsi="Arial"/>
          <w:sz w:val="16"/>
          <w:szCs w:val="16"/>
          <w:b w:val="1"/>
          <w:bCs w:val="1"/>
          <w:u w:val="single" w:color="auto"/>
          <w:color w:val="FF0000"/>
          <w:strike w:val="1"/>
        </w:rPr>
        <w:t>ii</w:t>
      </w:r>
      <w:r>
        <w:rPr>
          <w:rFonts w:ascii="Arial" w:cs="Arial" w:eastAsia="Arial" w:hAnsi="Arial"/>
          <w:sz w:val="16"/>
          <w:szCs w:val="16"/>
          <w:b w:val="1"/>
          <w:bCs w:val="1"/>
          <w:u w:val="single" w:color="auto"/>
          <w:color w:val="0000FF"/>
        </w:rPr>
        <w:t>i)(B</w:t>
      </w:r>
      <w:r>
        <w:rPr>
          <w:rFonts w:ascii="Arial" w:cs="Arial" w:eastAsia="Arial" w:hAnsi="Arial"/>
          <w:sz w:val="16"/>
          <w:szCs w:val="16"/>
          <w:u w:val="single" w:color="auto"/>
          <w:color w:val="000000"/>
        </w:rPr>
        <w:t>)</w:t>
      </w:r>
      <w:r>
        <w:rPr>
          <w:rFonts w:ascii="Arial" w:cs="Arial" w:eastAsia="Arial" w:hAnsi="Arial"/>
          <w:sz w:val="16"/>
          <w:szCs w:val="16"/>
          <w:color w:val="000000"/>
        </w:rPr>
        <w:t xml:space="preserve"> above</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 (ii) at the time of such</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0000FF"/>
        </w:rPr>
        <w:t>Acquisition and immediately after giving effect thereto, (x) the Consolidated Net Leverage Ratio (calculated on a pro forma basis as of the last day of the most recently ended period for which financial statements are available as if such Acquisition had been made on the first day of such period) shall not exceed 2.50 to 1.00 and (y) the Aggregate Liquidity is at least $300,000,000, in which case there shall be no limit on the aggregate consideration paid in respect of such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0000FF"/>
        </w:rPr>
        <w:t>“Permitted Bond Hedge Transaction” means any call or capped call option (or substantively equivalent derivative transaction) relating to the Parent’s ordinary shares (or other securities or property following a merger event, reclassification or other change of the ordinary shares of the Parent) purchased by the Parent and/or any Restricted Subsidiary in connection with the issuance of any Permitted Convertible Indebtedness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provided that the terms, conditions and covenants of each such transaction shall be such as are reasonable and customary for transactions of such type (as determined by the Parent in good faith and in their reasonable discretion).</w:t>
      </w:r>
    </w:p>
    <w:p>
      <w:pPr>
        <w:spacing w:after="0" w:line="16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u w:val="single" w:color="auto"/>
          <w:color w:val="0000FF"/>
        </w:rPr>
        <w:t>“Permitted Convertible Indebtedness” means senior, unsecured Indebtedness of the Parent and/or any Restricted Subsidiary that is convertible into or exchangeable for ordinary shares of the Parent (or other securities or property following a merger event, reclassification or other change of the ordinary shares of the Parent), cash or a combination thereof (such amount of cash determined by reference to the price of the Parent’s ordinary shares or such other securities or property), and cash in lieu of fractional ordinary shares of the Parent.</w:t>
      </w:r>
    </w:p>
    <w:p>
      <w:pPr>
        <w:spacing w:after="0" w:line="15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Customer Notes Disposition</w:t>
      </w:r>
      <w:r>
        <w:rPr>
          <w:rFonts w:ascii="Arial" w:cs="Arial" w:eastAsia="Arial" w:hAnsi="Arial"/>
          <w:sz w:val="16"/>
          <w:szCs w:val="16"/>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ESG Investments</w:t>
      </w:r>
      <w:r>
        <w:rPr>
          <w:rFonts w:ascii="Arial" w:cs="Arial" w:eastAsia="Arial" w:hAnsi="Arial"/>
          <w:sz w:val="16"/>
          <w:szCs w:val="16"/>
          <w:color w:val="auto"/>
        </w:rPr>
        <w:t>” means businesses, operations, equipment or activities reasonably relating to (a) energy transition (including CO2, ammonia and hydrogen), renewable energy (including wind, solar and geothermal), (b) the generating, marketing and storing of electricity, detection, quantification, remediation and sequestration of green-house gas emissions or (c) novel techniques to aid in the production of rare earth minerals.</w:t>
      </w:r>
    </w:p>
    <w:p>
      <w:pPr>
        <w:spacing w:after="0" w:line="14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Existing Indebtedness</w:t>
      </w:r>
      <w:r>
        <w:rPr>
          <w:rFonts w:ascii="Arial" w:cs="Arial" w:eastAsia="Arial" w:hAnsi="Arial"/>
          <w:sz w:val="18"/>
          <w:szCs w:val="18"/>
          <w:color w:val="auto"/>
        </w:rPr>
        <w:t xml:space="preserve">” means the Indebtedness of Parent and its Restricted Subsidiaries existing as of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and identified on </w:t>
      </w:r>
      <w:r>
        <w:rPr>
          <w:rFonts w:ascii="Arial" w:cs="Arial" w:eastAsia="Arial" w:hAnsi="Arial"/>
          <w:sz w:val="18"/>
          <w:szCs w:val="18"/>
          <w:u w:val="single" w:color="auto"/>
          <w:color w:val="auto"/>
        </w:rPr>
        <w:t>Schedule 9.01</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Customers</w:t>
      </w:r>
      <w:r>
        <w:rPr>
          <w:rFonts w:ascii="Arial" w:cs="Arial" w:eastAsia="Arial" w:hAnsi="Arial"/>
          <w:sz w:val="18"/>
          <w:szCs w:val="18"/>
          <w:color w:val="auto"/>
        </w:rPr>
        <w:t>” means the Persons identified to the Administrative Agent in writing on or prior to the Effective Date, as such Persons may be updated from time to time by Parent with the approval of the Administrative Agent, such approval not to be unreasonably withheld, conditioned or delayed.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 Transaction Documents</w:t>
      </w:r>
      <w:r>
        <w:rPr>
          <w:rFonts w:ascii="Arial" w:cs="Arial" w:eastAsia="Arial" w:hAnsi="Arial"/>
          <w:sz w:val="18"/>
          <w:szCs w:val="18"/>
          <w:color w:val="auto"/>
        </w:rPr>
        <w:t>” means each of the documents and agreements entered into in connection with any Permitted Factoring Transaction.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Factoring Transactions</w:t>
      </w:r>
      <w:r>
        <w:rPr>
          <w:rFonts w:ascii="Arial" w:cs="Arial" w:eastAsia="Arial" w:hAnsi="Arial"/>
          <w:sz w:val="17"/>
          <w:szCs w:val="17"/>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face amount of all receivables sold or transferred pursuant to Permitted Factoring Transactions shall not exceed $</w:t>
      </w:r>
      <w:r>
        <w:rPr>
          <w:rFonts w:ascii="Arial" w:cs="Arial" w:eastAsia="Arial" w:hAnsi="Arial"/>
          <w:sz w:val="17"/>
          <w:szCs w:val="17"/>
          <w:b w:val="1"/>
          <w:bCs w:val="1"/>
          <w:color w:val="FF0000"/>
          <w:strike w:val="1"/>
        </w:rPr>
        <w:t>100,000,000</w:t>
      </w:r>
      <w:r>
        <w:rPr>
          <w:rFonts w:ascii="Arial" w:cs="Arial" w:eastAsia="Arial" w:hAnsi="Arial"/>
          <w:sz w:val="17"/>
          <w:szCs w:val="17"/>
          <w:b w:val="1"/>
          <w:bCs w:val="1"/>
          <w:u w:val="single" w:color="auto"/>
          <w:color w:val="0000FF"/>
        </w:rPr>
        <w:t>150,000,000</w:t>
      </w:r>
      <w:r>
        <w:rPr>
          <w:rFonts w:ascii="Arial" w:cs="Arial" w:eastAsia="Arial" w:hAnsi="Arial"/>
          <w:sz w:val="17"/>
          <w:szCs w:val="17"/>
          <w:color w:val="auto"/>
        </w:rPr>
        <w:t xml:space="preserve">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Permitted Holders</w:t>
      </w:r>
      <w:r>
        <w:rPr>
          <w:rFonts w:ascii="Arial" w:cs="Arial" w:eastAsia="Arial" w:hAnsi="Arial"/>
          <w:sz w:val="18"/>
          <w:szCs w:val="18"/>
          <w:b w:val="1"/>
          <w:bCs w:val="1"/>
          <w:color w:val="FF0000"/>
          <w:strike w:val="1"/>
        </w:rPr>
        <w:t>” means Capital Research Management Company and its affiliates, on behalf of certain managed funds and accounts, and Franklin Advisers, Inc., as investment manager on behalf of certain funds and accounts.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Intercompany Specified Transactions</w:t>
      </w:r>
      <w:r>
        <w:rPr>
          <w:rFonts w:ascii="Arial" w:cs="Arial" w:eastAsia="Arial" w:hAnsi="Arial"/>
          <w:sz w:val="18"/>
          <w:szCs w:val="18"/>
          <w:color w:val="auto"/>
        </w:rPr>
        <w:t>” 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Intercompany Treasury Management Transactions</w:t>
      </w:r>
      <w:r>
        <w:rPr>
          <w:rFonts w:ascii="Arial" w:cs="Arial" w:eastAsia="Arial" w:hAnsi="Arial"/>
          <w:sz w:val="18"/>
          <w:szCs w:val="18"/>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without duplication: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Liens for Taxes or unpaid utilities (i) not yet delinquent or which can thereafter be paid without penalty, (ii) which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Taxes referenced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            pledges or deposits made in compliance with, or deemed trusts arising in connection with, workers’ compensation, unemployment insurance, old age benefits, pension, employment or other social security laws or regulations;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rights under retention of title arrangements in favor of suppliers incurred in the ordinary course of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(g)            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73" w:lineRule="auto"/>
        <w:rPr>
          <w:sz w:val="20"/>
          <w:szCs w:val="20"/>
          <w:color w:val="auto"/>
        </w:rPr>
      </w:pPr>
      <w:r>
        <w:rPr>
          <w:rFonts w:ascii="Arial" w:cs="Arial" w:eastAsia="Arial" w:hAnsi="Arial"/>
          <w:sz w:val="17"/>
          <w:szCs w:val="17"/>
          <w:color w:val="auto"/>
        </w:rPr>
        <w:t xml:space="preserve">(h)            Liens on fixed or capital assets acquired, constructed or improved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permitted by </w:t>
      </w:r>
      <w:r>
        <w:rPr>
          <w:rFonts w:ascii="Arial" w:cs="Arial" w:eastAsia="Arial" w:hAnsi="Arial"/>
          <w:sz w:val="17"/>
          <w:szCs w:val="17"/>
          <w:u w:val="single" w:color="auto"/>
          <w:color w:val="auto"/>
        </w:rPr>
        <w:t>Section 9.01(k)</w:t>
      </w:r>
      <w:r>
        <w:rPr>
          <w:rFonts w:ascii="Arial" w:cs="Arial" w:eastAsia="Arial" w:hAnsi="Arial"/>
          <w:sz w:val="17"/>
          <w:szCs w:val="17"/>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            (i)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incurred under this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Arial" w:cs="Arial" w:eastAsia="Arial" w:hAnsi="Arial"/>
          <w:sz w:val="18"/>
          <w:szCs w:val="18"/>
          <w:u w:val="single" w:color="auto"/>
          <w:color w:val="auto"/>
        </w:rPr>
        <w:t>sub-clause (i)</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(j)            leases or subleases granted to others not interfering in any material respect with the business of Parent or any of its Restricted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            Liens to secure obligations arising from statutory or regulatory requirements;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            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            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Arial" w:cs="Arial" w:eastAsia="Arial" w:hAnsi="Arial"/>
          <w:sz w:val="18"/>
          <w:szCs w:val="18"/>
          <w:i w:val="1"/>
          <w:iCs w:val="1"/>
          <w:color w:val="auto"/>
        </w:rPr>
        <w:t>Allgemeine Geschäftsbedingungen der Banken oder Sparkassen</w:t>
      </w:r>
      <w:r>
        <w:rPr>
          <w:rFonts w:ascii="Arial" w:cs="Arial" w:eastAsia="Arial" w:hAnsi="Arial"/>
          <w:sz w:val="18"/>
          <w:szCs w:val="18"/>
          <w:color w:val="auto"/>
        </w:rPr>
        <w:t>) with whom any Obligor maintains a banking relationship in the ordinary course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            [reserved];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            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firstLine="648"/>
        <w:spacing w:after="0" w:line="291" w:lineRule="auto"/>
        <w:rPr>
          <w:sz w:val="20"/>
          <w:szCs w:val="20"/>
          <w:color w:val="auto"/>
        </w:rPr>
      </w:pPr>
      <w:r>
        <w:rPr>
          <w:rFonts w:ascii="Arial" w:cs="Arial" w:eastAsia="Arial" w:hAnsi="Arial"/>
          <w:sz w:val="16"/>
          <w:szCs w:val="16"/>
          <w:color w:val="auto"/>
        </w:rPr>
        <w:t>(p)            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firstLine="8"/>
        <w:spacing w:after="0" w:line="260"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Lien does not extend to any additional assets (other than improvements and accessions to, and replacements of, the assets originally subject to such Lien); and</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(q)            any Lien created or subsisting to secure any obligations incurred in order to comply with the requirements of section 8a of the German Part-Time Retirement Act (</w:t>
      </w:r>
      <w:r>
        <w:rPr>
          <w:rFonts w:ascii="Arial" w:cs="Arial" w:eastAsia="Arial" w:hAnsi="Arial"/>
          <w:sz w:val="16"/>
          <w:szCs w:val="16"/>
          <w:i w:val="1"/>
          <w:iCs w:val="1"/>
          <w:color w:val="auto"/>
        </w:rPr>
        <w:t>Altersteilzeitgesetz</w:t>
      </w:r>
      <w:r>
        <w:rPr>
          <w:rFonts w:ascii="Arial" w:cs="Arial" w:eastAsia="Arial" w:hAnsi="Arial"/>
          <w:sz w:val="16"/>
          <w:szCs w:val="16"/>
          <w:color w:val="auto"/>
        </w:rPr>
        <w:t>) and/or section 7e of the Fourth Book of the German Social Security Code (</w:t>
      </w:r>
      <w:r>
        <w:rPr>
          <w:rFonts w:ascii="Arial" w:cs="Arial" w:eastAsia="Arial" w:hAnsi="Arial"/>
          <w:sz w:val="16"/>
          <w:szCs w:val="16"/>
          <w:i w:val="1"/>
          <w:iCs w:val="1"/>
          <w:color w:val="auto"/>
        </w:rPr>
        <w:t>Sozialgesetzbuch IV</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means Indebtedness (for purposes of this definition, “</w:t>
      </w:r>
      <w:r>
        <w:rPr>
          <w:rFonts w:ascii="Arial" w:cs="Arial" w:eastAsia="Arial" w:hAnsi="Arial"/>
          <w:sz w:val="17"/>
          <w:szCs w:val="17"/>
          <w:u w:val="single" w:color="auto"/>
          <w:color w:val="auto"/>
        </w:rPr>
        <w:t>New Indebtedness</w:t>
      </w:r>
      <w:r>
        <w:rPr>
          <w:rFonts w:ascii="Arial" w:cs="Arial" w:eastAsia="Arial" w:hAnsi="Arial"/>
          <w:sz w:val="17"/>
          <w:szCs w:val="17"/>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7"/>
          <w:szCs w:val="17"/>
          <w:u w:val="single" w:color="auto"/>
          <w:color w:val="auto"/>
        </w:rPr>
        <w:t>Refinanced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Refinanced Indebtedness is of the type described in </w:t>
      </w:r>
      <w:r>
        <w:rPr>
          <w:rFonts w:ascii="Arial" w:cs="Arial" w:eastAsia="Arial" w:hAnsi="Arial"/>
          <w:sz w:val="17"/>
          <w:szCs w:val="17"/>
          <w:u w:val="single" w:color="auto"/>
          <w:color w:val="auto"/>
        </w:rPr>
        <w:t>Section 9.01(b)</w:t>
      </w:r>
      <w:r>
        <w:rPr>
          <w:rFonts w:ascii="Arial" w:cs="Arial" w:eastAsia="Arial" w:hAnsi="Arial"/>
          <w:sz w:val="17"/>
          <w:szCs w:val="17"/>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0000FF"/>
        </w:rPr>
        <w:t>“Permitted Warrant Transaction” means any call option, warrant or right to purchase (or substantively equivalent derivative transaction) relating to the Parent’s ordinary shares (or other securities or property following a merger event, reclassification or other change of the ordinary shares of the Parent) sold by the Parent substantially concurrently with any purchase by the Parent and/or any Restricted Subsidiary of a Permitted Bond Hedge Transaction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provided that the terms, conditions and covenants of each such transaction shall be such as are reasonable and customary for transactions of such type (as determined by the Parent in good faith and in their reasonable discretion).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7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w:t>
      </w:r>
    </w:p>
    <w:p>
      <w:pPr>
        <w:jc w:val="both"/>
        <w:ind w:firstLine="8"/>
        <w:spacing w:after="0" w:line="277"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Agreements</w:t>
      </w:r>
      <w:r>
        <w:rPr>
          <w:rFonts w:ascii="Arial" w:cs="Arial" w:eastAsia="Arial" w:hAnsi="Arial"/>
          <w:sz w:val="16"/>
          <w:szCs w:val="16"/>
          <w:color w:val="auto"/>
        </w:rPr>
        <w:t>” means, collectively, any pledge agreement, charge, debenture, equitable mortgage over shares, equity interests, other assets or other similar agreement or instrument in form and substance satisfactory to the Administrative Agent in favor of the Administrative Agent or any agent or sub-agent of the Administrative Agent for the benefit of itself (or any agent or sub-agent of the Administrative Agent) and the other Secured Parties, in any such case, pursuant to which any Person grants Liens on any Capital Stock or other assets owned by such Person to secure the Secured Obligations.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Subsidiary</w:t>
      </w:r>
      <w:r>
        <w:rPr>
          <w:rFonts w:ascii="Arial" w:cs="Arial" w:eastAsia="Arial" w:hAnsi="Arial"/>
          <w:sz w:val="18"/>
          <w:szCs w:val="18"/>
          <w:color w:val="auto"/>
        </w:rPr>
        <w:t>” means a direct Subsidiary of an Obligor that is organized in a Specified Jurisdiction and is not itself an Obligor.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Personal Property Securities Act 2009</w:t>
      </w:r>
      <w:r>
        <w:rPr>
          <w:rFonts w:ascii="Arial" w:cs="Arial" w:eastAsia="Arial" w:hAnsi="Arial"/>
          <w:sz w:val="18"/>
          <w:szCs w:val="18"/>
          <w:color w:val="auto"/>
        </w:rPr>
        <w:t xml:space="preserve"> (Cth) of Australia.</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Preapproved Specific Additional Lender</w:t>
      </w:r>
      <w:r>
        <w:rPr>
          <w:rFonts w:ascii="Arial" w:cs="Arial" w:eastAsia="Arial" w:hAnsi="Arial"/>
          <w:sz w:val="18"/>
          <w:szCs w:val="18"/>
          <w:b w:val="1"/>
          <w:bCs w:val="1"/>
          <w:color w:val="FF0000"/>
          <w:strike w:val="1"/>
        </w:rPr>
        <w:t>” means the Person identified in writing as a “Specific Additional Lender” by the Borrowers and disclosed in writing to the Issuing Banks on October 13, 2022.</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Officer</w:t>
      </w:r>
      <w:r>
        <w:rPr>
          <w:rFonts w:ascii="Arial" w:cs="Arial" w:eastAsia="Arial" w:hAnsi="Arial"/>
          <w:sz w:val="18"/>
          <w:szCs w:val="18"/>
          <w:color w:val="auto"/>
        </w:rPr>
        <w:t>” means, with respect to any Obligor, any director, any manager, the chief financial officer, the treasurer, the assistant treasurer or the principal accounting officer of such Obligor.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Projections</w:t>
      </w:r>
      <w:r>
        <w:rPr>
          <w:rFonts w:ascii="Arial" w:cs="Arial" w:eastAsia="Arial" w:hAnsi="Arial"/>
          <w:sz w:val="17"/>
          <w:szCs w:val="17"/>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and refers to any Capital Stock issued by Parent (and not by one or more of its Subsidiaries) that is not a Disqualified Capital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RBSL</w:t>
      </w:r>
      <w:r>
        <w:rPr>
          <w:rFonts w:ascii="Arial" w:cs="Arial" w:eastAsia="Arial" w:hAnsi="Arial"/>
          <w:sz w:val="18"/>
          <w:szCs w:val="18"/>
          <w:color w:val="auto"/>
        </w:rPr>
        <w:t>” means Refinitiv Benchmarks Services (UK) Limited.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Deliverables</w:t>
      </w:r>
      <w:r>
        <w:rPr>
          <w:rFonts w:ascii="Arial" w:cs="Arial" w:eastAsia="Arial" w:hAnsi="Arial"/>
          <w:sz w:val="16"/>
          <w:szCs w:val="16"/>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Bank, as applicable.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means, with respect to any Indebtedness, the redemption, purchase, defeasance, prepayment or other acquisition or retirement for value of such Indebtedness. The term “</w:t>
      </w:r>
      <w:r>
        <w:rPr>
          <w:rFonts w:ascii="Arial" w:cs="Arial" w:eastAsia="Arial" w:hAnsi="Arial"/>
          <w:sz w:val="18"/>
          <w:szCs w:val="18"/>
          <w:u w:val="single" w:color="auto"/>
          <w:color w:val="auto"/>
        </w:rPr>
        <w:t>Redeem</w:t>
      </w:r>
      <w:r>
        <w:rPr>
          <w:rFonts w:ascii="Arial" w:cs="Arial" w:eastAsia="Arial" w:hAnsi="Arial"/>
          <w:sz w:val="18"/>
          <w:szCs w:val="18"/>
          <w:color w:val="auto"/>
        </w:rPr>
        <w:t>” has a meaning correlative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63" w:lineRule="auto"/>
        <w:rPr>
          <w:sz w:val="20"/>
          <w:szCs w:val="20"/>
          <w:color w:val="auto"/>
        </w:rPr>
      </w:pPr>
      <w:r>
        <w:rPr>
          <w:rFonts w:ascii="Arial" w:cs="Arial" w:eastAsia="Arial" w:hAnsi="Arial"/>
          <w:sz w:val="18"/>
          <w:szCs w:val="18"/>
          <w:color w:val="auto"/>
        </w:rPr>
        <w:t>(b)            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            the formation of a Person that becomes, as part of the transaction or series of related transactions, the direct or indirect owner of 100% of the voting shares of the Weatherford Parent Company (the “</w:t>
      </w:r>
      <w:r>
        <w:rPr>
          <w:rFonts w:ascii="Arial" w:cs="Arial" w:eastAsia="Arial" w:hAnsi="Arial"/>
          <w:sz w:val="18"/>
          <w:szCs w:val="18"/>
          <w:u w:val="single" w:color="auto"/>
          <w:color w:val="auto"/>
        </w:rPr>
        <w:t>New Weatherford Parent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(x)            in the case of any action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(y)            in the case of any action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the entity that constituted the Weatherford Parent Company immediately prior thereto (but disregarding for this purpose any change in its jurisdiction of organization); 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(z)            in the case of any action specified in </w:t>
      </w:r>
      <w:r>
        <w:rPr>
          <w:rFonts w:ascii="Arial" w:cs="Arial" w:eastAsia="Arial" w:hAnsi="Arial"/>
          <w:sz w:val="18"/>
          <w:szCs w:val="18"/>
          <w:u w:val="single" w:color="auto"/>
          <w:color w:val="auto"/>
        </w:rPr>
        <w:t>clause (c)</w:t>
      </w:r>
      <w:r>
        <w:rPr>
          <w:rFonts w:ascii="Arial" w:cs="Arial" w:eastAsia="Arial" w:hAnsi="Arial"/>
          <w:sz w:val="18"/>
          <w:szCs w:val="18"/>
          <w:color w:val="auto"/>
        </w:rPr>
        <w:t>, the New Weatherford Parent,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any such case, the “</w:t>
      </w:r>
      <w:r>
        <w:rPr>
          <w:rFonts w:ascii="Arial" w:cs="Arial" w:eastAsia="Arial" w:hAnsi="Arial"/>
          <w:sz w:val="16"/>
          <w:szCs w:val="16"/>
          <w:u w:val="single" w:color="auto"/>
          <w:color w:val="auto"/>
        </w:rPr>
        <w:t>Surviving Person</w:t>
      </w:r>
      <w:r>
        <w:rPr>
          <w:rFonts w:ascii="Arial" w:cs="Arial" w:eastAsia="Arial" w:hAnsi="Arial"/>
          <w:sz w:val="16"/>
          <w:szCs w:val="16"/>
          <w:color w:val="auto"/>
        </w:rPr>
        <w:t>”)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 Change of Control result from any of the actions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and (II) the Surviving Person shall have delivered to the Administrative Agent: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 certificate to the effect that, both before and after giving effect to such transaction, no Default or Event of Default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342" w:lineRule="auto"/>
        <w:rPr>
          <w:sz w:val="20"/>
          <w:szCs w:val="20"/>
          <w:color w:val="auto"/>
        </w:rPr>
      </w:pPr>
      <w:r>
        <w:rPr>
          <w:rFonts w:ascii="Arial" w:cs="Arial" w:eastAsia="Arial" w:hAnsi="Arial"/>
          <w:sz w:val="16"/>
          <w:szCs w:val="16"/>
          <w:color w:val="auto"/>
        </w:rPr>
        <w:t>(ii)            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(iii)            if applicable, the documents required by </w:t>
      </w:r>
      <w:r>
        <w:rPr>
          <w:rFonts w:ascii="Arial" w:cs="Arial" w:eastAsia="Arial" w:hAnsi="Arial"/>
          <w:sz w:val="18"/>
          <w:szCs w:val="18"/>
          <w:u w:val="single" w:color="auto"/>
          <w:color w:val="auto"/>
        </w:rPr>
        <w:t>Section 9.02(b)</w:t>
      </w:r>
      <w:r>
        <w:rPr>
          <w:rFonts w:ascii="Arial" w:cs="Arial" w:eastAsia="Arial" w:hAnsi="Arial"/>
          <w:sz w:val="18"/>
          <w:szCs w:val="18"/>
          <w:color w:val="auto"/>
        </w:rPr>
        <w:t>; and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(iv)            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12.05(b)(iv)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(respecting reserve requirements),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(respecting margin credit extended by banks),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(respecting borrowers who obtain margin credit), as the same is from time to time in effect,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(a) with respect to a Benchmark Replacement in respect of Obligations, interest, fees, commissions or other amounts denominated in, or calculated with respect to, Dollars, the Board or the Federal Reserve Bank of New York, or a 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Total Credit Exposures representing more than fifty percent (50%) of the Total Credit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Credit Exposure of any Defaulting Lender shall be excluded for purposes of making a determination of Required Lenders.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w:t>
      </w:r>
    </w:p>
    <w:p>
      <w:pPr>
        <w:spacing w:after="0" w:line="2" w:lineRule="exact"/>
        <w:rPr>
          <w:sz w:val="20"/>
          <w:szCs w:val="20"/>
          <w:color w:val="auto"/>
        </w:rPr>
      </w:pPr>
    </w:p>
    <w:p>
      <w:pPr>
        <w:ind w:firstLine="8"/>
        <w:spacing w:after="0" w:line="260" w:lineRule="auto"/>
        <w:tabs>
          <w:tab w:leader="none" w:pos="2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voluntary Redemption of any Indebtedness prior to the stated maturity thereof or (d) any payment in violation of any subordination terms of any Indebtedness.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Parent that is not an Unrestricted Subsidiary. For the avoidance of doubt, each Borrower and each Guarantor (other than Parent) shall be a Restricted Subsidiary.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Agreement</w:t>
      </w:r>
      <w:r>
        <w:rPr>
          <w:rFonts w:ascii="Arial" w:cs="Arial" w:eastAsia="Arial" w:hAnsi="Arial"/>
          <w:sz w:val="18"/>
          <w:szCs w:val="18"/>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Secured Parties to secure any of the Secured Obligations or (b) in favor of the Senior Secured Notes Trustee and the Senior Secured Notes Secured Parties to secure any of the Senior Secured 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Retranching</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4.12(c)</w:t>
      </w:r>
      <w:r>
        <w:rPr>
          <w:rFonts w:ascii="Arial" w:cs="Arial" w:eastAsia="Arial" w:hAnsi="Arial"/>
          <w:sz w:val="18"/>
          <w:szCs w:val="18"/>
          <w:b w:val="1"/>
          <w:bCs w:val="1"/>
          <w:color w:val="FF0000"/>
          <w:strike w:val="1"/>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Retranching Request</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4.12(a)(i)</w:t>
      </w:r>
      <w:r>
        <w:rPr>
          <w:rFonts w:ascii="Arial" w:cs="Arial" w:eastAsia="Arial" w:hAnsi="Arial"/>
          <w:sz w:val="18"/>
          <w:szCs w:val="18"/>
          <w:b w:val="1"/>
          <w:bCs w:val="1"/>
          <w:color w:val="FF0000"/>
          <w:strike w:val="1"/>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w:t>
      </w:r>
      <w:r>
        <w:rPr>
          <w:rFonts w:ascii="Arial" w:cs="Arial" w:eastAsia="Arial" w:hAnsi="Arial"/>
          <w:sz w:val="16"/>
          <w:szCs w:val="16"/>
          <w:b w:val="1"/>
          <w:bCs w:val="1"/>
          <w:u w:val="single" w:color="auto"/>
          <w:color w:val="0000FF"/>
        </w:rPr>
        <w:t>, subject to Section 4.09,</w:t>
      </w:r>
      <w:r>
        <w:rPr>
          <w:rFonts w:ascii="Arial" w:cs="Arial" w:eastAsia="Arial" w:hAnsi="Arial"/>
          <w:sz w:val="16"/>
          <w:szCs w:val="16"/>
          <w:color w:val="auto"/>
        </w:rPr>
        <w:t xml:space="preserve"> (a) with respect to any Loan denominated in an Alternative Currency, each of the following:</w:t>
      </w:r>
    </w:p>
    <w:p>
      <w:pPr>
        <w:spacing w:after="0" w:line="50" w:lineRule="exact"/>
        <w:rPr>
          <w:sz w:val="20"/>
          <w:szCs w:val="20"/>
          <w:color w:val="auto"/>
        </w:rPr>
      </w:pPr>
    </w:p>
    <w:p>
      <w:pPr>
        <w:jc w:val="both"/>
        <w:ind w:firstLine="8"/>
        <w:spacing w:after="0" w:line="286" w:lineRule="auto"/>
        <w:tabs>
          <w:tab w:leader="none" w:pos="21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date of the borrowing of such Loan (including any borrowing or deemed borrowing </w:t>
      </w:r>
      <w:r>
        <w:rPr>
          <w:rFonts w:ascii="Arial" w:cs="Arial" w:eastAsia="Arial" w:hAnsi="Arial"/>
          <w:sz w:val="16"/>
          <w:szCs w:val="16"/>
          <w:b w:val="1"/>
          <w:bCs w:val="1"/>
          <w:color w:val="FF0000"/>
          <w:strike w:val="1"/>
        </w:rPr>
        <w:t>that results from the</w:t>
      </w:r>
      <w:r>
        <w:rPr>
          <w:rFonts w:ascii="Arial" w:cs="Arial" w:eastAsia="Arial" w:hAnsi="Arial"/>
          <w:sz w:val="16"/>
          <w:szCs w:val="16"/>
          <w:b w:val="1"/>
          <w:bCs w:val="1"/>
          <w:u w:val="single" w:color="auto"/>
          <w:color w:val="0000FF"/>
        </w:rPr>
        <w:t>in respect of any unreimbursed portion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of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payment by the applicable Issuing Bank under any Letter of Credit denominated in an Alternative Currency) but only as to the amounts so borrowed</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on such date, (ii) each date of a continuation of such Loan pursuant to the terms of this Agreement, but only as to the amounts so continued on such date, and (iii) such additional dates as the Administrative Agent shall determine </w:t>
      </w:r>
      <w:r>
        <w:rPr>
          <w:rFonts w:ascii="Arial" w:cs="Arial" w:eastAsia="Arial" w:hAnsi="Arial"/>
          <w:sz w:val="16"/>
          <w:szCs w:val="16"/>
          <w:b w:val="1"/>
          <w:bCs w:val="1"/>
          <w:color w:val="FF0000"/>
          <w:strike w:val="1"/>
        </w:rPr>
        <w:t>or the Required Lenders shall require</w:t>
      </w:r>
      <w:r>
        <w:rPr>
          <w:rFonts w:ascii="Arial" w:cs="Arial" w:eastAsia="Arial" w:hAnsi="Arial"/>
          <w:sz w:val="16"/>
          <w:szCs w:val="16"/>
          <w:color w:val="000000"/>
        </w:rPr>
        <w:t xml:space="preserve">; and (b) with respect to any Letter of Credit denominated in an Alternative Currency, each of the following: (i) each date of issuance of such Letter of Credit, but only as to the </w:t>
      </w:r>
      <w:r>
        <w:rPr>
          <w:rFonts w:ascii="Arial" w:cs="Arial" w:eastAsia="Arial" w:hAnsi="Arial"/>
          <w:sz w:val="16"/>
          <w:szCs w:val="16"/>
          <w:b w:val="1"/>
          <w:bCs w:val="1"/>
          <w:u w:val="single" w:color="auto"/>
          <w:color w:val="0000FF"/>
        </w:rPr>
        <w:t>stated amount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of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Letter of Credit so issued on such date</w:t>
      </w:r>
      <w:r>
        <w:rPr>
          <w:rFonts w:ascii="Arial" w:cs="Arial" w:eastAsia="Arial" w:hAnsi="Arial"/>
          <w:sz w:val="16"/>
          <w:szCs w:val="16"/>
          <w:b w:val="1"/>
          <w:bCs w:val="1"/>
          <w:color w:val="FF0000"/>
          <w:strike w:val="1"/>
        </w:rPr>
        <w: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w:t>
      </w:r>
      <w:r>
        <w:rPr>
          <w:rFonts w:ascii="Arial" w:cs="Arial" w:eastAsia="Arial" w:hAnsi="Arial"/>
          <w:sz w:val="16"/>
          <w:szCs w:val="16"/>
          <w:b w:val="1"/>
          <w:bCs w:val="1"/>
          <w:color w:val="0000FF"/>
        </w:rPr>
        <w:t xml:space="preserve"> </w:t>
      </w:r>
      <w:r>
        <w:rPr>
          <w:rFonts w:ascii="Arial" w:cs="Arial" w:eastAsia="Arial" w:hAnsi="Arial"/>
          <w:sz w:val="16"/>
          <w:szCs w:val="16"/>
          <w:color w:val="000000"/>
        </w:rPr>
        <w:t>(ii)</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each date such Letter of Credit is amended to increase the face amount of such Letter of Credit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 xml:space="preserve">but only as to the amount of such increase, (iii) in the case of all Existing Letters of Credit denominated in Alternative Currencies, the Effective Date, but only as to such Existing Letters of Credit and (iv) </w:t>
      </w:r>
      <w:r>
        <w:rPr>
          <w:rFonts w:ascii="Arial" w:cs="Arial" w:eastAsia="Arial" w:hAnsi="Arial"/>
          <w:sz w:val="16"/>
          <w:szCs w:val="16"/>
          <w:color w:val="000000"/>
          <w:strike w:val="1"/>
        </w:rPr>
        <w:t>such additional dates as the Administrative Agent</w:t>
      </w:r>
      <w:r>
        <w:rPr>
          <w:rFonts w:ascii="Arial" w:cs="Arial" w:eastAsia="Arial" w:hAnsi="Arial"/>
          <w:sz w:val="16"/>
          <w:szCs w:val="16"/>
          <w:b w:val="1"/>
          <w:bCs w:val="1"/>
          <w:color w:val="FF0000"/>
          <w:strike w:val="1"/>
        </w:rPr>
        <w:t xml:space="preserve"> or the applicable Issuing Bank (with notice thereof to the Administrative Agent) </w:t>
      </w:r>
      <w:r>
        <w:rPr>
          <w:rFonts w:ascii="Arial" w:cs="Arial" w:eastAsia="Arial" w:hAnsi="Arial"/>
          <w:sz w:val="16"/>
          <w:szCs w:val="16"/>
          <w:color w:val="000000"/>
          <w:strike w:val="1"/>
        </w:rPr>
        <w:t>shall determine</w:t>
      </w:r>
      <w:r>
        <w:rPr>
          <w:rFonts w:ascii="Arial" w:cs="Arial" w:eastAsia="Arial" w:hAnsi="Arial"/>
          <w:sz w:val="16"/>
          <w:szCs w:val="16"/>
          <w:b w:val="1"/>
          <w:bCs w:val="1"/>
          <w:color w:val="FF0000"/>
          <w:strike w:val="1"/>
        </w:rPr>
        <w:t xml:space="preserve"> or the Required Lenders shall require</w:t>
      </w:r>
      <w:r>
        <w:rPr>
          <w:rFonts w:ascii="Arial" w:cs="Arial" w:eastAsia="Arial" w:hAnsi="Arial"/>
          <w:sz w:val="16"/>
          <w:szCs w:val="16"/>
          <w:color w:val="000000"/>
          <w:strike w:val="1"/>
        </w:rPr>
        <w:t>.</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with respect to each Lender, the commitment of such Lender to make Loans and acquire participations in </w:t>
      </w:r>
      <w:r>
        <w:rPr>
          <w:rFonts w:ascii="Arial" w:cs="Arial" w:eastAsia="Arial" w:hAnsi="Arial"/>
          <w:sz w:val="17"/>
          <w:szCs w:val="17"/>
          <w:b w:val="1"/>
          <w:bCs w:val="1"/>
          <w:color w:val="FF0000"/>
          <w:strike w:val="1"/>
        </w:rPr>
        <w:t>Financial Standby</w:t>
      </w:r>
      <w:r>
        <w:rPr>
          <w:rFonts w:ascii="Arial" w:cs="Arial" w:eastAsia="Arial" w:hAnsi="Arial"/>
          <w:sz w:val="17"/>
          <w:szCs w:val="17"/>
          <w:b w:val="1"/>
          <w:bCs w:val="1"/>
          <w:u w:val="single" w:color="auto"/>
          <w:color w:val="0000FF"/>
        </w:rPr>
        <w:t>Revolving</w:t>
      </w:r>
      <w:r>
        <w:rPr>
          <w:rFonts w:ascii="Arial" w:cs="Arial" w:eastAsia="Arial" w:hAnsi="Arial"/>
          <w:sz w:val="17"/>
          <w:szCs w:val="17"/>
          <w:b w:val="1"/>
          <w:bCs w:val="1"/>
          <w:color w:val="FF0000"/>
        </w:rPr>
        <w:t xml:space="preserve"> </w:t>
      </w:r>
      <w:r>
        <w:rPr>
          <w:rFonts w:ascii="Arial" w:cs="Arial" w:eastAsia="Arial" w:hAnsi="Arial"/>
          <w:sz w:val="17"/>
          <w:szCs w:val="17"/>
          <w:color w:val="000000"/>
        </w:rPr>
        <w:t>Letters of</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Credit and/or Revolving Performance Letters of</w:t>
      </w:r>
      <w:r>
        <w:rPr>
          <w:rFonts w:ascii="Arial" w:cs="Arial" w:eastAsia="Arial" w:hAnsi="Arial"/>
          <w:sz w:val="17"/>
          <w:szCs w:val="17"/>
          <w:b w:val="1"/>
          <w:bCs w:val="1"/>
          <w:color w:val="FF0000"/>
        </w:rPr>
        <w:t xml:space="preserve"> </w:t>
      </w:r>
      <w:r>
        <w:rPr>
          <w:rFonts w:ascii="Arial" w:cs="Arial" w:eastAsia="Arial" w:hAnsi="Arial"/>
          <w:sz w:val="17"/>
          <w:szCs w:val="17"/>
          <w:color w:val="000000"/>
        </w:rPr>
        <w:t>Credit hereunder in an aggregate principal amount set forth</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opposite such Lender’s name on </w:t>
      </w:r>
      <w:r>
        <w:rPr>
          <w:rFonts w:ascii="Arial" w:cs="Arial" w:eastAsia="Arial" w:hAnsi="Arial"/>
          <w:sz w:val="17"/>
          <w:szCs w:val="17"/>
          <w:u w:val="single" w:color="auto"/>
          <w:color w:val="000000"/>
        </w:rPr>
        <w:t>Schedule 2.01</w:t>
      </w:r>
      <w:r>
        <w:rPr>
          <w:rFonts w:ascii="Arial" w:cs="Arial" w:eastAsia="Arial" w:hAnsi="Arial"/>
          <w:sz w:val="17"/>
          <w:szCs w:val="17"/>
          <w:color w:val="000000"/>
        </w:rPr>
        <w:t xml:space="preserve"> under the heading “Revolving Credit Commitment”, as such amount may be (a) reduced from time to time pursuant to </w:t>
      </w:r>
      <w:r>
        <w:rPr>
          <w:rFonts w:ascii="Arial" w:cs="Arial" w:eastAsia="Arial" w:hAnsi="Arial"/>
          <w:sz w:val="17"/>
          <w:szCs w:val="17"/>
          <w:u w:val="single" w:color="auto"/>
          <w:color w:val="000000"/>
        </w:rPr>
        <w:t>Section 4.01</w:t>
      </w:r>
      <w:r>
        <w:rPr>
          <w:rFonts w:ascii="Arial" w:cs="Arial" w:eastAsia="Arial" w:hAnsi="Arial"/>
          <w:sz w:val="17"/>
          <w:szCs w:val="17"/>
          <w:color w:val="000000"/>
        </w:rPr>
        <w:t xml:space="preserve">, (b) reduced or increased from time to time pursuant to assignments by or to such Lender pursuant to </w:t>
      </w:r>
      <w:r>
        <w:rPr>
          <w:rFonts w:ascii="Arial" w:cs="Arial" w:eastAsia="Arial" w:hAnsi="Arial"/>
          <w:sz w:val="17"/>
          <w:szCs w:val="17"/>
          <w:u w:val="single" w:color="auto"/>
          <w:color w:val="000000"/>
        </w:rPr>
        <w:t>Section 5.03</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Section 12.05</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w:t>
      </w:r>
      <w:r>
        <w:rPr>
          <w:rFonts w:ascii="Arial" w:cs="Arial" w:eastAsia="Arial" w:hAnsi="Arial"/>
          <w:sz w:val="17"/>
          <w:szCs w:val="17"/>
          <w:b w:val="1"/>
          <w:bCs w:val="1"/>
          <w:color w:val="FF0000"/>
        </w:rPr>
        <w:t xml:space="preserve"> </w:t>
      </w:r>
      <w:r>
        <w:rPr>
          <w:rFonts w:ascii="Arial" w:cs="Arial" w:eastAsia="Arial" w:hAnsi="Arial"/>
          <w:sz w:val="17"/>
          <w:szCs w:val="17"/>
          <w:color w:val="000000"/>
        </w:rPr>
        <w:t>(c) increased from time to time pursuant to</w:t>
      </w:r>
      <w:r>
        <w:rPr>
          <w:rFonts w:ascii="Arial" w:cs="Arial" w:eastAsia="Arial" w:hAnsi="Arial"/>
          <w:sz w:val="17"/>
          <w:szCs w:val="17"/>
          <w:b w:val="1"/>
          <w:bCs w:val="1"/>
          <w:color w:val="FF0000"/>
        </w:rPr>
        <w:t xml:space="preserve"> </w:t>
      </w:r>
      <w:r>
        <w:rPr>
          <w:rFonts w:ascii="Arial" w:cs="Arial" w:eastAsia="Arial" w:hAnsi="Arial"/>
          <w:sz w:val="17"/>
          <w:szCs w:val="17"/>
          <w:u w:val="single" w:color="auto"/>
          <w:color w:val="000000"/>
        </w:rPr>
        <w:t>Section</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FF0000"/>
          <w:strike w:val="1"/>
        </w:rPr>
        <w:t>4.12</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or</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FF0000"/>
          <w:strike w:val="1"/>
        </w:rPr>
        <w:t>Section 4.13</w:t>
      </w:r>
      <w:r>
        <w:rPr>
          <w:rFonts w:ascii="Arial" w:cs="Arial" w:eastAsia="Arial" w:hAnsi="Arial"/>
          <w:sz w:val="17"/>
          <w:szCs w:val="17"/>
          <w:b w:val="1"/>
          <w:bCs w:val="1"/>
          <w:color w:val="FF0000"/>
          <w:strike w:val="1"/>
        </w:rPr>
        <w:t>. The aggregate</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4.13 or (d) increased pursuant to a conversion of Revolving</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Loan-Specific Commitments in the manner described in the definition thereof. The reference to “</w:t>
      </w:r>
      <w:r>
        <w:rPr>
          <w:rFonts w:ascii="Arial" w:cs="Arial" w:eastAsia="Arial" w:hAnsi="Arial"/>
          <w:sz w:val="17"/>
          <w:szCs w:val="17"/>
          <w:color w:val="000000"/>
        </w:rPr>
        <w:t>Revolving Credit</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 of all the Lenders</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 xml:space="preserve">on the First Amendment Effective Date shall be $90,000,000. </w:t>
      </w:r>
      <w:r>
        <w:rPr>
          <w:rFonts w:ascii="Arial" w:cs="Arial" w:eastAsia="Arial" w:hAnsi="Arial"/>
          <w:sz w:val="17"/>
          <w:szCs w:val="17"/>
          <w:b w:val="1"/>
          <w:bCs w:val="1"/>
          <w:u w:val="single" w:color="auto"/>
          <w:color w:val="0000FF"/>
          <w:strike w:val="1"/>
        </w:rPr>
        <w:t>Facility” on the cover page hereof is a reference to the facility in respect of Revolving</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Credit Commitments and Revolving Loan-Specific Commitments.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Dollar Equivalent of the aggregate principal amount at such time of its outstanding Loans and such Lender’s Revolving LC Exposure.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Outstandings</w:t>
      </w:r>
      <w:r>
        <w:rPr>
          <w:rFonts w:ascii="Arial" w:cs="Arial" w:eastAsia="Arial" w:hAnsi="Arial"/>
          <w:sz w:val="18"/>
          <w:szCs w:val="18"/>
          <w:color w:val="auto"/>
        </w:rPr>
        <w:t xml:space="preserve">” means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with respect to Loans on any date, the Dollar Equivalent of the aggregate outstanding principal amount thereof after giving effect to any borrowings and prepayments or repayments of Loans occurring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the Revolving LC Exposures on any date, the Dollar Equivalent of the aggregate outstanding amount thereof on such date after giving effect to any Extensions of Credit occurring on such date and any other changes in the aggregate amount of such Revolving LC Exposures as of such date, including as a result of any reimbursements of outstanding unpaid drawings under any Letters of Credit or any reductions in the maximum amount available for drawing under Letters of Credit taking effect on such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LC Exposure</w:t>
      </w:r>
      <w:r>
        <w:rPr>
          <w:rFonts w:ascii="Arial" w:cs="Arial" w:eastAsia="Arial" w:hAnsi="Arial"/>
          <w:sz w:val="18"/>
          <w:szCs w:val="18"/>
          <w:color w:val="auto"/>
        </w:rPr>
        <w:t xml:space="preserve">” means, at any time, with respect to any Lender, such Lender’s LC Exposure in respect of Revolving </w:t>
      </w:r>
      <w:r>
        <w:rPr>
          <w:rFonts w:ascii="Arial" w:cs="Arial" w:eastAsia="Arial" w:hAnsi="Arial"/>
          <w:sz w:val="18"/>
          <w:szCs w:val="18"/>
          <w:b w:val="1"/>
          <w:bCs w:val="1"/>
          <w:color w:val="FF0000"/>
          <w:strike w:val="1"/>
        </w:rPr>
        <w:t>Performance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Letters of Credit and Financial Standby</w:t>
      </w:r>
      <w:r>
        <w:rPr>
          <w:rFonts w:ascii="Arial" w:cs="Arial" w:eastAsia="Arial" w:hAnsi="Arial"/>
          <w:sz w:val="18"/>
          <w:szCs w:val="18"/>
          <w:b w:val="1"/>
          <w:bCs w:val="1"/>
          <w:color w:val="FF0000"/>
        </w:rPr>
        <w:t xml:space="preserve"> </w:t>
      </w:r>
      <w:r>
        <w:rPr>
          <w:rFonts w:ascii="Arial" w:cs="Arial" w:eastAsia="Arial" w:hAnsi="Arial"/>
          <w:sz w:val="18"/>
          <w:szCs w:val="18"/>
          <w:color w:val="000000"/>
        </w:rPr>
        <w:t>Letters of Credit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“Revolving Letters of Credit” means Letters of Credit constituting Performance LCs and/or Financial Standby LCs and, in each case, designated as “Revolving Letters of Credit” in accordance with Section 3.01(b).</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LC-Specific</w:t>
      </w:r>
      <w:r>
        <w:rPr>
          <w:rFonts w:ascii="Arial" w:cs="Arial" w:eastAsia="Arial" w:hAnsi="Arial"/>
          <w:sz w:val="16"/>
          <w:szCs w:val="16"/>
          <w:b w:val="1"/>
          <w:bCs w:val="1"/>
          <w:u w:val="single" w:color="auto"/>
          <w:color w:val="0000FF"/>
        </w:rPr>
        <w:t>Loan-Specific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w:t>
      </w:r>
      <w:r>
        <w:rPr>
          <w:rFonts w:ascii="Arial" w:cs="Arial" w:eastAsia="Arial" w:hAnsi="Arial"/>
          <w:sz w:val="16"/>
          <w:szCs w:val="16"/>
          <w:b w:val="1"/>
          <w:bCs w:val="1"/>
          <w:color w:val="FF0000"/>
          <w:strike w:val="1"/>
        </w:rPr>
        <w:t>each</w:t>
      </w:r>
      <w:r>
        <w:rPr>
          <w:rFonts w:ascii="Arial" w:cs="Arial" w:eastAsia="Arial" w:hAnsi="Arial"/>
          <w:sz w:val="16"/>
          <w:szCs w:val="16"/>
          <w:b w:val="1"/>
          <w:bCs w:val="1"/>
          <w:u w:val="single" w:color="auto"/>
          <w:color w:val="0000FF"/>
        </w:rPr>
        <w:t>the applicable</w:t>
      </w:r>
      <w:r>
        <w:rPr>
          <w:rFonts w:ascii="Arial" w:cs="Arial" w:eastAsia="Arial" w:hAnsi="Arial"/>
          <w:sz w:val="16"/>
          <w:szCs w:val="16"/>
          <w:color w:val="auto"/>
        </w:rPr>
        <w:t xml:space="preserve"> Lender </w:t>
      </w:r>
      <w:r>
        <w:rPr>
          <w:rFonts w:ascii="Arial" w:cs="Arial" w:eastAsia="Arial" w:hAnsi="Arial"/>
          <w:sz w:val="16"/>
          <w:szCs w:val="16"/>
          <w:b w:val="1"/>
          <w:bCs w:val="1"/>
          <w:u w:val="single" w:color="auto"/>
          <w:color w:val="0000FF"/>
        </w:rPr>
        <w:t>identified on Schedule 2.01</w:t>
      </w:r>
      <w:r>
        <w:rPr>
          <w:rFonts w:ascii="Arial" w:cs="Arial" w:eastAsia="Arial" w:hAnsi="Arial"/>
          <w:sz w:val="16"/>
          <w:szCs w:val="16"/>
          <w:color w:val="auto"/>
        </w:rPr>
        <w:t xml:space="preserve">, the commitment of such Lender to </w:t>
      </w:r>
      <w:r>
        <w:rPr>
          <w:rFonts w:ascii="Arial" w:cs="Arial" w:eastAsia="Arial" w:hAnsi="Arial"/>
          <w:sz w:val="16"/>
          <w:szCs w:val="16"/>
          <w:b w:val="1"/>
          <w:bCs w:val="1"/>
          <w:color w:val="FF0000"/>
          <w:strike w:val="1"/>
        </w:rPr>
        <w:t>acquire participations in Financial Standby Letters of Credit and/or Revolving Performance Letters of Credit</w:t>
      </w:r>
      <w:r>
        <w:rPr>
          <w:rFonts w:ascii="Arial" w:cs="Arial" w:eastAsia="Arial" w:hAnsi="Arial"/>
          <w:sz w:val="16"/>
          <w:szCs w:val="16"/>
          <w:b w:val="1"/>
          <w:bCs w:val="1"/>
          <w:u w:val="single" w:color="auto"/>
          <w:color w:val="0000FF"/>
        </w:rPr>
        <w:t>make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Loans</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hereunder in an aggregate principal amount set forth opposite such Lender’s name on</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Schedule 2.01</w:t>
      </w:r>
      <w:r>
        <w:rPr>
          <w:rFonts w:ascii="Arial" w:cs="Arial" w:eastAsia="Arial" w:hAnsi="Arial"/>
          <w:sz w:val="16"/>
          <w:szCs w:val="16"/>
          <w:b w:val="1"/>
          <w:bCs w:val="1"/>
          <w:color w:val="0000FF"/>
        </w:rPr>
        <w:t xml:space="preserve"> </w:t>
      </w:r>
      <w:r>
        <w:rPr>
          <w:rFonts w:ascii="Arial" w:cs="Arial" w:eastAsia="Arial" w:hAnsi="Arial"/>
          <w:sz w:val="16"/>
          <w:szCs w:val="16"/>
          <w:color w:val="000000"/>
        </w:rPr>
        <w:t>under the heading “Revolving</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LC-Specific</w:t>
      </w:r>
      <w:r>
        <w:rPr>
          <w:rFonts w:ascii="Arial" w:cs="Arial" w:eastAsia="Arial" w:hAnsi="Arial"/>
          <w:sz w:val="16"/>
          <w:szCs w:val="16"/>
          <w:b w:val="1"/>
          <w:bCs w:val="1"/>
          <w:u w:val="single" w:color="auto"/>
          <w:color w:val="0000FF"/>
        </w:rPr>
        <w:t>Loan-Specific</w:t>
      </w:r>
      <w:r>
        <w:rPr>
          <w:rFonts w:ascii="Arial" w:cs="Arial" w:eastAsia="Arial" w:hAnsi="Arial"/>
          <w:sz w:val="16"/>
          <w:szCs w:val="16"/>
          <w:b w:val="1"/>
          <w:bCs w:val="1"/>
          <w:color w:val="FF0000"/>
        </w:rPr>
        <w:t xml:space="preserve"> </w:t>
      </w:r>
      <w:r>
        <w:rPr>
          <w:rFonts w:ascii="Arial" w:cs="Arial" w:eastAsia="Arial" w:hAnsi="Arial"/>
          <w:sz w:val="16"/>
          <w:szCs w:val="16"/>
          <w:color w:val="000000"/>
        </w:rPr>
        <w:t>Commitment”, as such amount may be (a) reduced from time to time pursuant to</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Section 4.01</w:t>
      </w:r>
      <w:r>
        <w:rPr>
          <w:rFonts w:ascii="Arial" w:cs="Arial" w:eastAsia="Arial" w:hAnsi="Arial"/>
          <w:sz w:val="16"/>
          <w:szCs w:val="16"/>
          <w:b w:val="1"/>
          <w:bCs w:val="1"/>
          <w:color w:val="FF0000"/>
        </w:rPr>
        <w:t xml:space="preserve"> </w:t>
      </w:r>
      <w:r>
        <w:rPr>
          <w:rFonts w:ascii="Arial" w:cs="Arial" w:eastAsia="Arial" w:hAnsi="Arial"/>
          <w:sz w:val="16"/>
          <w:szCs w:val="16"/>
          <w:color w:val="000000"/>
        </w:rPr>
        <w:t>or (b) reduced or increased from time</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to time pursuant to assignments by or to such Lender pursuant to </w:t>
      </w:r>
      <w:r>
        <w:rPr>
          <w:rFonts w:ascii="Arial" w:cs="Arial" w:eastAsia="Arial" w:hAnsi="Arial"/>
          <w:sz w:val="16"/>
          <w:szCs w:val="16"/>
          <w:u w:val="single" w:color="auto"/>
          <w:color w:val="000000"/>
        </w:rPr>
        <w:t>Section 5.03</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12.05</w:t>
      </w:r>
      <w:r>
        <w:rPr>
          <w:rFonts w:ascii="Arial" w:cs="Arial" w:eastAsia="Arial" w:hAnsi="Arial"/>
          <w:sz w:val="16"/>
          <w:szCs w:val="16"/>
          <w:b w:val="1"/>
          <w:bCs w:val="1"/>
          <w:u w:val="single" w:color="auto"/>
          <w:color w:val="0000FF"/>
        </w:rPr>
        <w:t>; provided that all Revolving Loan-Specific</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u w:val="single" w:color="auto"/>
          <w:color w:val="0000FF"/>
        </w:rPr>
        <w:t>Commitments shall automatically become and be treated as Revolving Credit Commitments hereunder on the fifth (5th) Business Day after the sooner of (x) the date on which the Administrative Agent receives a written confirmation from each Specified Lender that the Revolving Loan-Specific Commitments may be converted to Revolving Credit Commitments and (y) the date on which no Lender is a Specified Lender</w:t>
      </w:r>
      <w:r>
        <w:rPr>
          <w:rFonts w:ascii="Arial" w:cs="Arial" w:eastAsia="Arial" w:hAnsi="Arial"/>
          <w:sz w:val="16"/>
          <w:szCs w:val="16"/>
          <w:color w:val="000000"/>
        </w:rPr>
        <w:t>.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aggregate Revolving </w:t>
      </w:r>
      <w:r>
        <w:rPr>
          <w:rFonts w:ascii="Arial" w:cs="Arial" w:eastAsia="Arial" w:hAnsi="Arial"/>
          <w:sz w:val="16"/>
          <w:szCs w:val="16"/>
          <w:b w:val="1"/>
          <w:bCs w:val="1"/>
          <w:u w:val="single" w:color="auto"/>
          <w:color w:val="FF0000"/>
          <w:strike w:val="1"/>
        </w:rPr>
        <w:t>LC-Specific</w:t>
      </w:r>
      <w:r>
        <w:rPr>
          <w:rFonts w:ascii="Arial" w:cs="Arial" w:eastAsia="Arial" w:hAnsi="Arial"/>
          <w:sz w:val="16"/>
          <w:szCs w:val="16"/>
          <w:b w:val="1"/>
          <w:bCs w:val="1"/>
          <w:u w:val="single" w:color="auto"/>
          <w:color w:val="0000FF"/>
        </w:rPr>
        <w:t>Loan-Specific</w:t>
      </w:r>
      <w:r>
        <w:rPr>
          <w:rFonts w:ascii="Arial" w:cs="Arial" w:eastAsia="Arial" w:hAnsi="Arial"/>
          <w:sz w:val="16"/>
          <w:szCs w:val="16"/>
          <w:color w:val="000000"/>
        </w:rPr>
        <w:t xml:space="preserve"> Commitment on the </w:t>
      </w:r>
      <w:r>
        <w:rPr>
          <w:rFonts w:ascii="Arial" w:cs="Arial" w:eastAsia="Arial" w:hAnsi="Arial"/>
          <w:sz w:val="16"/>
          <w:szCs w:val="16"/>
          <w:b w:val="1"/>
          <w:bCs w:val="1"/>
          <w:u w:val="single" w:color="auto"/>
          <w:color w:val="FF0000"/>
          <w:strike w:val="1"/>
        </w:rPr>
        <w:t>First</w:t>
      </w:r>
      <w:r>
        <w:rPr>
          <w:rFonts w:ascii="Arial" w:cs="Arial" w:eastAsia="Arial" w:hAnsi="Arial"/>
          <w:sz w:val="16"/>
          <w:szCs w:val="16"/>
          <w:b w:val="1"/>
          <w:bCs w:val="1"/>
          <w:u w:val="single" w:color="auto"/>
          <w:color w:val="0000FF"/>
        </w:rPr>
        <w:t>Fourth</w:t>
      </w:r>
      <w:r>
        <w:rPr>
          <w:rFonts w:ascii="Arial" w:cs="Arial" w:eastAsia="Arial" w:hAnsi="Arial"/>
          <w:sz w:val="16"/>
          <w:szCs w:val="16"/>
          <w:color w:val="000000"/>
        </w:rPr>
        <w:t xml:space="preserve"> Amendment Effective Date shall be $</w:t>
      </w:r>
      <w:r>
        <w:rPr>
          <w:rFonts w:ascii="Arial" w:cs="Arial" w:eastAsia="Arial" w:hAnsi="Arial"/>
          <w:sz w:val="16"/>
          <w:szCs w:val="16"/>
          <w:b w:val="1"/>
          <w:bCs w:val="1"/>
          <w:color w:val="FF0000"/>
          <w:strike w:val="1"/>
        </w:rPr>
        <w:t>7,500,000</w:t>
      </w:r>
      <w:r>
        <w:rPr>
          <w:rFonts w:ascii="Arial" w:cs="Arial" w:eastAsia="Arial" w:hAnsi="Arial"/>
          <w:sz w:val="16"/>
          <w:szCs w:val="16"/>
          <w:b w:val="1"/>
          <w:bCs w:val="1"/>
          <w:u w:val="single" w:color="auto"/>
          <w:color w:val="0000FF"/>
        </w:rPr>
        <w:t>20,000,000</w:t>
      </w:r>
      <w:r>
        <w:rPr>
          <w:rFonts w:ascii="Arial" w:cs="Arial" w:eastAsia="Arial" w:hAnsi="Arial"/>
          <w:sz w:val="16"/>
          <w:szCs w:val="16"/>
          <w:u w:val="single" w:color="auto"/>
          <w:color w:val="000000"/>
        </w:rPr>
        <w:t>.</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Revolving Performance Letters of Credit</w:t>
      </w:r>
      <w:r>
        <w:rPr>
          <w:rFonts w:ascii="Arial" w:cs="Arial" w:eastAsia="Arial" w:hAnsi="Arial"/>
          <w:sz w:val="18"/>
          <w:szCs w:val="18"/>
          <w:b w:val="1"/>
          <w:bCs w:val="1"/>
          <w:color w:val="FF0000"/>
          <w:strike w:val="1"/>
        </w:rPr>
        <w:t xml:space="preserve">” means Performance Letters of Credit designated as “Revolving Performance Letters of Credit” in accordance with </w:t>
      </w:r>
      <w:r>
        <w:rPr>
          <w:rFonts w:ascii="Arial" w:cs="Arial" w:eastAsia="Arial" w:hAnsi="Arial"/>
          <w:sz w:val="18"/>
          <w:szCs w:val="18"/>
          <w:b w:val="1"/>
          <w:bCs w:val="1"/>
          <w:u w:val="single" w:color="auto"/>
          <w:color w:val="FF0000"/>
          <w:strike w:val="1"/>
        </w:rPr>
        <w:t>Section 3.01(b)</w:t>
      </w:r>
      <w:r>
        <w:rPr>
          <w:rFonts w:ascii="Arial" w:cs="Arial" w:eastAsia="Arial" w:hAnsi="Arial"/>
          <w:sz w:val="18"/>
          <w:szCs w:val="18"/>
          <w:b w:val="1"/>
          <w:bCs w:val="1"/>
          <w:color w:val="FF0000"/>
          <w:strike w:val="1"/>
        </w:rPr>
        <w:t xml:space="preserve"> and any Performance Letters of Credit retranched under the Revolving Credit Commitments pursuant to </w:t>
      </w:r>
      <w:r>
        <w:rPr>
          <w:rFonts w:ascii="Arial" w:cs="Arial" w:eastAsia="Arial" w:hAnsi="Arial"/>
          <w:sz w:val="18"/>
          <w:szCs w:val="18"/>
          <w:b w:val="1"/>
          <w:bCs w:val="1"/>
          <w:u w:val="single" w:color="auto"/>
          <w:color w:val="FF0000"/>
          <w:strike w:val="1"/>
        </w:rPr>
        <w:t>Section 4.12</w:t>
      </w:r>
      <w:r>
        <w:rPr>
          <w:rFonts w:ascii="Arial" w:cs="Arial" w:eastAsia="Arial" w:hAnsi="Arial"/>
          <w:sz w:val="18"/>
          <w:szCs w:val="18"/>
          <w:b w:val="1"/>
          <w:bCs w:val="1"/>
          <w:color w:val="FF0000"/>
          <w:strike w:val="1"/>
        </w:rPr>
        <w:t xml:space="preserve"> from time to time.</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Obligations, interest, fees, commissions or other amounts denominated in, or calculated with respect to, (a) Dollars, Term SOFR, (b) Sterling, SONIA and (c) Swiss Francs, SARON.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Business Day</w:t>
      </w:r>
      <w:r>
        <w:rPr>
          <w:rFonts w:ascii="Arial" w:cs="Arial" w:eastAsia="Arial" w:hAnsi="Arial"/>
          <w:sz w:val="17"/>
          <w:szCs w:val="17"/>
          <w:color w:val="auto"/>
        </w:rPr>
        <w:t>” means, for any Obligations, interest, fees, commissions or other amounts denominated in, or calculated with respect to,</w:t>
      </w:r>
    </w:p>
    <w:p>
      <w:pPr>
        <w:spacing w:after="0" w:line="35" w:lineRule="exact"/>
        <w:rPr>
          <w:sz w:val="20"/>
          <w:szCs w:val="20"/>
          <w:color w:val="auto"/>
        </w:rPr>
      </w:pPr>
    </w:p>
    <w:p>
      <w:pPr>
        <w:jc w:val="both"/>
        <w:ind w:firstLine="8"/>
        <w:spacing w:after="0" w:line="292" w:lineRule="auto"/>
        <w:tabs>
          <w:tab w:leader="none" w:pos="2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Swiss Francs, any day except for (i) a Saturday, (ii) a Sunday or (iii) a day on which banks are closed for the settlement of payments and foreign exchange transactions in Zurich;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notice requirements in </w:t>
      </w:r>
      <w:r>
        <w:rPr>
          <w:rFonts w:ascii="Arial" w:cs="Arial" w:eastAsia="Arial" w:hAnsi="Arial"/>
          <w:sz w:val="16"/>
          <w:szCs w:val="16"/>
          <w:u w:val="single" w:color="auto"/>
          <w:color w:val="auto"/>
        </w:rPr>
        <w:t>Sections 2.02(a)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in each case, such day is also a Business Day.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Daily Simple RFR Loan or a Term SOFR Loan,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Rate Day</w:t>
      </w:r>
      <w:r>
        <w:rPr>
          <w:rFonts w:ascii="Arial" w:cs="Arial" w:eastAsia="Arial" w:hAnsi="Arial"/>
          <w:sz w:val="18"/>
          <w:szCs w:val="18"/>
          <w:color w:val="auto"/>
        </w:rPr>
        <w:t>” has the meaning assigned thereto in the definition of “Daily Simple RFR”.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b w:val="1"/>
          <w:bCs w:val="1"/>
          <w:u w:val="single" w:color="auto"/>
          <w:color w:val="0000FF"/>
        </w:rPr>
        <w:t>“Saudi Riyal” means the lawful currency of the Kingdom of Saudi Arabia.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or any successor to the ratings agency business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comprehensive Sanctions (including, as of the Effective Date, Cuba, Iran, North Korea, Syria, and the Crimea Region of Ukraine, the so-called Donetsk People’s Republic, and the so-called Luhansk People’s Republic regions of Ukraine).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w:t>
      </w:r>
      <w:r>
        <w:rPr>
          <w:rFonts w:ascii="Arial" w:cs="Arial" w:eastAsia="Arial" w:hAnsi="Arial"/>
          <w:sz w:val="18"/>
          <w:szCs w:val="18"/>
          <w:b w:val="1"/>
          <w:bCs w:val="1"/>
          <w:u w:val="single" w:color="auto"/>
          <w:color w:val="0000FF"/>
        </w:rPr>
        <w:t>Switzerland (e.g. the State Secretariat for Economic Affairs of Switzerland and/or the Directorate of Public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International Law),</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Hong Kong Monetary Authority, His Majesty’s Treasury of the United Kingdom, the Canadian government (or any agency</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thereof) or the Australian Department of Foreign Affairs and Trade, (b) any Person operating, organized or resident in a Sanctioned Country, (c) any Person owned or controlled by any such Person or Persons described in the foregoing </w:t>
      </w:r>
      <w:r>
        <w:rPr>
          <w:rFonts w:ascii="Arial" w:cs="Arial" w:eastAsia="Arial" w:hAnsi="Arial"/>
          <w:sz w:val="18"/>
          <w:szCs w:val="18"/>
          <w:u w:val="single" w:color="auto"/>
          <w:color w:val="000000"/>
        </w:rPr>
        <w:t>clauses (a)</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(b)</w:t>
      </w:r>
      <w:r>
        <w:rPr>
          <w:rFonts w:ascii="Arial" w:cs="Arial" w:eastAsia="Arial" w:hAnsi="Arial"/>
          <w:sz w:val="18"/>
          <w:szCs w:val="18"/>
          <w:color w:val="000000"/>
        </w:rPr>
        <w:t>, or (d) any Person otherwise the subject or target of Sanctions.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any European Union member state,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Switzerland (e.g. the State Secretariat for Economic Affairs of Switzerland and/or the Directorate of Public International Law),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Hong Kong</w:t>
      </w:r>
      <w:r>
        <w:rPr>
          <w:rFonts w:ascii="Arial" w:cs="Arial" w:eastAsia="Arial" w:hAnsi="Arial"/>
          <w:sz w:val="18"/>
          <w:szCs w:val="18"/>
          <w:b w:val="1"/>
          <w:bCs w:val="1"/>
          <w:color w:val="FF0000"/>
        </w:rPr>
        <w:t xml:space="preserve"> </w:t>
      </w:r>
      <w:r>
        <w:rPr>
          <w:rFonts w:ascii="Arial" w:cs="Arial" w:eastAsia="Arial" w:hAnsi="Arial"/>
          <w:sz w:val="18"/>
          <w:szCs w:val="18"/>
          <w:color w:val="000000"/>
        </w:rPr>
        <w:t>Monetary Authority, the Australian Commonwealth Government or any governmental authority of Canada under the Special Economics Measures Act (Canada) or other applicable Canadian legislation.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w:t>
      </w:r>
      <w:r>
        <w:rPr>
          <w:rFonts w:ascii="Arial" w:cs="Arial" w:eastAsia="Arial" w:hAnsi="Arial"/>
          <w:sz w:val="18"/>
          <w:szCs w:val="18"/>
          <w:color w:val="auto"/>
        </w:rPr>
        <w:t>” means a rate equal to the Swiss Average Rate Overnight as administered by the SARON Administrator.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 Administrator</w:t>
      </w:r>
      <w:r>
        <w:rPr>
          <w:rFonts w:ascii="Arial" w:cs="Arial" w:eastAsia="Arial" w:hAnsi="Arial"/>
          <w:sz w:val="18"/>
          <w:szCs w:val="18"/>
          <w:color w:val="auto"/>
        </w:rPr>
        <w:t>” means SIX Index AG (or any successor administrator of the Swiss Average Rate Overnight).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 Administrator’s Website</w:t>
      </w:r>
      <w:r>
        <w:rPr>
          <w:rFonts w:ascii="Arial" w:cs="Arial" w:eastAsia="Arial" w:hAnsi="Arial"/>
          <w:sz w:val="18"/>
          <w:szCs w:val="18"/>
          <w:color w:val="auto"/>
        </w:rPr>
        <w:t>” means SIX Group’s website, currently at https://www.six-group.com, or any successor source for the Swiss Average Rate Overnight identified as such by the SARON Administrator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 of said Commission.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xml:space="preserve">” means (a) all Obligations, (b) all Swap Obligations and Banking Services Obligations owing to one or more Lenders or their respective Affiliates and (c) all obligations in respect of Standalone Performance LCs;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holders of the Secured Obligations from time to time and shall include (a) each Lender in respect of its Loans and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each applicable issuer in respect of a Standalone Performance LC, (e) the Administrative Agent (or any agent or sub-agent of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(f) each Indemnitee in respect of the obligations and liabilities of the Borrowers to such Person hereunder and under the other Loan Documents constituting Secured Obligations, and (g) their respective successors and (in the case of a Lender, permitted) transferees and assigns.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Agreements</w:t>
      </w:r>
      <w:r>
        <w:rPr>
          <w:rFonts w:ascii="Arial" w:cs="Arial" w:eastAsia="Arial" w:hAnsi="Arial"/>
          <w:sz w:val="17"/>
          <w:szCs w:val="17"/>
          <w:color w:val="auto"/>
        </w:rPr>
        <w:t xml:space="preserve">” means, collectively, (a) the agreements and other instruments described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hereto, (b) the U.S. Security Agreement and the Canadian Security Agreement and (c) any other security agreement, debenture, mortgage, pledge, charge or other similar agreement in form and substance satisfactory to the Administrative Agent in favor of the Administrative Agent or the Foreign Collateral Agent, as applicable, acting in its respective capacity as set out in the relevant security agreements for the benefit of itself and the other Secured Parties, in any such case, pursuant to which any Obligor grants Liens on the property of such Obligor to secure the Secured Obligations.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Trust Deed</w:t>
      </w:r>
      <w:r>
        <w:rPr>
          <w:rFonts w:ascii="Arial" w:cs="Arial" w:eastAsia="Arial" w:hAnsi="Arial"/>
          <w:sz w:val="18"/>
          <w:szCs w:val="18"/>
          <w:color w:val="auto"/>
        </w:rPr>
        <w:t>” means that certain Security Trust Deed, dated as of 28 August, 2020, among the Borrowers, the Administrative Agent, the Lenders and the LC Australian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w:t>
      </w:r>
      <w:r>
        <w:rPr>
          <w:rFonts w:ascii="Arial" w:cs="Arial" w:eastAsia="Arial" w:hAnsi="Arial"/>
          <w:sz w:val="16"/>
          <w:szCs w:val="16"/>
          <w:color w:val="auto"/>
        </w:rPr>
        <w:t>” means the 8.625% Senior Notes due 2030 issued by WIL-Bermuda on October 27, 2021 pursuant to the Senior Notes Indenture.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Indenture</w:t>
      </w:r>
      <w:r>
        <w:rPr>
          <w:rFonts w:ascii="Arial" w:cs="Arial" w:eastAsia="Arial" w:hAnsi="Arial"/>
          <w:sz w:val="18"/>
          <w:szCs w:val="18"/>
          <w:color w:val="auto"/>
        </w:rPr>
        <w:t>” means that certain Indenture, dated as of October 27, 2021,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w:t>
      </w:r>
      <w:r>
        <w:rPr>
          <w:rFonts w:ascii="Arial" w:cs="Arial" w:eastAsia="Arial" w:hAnsi="Arial"/>
          <w:sz w:val="18"/>
          <w:szCs w:val="18"/>
          <w:color w:val="auto"/>
        </w:rPr>
        <w:t>” means the 6.500% Senior Secured First Lien Notes due 2028 issued by WIL-Bermuda on September 30, 2021 pursuant to the Senior Secured Notes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Notes Indenture</w:t>
      </w:r>
      <w:r>
        <w:rPr>
          <w:rFonts w:ascii="Arial" w:cs="Arial" w:eastAsia="Arial" w:hAnsi="Arial"/>
          <w:sz w:val="17"/>
          <w:szCs w:val="17"/>
          <w:color w:val="auto"/>
        </w:rPr>
        <w:t>” means that certain Indenture, dated as of September 30, 2021,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Notes Secured Parties</w:t>
      </w:r>
      <w:r>
        <w:rPr>
          <w:rFonts w:ascii="Arial" w:cs="Arial" w:eastAsia="Arial" w:hAnsi="Arial"/>
          <w:sz w:val="17"/>
          <w:szCs w:val="17"/>
          <w:color w:val="auto"/>
        </w:rPr>
        <w:t>” means the First Lien Notes Secured Parties (as defined in the Senior Secured Notes Indenture).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Notes Trustee</w:t>
      </w:r>
      <w:r>
        <w:rPr>
          <w:rFonts w:ascii="Arial" w:cs="Arial" w:eastAsia="Arial" w:hAnsi="Arial"/>
          <w:sz w:val="18"/>
          <w:szCs w:val="18"/>
          <w:color w:val="auto"/>
        </w:rPr>
        <w:t>” means Wilmington Trust, National Association.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xml:space="preserve">”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w:t>
      </w:r>
      <w:r>
        <w:rPr>
          <w:rFonts w:ascii="Arial" w:cs="Arial" w:eastAsia="Arial" w:hAnsi="Arial"/>
          <w:sz w:val="18"/>
          <w:szCs w:val="18"/>
          <w:b w:val="1"/>
          <w:bCs w:val="1"/>
          <w:u w:val="single" w:color="auto"/>
          <w:color w:val="0000FF"/>
        </w:rPr>
        <w:t>Fourth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Amendment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Effective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xml:space="preserve"> ”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Specific Additional Lender</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4.13(a)</w:t>
      </w:r>
      <w:r>
        <w:rPr>
          <w:rFonts w:ascii="Arial" w:cs="Arial" w:eastAsia="Arial" w:hAnsi="Arial"/>
          <w:sz w:val="18"/>
          <w:szCs w:val="18"/>
          <w:b w:val="1"/>
          <w:bCs w:val="1"/>
          <w:color w:val="FF0000"/>
          <w:strike w:val="1"/>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Specific Lender Increase Effective Date</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4.13</w:t>
      </w:r>
      <w:r>
        <w:rPr>
          <w:rFonts w:ascii="Arial" w:cs="Arial" w:eastAsia="Arial" w:hAnsi="Arial"/>
          <w:sz w:val="18"/>
          <w:szCs w:val="18"/>
          <w:b w:val="1"/>
          <w:bCs w:val="1"/>
          <w:color w:val="FF0000"/>
          <w:strike w:val="1"/>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Specific Incremental Commitment Cap</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4.13</w:t>
      </w:r>
      <w:r>
        <w:rPr>
          <w:rFonts w:ascii="Arial" w:cs="Arial" w:eastAsia="Arial" w:hAnsi="Arial"/>
          <w:sz w:val="18"/>
          <w:szCs w:val="18"/>
          <w:b w:val="1"/>
          <w:bCs w:val="1"/>
          <w:color w:val="FF0000"/>
          <w:strike w:val="1"/>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Specific Incremental Commitment Increase</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4.13</w:t>
      </w:r>
      <w:r>
        <w:rPr>
          <w:rFonts w:ascii="Arial" w:cs="Arial" w:eastAsia="Arial" w:hAnsi="Arial"/>
          <w:sz w:val="18"/>
          <w:szCs w:val="18"/>
          <w:b w:val="1"/>
          <w:bCs w:val="1"/>
          <w:color w:val="FF0000"/>
          <w:strike w:val="1"/>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xml:space="preserve">” means any Disposition of property pursuant to certain potential transactions disclosed to the Administrative Agent prior to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Investment</w:t>
      </w:r>
      <w:r>
        <w:rPr>
          <w:rFonts w:ascii="Arial" w:cs="Arial" w:eastAsia="Arial" w:hAnsi="Arial"/>
          <w:sz w:val="17"/>
          <w:szCs w:val="17"/>
          <w:color w:val="auto"/>
        </w:rPr>
        <w:t xml:space="preserve">” has the meaning assigned thereto in the annex titled “Certain </w:t>
      </w:r>
      <w:r>
        <w:rPr>
          <w:rFonts w:ascii="Arial" w:cs="Arial" w:eastAsia="Arial" w:hAnsi="Arial"/>
          <w:sz w:val="17"/>
          <w:szCs w:val="17"/>
          <w:b w:val="1"/>
          <w:bCs w:val="1"/>
          <w:u w:val="single" w:color="auto"/>
          <w:color w:val="0000FF"/>
        </w:rPr>
        <w:t>Additional</w:t>
      </w:r>
      <w:r>
        <w:rPr>
          <w:rFonts w:ascii="Arial" w:cs="Arial" w:eastAsia="Arial" w:hAnsi="Arial"/>
          <w:sz w:val="17"/>
          <w:szCs w:val="17"/>
          <w:color w:val="auto"/>
        </w:rPr>
        <w:t xml:space="preserve"> Defined Terms” dated </w:t>
      </w:r>
      <w:r>
        <w:rPr>
          <w:rFonts w:ascii="Arial" w:cs="Arial" w:eastAsia="Arial" w:hAnsi="Arial"/>
          <w:sz w:val="17"/>
          <w:szCs w:val="17"/>
          <w:b w:val="1"/>
          <w:bCs w:val="1"/>
          <w:color w:val="FF0000"/>
          <w:strike w:val="1"/>
        </w:rPr>
        <w:t>September 28,</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2022</w:t>
      </w:r>
      <w:r>
        <w:rPr>
          <w:rFonts w:ascii="Arial" w:cs="Arial" w:eastAsia="Arial" w:hAnsi="Arial"/>
          <w:sz w:val="17"/>
          <w:szCs w:val="17"/>
          <w:b w:val="1"/>
          <w:bCs w:val="1"/>
          <w:u w:val="single" w:color="auto"/>
          <w:color w:val="0000FF"/>
        </w:rPr>
        <w:t>October 22, 2023</w:t>
      </w:r>
      <w:r>
        <w:rPr>
          <w:rFonts w:ascii="Arial" w:cs="Arial" w:eastAsia="Arial" w:hAnsi="Arial"/>
          <w:sz w:val="17"/>
          <w:szCs w:val="17"/>
          <w:b w:val="1"/>
          <w:bCs w:val="1"/>
          <w:color w:val="FF0000"/>
        </w:rPr>
        <w:t xml:space="preserve"> </w:t>
      </w:r>
      <w:r>
        <w:rPr>
          <w:rFonts w:ascii="Arial" w:cs="Arial" w:eastAsia="Arial" w:hAnsi="Arial"/>
          <w:sz w:val="17"/>
          <w:szCs w:val="17"/>
          <w:color w:val="000000"/>
        </w:rPr>
        <w:t>and provided separately to the Administrative Agent and each Lender prior to the</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Fourth Amendment</w:t>
      </w:r>
      <w:r>
        <w:rPr>
          <w:rFonts w:ascii="Arial" w:cs="Arial" w:eastAsia="Arial" w:hAnsi="Arial"/>
          <w:sz w:val="17"/>
          <w:szCs w:val="17"/>
          <w:b w:val="1"/>
          <w:bCs w:val="1"/>
          <w:color w:val="FF0000"/>
        </w:rPr>
        <w:t xml:space="preserve"> </w:t>
      </w:r>
      <w:r>
        <w:rPr>
          <w:rFonts w:ascii="Arial" w:cs="Arial" w:eastAsia="Arial" w:hAnsi="Arial"/>
          <w:sz w:val="17"/>
          <w:szCs w:val="17"/>
          <w:color w:val="000000"/>
        </w:rPr>
        <w:t>Effective Date.</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Eligible Deposit Account</w:t>
      </w:r>
      <w:r>
        <w:rPr>
          <w:rFonts w:ascii="Arial" w:cs="Arial" w:eastAsia="Arial" w:hAnsi="Arial"/>
          <w:sz w:val="18"/>
          <w:szCs w:val="18"/>
          <w:color w:val="auto"/>
        </w:rPr>
        <w:t xml:space="preserve">” means, with respect to any Obligor, such Obligor’s deposit accounts located in an Eligible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described in any of </w:t>
      </w:r>
      <w:r>
        <w:rPr>
          <w:rFonts w:ascii="Arial" w:cs="Arial" w:eastAsia="Arial" w:hAnsi="Arial"/>
          <w:sz w:val="18"/>
          <w:szCs w:val="18"/>
          <w:u w:val="single" w:color="auto"/>
          <w:color w:val="auto"/>
        </w:rPr>
        <w:t>Sections 10.01(a)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10.01(c)</w:t>
      </w:r>
      <w:r>
        <w:rPr>
          <w:rFonts w:ascii="Arial" w:cs="Arial" w:eastAsia="Arial" w:hAnsi="Arial"/>
          <w:sz w:val="18"/>
          <w:szCs w:val="18"/>
          <w:color w:val="auto"/>
        </w:rPr>
        <w:t xml:space="preserve"> (but only with respect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10.01(h)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10.01(i)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Ineligible Deposit Account</w:t>
      </w:r>
      <w:r>
        <w:rPr>
          <w:rFonts w:ascii="Arial" w:cs="Arial" w:eastAsia="Arial" w:hAnsi="Arial"/>
          <w:sz w:val="18"/>
          <w:szCs w:val="18"/>
          <w:color w:val="auto"/>
        </w:rPr>
        <w:t>” means, with respect to any Obligor, any such Obligor’s deposit accounts located in an Ineligible Jurisdiction.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Jurisdiction</w:t>
      </w:r>
      <w:r>
        <w:rPr>
          <w:rFonts w:ascii="Arial" w:cs="Arial" w:eastAsia="Arial" w:hAnsi="Arial"/>
          <w:sz w:val="18"/>
          <w:szCs w:val="18"/>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Arial" w:cs="Arial" w:eastAsia="Arial" w:hAnsi="Arial"/>
          <w:sz w:val="18"/>
          <w:szCs w:val="18"/>
          <w:u w:val="single" w:color="auto"/>
          <w:color w:val="auto"/>
        </w:rPr>
        <w:t>Section 8.08(b)</w:t>
      </w:r>
      <w:r>
        <w:rPr>
          <w:rFonts w:ascii="Arial" w:cs="Arial" w:eastAsia="Arial" w:hAnsi="Arial"/>
          <w:sz w:val="18"/>
          <w:szCs w:val="18"/>
          <w:color w:val="auto"/>
        </w:rPr>
        <w:t xml:space="preserve"> and (b) any “Specified Jurisdiction” (or the equivalent) under the Senior Secured Notes Indenture. In no event shall any Excluded Jurisdiction be or become a Specified Jurisdiction.</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“Specified Lender” means each Lender identified on Schedule 1.01E hereto; provided that to the extent such Specified Lender or any Affiliate thereof is no longer a Lender, upon the date such Specified Lender or Affiliate thereof ceases to be a Lender, neither it nor its successors or assigns shall be a Specified Lender.</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Senior Indebtedness</w:t>
      </w:r>
      <w:r>
        <w:rPr>
          <w:rFonts w:ascii="Arial" w:cs="Arial" w:eastAsia="Arial" w:hAnsi="Arial"/>
          <w:sz w:val="18"/>
          <w:szCs w:val="18"/>
          <w:color w:val="auto"/>
        </w:rPr>
        <w:t xml:space="preserve">” means all Funded Indebtedness (which for purposes of </w:t>
      </w:r>
      <w:r>
        <w:rPr>
          <w:rFonts w:ascii="Arial" w:cs="Arial" w:eastAsia="Arial" w:hAnsi="Arial"/>
          <w:sz w:val="18"/>
          <w:szCs w:val="18"/>
          <w:u w:val="single" w:color="auto"/>
          <w:color w:val="auto"/>
        </w:rPr>
        <w:t>Section 9.01(j)</w:t>
      </w:r>
      <w:r>
        <w:rPr>
          <w:rFonts w:ascii="Arial" w:cs="Arial" w:eastAsia="Arial" w:hAnsi="Arial"/>
          <w:sz w:val="18"/>
          <w:szCs w:val="18"/>
          <w:color w:val="auto"/>
        </w:rPr>
        <w:t xml:space="preserve"> only, shall also include Indebtedness of any type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“Indebtedness”) of the Obligors.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State</w:t>
      </w:r>
      <w:r>
        <w:rPr>
          <w:rFonts w:ascii="Arial" w:cs="Arial" w:eastAsia="Arial" w:hAnsi="Arial"/>
          <w:sz w:val="18"/>
          <w:szCs w:val="18"/>
          <w:color w:val="auto"/>
        </w:rPr>
        <w:t>” means each jurisdiction of organization of the Restricted Subsidiaries, other than any Excluded Jurisdiction.</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means</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 subject to Section 4.09,</w:t>
      </w:r>
      <w:r>
        <w:rPr>
          <w:rFonts w:ascii="Arial" w:cs="Arial" w:eastAsia="Arial" w:hAnsi="Arial"/>
          <w:sz w:val="16"/>
          <w:szCs w:val="16"/>
          <w:color w:val="auto"/>
        </w:rPr>
        <w:t xml:space="preserve"> for a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w:t>
      </w:r>
      <w:r>
        <w:rPr>
          <w:rFonts w:ascii="Arial" w:cs="Arial" w:eastAsia="Arial" w:hAnsi="Arial"/>
          <w:sz w:val="16"/>
          <w:szCs w:val="16"/>
          <w:b w:val="1"/>
          <w:bCs w:val="1"/>
          <w:color w:val="FF0000"/>
          <w:strike w:val="1"/>
        </w:rPr>
        <w:t>as reflected in</w:t>
      </w:r>
      <w:r>
        <w:rPr>
          <w:rFonts w:ascii="Arial" w:cs="Arial" w:eastAsia="Arial" w:hAnsi="Arial"/>
          <w:sz w:val="16"/>
          <w:szCs w:val="16"/>
          <w:b w:val="1"/>
          <w:bCs w:val="1"/>
          <w:u w:val="single" w:color="auto"/>
          <w:color w:val="0000FF"/>
        </w:rPr>
        <w:t>at a time selected by</w:t>
      </w:r>
      <w:r>
        <w:rPr>
          <w:rFonts w:ascii="Arial" w:cs="Arial" w:eastAsia="Arial" w:hAnsi="Arial"/>
          <w:sz w:val="16"/>
          <w:szCs w:val="16"/>
          <w:color w:val="auto"/>
        </w:rPr>
        <w:t xml:space="preserve"> the Administrative </w:t>
      </w:r>
      <w:r>
        <w:rPr>
          <w:rFonts w:ascii="Arial" w:cs="Arial" w:eastAsia="Arial" w:hAnsi="Arial"/>
          <w:sz w:val="16"/>
          <w:szCs w:val="16"/>
          <w:b w:val="1"/>
          <w:bCs w:val="1"/>
          <w:color w:val="FF0000"/>
          <w:strike w:val="1"/>
        </w:rPr>
        <w:t>Agent’s loan accounting system of</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 xml:space="preserve">record on or about the date of determination. Notwithstanding the foregoing provisions of this definition or the definition of “Dollar Equivalent”, each Issuing Bank may, solely for purposes of computing the fronting fee owed to such Issuing Bank and paid directly pursuant to </w:t>
      </w:r>
      <w:r>
        <w:rPr>
          <w:rFonts w:ascii="Arial" w:cs="Arial" w:eastAsia="Arial" w:hAnsi="Arial"/>
          <w:sz w:val="16"/>
          <w:szCs w:val="16"/>
          <w:b w:val="1"/>
          <w:bCs w:val="1"/>
          <w:u w:val="single" w:color="auto"/>
          <w:color w:val="FF0000"/>
          <w:strike w:val="1"/>
        </w:rPr>
        <w:t>Section 4.05(b)</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(ii)</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color w:val="008000"/>
          <w:strike w:val="1"/>
        </w:rPr>
        <w:t>compute the Dollar Equivalent of the maximum amount of each applicable Letter of Credit issued by such Issuing Bank by reference to exchange rates</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color w:val="008000"/>
          <w:strike w:val="1"/>
        </w:rPr>
        <w:t xml:space="preserve">determined using any reasonable method customarily employed by such Issuing Bank for such </w:t>
      </w:r>
      <w:r>
        <w:rPr>
          <w:rFonts w:ascii="Arial" w:cs="Arial" w:eastAsia="Arial" w:hAnsi="Arial"/>
          <w:sz w:val="16"/>
          <w:szCs w:val="16"/>
          <w:b w:val="1"/>
          <w:bCs w:val="1"/>
          <w:color w:val="FF0000"/>
          <w:strike w:val="1"/>
        </w:rPr>
        <w:t>purpose.</w:t>
      </w:r>
      <w:r>
        <w:rPr>
          <w:rFonts w:ascii="Arial" w:cs="Arial" w:eastAsia="Arial" w:hAnsi="Arial"/>
          <w:sz w:val="16"/>
          <w:szCs w:val="16"/>
          <w:b w:val="1"/>
          <w:bCs w:val="1"/>
          <w:u w:val="single" w:color="auto"/>
          <w:color w:val="0000FF"/>
          <w:strike w:val="1"/>
        </w:rPr>
        <w:t>Agent in accordance with the procedures</w:t>
      </w:r>
      <w:r>
        <w:rPr>
          <w:rFonts w:ascii="Arial" w:cs="Arial" w:eastAsia="Arial" w:hAnsi="Arial"/>
          <w:sz w:val="16"/>
          <w:szCs w:val="16"/>
          <w:i w:val="1"/>
          <w:iCs w:val="1"/>
          <w:color w:val="008000"/>
          <w:strike w:val="1"/>
        </w:rPr>
        <w:t xml:space="preserve"> </w:t>
      </w:r>
      <w:r>
        <w:rPr>
          <w:rFonts w:ascii="Arial" w:cs="Arial" w:eastAsia="Arial" w:hAnsi="Arial"/>
          <w:sz w:val="16"/>
          <w:szCs w:val="16"/>
          <w:b w:val="1"/>
          <w:bCs w:val="1"/>
          <w:u w:val="single" w:color="auto"/>
          <w:color w:val="0000FF"/>
          <w:strike w:val="1"/>
        </w:rPr>
        <w:t>generally used by the Administrative Agent for syndicated credit facilities in which it acts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1968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Standalone Performance LCs</w:t>
      </w:r>
      <w:r>
        <w:rPr>
          <w:rFonts w:ascii="Arial" w:cs="Arial" w:eastAsia="Arial" w:hAnsi="Arial"/>
          <w:sz w:val="16"/>
          <w:szCs w:val="16"/>
          <w:color w:val="auto"/>
        </w:rPr>
        <w:t xml:space="preserve">” means any Performance LC issued on a bilateral basis by a Lender, an Affiliate of a Lender or any other Person for the benefit of any Obligor or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written notice designating such issuer as an issuer of one or more Standalone Performance LCs shall be delivered to the Administrative Agent in a Compliance Certificate required pursuant to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without limiting the requirement described in the immediately preceding proviso, such written notice of designation may be delivered to the Administrative Agent prior to the date a </w:t>
      </w:r>
      <w:r>
        <w:rPr>
          <w:rFonts w:ascii="Arial" w:cs="Arial" w:eastAsia="Arial" w:hAnsi="Arial"/>
          <w:sz w:val="16"/>
          <w:szCs w:val="16"/>
          <w:b w:val="1"/>
          <w:bCs w:val="1"/>
          <w:color w:val="FF0000"/>
          <w:strike w:val="1"/>
        </w:rPr>
        <w:t>Complaince</w:t>
      </w:r>
      <w:r>
        <w:rPr>
          <w:rFonts w:ascii="Arial" w:cs="Arial" w:eastAsia="Arial" w:hAnsi="Arial"/>
          <w:sz w:val="16"/>
          <w:szCs w:val="16"/>
          <w:b w:val="1"/>
          <w:bCs w:val="1"/>
          <w:u w:val="single" w:color="auto"/>
          <w:color w:val="0000FF"/>
        </w:rPr>
        <w:t>Compliance</w:t>
      </w:r>
      <w:r>
        <w:rPr>
          <w:rFonts w:ascii="Arial" w:cs="Arial" w:eastAsia="Arial" w:hAnsi="Arial"/>
          <w:sz w:val="16"/>
          <w:szCs w:val="16"/>
          <w:color w:val="auto"/>
        </w:rPr>
        <w:t xml:space="preserve"> Certificate is required to be delivered pursuant to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notice shall be required with respect to Wells Fargo or any Affiliate thereof that is an issuer of one or more Performance LCs</w:t>
      </w:r>
      <w:r>
        <w:rPr>
          <w:rFonts w:ascii="Arial" w:cs="Arial" w:eastAsia="Arial" w:hAnsi="Arial"/>
          <w:sz w:val="16"/>
          <w:szCs w:val="16"/>
          <w:b w:val="1"/>
          <w:bCs w:val="1"/>
          <w:color w:val="FF0000"/>
          <w:strike w:val="1"/>
        </w:rPr>
        <w:t>)</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Cash Collateralization Date</w:t>
      </w:r>
      <w:r>
        <w:rPr>
          <w:rFonts w:ascii="Arial" w:cs="Arial" w:eastAsia="Arial" w:hAnsi="Arial"/>
          <w:sz w:val="18"/>
          <w:szCs w:val="18"/>
          <w:color w:val="auto"/>
        </w:rPr>
        <w:t>” means the date that is 90 days before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w:t>
      </w:r>
      <w:r>
        <w:rPr>
          <w:rFonts w:ascii="Arial" w:cs="Arial" w:eastAsia="Arial" w:hAnsi="Arial"/>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that is Subordinated.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Chain Transactions</w:t>
      </w:r>
      <w:r>
        <w:rPr>
          <w:rFonts w:ascii="Arial" w:cs="Arial" w:eastAsia="Arial" w:hAnsi="Arial"/>
          <w:sz w:val="18"/>
          <w:szCs w:val="18"/>
          <w:color w:val="auto"/>
        </w:rPr>
        <w:t>” has the meaning assigned thereto in the annex titled “Certain Defined Terms” dated September 28, 2022 and provided separately to the Administrative Agent and each Lender prior to the Effective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the definition of “Redomestication”.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xml:space="preserve">” means, with respect to any Obligor, any obligation to pay or perform under any agreement, contract or transaction that constitutes a “swap” within the meaning of section 1a(47) of the Commodity Exchange Act. </w:t>
      </w:r>
      <w:r>
        <w:rPr>
          <w:rFonts w:ascii="Arial" w:cs="Arial" w:eastAsia="Arial" w:hAnsi="Arial"/>
          <w:sz w:val="18"/>
          <w:szCs w:val="18"/>
          <w:b w:val="1"/>
          <w:bCs w:val="1"/>
          <w:u w:val="single" w:color="auto"/>
          <w:color w:val="0000FF"/>
        </w:rPr>
        <w:t>For the avoidance of doubt, the obligations of the Parent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and/or any Restricted Subsidiary under any Permitted Bond Hedge Transaction and/or any Permitted Warrant Transaction shall not constitute Swap Obligations.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Borrower</w:t>
      </w:r>
      <w:r>
        <w:rPr>
          <w:rFonts w:ascii="Arial" w:cs="Arial" w:eastAsia="Arial" w:hAnsi="Arial"/>
          <w:sz w:val="18"/>
          <w:szCs w:val="18"/>
          <w:color w:val="auto"/>
        </w:rPr>
        <w:t>” means any Borrower organized under the laws of Switzerland or, if different, deemed resident in Switzerland for Swiss Withholding Tax purposes</w:t>
      </w:r>
      <w:r>
        <w:rPr>
          <w:rFonts w:ascii="Arial" w:cs="Arial" w:eastAsia="Arial" w:hAnsi="Arial"/>
          <w:sz w:val="18"/>
          <w:szCs w:val="18"/>
          <w:b w:val="1"/>
          <w:bCs w:val="1"/>
          <w:u w:val="single" w:color="auto"/>
          <w:color w:val="0000FF"/>
        </w:rPr>
        <w:t>, including, as of the Fourth Amendment Effective Date, WIL-Switzerland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Federal Tax Administration</w:t>
      </w:r>
      <w:r>
        <w:rPr>
          <w:rFonts w:ascii="Arial" w:cs="Arial" w:eastAsia="Arial" w:hAnsi="Arial"/>
          <w:sz w:val="18"/>
          <w:szCs w:val="18"/>
          <w:color w:val="auto"/>
        </w:rPr>
        <w:t>” means the tax authorities referred to in article 34 of the Swiss Federal Act on Withholding Tax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über die Verrechnungssteuer vom 13. Oktober </w:t>
      </w:r>
      <w:r>
        <w:rPr>
          <w:rFonts w:ascii="Arial" w:cs="Arial" w:eastAsia="Arial" w:hAnsi="Arial"/>
          <w:sz w:val="18"/>
          <w:szCs w:val="18"/>
          <w:color w:val="auto"/>
        </w:rPr>
        <w:t>1965, SR 642.21).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Franc</w:t>
      </w:r>
      <w:r>
        <w:rPr>
          <w:rFonts w:ascii="Arial" w:cs="Arial" w:eastAsia="Arial" w:hAnsi="Arial"/>
          <w:sz w:val="18"/>
          <w:szCs w:val="18"/>
          <w:color w:val="auto"/>
        </w:rPr>
        <w:t>” or “</w:t>
      </w:r>
      <w:r>
        <w:rPr>
          <w:rFonts w:ascii="Arial" w:cs="Arial" w:eastAsia="Arial" w:hAnsi="Arial"/>
          <w:sz w:val="18"/>
          <w:szCs w:val="18"/>
          <w:u w:val="single" w:color="auto"/>
          <w:color w:val="auto"/>
        </w:rPr>
        <w:t>CHF</w:t>
      </w:r>
      <w:r>
        <w:rPr>
          <w:rFonts w:ascii="Arial" w:cs="Arial" w:eastAsia="Arial" w:hAnsi="Arial"/>
          <w:sz w:val="18"/>
          <w:szCs w:val="18"/>
          <w:color w:val="auto"/>
        </w:rPr>
        <w:t>” means the lawful currency of Switzerland.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Guarantor</w:t>
      </w:r>
      <w:r>
        <w:rPr>
          <w:rFonts w:ascii="Arial" w:cs="Arial" w:eastAsia="Arial" w:hAnsi="Arial"/>
          <w:sz w:val="18"/>
          <w:szCs w:val="18"/>
          <w:color w:val="auto"/>
        </w:rPr>
        <w:t>” means any Guarantor incorporated in Switzerland and/or having its registered office in Switzerland and/or qualifying as a Swiss resident pursuant to art 9 of the Swiss Withholding Tax Act.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Swiss Guidelines</w:t>
      </w:r>
      <w:r>
        <w:rPr>
          <w:rFonts w:ascii="Arial" w:cs="Arial" w:eastAsia="Arial" w:hAnsi="Arial"/>
          <w:sz w:val="17"/>
          <w:szCs w:val="17"/>
          <w:color w:val="auto"/>
        </w:rPr>
        <w:t>” means, together, guideline S-02.123 in relation to interbank loans of 22 September 1986 (</w:t>
      </w:r>
      <w:r>
        <w:rPr>
          <w:rFonts w:ascii="Arial" w:cs="Arial" w:eastAsia="Arial" w:hAnsi="Arial"/>
          <w:sz w:val="17"/>
          <w:szCs w:val="17"/>
          <w:i w:val="1"/>
          <w:iCs w:val="1"/>
          <w:color w:val="auto"/>
        </w:rPr>
        <w:t>Merkblatt “Verrechnungssteuer auf</w:t>
      </w:r>
      <w:r>
        <w:rPr>
          <w:rFonts w:ascii="Arial" w:cs="Arial" w:eastAsia="Arial" w:hAnsi="Arial"/>
          <w:sz w:val="17"/>
          <w:szCs w:val="17"/>
          <w:color w:val="auto"/>
        </w:rPr>
        <w:t xml:space="preserve"> </w:t>
      </w:r>
      <w:r>
        <w:rPr>
          <w:rFonts w:ascii="Arial" w:cs="Arial" w:eastAsia="Arial" w:hAnsi="Arial"/>
          <w:sz w:val="17"/>
          <w:szCs w:val="17"/>
          <w:i w:val="1"/>
          <w:iCs w:val="1"/>
          <w:color w:val="auto"/>
        </w:rPr>
        <w:t>Zinsen von Bankguthaben, deren Gläubiger Banken sind (Interbankguthaben)” vom 22. September 1986</w:t>
      </w:r>
      <w:r>
        <w:rPr>
          <w:rFonts w:ascii="Arial" w:cs="Arial" w:eastAsia="Arial" w:hAnsi="Arial"/>
          <w:sz w:val="17"/>
          <w:szCs w:val="17"/>
          <w:color w:val="auto"/>
        </w:rPr>
        <w:t>), circular letter No. 47 in relation to bonds of 25</w:t>
      </w:r>
      <w:r>
        <w:rPr>
          <w:rFonts w:ascii="Arial" w:cs="Arial" w:eastAsia="Arial" w:hAnsi="Arial"/>
          <w:sz w:val="17"/>
          <w:szCs w:val="17"/>
          <w:i w:val="1"/>
          <w:iCs w:val="1"/>
          <w:color w:val="auto"/>
        </w:rPr>
        <w:t xml:space="preserve"> </w:t>
      </w:r>
      <w:r>
        <w:rPr>
          <w:rFonts w:ascii="Arial" w:cs="Arial" w:eastAsia="Arial" w:hAnsi="Arial"/>
          <w:sz w:val="17"/>
          <w:szCs w:val="17"/>
          <w:color w:val="auto"/>
        </w:rPr>
        <w:t>July 2019 (1-047-V-2019) (</w:t>
      </w:r>
      <w:r>
        <w:rPr>
          <w:rFonts w:ascii="Arial" w:cs="Arial" w:eastAsia="Arial" w:hAnsi="Arial"/>
          <w:sz w:val="17"/>
          <w:szCs w:val="17"/>
          <w:i w:val="1"/>
          <w:iCs w:val="1"/>
          <w:color w:val="auto"/>
        </w:rPr>
        <w:t>Kreisschreiben Nr. 47 “Obligationen” vom 25. Juli 2019</w:t>
      </w:r>
      <w:r>
        <w:rPr>
          <w:rFonts w:ascii="Arial" w:cs="Arial" w:eastAsia="Arial" w:hAnsi="Arial"/>
          <w:sz w:val="17"/>
          <w:szCs w:val="17"/>
          <w:color w:val="auto"/>
        </w:rPr>
        <w:t>), guideline S-02.130.1 in relation to money market instruments and book claims of April 1999 (</w:t>
      </w:r>
      <w:r>
        <w:rPr>
          <w:rFonts w:ascii="Arial" w:cs="Arial" w:eastAsia="Arial" w:hAnsi="Arial"/>
          <w:sz w:val="17"/>
          <w:szCs w:val="17"/>
          <w:i w:val="1"/>
          <w:iCs w:val="1"/>
          <w:color w:val="auto"/>
        </w:rPr>
        <w:t>Merkblatt vom April 1999 betreffend Geldmarktpapiere und Buchforderungen inländischer Schuldner</w:t>
      </w:r>
      <w:r>
        <w:rPr>
          <w:rFonts w:ascii="Arial" w:cs="Arial" w:eastAsia="Arial" w:hAnsi="Arial"/>
          <w:sz w:val="17"/>
          <w:szCs w:val="17"/>
          <w:color w:val="auto"/>
        </w:rPr>
        <w:t>), circular letter No. 46 of 24 July 2019 (1-046-VS-2019) in relation to syndicated credit facilities (</w:t>
      </w:r>
      <w:r>
        <w:rPr>
          <w:rFonts w:ascii="Arial" w:cs="Arial" w:eastAsia="Arial" w:hAnsi="Arial"/>
          <w:sz w:val="17"/>
          <w:szCs w:val="17"/>
          <w:i w:val="1"/>
          <w:iCs w:val="1"/>
          <w:color w:val="auto"/>
        </w:rPr>
        <w:t>Kreisschreiben Nr. 46 “Steuerliche Behandlung von Konsortialdarlehen,</w:t>
      </w:r>
      <w:r>
        <w:rPr>
          <w:rFonts w:ascii="Arial" w:cs="Arial" w:eastAsia="Arial" w:hAnsi="Arial"/>
          <w:sz w:val="17"/>
          <w:szCs w:val="17"/>
          <w:color w:val="auto"/>
        </w:rPr>
        <w:t xml:space="preserve"> </w:t>
      </w:r>
      <w:r>
        <w:rPr>
          <w:rFonts w:ascii="Arial" w:cs="Arial" w:eastAsia="Arial" w:hAnsi="Arial"/>
          <w:sz w:val="17"/>
          <w:szCs w:val="17"/>
          <w:i w:val="1"/>
          <w:iCs w:val="1"/>
          <w:color w:val="auto"/>
        </w:rPr>
        <w:t>Schuldscheindarlehen, Wechseln und Unterbeteiligungen” vom 24. Juli 2019</w:t>
      </w:r>
      <w:r>
        <w:rPr>
          <w:rFonts w:ascii="Arial" w:cs="Arial" w:eastAsia="Arial" w:hAnsi="Arial"/>
          <w:sz w:val="17"/>
          <w:szCs w:val="17"/>
          <w:color w:val="auto"/>
        </w:rPr>
        <w:t>), circular letter No. 34 of 26 July 2011 (1-034-V-2011) in relation to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Kreisschreiben Nr. 34 “Kundenguthaben” vom 26. Juli 2011</w:t>
      </w:r>
      <w:r>
        <w:rPr>
          <w:rFonts w:ascii="Arial" w:cs="Arial" w:eastAsia="Arial" w:hAnsi="Arial"/>
          <w:sz w:val="17"/>
          <w:szCs w:val="17"/>
          <w:color w:val="auto"/>
        </w:rPr>
        <w:t>), the circular letter No. 15 of 3 October 2017 (1-015-DVS-2017) in relation to bonds and derivative financial instruments as subject matter of taxation of Swiss federal income tax, Swiss withholding tax and Swiss stamp taxes (</w:t>
      </w:r>
      <w:r>
        <w:rPr>
          <w:rFonts w:ascii="Arial" w:cs="Arial" w:eastAsia="Arial" w:hAnsi="Arial"/>
          <w:sz w:val="17"/>
          <w:szCs w:val="17"/>
          <w:i w:val="1"/>
          <w:iCs w:val="1"/>
          <w:color w:val="auto"/>
        </w:rPr>
        <w:t>Kreisschreiben Nr.</w:t>
      </w:r>
      <w:r>
        <w:rPr>
          <w:rFonts w:ascii="Arial" w:cs="Arial" w:eastAsia="Arial" w:hAnsi="Arial"/>
          <w:sz w:val="17"/>
          <w:szCs w:val="17"/>
          <w:color w:val="auto"/>
        </w:rPr>
        <w:t xml:space="preserve"> </w:t>
      </w:r>
      <w:r>
        <w:rPr>
          <w:rFonts w:ascii="Arial" w:cs="Arial" w:eastAsia="Arial" w:hAnsi="Arial"/>
          <w:sz w:val="17"/>
          <w:szCs w:val="17"/>
          <w:i w:val="1"/>
          <w:iCs w:val="1"/>
          <w:color w:val="auto"/>
        </w:rPr>
        <w:t>15 “Obligationen und derivative Finanzinstrumente als Gegenstand der direkten Bundessteuer, der Verrechnungssteuer und der Stempelabgaben” vom 3. Oktober 2017</w:t>
      </w:r>
      <w:r>
        <w:rPr>
          <w:rFonts w:ascii="Arial" w:cs="Arial" w:eastAsia="Arial" w:hAnsi="Arial"/>
          <w:sz w:val="17"/>
          <w:szCs w:val="17"/>
          <w:color w:val="auto"/>
        </w:rPr>
        <w:t>) and the notification regarding credit balances in groups (Mitteilung 010-DVS-2019 of February 2019 betreffend “Verrechnungssteuer:</w:t>
      </w:r>
      <w:r>
        <w:rPr>
          <w:rFonts w:ascii="Arial" w:cs="Arial" w:eastAsia="Arial" w:hAnsi="Arial"/>
          <w:sz w:val="17"/>
          <w:szCs w:val="17"/>
          <w:i w:val="1"/>
          <w:iCs w:val="1"/>
          <w:color w:val="auto"/>
        </w:rPr>
        <w:t xml:space="preserve"> </w:t>
      </w:r>
      <w:r>
        <w:rPr>
          <w:rFonts w:ascii="Arial" w:cs="Arial" w:eastAsia="Arial" w:hAnsi="Arial"/>
          <w:sz w:val="17"/>
          <w:szCs w:val="17"/>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Non-Bank Rules</w:t>
      </w:r>
      <w:r>
        <w:rPr>
          <w:rFonts w:ascii="Arial" w:cs="Arial" w:eastAsia="Arial" w:hAnsi="Arial"/>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Non-Qualifying Lender</w:t>
      </w:r>
      <w:r>
        <w:rPr>
          <w:rFonts w:ascii="Arial" w:cs="Arial" w:eastAsia="Arial" w:hAnsi="Arial"/>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Obligor</w:t>
      </w:r>
      <w:r>
        <w:rPr>
          <w:rFonts w:ascii="Arial" w:cs="Arial" w:eastAsia="Arial" w:hAnsi="Arial"/>
          <w:sz w:val="18"/>
          <w:szCs w:val="18"/>
          <w:color w:val="auto"/>
        </w:rPr>
        <w:t>” means a Swiss Borrower or a Swiss Guarantor.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Qualifying Lender</w:t>
      </w:r>
      <w:r>
        <w:rPr>
          <w:rFonts w:ascii="Arial" w:cs="Arial" w:eastAsia="Arial" w:hAnsi="Arial"/>
          <w:sz w:val="18"/>
          <w:szCs w:val="18"/>
          <w:color w:val="auto"/>
        </w:rPr>
        <w:t>” means (a) a bank as defined in the Swiss Federal Code for Banks and Savings Banks dated 8 November 1934 (</w:t>
      </w:r>
      <w:r>
        <w:rPr>
          <w:rFonts w:ascii="Arial" w:cs="Arial" w:eastAsia="Arial" w:hAnsi="Arial"/>
          <w:sz w:val="18"/>
          <w:szCs w:val="18"/>
          <w:i w:val="1"/>
          <w:iCs w:val="1"/>
          <w:color w:val="auto"/>
        </w:rPr>
        <w:t>Bundesgesetz über die Banken und Sparkassen</w:t>
      </w:r>
      <w:r>
        <w:rPr>
          <w:rFonts w:ascii="Arial" w:cs="Arial" w:eastAsia="Arial" w:hAnsi="Arial"/>
          <w:sz w:val="18"/>
          <w:szCs w:val="18"/>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Security Documents</w:t>
      </w:r>
      <w:r>
        <w:rPr>
          <w:rFonts w:ascii="Arial" w:cs="Arial" w:eastAsia="Arial" w:hAnsi="Arial"/>
          <w:sz w:val="18"/>
          <w:szCs w:val="18"/>
          <w:color w:val="auto"/>
        </w:rPr>
        <w:t>” means the Security Agreements governed by the laws of Switzerland.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Ten Non-Bank Rule</w:t>
      </w:r>
      <w:r>
        <w:rPr>
          <w:rFonts w:ascii="Arial" w:cs="Arial" w:eastAsia="Arial" w:hAnsi="Arial"/>
          <w:sz w:val="18"/>
          <w:szCs w:val="18"/>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Twenty Non-Bank Rule</w:t>
      </w:r>
      <w:r>
        <w:rPr>
          <w:rFonts w:ascii="Arial" w:cs="Arial" w:eastAsia="Arial" w:hAnsi="Arial"/>
          <w:sz w:val="16"/>
          <w:szCs w:val="16"/>
          <w:color w:val="auto"/>
        </w:rPr>
        <w:t>” means the rule that the aggregate number of creditors other than Swiss Qualifying Lenders of a Swiss Obligor under all its outstanding debts relevant for the classification as debentures (</w:t>
      </w:r>
      <w:r>
        <w:rPr>
          <w:rFonts w:ascii="Arial" w:cs="Arial" w:eastAsia="Arial" w:hAnsi="Arial"/>
          <w:sz w:val="16"/>
          <w:szCs w:val="16"/>
          <w:i w:val="1"/>
          <w:iCs w:val="1"/>
          <w:color w:val="auto"/>
        </w:rPr>
        <w:t>Kassenobligation</w:t>
      </w:r>
      <w:r>
        <w:rPr>
          <w:rFonts w:ascii="Arial" w:cs="Arial" w:eastAsia="Arial" w:hAnsi="Arial"/>
          <w:sz w:val="16"/>
          <w:szCs w:val="16"/>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taxes imposed under the Swiss Withholding Tax Act.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 Act</w:t>
      </w:r>
      <w:r>
        <w:rPr>
          <w:rFonts w:ascii="Arial" w:cs="Arial" w:eastAsia="Arial" w:hAnsi="Arial"/>
          <w:sz w:val="18"/>
          <w:szCs w:val="18"/>
          <w:color w:val="auto"/>
        </w:rPr>
        <w:t xml:space="preserve">” means the Swiss Federal Act on </w:t>
      </w:r>
      <w:r>
        <w:rPr>
          <w:rFonts w:ascii="Arial" w:cs="Arial" w:eastAsia="Arial" w:hAnsi="Arial"/>
          <w:sz w:val="18"/>
          <w:szCs w:val="18"/>
          <w:b w:val="1"/>
          <w:bCs w:val="1"/>
          <w:color w:val="FF0000"/>
          <w:strike w:val="1"/>
        </w:rPr>
        <w:t>the</w:t>
      </w:r>
      <w:r>
        <w:rPr>
          <w:rFonts w:ascii="Arial" w:cs="Arial" w:eastAsia="Arial" w:hAnsi="Arial"/>
          <w:sz w:val="18"/>
          <w:szCs w:val="18"/>
          <w:color w:val="auto"/>
        </w:rPr>
        <w:t xml:space="preserve"> Withholding Tax of 13 October 1965 (</w:t>
      </w:r>
      <w:r>
        <w:rPr>
          <w:rFonts w:ascii="Arial" w:cs="Arial" w:eastAsia="Arial" w:hAnsi="Arial"/>
          <w:sz w:val="18"/>
          <w:szCs w:val="18"/>
          <w:i w:val="1"/>
          <w:iCs w:val="1"/>
          <w:color w:val="auto"/>
        </w:rPr>
        <w:t>Bundesgesetz über die</w:t>
      </w:r>
      <w:r>
        <w:rPr>
          <w:rFonts w:ascii="Arial" w:cs="Arial" w:eastAsia="Arial" w:hAnsi="Arial"/>
          <w:sz w:val="18"/>
          <w:szCs w:val="18"/>
          <w:color w:val="auto"/>
        </w:rPr>
        <w:t xml:space="preserve"> </w:t>
      </w:r>
      <w:r>
        <w:rPr>
          <w:rFonts w:ascii="Arial" w:cs="Arial" w:eastAsia="Arial" w:hAnsi="Arial"/>
          <w:sz w:val="18"/>
          <w:szCs w:val="18"/>
          <w:i w:val="1"/>
          <w:iCs w:val="1"/>
          <w:color w:val="auto"/>
        </w:rPr>
        <w:t>Verrechnungssteuer</w:t>
      </w:r>
      <w:r>
        <w:rPr>
          <w:rFonts w:ascii="Arial" w:cs="Arial" w:eastAsia="Arial" w:hAnsi="Arial"/>
          <w:sz w:val="18"/>
          <w:szCs w:val="18"/>
          <w:color w:val="auto"/>
        </w:rPr>
        <w:t>), together with the related ordinances, regulations and guidelines, all as amended and applicable from time to time.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is open for the settlement of payments in Euros.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taxes, levies, imposts, duties, fees, assessments or other charges of whatever nature now or hereafter imposed by any taxing authority, and all interest, penalties or similar liabilities with respect thereto.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CORRA</w:t>
      </w:r>
      <w:r>
        <w:rPr>
          <w:rFonts w:ascii="Arial" w:cs="Arial" w:eastAsia="Arial" w:hAnsi="Arial"/>
          <w:sz w:val="18"/>
          <w:szCs w:val="18"/>
          <w:color w:val="auto"/>
        </w:rPr>
        <w:t>” means, for the applicable corresponding tenor, the forward-looking term rate based on CORRA that has been selected or recommended by the Relevant Governmental Body, and that is published by an authorized benchmark administrator and is displayed on a screen or other information service,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CORRA Notice</w:t>
      </w:r>
      <w:r>
        <w:rPr>
          <w:rFonts w:ascii="Arial" w:cs="Arial" w:eastAsia="Arial" w:hAnsi="Arial"/>
          <w:sz w:val="18"/>
          <w:szCs w:val="18"/>
          <w:color w:val="auto"/>
        </w:rPr>
        <w:t>” means the notification by the Administrative Agent to the Lenders and the Borrowers of the occurrence of a Term CORRA Transition Event.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CORRA Transition Date</w:t>
      </w:r>
      <w:r>
        <w:rPr>
          <w:rFonts w:ascii="Arial" w:cs="Arial" w:eastAsia="Arial" w:hAnsi="Arial"/>
          <w:sz w:val="18"/>
          <w:szCs w:val="18"/>
          <w:color w:val="auto"/>
        </w:rPr>
        <w:t>” means, in the case of a Term CORRA Transition Event, the date that is set forth in the Term CORRA Notice provided to the Lenders and the Borrowers, for the replacement of the then-current Benchmark with the Benchmark Replacement described in clause (a) (i) of such definition, which date shall be at least thirty (30) Business Days from the date of the Term CORRA Notice.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CORRA Transition Event</w:t>
      </w:r>
      <w:r>
        <w:rPr>
          <w:rFonts w:ascii="Arial" w:cs="Arial" w:eastAsia="Arial" w:hAnsi="Arial"/>
          <w:sz w:val="16"/>
          <w:szCs w:val="16"/>
          <w:color w:val="auto"/>
        </w:rPr>
        <w:t xml:space="preserve">” means the determination by the Administrative Agent that (a) Term CORRA has been recommended for use by the Relevant Governmental Body, and is determinable for any Available Tenor, (b) the administration of Term CORRA is administratively feasible for the Administrative Agent and (c) a Benchmark Replacement, other than Term CORRA, has replaced CDOR in accordance with </w:t>
      </w:r>
      <w:r>
        <w:rPr>
          <w:rFonts w:ascii="Arial" w:cs="Arial" w:eastAsia="Arial" w:hAnsi="Arial"/>
          <w:sz w:val="16"/>
          <w:szCs w:val="16"/>
          <w:u w:val="single" w:color="auto"/>
          <w:color w:val="auto"/>
        </w:rPr>
        <w:t>Section 4.06(c)(i)(B)</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225" w:lineRule="exact"/>
        <w:rPr>
          <w:sz w:val="20"/>
          <w:szCs w:val="20"/>
          <w:color w:val="auto"/>
        </w:rPr>
      </w:pPr>
    </w:p>
    <w:p>
      <w:pPr>
        <w:jc w:val="both"/>
        <w:ind w:left="1300" w:hanging="320"/>
        <w:spacing w:after="0" w:line="25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calculation with respect to a Term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xml:space="preserve">”) that is two (2) RFR Business Days prior to the first day of such Interest Period,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96" w:lineRule="exact"/>
        <w:rPr>
          <w:rFonts w:ascii="Arial" w:cs="Arial" w:eastAsia="Arial" w:hAnsi="Arial"/>
          <w:sz w:val="18"/>
          <w:szCs w:val="18"/>
          <w:color w:val="auto"/>
        </w:rPr>
      </w:pPr>
    </w:p>
    <w:p>
      <w:pPr>
        <w:jc w:val="both"/>
        <w:ind w:left="1300" w:hanging="320"/>
        <w:spacing w:after="0" w:line="290"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any calculation with respect to a Base Rate Loan on any day, the Term SOFR Reference Rate for a tenor of one month on the day (such day, the “</w:t>
      </w:r>
      <w:r>
        <w:rPr>
          <w:rFonts w:ascii="Arial" w:cs="Arial" w:eastAsia="Arial" w:hAnsi="Arial"/>
          <w:sz w:val="16"/>
          <w:szCs w:val="16"/>
          <w:u w:val="single" w:color="auto"/>
          <w:color w:val="auto"/>
        </w:rPr>
        <w:t>Base Rate Term SOFR Determination Day</w:t>
      </w:r>
      <w:r>
        <w:rPr>
          <w:rFonts w:ascii="Arial" w:cs="Arial" w:eastAsia="Arial" w:hAnsi="Arial"/>
          <w:sz w:val="16"/>
          <w:szCs w:val="16"/>
          <w:color w:val="auto"/>
        </w:rPr>
        <w:t xml:space="preserve">”) that is two (2) RFR Business Days prior to such day, as such rate is published by the Term SOFR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Adjustment</w:t>
      </w:r>
      <w:r>
        <w:rPr>
          <w:rFonts w:ascii="Arial" w:cs="Arial" w:eastAsia="Arial" w:hAnsi="Arial"/>
          <w:sz w:val="18"/>
          <w:szCs w:val="18"/>
          <w:color w:val="auto"/>
        </w:rPr>
        <w:t>” means a percentage equal to 0.10% per annum.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xml:space="preserve">” means any Loan bearing interest at a rate based on Adjusted Term SOFR other than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“Base Rate”, as provided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Testing Period</w:t>
      </w:r>
      <w:r>
        <w:rPr>
          <w:rFonts w:ascii="Arial" w:cs="Arial" w:eastAsia="Arial" w:hAnsi="Arial"/>
          <w:sz w:val="17"/>
          <w:szCs w:val="17"/>
          <w:color w:val="auto"/>
        </w:rPr>
        <w:t>” means any period of four consecutive Fiscal Quarters (whether or not such quarters are all within the same Fiscal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TIBOR</w:t>
      </w:r>
      <w:r>
        <w:rPr>
          <w:rFonts w:ascii="Arial" w:cs="Arial" w:eastAsia="Arial" w:hAnsi="Arial"/>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LC Exposure and Dollar Equivalent of outstanding Loans of such Lender at such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Exposure</w:t>
      </w:r>
      <w:r>
        <w:rPr>
          <w:rFonts w:ascii="Arial" w:cs="Arial" w:eastAsia="Arial" w:hAnsi="Arial"/>
          <w:sz w:val="18"/>
          <w:szCs w:val="18"/>
          <w:color w:val="auto"/>
        </w:rPr>
        <w:t xml:space="preserve">” means, at any time, the sum of (a) the Dollar Equivalent of the aggregate undrawn amount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Dollar Equivalent of the aggregate amount of all LC Disbursements that have not yet been reimbursed by or on behalf of the Borrowers at such time.</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Commitments</w:t>
      </w:r>
      <w:r>
        <w:rPr>
          <w:rFonts w:ascii="Arial" w:cs="Arial" w:eastAsia="Arial" w:hAnsi="Arial"/>
          <w:sz w:val="17"/>
          <w:szCs w:val="17"/>
          <w:color w:val="auto"/>
        </w:rPr>
        <w:t xml:space="preserve">” means, at any time, the sum of (a) the aggregate Revolving Credit Commitments and (b) </w:t>
      </w:r>
      <w:r>
        <w:rPr>
          <w:rFonts w:ascii="Arial" w:cs="Arial" w:eastAsia="Arial" w:hAnsi="Arial"/>
          <w:sz w:val="17"/>
          <w:szCs w:val="17"/>
          <w:b w:val="1"/>
          <w:bCs w:val="1"/>
          <w:u w:val="single" w:color="auto"/>
          <w:color w:val="0000FF"/>
        </w:rPr>
        <w:t>for all purposes other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than in respect of clause (b) of the definition of “Applicable Percentage (LCs)”,</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aggregate Revolving</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LC-Specific</w:t>
      </w:r>
      <w:r>
        <w:rPr>
          <w:rFonts w:ascii="Arial" w:cs="Arial" w:eastAsia="Arial" w:hAnsi="Arial"/>
          <w:sz w:val="17"/>
          <w:szCs w:val="17"/>
          <w:b w:val="1"/>
          <w:bCs w:val="1"/>
          <w:u w:val="single" w:color="auto"/>
          <w:color w:val="0000FF"/>
        </w:rPr>
        <w:t>Loan-Specific</w:t>
      </w:r>
      <w:r>
        <w:rPr>
          <w:rFonts w:ascii="Arial" w:cs="Arial" w:eastAsia="Arial" w:hAnsi="Arial"/>
          <w:sz w:val="17"/>
          <w:szCs w:val="17"/>
          <w:b w:val="1"/>
          <w:bCs w:val="1"/>
          <w:color w:val="0000FF"/>
        </w:rPr>
        <w:t xml:space="preserve"> </w:t>
      </w:r>
      <w:r>
        <w:rPr>
          <w:rFonts w:ascii="Arial" w:cs="Arial" w:eastAsia="Arial" w:hAnsi="Arial"/>
          <w:sz w:val="17"/>
          <w:szCs w:val="17"/>
          <w:color w:val="000000"/>
        </w:rPr>
        <w:t>Commitments.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The Total Revolving Commitments of all the Lenders on the Fourth Amendment Effective Date shall be $300,000,000.</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LC Exposure</w:t>
      </w:r>
      <w:r>
        <w:rPr>
          <w:rFonts w:ascii="Arial" w:cs="Arial" w:eastAsia="Arial" w:hAnsi="Arial"/>
          <w:sz w:val="18"/>
          <w:szCs w:val="18"/>
          <w:color w:val="auto"/>
        </w:rPr>
        <w:t xml:space="preserve">” means, at any time, the sum of (a) the Dollar Equivalent of the aggregate undrawn amount of all outstanding Revolving </w:t>
      </w:r>
      <w:r>
        <w:rPr>
          <w:rFonts w:ascii="Arial" w:cs="Arial" w:eastAsia="Arial" w:hAnsi="Arial"/>
          <w:sz w:val="18"/>
          <w:szCs w:val="18"/>
          <w:b w:val="1"/>
          <w:bCs w:val="1"/>
          <w:color w:val="FF0000"/>
          <w:strike w:val="1"/>
        </w:rPr>
        <w:t>Performance Letters of Credit and Financial Standby</w:t>
      </w:r>
      <w:r>
        <w:rPr>
          <w:rFonts w:ascii="Arial" w:cs="Arial" w:eastAsia="Arial" w:hAnsi="Arial"/>
          <w:sz w:val="18"/>
          <w:szCs w:val="18"/>
          <w:color w:val="auto"/>
        </w:rPr>
        <w:t xml:space="preserve">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Dollar Equivalent of the aggregate amount of all LC Disbursements in respect of such Revolving </w:t>
      </w:r>
      <w:r>
        <w:rPr>
          <w:rFonts w:ascii="Arial" w:cs="Arial" w:eastAsia="Arial" w:hAnsi="Arial"/>
          <w:sz w:val="18"/>
          <w:szCs w:val="18"/>
          <w:b w:val="1"/>
          <w:bCs w:val="1"/>
          <w:color w:val="FF0000"/>
          <w:strike w:val="1"/>
        </w:rPr>
        <w:t>Performance Letters of Credit and Financial Standby</w:t>
      </w:r>
      <w:r>
        <w:rPr>
          <w:rFonts w:ascii="Arial" w:cs="Arial" w:eastAsia="Arial" w:hAnsi="Arial"/>
          <w:sz w:val="18"/>
          <w:szCs w:val="18"/>
          <w:color w:val="auto"/>
        </w:rPr>
        <w:t xml:space="preserve"> Letters of Credit that have not yet been reimbursed by or on behalf of the Borrowers at such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Asset Value</w:t>
      </w:r>
      <w:r>
        <w:rPr>
          <w:rFonts w:ascii="Arial" w:cs="Arial" w:eastAsia="Arial" w:hAnsi="Arial"/>
          <w:sz w:val="18"/>
          <w:szCs w:val="18"/>
          <w:color w:val="auto"/>
        </w:rPr>
        <w:t>” means, as of any date of determination, the book value of all assets of Parent and its Restricted Subsidiaries on a consolidated basis as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Agreement and the other Loan Documents and all related transactions.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Obligor</w:t>
      </w:r>
      <w:r>
        <w:rPr>
          <w:rFonts w:ascii="Arial" w:cs="Arial" w:eastAsia="Arial" w:hAnsi="Arial"/>
          <w:sz w:val="18"/>
          <w:szCs w:val="18"/>
          <w:color w:val="auto"/>
        </w:rPr>
        <w:t>” means the Obligors incorporated in any legal jurisdiction of the United Kingdom.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as of the date of determination, all cash and Cash Equivalents of the Obligors that are not “restricted” for purposes of GAAP (other than any Liens arising under the Loan Documents or Indebtedness incurred under </w:t>
      </w:r>
      <w:r>
        <w:rPr>
          <w:rFonts w:ascii="Arial" w:cs="Arial" w:eastAsia="Arial" w:hAnsi="Arial"/>
          <w:sz w:val="18"/>
          <w:szCs w:val="18"/>
          <w:u w:val="single" w:color="auto"/>
          <w:color w:val="auto"/>
        </w:rPr>
        <w:t>Section 9.01(b)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 any Subsidiary which Parent has designated in writing to the Administrative Agent to be an Unrestricted Subsidiary pursuant to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and (b) any direct or indirect Subsidiary of any Subsidiary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in each case that meets the following requirements: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such Subsidiary shall have no Indebtedness with recourse to Parent or any Restricted Subsidiary;</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 xml:space="preserve">(ii)            such Subsidiary is not party to any agreement, contract, arrangement or understanding with Parent or any Restricted Subsidiary that violates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 xml:space="preserve">(iii)            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left="660" w:firstLine="648"/>
        <w:spacing w:after="0" w:line="277" w:lineRule="auto"/>
        <w:rPr>
          <w:sz w:val="20"/>
          <w:szCs w:val="20"/>
          <w:color w:val="auto"/>
        </w:rPr>
      </w:pPr>
      <w:r>
        <w:rPr>
          <w:rFonts w:ascii="Arial" w:cs="Arial" w:eastAsia="Arial" w:hAnsi="Arial"/>
          <w:sz w:val="18"/>
          <w:szCs w:val="18"/>
          <w:color w:val="auto"/>
        </w:rPr>
        <w:t>(iv)            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            such Subsidiary does not hold any Capital Stock in, or any Indebtedness of, Parent or any Restricted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Qualifying Lender</w:t>
      </w:r>
      <w:r>
        <w:rPr>
          <w:rFonts w:ascii="Arial" w:cs="Arial" w:eastAsia="Arial" w:hAnsi="Arial"/>
          <w:sz w:val="18"/>
          <w:szCs w:val="18"/>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xml:space="preserve">” means that certain U.S. Security Agreement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or imposed elsewhere, including, but not limited to, any tax imposed in compliance with the Swiss Federal Act on Value Added Tax of 12 June 2009 as amended from time to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Parent Company</w:t>
      </w:r>
      <w:r>
        <w:rPr>
          <w:rFonts w:ascii="Arial" w:cs="Arial" w:eastAsia="Arial" w:hAnsi="Arial"/>
          <w:sz w:val="18"/>
          <w:szCs w:val="18"/>
          <w:color w:val="auto"/>
        </w:rPr>
        <w:t>” means Parent or, if a Redomestication has occurred subsequent to the Effective Date and prior to the event in question on the date of determination, the Surviving Person resulting from such Redomestication.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or the “</w:t>
      </w:r>
      <w:r>
        <w:rPr>
          <w:rFonts w:ascii="Arial" w:cs="Arial" w:eastAsia="Arial" w:hAnsi="Arial"/>
          <w:sz w:val="18"/>
          <w:szCs w:val="18"/>
          <w:u w:val="single" w:color="auto"/>
          <w:color w:val="auto"/>
        </w:rPr>
        <w:t>Wholly-Owned Subsidiaries</w:t>
      </w:r>
      <w:r>
        <w:rPr>
          <w:rFonts w:ascii="Arial" w:cs="Arial" w:eastAsia="Arial" w:hAnsi="Arial"/>
          <w:sz w:val="18"/>
          <w:szCs w:val="18"/>
          <w:color w:val="auto"/>
        </w:rPr>
        <w:t>” refer to a Wholly-Owned Subsidiary or Wholly-Owned Subsidiaries of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WIL-Bermuda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WIL-Canada</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WIL-Delaware</w:t>
      </w:r>
      <w:r>
        <w:rPr>
          <w:rFonts w:ascii="Arial" w:cs="Arial" w:eastAsia="Arial" w:hAnsi="Arial"/>
          <w:sz w:val="18"/>
          <w:szCs w:val="18"/>
          <w:color w:val="auto"/>
        </w:rPr>
        <w:t>” has the meaning specified in the introductory paragraph of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“WIL-Switzerland” has the meaning specified in the introductory paragraph of this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WOFS</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Yen</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Japan.</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Accounting Terms; Changes in GAAP</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            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296"/>
        <w:spacing w:after="0" w:line="275" w:lineRule="auto"/>
        <w:rPr>
          <w:sz w:val="20"/>
          <w:szCs w:val="20"/>
          <w:color w:val="auto"/>
        </w:rPr>
      </w:pPr>
      <w:r>
        <w:rPr>
          <w:rFonts w:ascii="Arial" w:cs="Arial" w:eastAsia="Arial" w:hAnsi="Arial"/>
          <w:sz w:val="17"/>
          <w:szCs w:val="17"/>
          <w:color w:val="auto"/>
        </w:rPr>
        <w:t>(b)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(d)            All pro forma computations required to be made hereunder giving effect to any acquisition or Disposition</w:t>
      </w:r>
      <w:r>
        <w:rPr>
          <w:rFonts w:ascii="Arial" w:cs="Arial" w:eastAsia="Arial" w:hAnsi="Arial"/>
          <w:sz w:val="16"/>
          <w:szCs w:val="16"/>
          <w:color w:val="002060"/>
        </w:rPr>
        <w:t>,</w:t>
      </w:r>
      <w:r>
        <w:rPr>
          <w:rFonts w:ascii="Arial" w:cs="Arial" w:eastAsia="Arial" w:hAnsi="Arial"/>
          <w:sz w:val="16"/>
          <w:szCs w:val="16"/>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For any pro forma computation of the </w:t>
      </w:r>
      <w:r>
        <w:rPr>
          <w:rFonts w:ascii="Arial" w:cs="Arial" w:eastAsia="Arial" w:hAnsi="Arial"/>
          <w:sz w:val="16"/>
          <w:szCs w:val="16"/>
          <w:b w:val="1"/>
          <w:bCs w:val="1"/>
          <w:u w:val="single" w:color="auto"/>
          <w:color w:val="0000FF"/>
        </w:rPr>
        <w:t>Consolidated Net</w:t>
      </w:r>
      <w:r>
        <w:rPr>
          <w:rFonts w:ascii="Arial" w:cs="Arial" w:eastAsia="Arial" w:hAnsi="Arial"/>
          <w:sz w:val="16"/>
          <w:szCs w:val="16"/>
          <w:color w:val="auto"/>
        </w:rPr>
        <w:t xml:space="preserve"> Leverage Ratio for purposes of a transaction permitted hereunder, Unrestricted Cash will be determined without giving effect to the proceeds of any loan or other extension of credit received by any Obligor in respect of such transaction and used for such transaction.</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In this Agreement unless the context indicates otherwise: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1300"/>
        <w:spacing w:after="0"/>
        <w:rPr>
          <w:sz w:val="20"/>
          <w:szCs w:val="20"/>
          <w:color w:val="auto"/>
        </w:rPr>
      </w:pPr>
      <w:r>
        <w:rPr>
          <w:rFonts w:ascii="Arial" w:cs="Arial" w:eastAsia="Arial" w:hAnsi="Arial"/>
          <w:sz w:val="18"/>
          <w:szCs w:val="18"/>
          <w:color w:val="auto"/>
        </w:rPr>
        <w:t>(i)            the definitions of terms herein shall apply equally to the singular and plural forms of the terms defined;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any pronoun shall include the corresponding masculine, feminine and neuter forms;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(iii)            the words “herein”, “hereof” and “hereunder” and other words of similar import refer to this Agreement in its entirety and not to any particular Article, Section or other subdivision hereof;</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(iv)            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is intended to authorize any assignment not otherwise permitted by this Agreement;</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(v)            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            any reference to any Article, Section, page, Schedule or Exhibit means such Article, Section or page hereof or such Schedule or Exhibit hereto;</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(vii)            the words “including”, “include” and “includes” shall be deemed to be followed by the phrase “without limitation” and the term “or” is not exclusive;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(viii)            with respect to the determination of any period of time, except as expressly provided to the contrary, the word “from” means “from and including” and the word “to” means “to but excluding”;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(ix)            the word “will” shall be construed to have the same meaning and effect as the word “shall”;</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(x)            any reference to any law, rule or regulation means such as amended, modified, codified or reenacted, in whole or in part, and in effect from time to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(xi)            the words “asset” and “property” shall be construed to have the same meaning and effect and to refer to any and all tangible and intangible assets and properties, including cash, securities, accounts and contract rights; and</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(xii)            any reference to “Loans” in any interest rate definition or other related definitions (including the definitions of “Eurocurrency”, “Term SOFR”, “Eurocurrency Rate Loan” and “Term SOFR Loan”) shall be deemed to include Letters of Credit for purposes of calculating the LC Participation Fee Rate and making any other determination with respect to the interest rate and/or Applicable Margin to be applied in respect of LC Participation Fees.</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6" w:name="page117"/>
    <w:bookmarkEnd w:id="116"/>
    <w:p>
      <w:pPr>
        <w:jc w:val="both"/>
        <w:ind w:firstLine="1296"/>
        <w:spacing w:after="0" w:line="277" w:lineRule="auto"/>
        <w:rPr>
          <w:sz w:val="20"/>
          <w:szCs w:val="20"/>
          <w:color w:val="auto"/>
        </w:rPr>
      </w:pPr>
      <w:r>
        <w:rPr>
          <w:rFonts w:ascii="Arial" w:cs="Arial" w:eastAsia="Arial" w:hAnsi="Arial"/>
          <w:sz w:val="18"/>
          <w:szCs w:val="18"/>
          <w:color w:val="auto"/>
        </w:rPr>
        <w:t>(b)            The Article and Section headings herein and in the Table of Contents are for convenience only and shall not affect the construction 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No provision of this Agreement shall be interpreted or construed against any Person solely because that Person or its legal representative drafted such provision.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LLC Divisions</w:t>
      </w:r>
      <w:r>
        <w:rPr>
          <w:rFonts w:ascii="Arial" w:cs="Arial" w:eastAsia="Arial" w:hAnsi="Arial"/>
          <w:sz w:val="16"/>
          <w:szCs w:val="16"/>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2" w:lineRule="exact"/>
        <w:rPr>
          <w:sz w:val="20"/>
          <w:szCs w:val="20"/>
          <w:color w:val="auto"/>
        </w:rPr>
      </w:pPr>
    </w:p>
    <w:p>
      <w:pPr>
        <w:ind w:firstLine="8"/>
        <w:spacing w:after="0" w:line="260"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new Person comes into existence, such new Person shall be deemed to have been organized on the first date of its existence by the holders of its Capital Stock at such time.</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Luxembourg Terms</w:t>
      </w:r>
      <w:r>
        <w:rPr>
          <w:rFonts w:ascii="Arial" w:cs="Arial" w:eastAsia="Arial" w:hAnsi="Arial"/>
          <w:sz w:val="17"/>
          <w:szCs w:val="17"/>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6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a “liquidator”, “trustee”, “custodian”, “compulsory manager”, “receiver”, “administrative receiver”, “administrator” or “similar officer” includes any:</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juge-commissaire</w:t>
      </w:r>
      <w:r>
        <w:rPr>
          <w:rFonts w:ascii="Arial" w:cs="Arial" w:eastAsia="Arial" w:hAnsi="Arial"/>
          <w:sz w:val="18"/>
          <w:szCs w:val="18"/>
          <w:color w:val="auto"/>
        </w:rPr>
        <w:t xml:space="preserve"> or insolvency receiver (</w:t>
      </w:r>
      <w:r>
        <w:rPr>
          <w:rFonts w:ascii="Arial" w:cs="Arial" w:eastAsia="Arial" w:hAnsi="Arial"/>
          <w:sz w:val="18"/>
          <w:szCs w:val="18"/>
          <w:i w:val="1"/>
          <w:iCs w:val="1"/>
          <w:color w:val="auto"/>
        </w:rPr>
        <w:t>curateur</w:t>
      </w:r>
      <w:r>
        <w:rPr>
          <w:rFonts w:ascii="Arial" w:cs="Arial" w:eastAsia="Arial" w:hAnsi="Arial"/>
          <w:sz w:val="18"/>
          <w:szCs w:val="18"/>
          <w:color w:val="auto"/>
        </w:rPr>
        <w:t>) appointed under the Luxembourg Commercial Code;</w:t>
      </w:r>
    </w:p>
    <w:p>
      <w:pPr>
        <w:spacing w:after="0" w:line="225"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liquidateur</w:t>
      </w:r>
      <w:r>
        <w:rPr>
          <w:rFonts w:ascii="Arial" w:cs="Arial" w:eastAsia="Arial" w:hAnsi="Arial"/>
          <w:sz w:val="18"/>
          <w:szCs w:val="18"/>
          <w:color w:val="auto"/>
        </w:rPr>
        <w:t xml:space="preserve"> appointed under Articles 1100-1 to 1100-15 (inclusive) of the Luxembourg act dated 10 August 1915 on commercial companies, as amended;</w:t>
      </w:r>
    </w:p>
    <w:p>
      <w:pPr>
        <w:spacing w:after="0" w:line="170" w:lineRule="exact"/>
        <w:rPr>
          <w:sz w:val="20"/>
          <w:szCs w:val="20"/>
          <w:color w:val="auto"/>
        </w:rPr>
      </w:pPr>
    </w:p>
    <w:p>
      <w:pPr>
        <w:ind w:left="660" w:right="20" w:firstLine="1296"/>
        <w:spacing w:after="0" w:line="277" w:lineRule="auto"/>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juge-commissaire</w:t>
      </w:r>
      <w:r>
        <w:rPr>
          <w:rFonts w:ascii="Arial" w:cs="Arial" w:eastAsia="Arial" w:hAnsi="Arial"/>
          <w:sz w:val="18"/>
          <w:szCs w:val="18"/>
          <w:color w:val="auto"/>
        </w:rPr>
        <w:t xml:space="preserve"> or </w:t>
      </w:r>
      <w:r>
        <w:rPr>
          <w:rFonts w:ascii="Arial" w:cs="Arial" w:eastAsia="Arial" w:hAnsi="Arial"/>
          <w:sz w:val="18"/>
          <w:szCs w:val="18"/>
          <w:i w:val="1"/>
          <w:iCs w:val="1"/>
          <w:color w:val="auto"/>
        </w:rPr>
        <w:t>liquidateur</w:t>
      </w:r>
      <w:r>
        <w:rPr>
          <w:rFonts w:ascii="Arial" w:cs="Arial" w:eastAsia="Arial" w:hAnsi="Arial"/>
          <w:sz w:val="18"/>
          <w:szCs w:val="18"/>
          <w:color w:val="auto"/>
        </w:rPr>
        <w:t xml:space="preserve"> appointed under Article 1200-1 of the Luxembourg act dated 10 August 1915 on commercial companies, as amended;</w:t>
      </w:r>
    </w:p>
    <w:p>
      <w:pPr>
        <w:spacing w:after="0" w:line="170"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commissaire</w:t>
      </w:r>
      <w:r>
        <w:rPr>
          <w:rFonts w:ascii="Arial" w:cs="Arial" w:eastAsia="Arial" w:hAnsi="Arial"/>
          <w:sz w:val="18"/>
          <w:szCs w:val="18"/>
          <w:color w:val="auto"/>
        </w:rPr>
        <w:t xml:space="preserve"> appointed under the Grand-Ducal decree of 24 May 1935 on the controlled management regime or under Articles 593 to 614 (inclusive) of the Luxembourg Commercial Code;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i w:val="1"/>
          <w:iCs w:val="1"/>
          <w:color w:val="auto"/>
        </w:rPr>
        <w:t>juge délégué</w:t>
      </w:r>
      <w:r>
        <w:rPr>
          <w:rFonts w:ascii="Arial" w:cs="Arial" w:eastAsia="Arial" w:hAnsi="Arial"/>
          <w:sz w:val="17"/>
          <w:szCs w:val="17"/>
          <w:color w:val="auto"/>
        </w:rPr>
        <w:t xml:space="preserve"> appointed under the Luxembourg act of 14 April 1886 on the composition to avoid bankruptcy, as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1296"/>
        <w:spacing w:after="0" w:line="257" w:lineRule="auto"/>
        <w:rPr>
          <w:sz w:val="20"/>
          <w:szCs w:val="20"/>
          <w:color w:val="auto"/>
        </w:rPr>
      </w:pPr>
      <w:r>
        <w:rPr>
          <w:rFonts w:ascii="Arial" w:cs="Arial" w:eastAsia="Arial" w:hAnsi="Arial"/>
          <w:sz w:val="18"/>
          <w:szCs w:val="18"/>
          <w:color w:val="auto"/>
        </w:rPr>
        <w:t>(b)            a “</w:t>
      </w:r>
      <w:r>
        <w:rPr>
          <w:rFonts w:ascii="Arial" w:cs="Arial" w:eastAsia="Arial" w:hAnsi="Arial"/>
          <w:sz w:val="18"/>
          <w:szCs w:val="18"/>
          <w:i w:val="1"/>
          <w:iCs w:val="1"/>
          <w:color w:val="auto"/>
        </w:rPr>
        <w:t>winding-up</w:t>
      </w:r>
      <w:r>
        <w:rPr>
          <w:rFonts w:ascii="Arial" w:cs="Arial" w:eastAsia="Arial" w:hAnsi="Arial"/>
          <w:sz w:val="18"/>
          <w:szCs w:val="18"/>
          <w:color w:val="auto"/>
        </w:rPr>
        <w:t>”, “</w:t>
      </w:r>
      <w:r>
        <w:rPr>
          <w:rFonts w:ascii="Arial" w:cs="Arial" w:eastAsia="Arial" w:hAnsi="Arial"/>
          <w:sz w:val="18"/>
          <w:szCs w:val="18"/>
          <w:i w:val="1"/>
          <w:iCs w:val="1"/>
          <w:color w:val="auto"/>
        </w:rPr>
        <w:t>administration</w:t>
      </w:r>
      <w:r>
        <w:rPr>
          <w:rFonts w:ascii="Arial" w:cs="Arial" w:eastAsia="Arial" w:hAnsi="Arial"/>
          <w:sz w:val="18"/>
          <w:szCs w:val="18"/>
          <w:color w:val="auto"/>
        </w:rPr>
        <w:t>”, “</w:t>
      </w:r>
      <w:r>
        <w:rPr>
          <w:rFonts w:ascii="Arial" w:cs="Arial" w:eastAsia="Arial" w:hAnsi="Arial"/>
          <w:sz w:val="18"/>
          <w:szCs w:val="18"/>
          <w:i w:val="1"/>
          <w:iCs w:val="1"/>
          <w:color w:val="auto"/>
        </w:rPr>
        <w:t>liquidation</w:t>
      </w:r>
      <w:r>
        <w:rPr>
          <w:rFonts w:ascii="Arial" w:cs="Arial" w:eastAsia="Arial" w:hAnsi="Arial"/>
          <w:sz w:val="18"/>
          <w:szCs w:val="18"/>
          <w:color w:val="auto"/>
        </w:rPr>
        <w:t>” or “</w:t>
      </w:r>
      <w:r>
        <w:rPr>
          <w:rFonts w:ascii="Arial" w:cs="Arial" w:eastAsia="Arial" w:hAnsi="Arial"/>
          <w:sz w:val="18"/>
          <w:szCs w:val="18"/>
          <w:i w:val="1"/>
          <w:iCs w:val="1"/>
          <w:color w:val="auto"/>
        </w:rPr>
        <w:t>dissolution</w:t>
      </w:r>
      <w:r>
        <w:rPr>
          <w:rFonts w:ascii="Arial" w:cs="Arial" w:eastAsia="Arial" w:hAnsi="Arial"/>
          <w:sz w:val="18"/>
          <w:szCs w:val="18"/>
          <w:color w:val="auto"/>
        </w:rPr>
        <w:t>”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insolvency, voluntary or judicial liquidation,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and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fraudulent conveyance (actio pauliana), general settlement with creditors, reorganisation or any other similar proceedings affecting the rights of creditors generally under Luxembourg law, and shall be construed so as to include any equivalent or analogous liquidation or reorganisation proceedings;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(c)            A “matured obligation” includes, without limitation, a </w:t>
      </w:r>
      <w:r>
        <w:rPr>
          <w:rFonts w:ascii="Arial" w:cs="Arial" w:eastAsia="Arial" w:hAnsi="Arial"/>
          <w:sz w:val="18"/>
          <w:szCs w:val="18"/>
          <w:i w:val="1"/>
          <w:iCs w:val="1"/>
          <w:color w:val="auto"/>
        </w:rPr>
        <w:t>obligation certaine, liquide et exigible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(d)            “Security” or a “security interest” includes, without limitation, any hypothèque, nantissement, privilège, accord de transfert de propriété à titre de garantie, gage sur fonds de commerce or sûreté réelle whatsoever whether granted or arising by operation of law;</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            a person being “unable to pay its debts” includes, without limitation, that person being in a state of cessation of payments (cessation de paiements);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(f)            an “attachment” includes a </w:t>
      </w:r>
      <w:r>
        <w:rPr>
          <w:rFonts w:ascii="Arial" w:cs="Arial" w:eastAsia="Arial" w:hAnsi="Arial"/>
          <w:sz w:val="18"/>
          <w:szCs w:val="18"/>
          <w:i w:val="1"/>
          <w:iCs w:val="1"/>
          <w:color w:val="auto"/>
        </w:rPr>
        <w:t>saisie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“by-laws” or “constitutional documents” includes its up-to-date (restated) articles of association (statuts);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(h)            a “director”, “officer” or “manager” includes a </w:t>
      </w:r>
      <w:r>
        <w:rPr>
          <w:rFonts w:ascii="Arial" w:cs="Arial" w:eastAsia="Arial" w:hAnsi="Arial"/>
          <w:sz w:val="18"/>
          <w:szCs w:val="18"/>
          <w:i w:val="1"/>
          <w:iCs w:val="1"/>
          <w:color w:val="auto"/>
        </w:rPr>
        <w:t>gérant</w:t>
      </w:r>
      <w:r>
        <w:rPr>
          <w:rFonts w:ascii="Arial" w:cs="Arial" w:eastAsia="Arial" w:hAnsi="Arial"/>
          <w:sz w:val="18"/>
          <w:szCs w:val="18"/>
          <w:color w:val="auto"/>
        </w:rPr>
        <w:t xml:space="preserve"> or an </w:t>
      </w:r>
      <w:r>
        <w:rPr>
          <w:rFonts w:ascii="Arial" w:cs="Arial" w:eastAsia="Arial" w:hAnsi="Arial"/>
          <w:sz w:val="18"/>
          <w:szCs w:val="18"/>
          <w:i w:val="1"/>
          <w:iCs w:val="1"/>
          <w:color w:val="auto"/>
        </w:rPr>
        <w:t>administrateur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Dutch Terms</w:t>
      </w:r>
      <w:r>
        <w:rPr>
          <w:rFonts w:ascii="Arial" w:cs="Arial" w:eastAsia="Arial" w:hAnsi="Arial"/>
          <w:sz w:val="18"/>
          <w:szCs w:val="18"/>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“the Netherlands” means the European part of the Kingdom of the Netherlands and “Dutch” means in or of the Netherlands;</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a “security interest”, “security” or “lien” includes any mortgage (</w:t>
      </w:r>
      <w:r>
        <w:rPr>
          <w:rFonts w:ascii="Arial" w:cs="Arial" w:eastAsia="Arial" w:hAnsi="Arial"/>
          <w:sz w:val="18"/>
          <w:szCs w:val="18"/>
          <w:i w:val="1"/>
          <w:iCs w:val="1"/>
          <w:color w:val="auto"/>
        </w:rPr>
        <w:t>hypotheekrecht</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rententie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any right in rem (</w:t>
      </w:r>
      <w:r>
        <w:rPr>
          <w:rFonts w:ascii="Arial" w:cs="Arial" w:eastAsia="Arial" w:hAnsi="Arial"/>
          <w:sz w:val="18"/>
          <w:szCs w:val="18"/>
          <w:i w:val="1"/>
          <w:iCs w:val="1"/>
          <w:color w:val="auto"/>
        </w:rPr>
        <w:t>beperkt</w:t>
      </w:r>
      <w:r>
        <w:rPr>
          <w:rFonts w:ascii="Arial" w:cs="Arial" w:eastAsia="Arial" w:hAnsi="Arial"/>
          <w:sz w:val="18"/>
          <w:szCs w:val="18"/>
          <w:color w:val="auto"/>
        </w:rPr>
        <w:t xml:space="preserve"> </w:t>
      </w:r>
      <w:r>
        <w:rPr>
          <w:rFonts w:ascii="Arial" w:cs="Arial" w:eastAsia="Arial" w:hAnsi="Arial"/>
          <w:sz w:val="18"/>
          <w:szCs w:val="18"/>
          <w:i w:val="1"/>
          <w:iCs w:val="1"/>
          <w:color w:val="auto"/>
        </w:rPr>
        <w:t>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goederenrechtelijke zekerheid</w:t>
      </w:r>
      <w:r>
        <w:rPr>
          <w:rFonts w:ascii="Arial" w:cs="Arial" w:eastAsia="Arial" w:hAnsi="Arial"/>
          <w:sz w:val="18"/>
          <w:szCs w:val="18"/>
          <w:color w:val="auto"/>
        </w:rPr>
        <w: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a “winding-up”, “administration” or “dissolution” includes declared bankrupt (</w:t>
      </w:r>
      <w:r>
        <w:rPr>
          <w:rFonts w:ascii="Arial" w:cs="Arial" w:eastAsia="Arial" w:hAnsi="Arial"/>
          <w:sz w:val="17"/>
          <w:szCs w:val="17"/>
          <w:i w:val="1"/>
          <w:iCs w:val="1"/>
          <w:color w:val="auto"/>
        </w:rPr>
        <w:t>failliet verklaard</w:t>
      </w:r>
      <w:r>
        <w:rPr>
          <w:rFonts w:ascii="Arial" w:cs="Arial" w:eastAsia="Arial" w:hAnsi="Arial"/>
          <w:sz w:val="17"/>
          <w:szCs w:val="17"/>
          <w:color w:val="auto"/>
        </w:rPr>
        <w:t>) or dissolved (</w:t>
      </w:r>
      <w:r>
        <w:rPr>
          <w:rFonts w:ascii="Arial" w:cs="Arial" w:eastAsia="Arial" w:hAnsi="Arial"/>
          <w:sz w:val="17"/>
          <w:szCs w:val="17"/>
          <w:i w:val="1"/>
          <w:iCs w:val="1"/>
          <w:color w:val="auto"/>
        </w:rPr>
        <w:t>ontbonden</w:t>
      </w:r>
      <w:r>
        <w:rPr>
          <w:rFonts w:ascii="Arial" w:cs="Arial" w:eastAsia="Arial" w:hAnsi="Arial"/>
          <w:sz w:val="17"/>
          <w:szCs w:val="17"/>
          <w:color w:val="auto"/>
        </w:rPr>
        <w:t>);</w:t>
      </w:r>
    </w:p>
    <w:p>
      <w:pPr>
        <w:spacing w:after="0" w:line="23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            a “moratorium” includes surseance van betaling or voorlopige surseance van betaling and a “moratorium is declared” includes surseance verleend or voorlopige surseance verleend;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(e)            a “liquidator”, “receiver”, “administrative receiver”, “conservator”, “trustee”, “administrator”, “compulsory manager”, “custodian”, “assignee for the benefit of creditors” or similar Person includes a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a </w:t>
      </w:r>
      <w:r>
        <w:rPr>
          <w:rFonts w:ascii="Arial" w:cs="Arial" w:eastAsia="Arial" w:hAnsi="Arial"/>
          <w:sz w:val="18"/>
          <w:szCs w:val="18"/>
          <w:i w:val="1"/>
          <w:iCs w:val="1"/>
          <w:color w:val="auto"/>
        </w:rPr>
        <w:t>beoogd curator</w:t>
      </w:r>
      <w:r>
        <w:rPr>
          <w:rFonts w:ascii="Arial" w:cs="Arial" w:eastAsia="Arial" w:hAnsi="Arial"/>
          <w:sz w:val="18"/>
          <w:szCs w:val="18"/>
          <w:color w:val="auto"/>
        </w:rPr>
        <w:t xml:space="preserve"> or a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8"/>
          <w:szCs w:val="18"/>
          <w:color w:val="auto"/>
        </w:rPr>
        <w:t xml:space="preserve">(f)            an “attachment” includes an executoriaal beslag or </w:t>
      </w:r>
      <w:r>
        <w:rPr>
          <w:rFonts w:ascii="Arial" w:cs="Arial" w:eastAsia="Arial" w:hAnsi="Arial"/>
          <w:sz w:val="18"/>
          <w:szCs w:val="18"/>
          <w:u w:val="single" w:color="auto"/>
          <w:color w:val="auto"/>
        </w:rPr>
        <w:t>conservatoir beslag</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(g)            “any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or Section 60 of the Social Insurance Financing Act of the Netherlands (</w:t>
      </w:r>
      <w:r>
        <w:rPr>
          <w:rFonts w:ascii="Arial" w:cs="Arial" w:eastAsia="Arial" w:hAnsi="Arial"/>
          <w:sz w:val="18"/>
          <w:szCs w:val="18"/>
          <w:i w:val="1"/>
          <w:iCs w:val="1"/>
          <w:color w:val="auto"/>
        </w:rPr>
        <w:t>Wet Financiering Sociale Verzekeringen</w:t>
      </w:r>
      <w:r>
        <w:rPr>
          <w:rFonts w:ascii="Arial" w:cs="Arial" w:eastAsia="Arial" w:hAnsi="Arial"/>
          <w:sz w:val="18"/>
          <w:szCs w:val="18"/>
          <w:color w:val="auto"/>
        </w:rPr>
        <w:t>) in conjunction with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and</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(h)            an “order for relief” includes any insolvency proceedings within the meaning of the Regulation (EU) 2015/848 of the European Parliament and of the Council of 20 May 2015 on insolvency proceedings (recast) listed or to be listed in Annex A thereto and shall in any event include a </w:t>
      </w:r>
      <w:r>
        <w:rPr>
          <w:rFonts w:ascii="Arial" w:cs="Arial" w:eastAsia="Arial" w:hAnsi="Arial"/>
          <w:sz w:val="18"/>
          <w:szCs w:val="18"/>
          <w:i w:val="1"/>
          <w:iCs w:val="1"/>
          <w:color w:val="auto"/>
        </w:rPr>
        <w:t>faillietverklaring</w:t>
      </w:r>
      <w:r>
        <w:rPr>
          <w:rFonts w:ascii="Arial" w:cs="Arial" w:eastAsia="Arial" w:hAnsi="Arial"/>
          <w:sz w:val="18"/>
          <w:szCs w:val="18"/>
          <w:color w:val="auto"/>
        </w:rPr>
        <w:t>, a</w:t>
      </w:r>
      <w:r>
        <w:rPr>
          <w:rFonts w:ascii="Arial" w:cs="Arial" w:eastAsia="Arial" w:hAnsi="Arial"/>
          <w:sz w:val="18"/>
          <w:szCs w:val="18"/>
          <w:i w:val="1"/>
          <w:iCs w:val="1"/>
          <w:color w:val="auto"/>
        </w:rPr>
        <w:t xml:space="preserve"> verlening van surseance </w:t>
      </w:r>
      <w:r>
        <w:rPr>
          <w:rFonts w:ascii="Arial" w:cs="Arial" w:eastAsia="Arial" w:hAnsi="Arial"/>
          <w:sz w:val="18"/>
          <w:szCs w:val="18"/>
          <w:color w:val="auto"/>
        </w:rPr>
        <w:t>and a</w:t>
      </w:r>
      <w:r>
        <w:rPr>
          <w:rFonts w:ascii="Arial" w:cs="Arial" w:eastAsia="Arial" w:hAnsi="Arial"/>
          <w:sz w:val="18"/>
          <w:szCs w:val="18"/>
          <w:i w:val="1"/>
          <w:iCs w:val="1"/>
          <w:color w:val="auto"/>
        </w:rPr>
        <w:t xml:space="preserve"> benoeming van een herstructureringsdeskundige</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b w:val="1"/>
          <w:bCs w:val="1"/>
          <w:u w:val="single" w:color="auto"/>
          <w:color w:val="0000FF"/>
        </w:rPr>
        <w:t>Swiss Terms. In this Agreement, with respect to any entity incorporated in Switzerland, a reference to:</w:t>
      </w:r>
    </w:p>
    <w:p>
      <w:pPr>
        <w:spacing w:after="0" w:line="225" w:lineRule="exact"/>
        <w:rPr>
          <w:sz w:val="20"/>
          <w:szCs w:val="20"/>
          <w:color w:val="auto"/>
        </w:rPr>
      </w:pPr>
    </w:p>
    <w:p>
      <w:pPr>
        <w:jc w:val="both"/>
        <w:ind w:firstLine="1944"/>
        <w:spacing w:after="0" w:line="282" w:lineRule="auto"/>
        <w:rPr>
          <w:sz w:val="20"/>
          <w:szCs w:val="20"/>
          <w:color w:val="auto"/>
        </w:rPr>
      </w:pPr>
      <w:r>
        <w:rPr>
          <w:rFonts w:ascii="Arial" w:cs="Arial" w:eastAsia="Arial" w:hAnsi="Arial"/>
          <w:sz w:val="18"/>
          <w:szCs w:val="18"/>
          <w:b w:val="1"/>
          <w:bCs w:val="1"/>
          <w:u w:val="single" w:color="auto"/>
          <w:color w:val="0000FF"/>
        </w:rPr>
        <w:t>(a)            “receiver, administrative receiver, administrator, trustee in bankruptcy, custodian, conservator, liquidator, receiver manager, compulsory manager, monitor or similar officer includes any:</w:t>
      </w:r>
    </w:p>
    <w:p>
      <w:pPr>
        <w:spacing w:after="0" w:line="162" w:lineRule="exact"/>
        <w:rPr>
          <w:sz w:val="20"/>
          <w:szCs w:val="20"/>
          <w:color w:val="auto"/>
        </w:rPr>
      </w:pPr>
    </w:p>
    <w:p>
      <w:pPr>
        <w:ind w:left="2280" w:right="20" w:hanging="328"/>
        <w:spacing w:after="0" w:line="282" w:lineRule="auto"/>
        <w:tabs>
          <w:tab w:leader="none" w:pos="2280" w:val="left"/>
        </w:tabs>
        <w:numPr>
          <w:ilvl w:val="0"/>
          <w:numId w:val="44"/>
        </w:numPr>
        <w:rPr>
          <w:rFonts w:ascii="Arial" w:cs="Arial" w:eastAsia="Arial" w:hAnsi="Arial"/>
          <w:sz w:val="18"/>
          <w:szCs w:val="18"/>
          <w:b w:val="1"/>
          <w:bCs w:val="1"/>
          <w:u w:val="single" w:color="auto"/>
          <w:color w:val="0000FF"/>
        </w:rPr>
      </w:pPr>
      <w:r>
        <w:rPr>
          <w:rFonts w:ascii="Arial" w:cs="Arial" w:eastAsia="Arial" w:hAnsi="Arial"/>
          <w:sz w:val="18"/>
          <w:szCs w:val="18"/>
          <w:b w:val="1"/>
          <w:bCs w:val="1"/>
          <w:i w:val="1"/>
          <w:iCs w:val="1"/>
          <w:u w:val="single" w:color="auto"/>
          <w:color w:val="0000FF"/>
        </w:rPr>
        <w:t xml:space="preserve">Sachwalter </w:t>
      </w:r>
      <w:r>
        <w:rPr>
          <w:rFonts w:ascii="Arial" w:cs="Arial" w:eastAsia="Arial" w:hAnsi="Arial"/>
          <w:sz w:val="18"/>
          <w:szCs w:val="18"/>
          <w:b w:val="1"/>
          <w:bCs w:val="1"/>
          <w:u w:val="single" w:color="auto"/>
          <w:color w:val="0000FF"/>
        </w:rPr>
        <w:t>appointed in accordance with the Swiss Code of Obligations (</w:t>
      </w:r>
      <w:r>
        <w:rPr>
          <w:rFonts w:ascii="Arial" w:cs="Arial" w:eastAsia="Arial" w:hAnsi="Arial"/>
          <w:sz w:val="18"/>
          <w:szCs w:val="18"/>
          <w:b w:val="1"/>
          <w:bCs w:val="1"/>
          <w:i w:val="1"/>
          <w:iCs w:val="1"/>
          <w:u w:val="single" w:color="auto"/>
          <w:color w:val="0000FF"/>
        </w:rPr>
        <w:t>Schweizerisches Obligationenrecht</w:t>
      </w:r>
      <w:r>
        <w:rPr>
          <w:rFonts w:ascii="Arial" w:cs="Arial" w:eastAsia="Arial" w:hAnsi="Arial"/>
          <w:sz w:val="18"/>
          <w:szCs w:val="18"/>
          <w:b w:val="1"/>
          <w:bCs w:val="1"/>
          <w:u w:val="single" w:color="auto"/>
          <w:color w:val="0000FF"/>
        </w:rPr>
        <w:t>; SR 220,</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“Swiss Code of Obligations”);</w:t>
      </w:r>
    </w:p>
    <w:p>
      <w:pPr>
        <w:spacing w:after="0" w:line="161" w:lineRule="exact"/>
        <w:rPr>
          <w:rFonts w:ascii="Arial" w:cs="Arial" w:eastAsia="Arial" w:hAnsi="Arial"/>
          <w:sz w:val="18"/>
          <w:szCs w:val="18"/>
          <w:b w:val="1"/>
          <w:bCs w:val="1"/>
          <w:u w:val="single" w:color="auto"/>
          <w:color w:val="0000FF"/>
        </w:rPr>
      </w:pPr>
    </w:p>
    <w:p>
      <w:pPr>
        <w:ind w:left="2280" w:hanging="328"/>
        <w:spacing w:after="0"/>
        <w:tabs>
          <w:tab w:leader="none" w:pos="2280" w:val="left"/>
        </w:tabs>
        <w:numPr>
          <w:ilvl w:val="0"/>
          <w:numId w:val="44"/>
        </w:numPr>
        <w:rPr>
          <w:rFonts w:ascii="Arial" w:cs="Arial" w:eastAsia="Arial" w:hAnsi="Arial"/>
          <w:sz w:val="18"/>
          <w:szCs w:val="18"/>
          <w:b w:val="1"/>
          <w:bCs w:val="1"/>
          <w:u w:val="single" w:color="auto"/>
          <w:color w:val="0000FF"/>
        </w:rPr>
      </w:pPr>
      <w:r>
        <w:rPr>
          <w:rFonts w:ascii="Arial" w:cs="Arial" w:eastAsia="Arial" w:hAnsi="Arial"/>
          <w:sz w:val="18"/>
          <w:szCs w:val="18"/>
          <w:b w:val="1"/>
          <w:bCs w:val="1"/>
          <w:i w:val="1"/>
          <w:iCs w:val="1"/>
          <w:u w:val="single" w:color="auto"/>
          <w:color w:val="0000FF"/>
        </w:rPr>
        <w:t xml:space="preserve">Liquidator </w:t>
      </w:r>
      <w:r>
        <w:rPr>
          <w:rFonts w:ascii="Arial" w:cs="Arial" w:eastAsia="Arial" w:hAnsi="Arial"/>
          <w:sz w:val="18"/>
          <w:szCs w:val="18"/>
          <w:b w:val="1"/>
          <w:bCs w:val="1"/>
          <w:u w:val="single" w:color="auto"/>
          <w:color w:val="0000FF"/>
        </w:rPr>
        <w:t>appointed in accordance with the Swiss Code of Obligations; and</w:t>
      </w:r>
    </w:p>
    <w:p>
      <w:pPr>
        <w:spacing w:after="0" w:line="225" w:lineRule="exact"/>
        <w:rPr>
          <w:rFonts w:ascii="Arial" w:cs="Arial" w:eastAsia="Arial" w:hAnsi="Arial"/>
          <w:sz w:val="18"/>
          <w:szCs w:val="18"/>
          <w:b w:val="1"/>
          <w:bCs w:val="1"/>
          <w:u w:val="single" w:color="auto"/>
          <w:color w:val="0000FF"/>
        </w:rPr>
      </w:pPr>
    </w:p>
    <w:p>
      <w:pPr>
        <w:jc w:val="both"/>
        <w:ind w:left="2280" w:hanging="328"/>
        <w:spacing w:after="0" w:line="281" w:lineRule="auto"/>
        <w:tabs>
          <w:tab w:leader="none" w:pos="2280" w:val="left"/>
        </w:tabs>
        <w:numPr>
          <w:ilvl w:val="0"/>
          <w:numId w:val="44"/>
        </w:numPr>
        <w:rPr>
          <w:rFonts w:ascii="Arial" w:cs="Arial" w:eastAsia="Arial" w:hAnsi="Arial"/>
          <w:sz w:val="17"/>
          <w:szCs w:val="17"/>
          <w:b w:val="1"/>
          <w:bCs w:val="1"/>
          <w:u w:val="single" w:color="auto"/>
          <w:color w:val="0000FF"/>
        </w:rPr>
      </w:pPr>
      <w:r>
        <w:rPr>
          <w:rFonts w:ascii="Arial" w:cs="Arial" w:eastAsia="Arial" w:hAnsi="Arial"/>
          <w:sz w:val="17"/>
          <w:szCs w:val="17"/>
          <w:b w:val="1"/>
          <w:bCs w:val="1"/>
          <w:i w:val="1"/>
          <w:iCs w:val="1"/>
          <w:u w:val="single" w:color="auto"/>
          <w:color w:val="0000FF"/>
        </w:rPr>
        <w:t xml:space="preserve">Konkursamt, Konkursverwaltung </w:t>
      </w:r>
      <w:r>
        <w:rPr>
          <w:rFonts w:ascii="Arial" w:cs="Arial" w:eastAsia="Arial" w:hAnsi="Arial"/>
          <w:sz w:val="17"/>
          <w:szCs w:val="17"/>
          <w:b w:val="1"/>
          <w:bCs w:val="1"/>
          <w:u w:val="single" w:color="auto"/>
          <w:color w:val="0000FF"/>
        </w:rPr>
        <w:t>or</w:t>
      </w:r>
      <w:r>
        <w:rPr>
          <w:rFonts w:ascii="Arial" w:cs="Arial" w:eastAsia="Arial" w:hAnsi="Arial"/>
          <w:sz w:val="17"/>
          <w:szCs w:val="17"/>
          <w:b w:val="1"/>
          <w:bCs w:val="1"/>
          <w:i w:val="1"/>
          <w:iCs w:val="1"/>
          <w:u w:val="single" w:color="auto"/>
          <w:color w:val="0000FF"/>
        </w:rPr>
        <w:t xml:space="preserve"> Sanierunsbeauftragter </w:t>
      </w:r>
      <w:r>
        <w:rPr>
          <w:rFonts w:ascii="Arial" w:cs="Arial" w:eastAsia="Arial" w:hAnsi="Arial"/>
          <w:sz w:val="17"/>
          <w:szCs w:val="17"/>
          <w:b w:val="1"/>
          <w:bCs w:val="1"/>
          <w:u w:val="single" w:color="auto"/>
          <w:color w:val="0000FF"/>
        </w:rPr>
        <w:t>(including a supervisory authority acting in any such</w:t>
      </w:r>
      <w:r>
        <w:rPr>
          <w:rFonts w:ascii="Arial" w:cs="Arial" w:eastAsia="Arial" w:hAnsi="Arial"/>
          <w:sz w:val="17"/>
          <w:szCs w:val="17"/>
          <w:b w:val="1"/>
          <w:bCs w:val="1"/>
          <w:i w:val="1"/>
          <w:iCs w:val="1"/>
          <w:u w:val="single" w:color="auto"/>
          <w:color w:val="0000FF"/>
        </w:rPr>
        <w:t xml:space="preserve"> </w:t>
      </w:r>
      <w:r>
        <w:rPr>
          <w:rFonts w:ascii="Arial" w:cs="Arial" w:eastAsia="Arial" w:hAnsi="Arial"/>
          <w:sz w:val="17"/>
          <w:szCs w:val="17"/>
          <w:b w:val="1"/>
          <w:bCs w:val="1"/>
          <w:u w:val="single" w:color="auto"/>
          <w:color w:val="0000FF"/>
        </w:rPr>
        <w:t xml:space="preserve">capacity) or any of its officials or employees, any </w:t>
      </w:r>
      <w:r>
        <w:rPr>
          <w:rFonts w:ascii="Arial" w:cs="Arial" w:eastAsia="Arial" w:hAnsi="Arial"/>
          <w:sz w:val="17"/>
          <w:szCs w:val="17"/>
          <w:b w:val="1"/>
          <w:bCs w:val="1"/>
          <w:i w:val="1"/>
          <w:iCs w:val="1"/>
          <w:u w:val="single" w:color="auto"/>
          <w:color w:val="0000FF"/>
        </w:rPr>
        <w:t>Liquidator</w:t>
      </w:r>
      <w:r>
        <w:rPr>
          <w:rFonts w:ascii="Arial" w:cs="Arial" w:eastAsia="Arial" w:hAnsi="Arial"/>
          <w:sz w:val="17"/>
          <w:szCs w:val="17"/>
          <w:b w:val="1"/>
          <w:bCs w:val="1"/>
          <w:u w:val="single" w:color="auto"/>
          <w:color w:val="0000FF"/>
        </w:rPr>
        <w:t xml:space="preserve"> or </w:t>
      </w:r>
      <w:r>
        <w:rPr>
          <w:rFonts w:ascii="Arial" w:cs="Arial" w:eastAsia="Arial" w:hAnsi="Arial"/>
          <w:sz w:val="17"/>
          <w:szCs w:val="17"/>
          <w:b w:val="1"/>
          <w:bCs w:val="1"/>
          <w:i w:val="1"/>
          <w:iCs w:val="1"/>
          <w:u w:val="single" w:color="auto"/>
          <w:color w:val="0000FF"/>
        </w:rPr>
        <w:t>Sachwalter</w:t>
      </w:r>
      <w:r>
        <w:rPr>
          <w:rFonts w:ascii="Arial" w:cs="Arial" w:eastAsia="Arial" w:hAnsi="Arial"/>
          <w:sz w:val="17"/>
          <w:szCs w:val="17"/>
          <w:b w:val="1"/>
          <w:bCs w:val="1"/>
          <w:u w:val="single" w:color="auto"/>
          <w:color w:val="0000FF"/>
        </w:rPr>
        <w:t xml:space="preserve"> or other officer appointed in accordance with the Swiss Federal Act on Debt Enforcement and Bankruptcy (</w:t>
      </w:r>
      <w:r>
        <w:rPr>
          <w:rFonts w:ascii="Arial" w:cs="Arial" w:eastAsia="Arial" w:hAnsi="Arial"/>
          <w:sz w:val="17"/>
          <w:szCs w:val="17"/>
          <w:b w:val="1"/>
          <w:bCs w:val="1"/>
          <w:i w:val="1"/>
          <w:iCs w:val="1"/>
          <w:u w:val="single" w:color="auto"/>
          <w:color w:val="0000FF"/>
        </w:rPr>
        <w:t>Bundesgesetz über Schuldbetreibung und Konkurs</w:t>
      </w:r>
      <w:r>
        <w:rPr>
          <w:rFonts w:ascii="Arial" w:cs="Arial" w:eastAsia="Arial" w:hAnsi="Arial"/>
          <w:sz w:val="17"/>
          <w:szCs w:val="17"/>
          <w:b w:val="1"/>
          <w:bCs w:val="1"/>
          <w:u w:val="single" w:color="auto"/>
          <w:color w:val="0000FF"/>
        </w:rPr>
        <w:t>; SR 281.1, “Swiss Federal Act on Debt Enforcement and Bankruptcy”);</w:t>
      </w:r>
    </w:p>
    <w:p>
      <w:pPr>
        <w:spacing w:after="0" w:line="165" w:lineRule="exact"/>
        <w:rPr>
          <w:sz w:val="20"/>
          <w:szCs w:val="20"/>
          <w:color w:val="auto"/>
        </w:rPr>
      </w:pPr>
    </w:p>
    <w:p>
      <w:pPr>
        <w:ind w:firstLine="1944"/>
        <w:spacing w:after="0" w:line="282" w:lineRule="auto"/>
        <w:rPr>
          <w:sz w:val="20"/>
          <w:szCs w:val="20"/>
          <w:color w:val="auto"/>
        </w:rPr>
      </w:pPr>
      <w:r>
        <w:rPr>
          <w:rFonts w:ascii="Arial" w:cs="Arial" w:eastAsia="Arial" w:hAnsi="Arial"/>
          <w:sz w:val="18"/>
          <w:szCs w:val="18"/>
          <w:b w:val="1"/>
          <w:bCs w:val="1"/>
          <w:u w:val="single" w:color="auto"/>
          <w:color w:val="0000FF"/>
        </w:rPr>
        <w:t>(b)            The term "Insolvency Proceedings", a liquidation, winding-up, administration, dissolution, bankruptcy, liquidation, composition with creditors or moratorium includes:</w:t>
      </w:r>
    </w:p>
    <w:p>
      <w:pPr>
        <w:spacing w:after="0" w:line="162" w:lineRule="exact"/>
        <w:rPr>
          <w:sz w:val="20"/>
          <w:szCs w:val="20"/>
          <w:color w:val="auto"/>
        </w:rPr>
      </w:pPr>
    </w:p>
    <w:p>
      <w:pPr>
        <w:ind w:left="2600" w:hanging="324"/>
        <w:spacing w:after="0" w:line="347" w:lineRule="auto"/>
        <w:tabs>
          <w:tab w:leader="none" w:pos="2600" w:val="left"/>
        </w:tabs>
        <w:numPr>
          <w:ilvl w:val="0"/>
          <w:numId w:val="45"/>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a filing for the declaration of bankruptcy (</w:t>
      </w:r>
      <w:r>
        <w:rPr>
          <w:rFonts w:ascii="Arial" w:cs="Arial" w:eastAsia="Arial" w:hAnsi="Arial"/>
          <w:sz w:val="16"/>
          <w:szCs w:val="16"/>
          <w:b w:val="1"/>
          <w:bCs w:val="1"/>
          <w:i w:val="1"/>
          <w:iCs w:val="1"/>
          <w:u w:val="single" w:color="auto"/>
          <w:color w:val="0000FF"/>
        </w:rPr>
        <w:t>Antrag auf Konkurseröffnung</w:t>
      </w:r>
      <w:r>
        <w:rPr>
          <w:rFonts w:ascii="Arial" w:cs="Arial" w:eastAsia="Arial" w:hAnsi="Arial"/>
          <w:sz w:val="16"/>
          <w:szCs w:val="16"/>
          <w:b w:val="1"/>
          <w:bCs w:val="1"/>
          <w:u w:val="single" w:color="auto"/>
          <w:color w:val="0000FF"/>
        </w:rPr>
        <w:t>) or a formal declaration of bankruptcy (</w:t>
      </w:r>
      <w:r>
        <w:rPr>
          <w:rFonts w:ascii="Arial" w:cs="Arial" w:eastAsia="Arial" w:hAnsi="Arial"/>
          <w:sz w:val="16"/>
          <w:szCs w:val="16"/>
          <w:b w:val="1"/>
          <w:bCs w:val="1"/>
          <w:i w:val="1"/>
          <w:iCs w:val="1"/>
          <w:u w:val="single" w:color="auto"/>
          <w:color w:val="0000FF"/>
        </w:rPr>
        <w:t>Konkurseröffnung</w:t>
      </w:r>
      <w:r>
        <w:rPr>
          <w:rFonts w:ascii="Arial" w:cs="Arial" w:eastAsia="Arial" w:hAnsi="Arial"/>
          <w:sz w:val="16"/>
          <w:szCs w:val="16"/>
          <w:b w:val="1"/>
          <w:bCs w:val="1"/>
          <w:u w:val="single" w:color="auto"/>
          <w:color w:val="0000FF"/>
        </w:rPr>
        <w:t>) within the meaning of the Swiss Federal Act on Debt Enforcement and Bankruptcy;</w:t>
      </w:r>
    </w:p>
    <w:p>
      <w:pPr>
        <w:spacing w:after="0" w:line="115" w:lineRule="exact"/>
        <w:rPr>
          <w:rFonts w:ascii="Arial" w:cs="Arial" w:eastAsia="Arial" w:hAnsi="Arial"/>
          <w:sz w:val="16"/>
          <w:szCs w:val="16"/>
          <w:b w:val="1"/>
          <w:bCs w:val="1"/>
          <w:u w:val="single" w:color="auto"/>
          <w:color w:val="0000FF"/>
        </w:rPr>
      </w:pPr>
    </w:p>
    <w:p>
      <w:pPr>
        <w:jc w:val="both"/>
        <w:ind w:left="2600" w:hanging="324"/>
        <w:spacing w:after="0" w:line="261" w:lineRule="auto"/>
        <w:tabs>
          <w:tab w:leader="none" w:pos="2600" w:val="left"/>
        </w:tabs>
        <w:numPr>
          <w:ilvl w:val="0"/>
          <w:numId w:val="45"/>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the filing for a request for a moratorium (</w:t>
      </w:r>
      <w:r>
        <w:rPr>
          <w:rFonts w:ascii="Arial" w:cs="Arial" w:eastAsia="Arial" w:hAnsi="Arial"/>
          <w:sz w:val="18"/>
          <w:szCs w:val="18"/>
          <w:b w:val="1"/>
          <w:bCs w:val="1"/>
          <w:i w:val="1"/>
          <w:iCs w:val="1"/>
          <w:u w:val="single" w:color="auto"/>
          <w:color w:val="0000FF"/>
        </w:rPr>
        <w:t>Gesuch um Nachlassstundung</w:t>
      </w:r>
      <w:r>
        <w:rPr>
          <w:rFonts w:ascii="Arial" w:cs="Arial" w:eastAsia="Arial" w:hAnsi="Arial"/>
          <w:sz w:val="18"/>
          <w:szCs w:val="18"/>
          <w:b w:val="1"/>
          <w:bCs w:val="1"/>
          <w:u w:val="single" w:color="auto"/>
          <w:color w:val="0000FF"/>
        </w:rPr>
        <w:t>) or a grant of a moratorium (</w:t>
      </w:r>
      <w:r>
        <w:rPr>
          <w:rFonts w:ascii="Arial" w:cs="Arial" w:eastAsia="Arial" w:hAnsi="Arial"/>
          <w:sz w:val="18"/>
          <w:szCs w:val="18"/>
          <w:b w:val="1"/>
          <w:bCs w:val="1"/>
          <w:i w:val="1"/>
          <w:iCs w:val="1"/>
          <w:u w:val="single" w:color="auto"/>
          <w:color w:val="0000FF"/>
        </w:rPr>
        <w:t>provisorische oder definitive Nachlassstundung/ Stundung/ Notstundung/ Fälligkeitsaufschub</w:t>
      </w:r>
      <w:r>
        <w:rPr>
          <w:rFonts w:ascii="Arial" w:cs="Arial" w:eastAsia="Arial" w:hAnsi="Arial"/>
          <w:sz w:val="18"/>
          <w:szCs w:val="18"/>
          <w:b w:val="1"/>
          <w:bCs w:val="1"/>
          <w:u w:val="single" w:color="auto"/>
          <w:color w:val="0000FF"/>
        </w:rPr>
        <w:t>) or protective measures (</w:t>
      </w:r>
      <w:r>
        <w:rPr>
          <w:rFonts w:ascii="Arial" w:cs="Arial" w:eastAsia="Arial" w:hAnsi="Arial"/>
          <w:sz w:val="18"/>
          <w:szCs w:val="18"/>
          <w:b w:val="1"/>
          <w:bCs w:val="1"/>
          <w:i w:val="1"/>
          <w:iCs w:val="1"/>
          <w:u w:val="single" w:color="auto"/>
          <w:color w:val="0000FF"/>
        </w:rPr>
        <w:t>Schutzmassnahmen/sichernde Massnahmen</w:t>
      </w:r>
      <w:r>
        <w:rPr>
          <w:rFonts w:ascii="Arial" w:cs="Arial" w:eastAsia="Arial" w:hAnsi="Arial"/>
          <w:sz w:val="18"/>
          <w:szCs w:val="18"/>
          <w:b w:val="1"/>
          <w:bCs w:val="1"/>
          <w:u w:val="single" w:color="auto"/>
          <w:color w:val="0000FF"/>
        </w:rPr>
        <w:t>) within the meaning of the Swiss Federal Act on Debt Enforcement and Bankruptcy;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2600" w:hanging="324"/>
        <w:spacing w:after="0"/>
        <w:tabs>
          <w:tab w:leader="none" w:pos="2600" w:val="left"/>
        </w:tabs>
        <w:numPr>
          <w:ilvl w:val="0"/>
          <w:numId w:val="4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 moratorium on any of its indebtedness, its dissolution or liquidation; and</w:t>
      </w:r>
    </w:p>
    <w:p>
      <w:pPr>
        <w:spacing w:after="0" w:line="225" w:lineRule="exact"/>
        <w:rPr>
          <w:rFonts w:ascii="Arial" w:cs="Arial" w:eastAsia="Arial" w:hAnsi="Arial"/>
          <w:sz w:val="18"/>
          <w:szCs w:val="18"/>
          <w:b w:val="1"/>
          <w:bCs w:val="1"/>
          <w:u w:val="single" w:color="auto"/>
          <w:color w:val="0000FF"/>
        </w:rPr>
      </w:pPr>
    </w:p>
    <w:p>
      <w:pPr>
        <w:ind w:left="2600" w:hanging="324"/>
        <w:spacing w:after="0" w:line="282" w:lineRule="auto"/>
        <w:tabs>
          <w:tab w:leader="none" w:pos="2600" w:val="left"/>
        </w:tabs>
        <w:numPr>
          <w:ilvl w:val="0"/>
          <w:numId w:val="4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the notification of the court of over-indebtedness pursuant to article 725b paragraph 3 of the Swiss Code of Obligations;</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Arial" w:cs="Arial" w:eastAsia="Arial" w:hAnsi="Arial"/>
          <w:sz w:val="18"/>
          <w:szCs w:val="18"/>
          <w:b w:val="1"/>
          <w:bCs w:val="1"/>
          <w:u w:val="single" w:color="auto"/>
          <w:color w:val="0000FF"/>
        </w:rPr>
        <w:t>(c)            a person being unable to pay its debts refers to that person being in a state of inability to make payments (</w:t>
      </w:r>
      <w:r>
        <w:rPr>
          <w:rFonts w:ascii="Arial" w:cs="Arial" w:eastAsia="Arial" w:hAnsi="Arial"/>
          <w:sz w:val="18"/>
          <w:szCs w:val="18"/>
          <w:b w:val="1"/>
          <w:bCs w:val="1"/>
          <w:i w:val="1"/>
          <w:iCs w:val="1"/>
          <w:u w:val="single" w:color="auto"/>
          <w:color w:val="0000FF"/>
        </w:rPr>
        <w:t>Zahlungsunfähigkeit</w:t>
      </w:r>
      <w:r>
        <w:rPr>
          <w:rFonts w:ascii="Arial" w:cs="Arial" w:eastAsia="Arial" w:hAnsi="Arial"/>
          <w:sz w:val="18"/>
          <w:szCs w:val="18"/>
          <w:b w:val="1"/>
          <w:bCs w:val="1"/>
          <w:u w:val="single" w:color="auto"/>
          <w:color w:val="0000FF"/>
        </w:rPr>
        <w:t>) and/or being over-indebted (</w:t>
      </w:r>
      <w:r>
        <w:rPr>
          <w:rFonts w:ascii="Arial" w:cs="Arial" w:eastAsia="Arial" w:hAnsi="Arial"/>
          <w:sz w:val="18"/>
          <w:szCs w:val="18"/>
          <w:b w:val="1"/>
          <w:bCs w:val="1"/>
          <w:i w:val="1"/>
          <w:iCs w:val="1"/>
          <w:u w:val="single" w:color="auto"/>
          <w:color w:val="0000FF"/>
        </w:rPr>
        <w:t>Überschuldung</w:t>
      </w:r>
      <w:r>
        <w:rPr>
          <w:rFonts w:ascii="Arial" w:cs="Arial" w:eastAsia="Arial" w:hAnsi="Arial"/>
          <w:sz w:val="18"/>
          <w:szCs w:val="18"/>
          <w:b w:val="1"/>
          <w:bCs w:val="1"/>
          <w:u w:val="single" w:color="auto"/>
          <w:color w:val="0000FF"/>
        </w:rPr>
        <w:t>); and</w:t>
      </w:r>
    </w:p>
    <w:p>
      <w:pPr>
        <w:spacing w:after="0" w:line="162" w:lineRule="exact"/>
        <w:rPr>
          <w:sz w:val="20"/>
          <w:szCs w:val="20"/>
          <w:color w:val="auto"/>
        </w:rPr>
      </w:pPr>
    </w:p>
    <w:p>
      <w:pPr>
        <w:jc w:val="both"/>
        <w:ind w:firstLine="1944"/>
        <w:spacing w:after="0" w:line="261" w:lineRule="auto"/>
        <w:rPr>
          <w:sz w:val="20"/>
          <w:szCs w:val="20"/>
          <w:color w:val="auto"/>
        </w:rPr>
      </w:pPr>
      <w:r>
        <w:rPr>
          <w:rFonts w:ascii="Arial" w:cs="Arial" w:eastAsia="Arial" w:hAnsi="Arial"/>
          <w:sz w:val="18"/>
          <w:szCs w:val="18"/>
          <w:b w:val="1"/>
          <w:bCs w:val="1"/>
          <w:u w:val="single" w:color="auto"/>
          <w:color w:val="0000FF"/>
        </w:rPr>
        <w:t>(d)            a director or a manager refers to (i) in relation to a company limited by shares (</w:t>
      </w:r>
      <w:r>
        <w:rPr>
          <w:rFonts w:ascii="Arial" w:cs="Arial" w:eastAsia="Arial" w:hAnsi="Arial"/>
          <w:sz w:val="18"/>
          <w:szCs w:val="18"/>
          <w:b w:val="1"/>
          <w:bCs w:val="1"/>
          <w:i w:val="1"/>
          <w:iCs w:val="1"/>
          <w:u w:val="single" w:color="auto"/>
          <w:color w:val="0000FF"/>
        </w:rPr>
        <w:t>Aktiengesellschaft</w:t>
      </w:r>
      <w:r>
        <w:rPr>
          <w:rFonts w:ascii="Arial" w:cs="Arial" w:eastAsia="Arial" w:hAnsi="Arial"/>
          <w:sz w:val="18"/>
          <w:szCs w:val="18"/>
          <w:b w:val="1"/>
          <w:bCs w:val="1"/>
          <w:u w:val="single" w:color="auto"/>
          <w:color w:val="0000FF"/>
        </w:rPr>
        <w:t>) a member of the board of directors (</w:t>
      </w:r>
      <w:r>
        <w:rPr>
          <w:rFonts w:ascii="Arial" w:cs="Arial" w:eastAsia="Arial" w:hAnsi="Arial"/>
          <w:sz w:val="18"/>
          <w:szCs w:val="18"/>
          <w:b w:val="1"/>
          <w:bCs w:val="1"/>
          <w:i w:val="1"/>
          <w:iCs w:val="1"/>
          <w:u w:val="single" w:color="auto"/>
          <w:color w:val="0000FF"/>
        </w:rPr>
        <w:t>Verwaltungsrat</w:t>
      </w:r>
      <w:r>
        <w:rPr>
          <w:rFonts w:ascii="Arial" w:cs="Arial" w:eastAsia="Arial" w:hAnsi="Arial"/>
          <w:sz w:val="18"/>
          <w:szCs w:val="18"/>
          <w:b w:val="1"/>
          <w:bCs w:val="1"/>
          <w:u w:val="single" w:color="auto"/>
          <w:color w:val="0000FF"/>
        </w:rPr>
        <w:t>) or a member of the executive management (</w:t>
      </w:r>
      <w:r>
        <w:rPr>
          <w:rFonts w:ascii="Arial" w:cs="Arial" w:eastAsia="Arial" w:hAnsi="Arial"/>
          <w:sz w:val="18"/>
          <w:szCs w:val="18"/>
          <w:b w:val="1"/>
          <w:bCs w:val="1"/>
          <w:i w:val="1"/>
          <w:iCs w:val="1"/>
          <w:u w:val="single" w:color="auto"/>
          <w:color w:val="0000FF"/>
        </w:rPr>
        <w:t>Geschäftsleitung</w:t>
      </w:r>
      <w:r>
        <w:rPr>
          <w:rFonts w:ascii="Arial" w:cs="Arial" w:eastAsia="Arial" w:hAnsi="Arial"/>
          <w:sz w:val="18"/>
          <w:szCs w:val="18"/>
          <w:b w:val="1"/>
          <w:bCs w:val="1"/>
          <w:u w:val="single" w:color="auto"/>
          <w:color w:val="0000FF"/>
        </w:rPr>
        <w:t>) and (ii) in relation to a limited liability company (</w:t>
      </w:r>
      <w:r>
        <w:rPr>
          <w:rFonts w:ascii="Arial" w:cs="Arial" w:eastAsia="Arial" w:hAnsi="Arial"/>
          <w:sz w:val="18"/>
          <w:szCs w:val="18"/>
          <w:b w:val="1"/>
          <w:bCs w:val="1"/>
          <w:i w:val="1"/>
          <w:iCs w:val="1"/>
          <w:u w:val="single" w:color="auto"/>
          <w:color w:val="0000FF"/>
        </w:rPr>
        <w:t>Gesellschaft mit beschränkter Haftung</w:t>
      </w:r>
      <w:r>
        <w:rPr>
          <w:rFonts w:ascii="Arial" w:cs="Arial" w:eastAsia="Arial" w:hAnsi="Arial"/>
          <w:sz w:val="18"/>
          <w:szCs w:val="18"/>
          <w:b w:val="1"/>
          <w:bCs w:val="1"/>
          <w:u w:val="single" w:color="auto"/>
          <w:color w:val="0000FF"/>
        </w:rPr>
        <w:t>), a managing director (</w:t>
      </w:r>
      <w:r>
        <w:rPr>
          <w:rFonts w:ascii="Arial" w:cs="Arial" w:eastAsia="Arial" w:hAnsi="Arial"/>
          <w:sz w:val="18"/>
          <w:szCs w:val="18"/>
          <w:b w:val="1"/>
          <w:bCs w:val="1"/>
          <w:i w:val="1"/>
          <w:iCs w:val="1"/>
          <w:u w:val="single" w:color="auto"/>
          <w:color w:val="0000FF"/>
        </w:rPr>
        <w:t>Geschäftsführer</w:t>
      </w:r>
      <w:r>
        <w:rPr>
          <w:rFonts w:ascii="Arial" w:cs="Arial" w:eastAsia="Arial" w:hAnsi="Arial"/>
          <w:sz w:val="18"/>
          <w:szCs w:val="18"/>
          <w:b w:val="1"/>
          <w:bCs w:val="1"/>
          <w:u w:val="single" w:color="auto"/>
          <w:color w:val="0000FF"/>
        </w:rPr>
        <w:t>) or a member of the executive management (</w:t>
      </w:r>
      <w:r>
        <w:rPr>
          <w:rFonts w:ascii="Arial" w:cs="Arial" w:eastAsia="Arial" w:hAnsi="Arial"/>
          <w:sz w:val="18"/>
          <w:szCs w:val="18"/>
          <w:b w:val="1"/>
          <w:bCs w:val="1"/>
          <w:i w:val="1"/>
          <w:iCs w:val="1"/>
          <w:u w:val="single" w:color="auto"/>
          <w:color w:val="0000FF"/>
        </w:rPr>
        <w:t>Geschäftsleitung</w:t>
      </w:r>
      <w:r>
        <w:rPr>
          <w:rFonts w:ascii="Arial" w:cs="Arial" w:eastAsia="Arial" w:hAnsi="Arial"/>
          <w:sz w:val="18"/>
          <w:szCs w:val="18"/>
          <w:b w:val="1"/>
          <w:bCs w:val="1"/>
          <w:u w:val="single" w:color="auto"/>
          <w:color w:val="0000FF"/>
        </w:rPr>
        <w:t>).</w:t>
      </w:r>
    </w:p>
    <w:p>
      <w:pPr>
        <w:spacing w:after="0" w:line="18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0000FF"/>
        </w:rPr>
        <w:t>SECTION 1.08</w:t>
      </w:r>
      <w:r>
        <w:rPr>
          <w:sz w:val="20"/>
          <w:szCs w:val="20"/>
          <w:color w:val="auto"/>
        </w:rPr>
        <w:tab/>
      </w:r>
      <w:r>
        <w:rPr>
          <w:rFonts w:ascii="Arial" w:cs="Arial" w:eastAsia="Arial" w:hAnsi="Arial"/>
          <w:sz w:val="16"/>
          <w:szCs w:val="16"/>
          <w:b w:val="1"/>
          <w:bCs w:val="1"/>
          <w:color w:val="FF0000"/>
          <w:strike w:val="1"/>
        </w:rPr>
        <w:t xml:space="preserve">SECTION 1.07 </w:t>
      </w:r>
      <w:r>
        <w:rPr>
          <w:rFonts w:ascii="Arial" w:cs="Arial" w:eastAsia="Arial" w:hAnsi="Arial"/>
          <w:sz w:val="16"/>
          <w:szCs w:val="16"/>
          <w:u w:val="single" w:color="auto"/>
          <w:color w:val="000000"/>
          <w:strike w:val="1"/>
        </w:rPr>
        <w:t>Centre of Main Interest</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91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137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8890</wp:posOffset>
            </wp:positionV>
            <wp:extent cx="913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0000FF"/>
        </w:rPr>
        <w:t xml:space="preserve">SECTION 1.09 </w:t>
      </w:r>
      <w:r>
        <w:rPr>
          <w:rFonts w:ascii="Arial" w:cs="Arial" w:eastAsia="Arial" w:hAnsi="Arial"/>
          <w:sz w:val="16"/>
          <w:szCs w:val="16"/>
          <w:b w:val="1"/>
          <w:bCs w:val="1"/>
          <w:color w:val="FF0000"/>
          <w:strike w:val="1"/>
        </w:rPr>
        <w:t>SECTION 1.08</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Quebec Terms</w:t>
      </w:r>
      <w:r>
        <w:rPr>
          <w:rFonts w:ascii="Arial" w:cs="Arial" w:eastAsia="Arial" w:hAnsi="Arial"/>
          <w:sz w:val="16"/>
          <w:szCs w:val="16"/>
          <w:color w:val="000000"/>
        </w:rPr>
        <w:t>. For purposes of any assets, liabilities or entities located in the Province of Québec and for all</w:t>
      </w:r>
      <w:r>
        <w:rPr>
          <w:rFonts w:ascii="Arial" w:cs="Arial" w:eastAsia="Arial" w:hAnsi="Arial"/>
          <w:sz w:val="16"/>
          <w:szCs w:val="16"/>
          <w:b w:val="1"/>
          <w:bCs w:val="1"/>
          <w:color w:val="0000FF"/>
        </w:rPr>
        <w:t xml:space="preserve"> </w:t>
      </w:r>
      <w:r>
        <w:rPr>
          <w:rFonts w:ascii="Arial" w:cs="Arial" w:eastAsia="Arial" w:hAnsi="Arial"/>
          <w:sz w:val="16"/>
          <w:szCs w:val="16"/>
          <w:color w:val="000000"/>
        </w:rPr>
        <w:t>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“intentional or gross 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-1529715</wp:posOffset>
            </wp:positionV>
            <wp:extent cx="9226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-1512570</wp:posOffset>
            </wp:positionV>
            <wp:extent cx="9226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jc w:val="both"/>
        <w:ind w:firstLine="8"/>
        <w:spacing w:after="0" w:line="265" w:lineRule="auto"/>
        <w:tabs>
          <w:tab w:leader="none" w:pos="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w:t>
      </w:r>
    </w:p>
    <w:p>
      <w:pPr>
        <w:jc w:val="both"/>
        <w:ind w:firstLine="8"/>
        <w:spacing w:after="0" w:line="265" w:lineRule="auto"/>
        <w:tabs>
          <w:tab w:leader="none" w:pos="263"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“legal title” shall include “holding title on behalf of an owner as mandatory or prete-nom”, (v) “ground lease” shall include “emphyteusis” or a “lease with a right of superficies”, as applicable, (w) “leasehold interest” shall include a “valid lease”, (x) “lease” shall include a “leasing contract” and</w:t>
      </w:r>
    </w:p>
    <w:p>
      <w:pPr>
        <w:jc w:val="both"/>
        <w:ind w:firstLine="8"/>
        <w:spacing w:after="0" w:line="292" w:lineRule="auto"/>
        <w:tabs>
          <w:tab w:leader="none" w:pos="2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Arial" w:cs="Arial" w:eastAsia="Arial" w:hAnsi="Arial"/>
          <w:sz w:val="16"/>
          <w:szCs w:val="16"/>
          <w:i w:val="1"/>
          <w:iCs w:val="1"/>
          <w:color w:val="auto"/>
        </w:rPr>
        <w:t>Les parties aux présentes</w:t>
      </w:r>
      <w:r>
        <w:rPr>
          <w:rFonts w:ascii="Arial" w:cs="Arial" w:eastAsia="Arial" w:hAnsi="Arial"/>
          <w:sz w:val="16"/>
          <w:szCs w:val="16"/>
          <w:color w:val="auto"/>
        </w:rPr>
        <w:t xml:space="preserve"> </w:t>
      </w:r>
      <w:r>
        <w:rPr>
          <w:rFonts w:ascii="Arial" w:cs="Arial" w:eastAsia="Arial" w:hAnsi="Arial"/>
          <w:sz w:val="16"/>
          <w:szCs w:val="16"/>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Arial" w:cs="Arial" w:eastAsia="Arial" w:hAnsi="Arial"/>
          <w:sz w:val="16"/>
          <w:szCs w:val="16"/>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83" w:lineRule="auto"/>
        <w:rPr>
          <w:sz w:val="20"/>
          <w:szCs w:val="20"/>
          <w:color w:val="auto"/>
        </w:rPr>
      </w:pPr>
      <w:r>
        <w:rPr>
          <w:rFonts w:ascii="Arial" w:cs="Arial" w:eastAsia="Arial" w:hAnsi="Arial"/>
          <w:sz w:val="16"/>
          <w:szCs w:val="16"/>
          <w:b w:val="1"/>
          <w:bCs w:val="1"/>
          <w:color w:val="0000FF"/>
        </w:rPr>
        <w:t xml:space="preserve">SECTION 1.10 </w:t>
      </w:r>
      <w:r>
        <w:rPr>
          <w:rFonts w:ascii="Arial" w:cs="Arial" w:eastAsia="Arial" w:hAnsi="Arial"/>
          <w:sz w:val="16"/>
          <w:szCs w:val="16"/>
          <w:b w:val="1"/>
          <w:bCs w:val="1"/>
          <w:color w:val="FF0000"/>
          <w:strike w:val="1"/>
        </w:rPr>
        <w:t>SECTION 1.09</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Rates</w:t>
      </w:r>
      <w:r>
        <w:rPr>
          <w:rFonts w:ascii="Arial" w:cs="Arial" w:eastAsia="Arial" w:hAnsi="Arial"/>
          <w:sz w:val="16"/>
          <w:szCs w:val="16"/>
          <w:color w:val="000000"/>
        </w:rPr>
        <w:t>. The Administrative Agent does not warrant or accept any responsibility for, and shall not have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liability with respect to, (a) the continuation of, administration of, submission of, calculation of or any other matter related to the Term SOFR Reference Rate, Adjusted Term SOFR, Term SOFR,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6"/>
          <w:szCs w:val="16"/>
          <w:u w:val="single" w:color="auto"/>
          <w:color w:val="000000"/>
        </w:rPr>
        <w:t>Section 4.06(c)</w:t>
      </w:r>
      <w:r>
        <w:rPr>
          <w:rFonts w:ascii="Arial" w:cs="Arial" w:eastAsia="Arial" w:hAnsi="Arial"/>
          <w:sz w:val="16"/>
          <w:szCs w:val="16"/>
          <w:color w:val="000000"/>
        </w:rPr>
        <w:t>, will be similar to, or produce the same value or economic equivalence of, or have the same volume or liquidity as, the Term SOFR Reference Rate, Term SOFR, Adjusted Term SOFR, any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On May 16, 2022, RBSL, the administrator of CDOR, announced in a public statement (the “</w:t>
      </w:r>
      <w:r>
        <w:rPr>
          <w:rFonts w:ascii="Arial" w:cs="Arial" w:eastAsia="Arial" w:hAnsi="Arial"/>
          <w:sz w:val="16"/>
          <w:szCs w:val="16"/>
          <w:u w:val="single" w:color="auto"/>
          <w:color w:val="000000"/>
        </w:rPr>
        <w:t>Announcement</w:t>
      </w:r>
      <w:r>
        <w:rPr>
          <w:rFonts w:ascii="Arial" w:cs="Arial" w:eastAsia="Arial" w:hAnsi="Arial"/>
          <w:sz w:val="16"/>
          <w:szCs w:val="16"/>
          <w:color w:val="000000"/>
        </w:rPr>
        <w:t xml:space="preserve">”) that the calculation and publication of all tenors of CDOR will permanently cease immediately following a final publication on Friday June 28, 2024. </w:t>
      </w:r>
      <w:r>
        <w:rPr>
          <w:rFonts w:ascii="Arial" w:cs="Arial" w:eastAsia="Arial" w:hAnsi="Arial"/>
          <w:sz w:val="16"/>
          <w:szCs w:val="16"/>
          <w:b w:val="1"/>
          <w:bCs w:val="1"/>
          <w:color w:val="FF0000"/>
          <w:strike w:val="1"/>
        </w:rPr>
        <w:t>No successor administrator for RBSL was identified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-2218055</wp:posOffset>
            </wp:positionV>
            <wp:extent cx="965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6520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-2200910</wp:posOffset>
            </wp:positionV>
            <wp:extent cx="9652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65200" cy="8890"/>
                    </a:xfrm>
                    <a:prstGeom prst="rect">
                      <a:avLst/>
                    </a:prstGeom>
                    <a:noFill/>
                  </pic:spPr>
                </pic:pic>
              </a:graphicData>
            </a:graphic>
          </wp:anchor>
        </w:drawing>
      </w:r>
    </w:p>
    <w:p>
      <w:pPr>
        <w:jc w:val="both"/>
        <w:spacing w:after="0" w:line="290" w:lineRule="auto"/>
        <w:rPr>
          <w:sz w:val="20"/>
          <w:szCs w:val="20"/>
          <w:color w:val="auto"/>
        </w:rPr>
      </w:pPr>
      <w:r>
        <w:rPr>
          <w:rFonts w:ascii="Arial" w:cs="Arial" w:eastAsia="Arial" w:hAnsi="Arial"/>
          <w:sz w:val="16"/>
          <w:szCs w:val="16"/>
          <w:b w:val="1"/>
          <w:bCs w:val="1"/>
          <w:color w:val="FF0000"/>
          <w:strike w:val="1"/>
        </w:rPr>
        <w:t>Announcement. The parties hereto agree and acknowledge that the Announcement resulted in the occurrence of a Benchmark Transition Event with respect to CDOR pursuant to the terms of this Agreement and that the Administrative Agent shall have no obligation to notify any parties</w:t>
      </w:r>
      <w:r>
        <w:rPr>
          <w:rFonts w:ascii="Arial" w:cs="Arial" w:eastAsia="Arial" w:hAnsi="Arial"/>
          <w:sz w:val="16"/>
          <w:szCs w:val="16"/>
          <w:b w:val="1"/>
          <w:bCs w:val="1"/>
          <w:u w:val="single" w:color="auto"/>
          <w:color w:val="0000FF"/>
          <w:strike w:val="1"/>
        </w:rPr>
        <w:t>On</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the date that all Available Tenors of CDOR have either permanently or indefinitely ceased to be provided by RBSL (the “CDOR Cessation Date”), if the then-current Benchmark is CDOR, the Benchmark Replacement will replace such Benchmark for all purposes hereunder and under any Loan Document in respect of any setting</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of such Benchmark</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Transition Event</w:t>
      </w:r>
      <w:r>
        <w:rPr>
          <w:rFonts w:ascii="Arial" w:cs="Arial" w:eastAsia="Arial" w:hAnsi="Arial"/>
          <w:sz w:val="16"/>
          <w:szCs w:val="16"/>
          <w:b w:val="1"/>
          <w:bCs w:val="1"/>
          <w:u w:val="single" w:color="auto"/>
          <w:color w:val="0000FF"/>
          <w:strike w:val="1"/>
        </w:rPr>
        <w:t>on such day and all subsequent settings without any amendment to,</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or further action or consent of any other party to, this Agreement or any other Loan Document</w:t>
      </w:r>
      <w:r>
        <w:rPr>
          <w:rFonts w:ascii="Arial" w:cs="Arial" w:eastAsia="Arial" w:hAnsi="Arial"/>
          <w:sz w:val="16"/>
          <w:szCs w:val="16"/>
          <w:color w:val="000000"/>
          <w:strike w:val="1"/>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REVOLVING LOANS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of this Agreement and the other Loan Documents, and in reliance upon the representations and warranties set forth in this Agreement and the other Loan Documents, each Lender severally agrees to make Loans in Dollars or in one or more Alternative Currencies to the Borrowers from time to time during the Availability Period as requested by the applicable Borrower in accordance with the terms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Revolving Credit Outstandings shall not exceed the Total Revolving Commitments</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and</w:t>
      </w:r>
      <w:r>
        <w:rPr>
          <w:rFonts w:ascii="Arial" w:cs="Arial" w:eastAsia="Arial" w:hAnsi="Arial"/>
          <w:sz w:val="16"/>
          <w:szCs w:val="16"/>
          <w:color w:val="auto"/>
        </w:rPr>
        <w:t xml:space="preserve"> (b) the Revolving Credit Exposure of any Lender shall not at any time exceed such Lender’s Revolving Credit Commitment or Revolving </w:t>
      </w:r>
      <w:r>
        <w:rPr>
          <w:rFonts w:ascii="Arial" w:cs="Arial" w:eastAsia="Arial" w:hAnsi="Arial"/>
          <w:sz w:val="16"/>
          <w:szCs w:val="16"/>
          <w:b w:val="1"/>
          <w:bCs w:val="1"/>
          <w:color w:val="FF0000"/>
          <w:strike w:val="1"/>
        </w:rPr>
        <w:t>LC-Specific</w:t>
      </w:r>
      <w:r>
        <w:rPr>
          <w:rFonts w:ascii="Arial" w:cs="Arial" w:eastAsia="Arial" w:hAnsi="Arial"/>
          <w:sz w:val="16"/>
          <w:szCs w:val="16"/>
          <w:b w:val="1"/>
          <w:bCs w:val="1"/>
          <w:u w:val="single" w:color="auto"/>
          <w:color w:val="0000FF"/>
        </w:rPr>
        <w:t>Loan-Specific</w:t>
      </w:r>
      <w:r>
        <w:rPr>
          <w:rFonts w:ascii="Arial" w:cs="Arial" w:eastAsia="Arial" w:hAnsi="Arial"/>
          <w:sz w:val="16"/>
          <w:szCs w:val="16"/>
          <w:b w:val="1"/>
          <w:bCs w:val="1"/>
          <w:color w:val="0000FF"/>
        </w:rPr>
        <w:t xml:space="preserve"> </w:t>
      </w:r>
      <w:r>
        <w:rPr>
          <w:rFonts w:ascii="Arial" w:cs="Arial" w:eastAsia="Arial" w:hAnsi="Arial"/>
          <w:sz w:val="16"/>
          <w:szCs w:val="16"/>
          <w:color w:val="000000"/>
        </w:rPr>
        <w:t>Commitment, as applicable</w:t>
      </w:r>
      <w:r>
        <w:rPr>
          <w:rFonts w:ascii="Arial" w:cs="Arial" w:eastAsia="Arial" w:hAnsi="Arial"/>
          <w:sz w:val="16"/>
          <w:szCs w:val="16"/>
          <w:b w:val="1"/>
          <w:bCs w:val="1"/>
          <w:color w:val="FF0000"/>
          <w:strike w:val="1"/>
        </w:rPr>
        <w:t>, and (c) the sum of (i) the aggregate principal amount of Loans outstanding plus (ii) the Revolving LC Exposure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of Lenders with a Revolving Credit Commitment in respect of Revolving Performance Letters of Credit shall not exceed the difference between</w:t>
      </w:r>
    </w:p>
    <w:p>
      <w:pPr>
        <w:spacing w:after="0" w:line="2" w:lineRule="exact"/>
        <w:rPr>
          <w:sz w:val="20"/>
          <w:szCs w:val="20"/>
          <w:color w:val="auto"/>
        </w:rPr>
      </w:pPr>
    </w:p>
    <w:p>
      <w:pPr>
        <w:jc w:val="both"/>
        <w:ind w:firstLine="8"/>
        <w:spacing w:after="0" w:line="290" w:lineRule="auto"/>
        <w:tabs>
          <w:tab w:leader="none" w:pos="302" w:val="left"/>
        </w:tabs>
        <w:numPr>
          <w:ilvl w:val="0"/>
          <w:numId w:val="50"/>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the total Revolving Credit Commitments and (B) the Financial LC-Specific Commitment</w:t>
      </w:r>
      <w:r>
        <w:rPr>
          <w:rFonts w:ascii="Arial" w:cs="Arial" w:eastAsia="Arial" w:hAnsi="Arial"/>
          <w:sz w:val="16"/>
          <w:szCs w:val="16"/>
          <w:color w:val="000000"/>
        </w:rPr>
        <w:t>. Each Loan by a Lender shall be in a principal amount</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not to exceed at any time such Lender’s Applicable Percentage (Loans) of the aggregate principal amount of Loans requested on such occasion. Subject to the terms and conditions hereof, the Borrowers may borrow, repay and reborrow Loans hereunder during the Availability Period. Each Lender at its option may make any Loan by causing any domestic or foreign branch or Affiliate of such Lender to make such Loan </w:t>
      </w:r>
      <w:r>
        <w:rPr>
          <w:rFonts w:ascii="Arial" w:cs="Arial" w:eastAsia="Arial" w:hAnsi="Arial"/>
          <w:sz w:val="16"/>
          <w:szCs w:val="16"/>
          <w:b w:val="1"/>
          <w:bCs w:val="1"/>
          <w:u w:val="single" w:color="auto"/>
          <w:color w:val="0000FF"/>
        </w:rPr>
        <w:t>on its behalf</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exercise of such option shall not affect the obligation of any Borrower to repay such Loan in accordance with the terms of this Agreement. Notwithstanding anything to the contrary </w:t>
      </w:r>
      <w:r>
        <w:rPr>
          <w:rFonts w:ascii="Arial" w:cs="Arial" w:eastAsia="Arial" w:hAnsi="Arial"/>
          <w:sz w:val="16"/>
          <w:szCs w:val="16"/>
          <w:b w:val="1"/>
          <w:bCs w:val="1"/>
          <w:color w:val="FF0000"/>
          <w:strike w:val="1"/>
        </w:rPr>
        <w:t>contained</w:t>
      </w:r>
      <w:r>
        <w:rPr>
          <w:rFonts w:ascii="Arial" w:cs="Arial" w:eastAsia="Arial" w:hAnsi="Arial"/>
          <w:sz w:val="16"/>
          <w:szCs w:val="16"/>
          <w:color w:val="000000"/>
        </w:rPr>
        <w:t xml:space="preserve"> herein, in no event shall ATB be required to make any Loans hereunder </w:t>
      </w:r>
      <w:r>
        <w:rPr>
          <w:rFonts w:ascii="Arial" w:cs="Arial" w:eastAsia="Arial" w:hAnsi="Arial"/>
          <w:sz w:val="16"/>
          <w:szCs w:val="16"/>
          <w:b w:val="1"/>
          <w:bCs w:val="1"/>
          <w:u w:val="single" w:color="auto"/>
          <w:color w:val="0000FF"/>
        </w:rPr>
        <w:t>unless denominated in Dollars or Canadian Dollars</w:t>
      </w:r>
      <w:r>
        <w:rPr>
          <w:rFonts w:ascii="Arial" w:cs="Arial" w:eastAsia="Arial" w:hAnsi="Arial"/>
          <w:sz w:val="16"/>
          <w:szCs w:val="16"/>
          <w:color w:val="000000"/>
        </w:rPr>
        <w:t>.</w:t>
      </w:r>
    </w:p>
    <w:p>
      <w:pPr>
        <w:spacing w:after="0" w:line="16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Procedure for Advances of Loans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Requests for Borrowing</w:t>
      </w:r>
      <w:r>
        <w:rPr>
          <w:rFonts w:ascii="Arial" w:cs="Arial" w:eastAsia="Arial" w:hAnsi="Arial"/>
          <w:sz w:val="17"/>
          <w:szCs w:val="17"/>
          <w:color w:val="auto"/>
        </w:rPr>
        <w:t xml:space="preserve">. The applicable Borrower shall give the Administrative Agent irrevocable prior written notice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 Borrowing</w:t>
      </w:r>
      <w:r>
        <w:rPr>
          <w:rFonts w:ascii="Arial" w:cs="Arial" w:eastAsia="Arial" w:hAnsi="Arial"/>
          <w:sz w:val="17"/>
          <w:szCs w:val="17"/>
          <w:color w:val="auto"/>
        </w:rPr>
        <w:t>”) not later than 11:00 a.m. (i) in the case of a Base Rate Loan, at least one (1) Business Day before such Base Rate Loan and (ii)(A) in the case of a Term SOFR Loan, at least three (3) RFR Business Days before such Term SOFR Loan, (B) in the case of an RFR Loan denominated in any Alternative Currency, at least five (5) RFR Business Days before such RFR Loan, and (C) in the case of a Eurocurrency Rate Loan denominated in any Alternative Currency, at least four (4) Eurocurrency Banking Days before such Eurocurrency Rate Loan (or five (5) Eurocurrency Banking Days in the case of a Special Notice Currency), of its intention to borrow, in each case, specifying (1) the date of such borrowing, which shall be a Business Day, (2) the Currency of such borrowing, (3) the amount of such borrowing, which shall be, (x) with respect to Base Rate Loans in an aggregate principal amount of $1,000,000 or a whole multiple of $500,000 in excess thereof and (y) with respect to Eurocurrency Rate Loans and RFR Loans in an aggregate principal amount of $2,000,000 or a whole multiple of $1,000,000 in excess thereof (or, in each case, the remaining amount of the Revolving Credit Commitment), (4) whether such Loan is to be a Eurocurrency Rate Loan, a Daily Simple RFR Loan, a Term SOFR Loan or a Base Rate Loan, and (5) in the case of a Eurocurrency Rate Loan or a Term SOFR Loan, the duration of the Interest Period applicable thereto. If a Borrower fails to specify the Currency of a Loan in a Notice of Borrowing, then the applicable Loans shall be made in Dollars. If a Borrower fails to specify a type of Loan denominated in Dollars in a Notice of Borrowing, then the applicable Loans shall be made as Base Rate Loans. If a Borrower requests a borrowing of a Eurocurrency Rate Loan or a Term SOFR Loan in any such Notice of Borrowing, but fails to specify an Interest Period, it will be deemed to have specified an Interest Period of one month. A Notice of Borrowing received after 11:00 a.m. shall be deemed received on the next Business Day, RFR Business Day or Eurocurrency Banking Day, as applicable. The Administrative Agent shall promptly notify the Lenders of each Notice of Borrowing.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Disbursement of Loans</w:t>
      </w:r>
      <w:r>
        <w:rPr>
          <w:rFonts w:ascii="Arial" w:cs="Arial" w:eastAsia="Arial" w:hAnsi="Arial"/>
          <w:sz w:val="17"/>
          <w:szCs w:val="17"/>
          <w:color w:val="auto"/>
        </w:rPr>
        <w:t xml:space="preserve">. Not later than 1:00 p.m. in the case of any Loan denominated in Dollars and not later than the Applicable Time specified by the Administrative Agent in the case of any Loan denominated in an Alternative Currency, in each case on the proposed borrowing date, each Lender will make available to the Administrative Agent, for the account of the applicable Borrower, at the office designated by the Administrative Agent in immediately available funds in the applicable Currency, such Lender’s Applicable Percentage (Loans) of the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 Account Designation</w:t>
      </w:r>
      <w:r>
        <w:rPr>
          <w:rFonts w:ascii="Arial" w:cs="Arial" w:eastAsia="Arial" w:hAnsi="Arial"/>
          <w:sz w:val="17"/>
          <w:szCs w:val="17"/>
          <w:color w:val="auto"/>
        </w:rPr>
        <w:t xml:space="preserve">”) delivered by such Borrower to the Administrative Agent or as may be otherwise agreed upon by the Borrowers and the Administrative Agent from time to time. Subject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hereof, the Administrative Agent shall not be obligated to disburse the portion of the proceeds of any Loan requested pursuant to this Section to the extent that any Lender has not made available to the Administrative Agent its Applicable Percentage (Loans) of such Loan.</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applicable Borrower may at any time and from time to time prepay Loans, in whole or in part, without premium or penalty, with irrevocable prior written notice to the Administrative Agent substantially in the form attached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E (a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given not later than 11:00 a.m. (i) in the case of a Base Rate Loan, at least one (1) Business Day before prepayment of such Base Rate Loan and (ii) (A) in the case of a Term SOFR Loan, at least three (3) RFR Business Days before prepayment of such Term SOFR Loan, (B) in the case of an RFR Loan denominated in any Alternative Currency, at least five (5) RFR Business Days before prepayment of such RFR Loan and (C) in the case of a Eurocurrency Rate Loan denominated in any Alternative Currency, at least four (4) Eurocurrency Banking Days before prepayment of such Eurocurrency Rate Loan (or five (5) Eurocurrency Banking Days in the case of a prepayment of Eurocurrency Rate Loans denominated in a Special Notice Currency), in each case, specifying the date, Currency and amount of prepayment and whether the prepayment is of Eurocurrency Rate Loans, Daily Simple RFR Loans, Term SOFR Loans, Base Rate Loans or a combination thereof, and, if of a combination thereof, the amount allocable to each. Upon receipt of such notice, the Administrative Agent shall promptly notify each Lender. If any such notice is given, the amount specified in such notice shall be due and payable on the date set forth in such notice. Partial prepayments shall be in an aggregate amount of $1,000,000 or a whole multiple of $500,000 in excess thereof with respect to Base Rate Loans and $2,000,000 or a whole multiple of $1,000,000 in excess thereof with respect to Eurocurrency Rate Loans or RFR Loans. A Notice of Prepayment received after 11:00 a.m. shall be deemed received on the next Business Day, RFR Business Day or Eurocurrency Banking Day, as applicable. Each such repayment shall be accompanied by any amount required to be paid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hereof. Notwithstanding the foregoing, any Notice of Prepayment delivered in connection with any refinancing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applicable Borrower in the event such contingency is not met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such contingency shall not relieve such Borrower from its obligations in respect thereof under </w:t>
      </w:r>
      <w:r>
        <w:rPr>
          <w:rFonts w:ascii="Arial" w:cs="Arial" w:eastAsia="Arial" w:hAnsi="Arial"/>
          <w:sz w:val="17"/>
          <w:szCs w:val="17"/>
          <w:u w:val="single" w:color="auto"/>
          <w:color w:val="auto"/>
        </w:rPr>
        <w:t>Section 4.07</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48"/>
        <w:spacing w:after="0" w:line="284"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Notice and Manner of Conversion or Continuation of Loans</w:t>
      </w:r>
      <w:r>
        <w:rPr>
          <w:rFonts w:ascii="Arial" w:cs="Arial" w:eastAsia="Arial" w:hAnsi="Arial"/>
          <w:sz w:val="16"/>
          <w:szCs w:val="16"/>
          <w:color w:val="auto"/>
        </w:rPr>
        <w:t xml:space="preserve">. Provided that no Default or Event of Default has occurred and is then continuing, the applicable Borrower shall have the option, subject to </w:t>
      </w:r>
      <w:r>
        <w:rPr>
          <w:rFonts w:ascii="Arial" w:cs="Arial" w:eastAsia="Arial" w:hAnsi="Arial"/>
          <w:sz w:val="16"/>
          <w:szCs w:val="16"/>
          <w:u w:val="single" w:color="auto"/>
          <w:color w:val="auto"/>
        </w:rPr>
        <w:t>Section 4.04(a)</w:t>
      </w:r>
      <w:r>
        <w:rPr>
          <w:rFonts w:ascii="Arial" w:cs="Arial" w:eastAsia="Arial" w:hAnsi="Arial"/>
          <w:sz w:val="16"/>
          <w:szCs w:val="16"/>
          <w:color w:val="auto"/>
        </w:rPr>
        <w:t>, to (a) convert at any time,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Term SOFR Loans,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Base Rate Loans or</w:t>
      </w:r>
    </w:p>
    <w:p>
      <w:pPr>
        <w:spacing w:after="0" w:line="4" w:lineRule="exact"/>
        <w:rPr>
          <w:sz w:val="20"/>
          <w:szCs w:val="20"/>
          <w:color w:val="auto"/>
        </w:rPr>
      </w:pPr>
    </w:p>
    <w:p>
      <w:pPr>
        <w:jc w:val="both"/>
        <w:ind w:firstLine="8"/>
        <w:spacing w:after="0" w:line="283"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continue any Term SOFR Loans as Term SOFR Loans, (c) upon the expiration of any Interest Period therefor, continue any Eurocurrency Rate Loans as Eurocurrency Rate Loans and (d) upon the occurrence of the Interest Payment Date therefor, continue any Daily Simple RFR Loans as Daily Simple RFR Loans. Whenever the applicable Borrower desires to convert or continue Loans as provided above, such Borrower shall give the Administrative Agent irrevocable prior written notice in the form attached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F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not later than 11:00 a.m. (i) in the case of a Loan denominated in Dollars, at least three (3) RFR Business Days before the day on which a proposed conversion or continuation of such Loan is to be effective, (ii) in the case of a Loan denominated in any Alternative Currency that is to be an RFR Loan, at least five (5) RFR Business 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specifying (A) the Loans to be converted or continued, and, in the case of any Eurocurrency Rate Loan or Term SOFR Loan to be converted or continued, the last day of the Interest Period therefor, (B) the effective date of such conversion or continuation (which shall be a Business Day), (C) the principal amount and Currency of such Loans to be converted or continued, and (D) in the case of any Eurocurrency Rate Loan or Term SOFR Loan, the Interest Period to be applicable to such converted or continued Eurocurrency Rate Loan or Term SOFR Loan. If the applicable Borrower fails to deliver a timely Notice of Conversion/Continuation with respect to a Daily Simple RFR Loan prior to the Interest Payment Date therefor, then, unless such RFR Loan is repaid as provided herein, such Borrower shall be deemed to have selected that such RFR Loan shall automatically be converted to a Base Rate Loan denominated in Dollars (in an amount equal to the Dollar Equivalent of the applicable Alternative Currency, if applicable) as of such Interest Payment Date. If the applicable Borrower fails to deliver a timely Notice of Conversion/Continuation with respect to a Eurocurrency Rate Loan or a Term SOFR Loan prior to the end of the Interest Period therefor, then, unless such Eurocurrency Rate Loan or Term SOFR Loan, as applicable, is repaid as provided herein, such Borrower shall be deemed to have selected that such Eurocurrency Rate Loan or Term SOFR Loan, as applicable, shall automatically be converted to a Base Rate Loan denominated in Dollars (in an amount equal to the Dollar Equivalent of the applicable Alternative Currency) at the end of such Interest Period. If such Borrower requests a conversion to, or continuation of, a Eurocurrency Rate Loan or a Term SOFR Loan, but fails to specify an Interest Period, it will be deemed to have specified an Interest Period of one month. The Administrative Agent shall promptly notify the affected Lenders of such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LETTERS OF CREDIT</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any Borrower may request that any Issuing Bank issue Letters of Credit denominated in Dollars or any Alternative Currency in the Dollar Equivalent of an aggregate amount not to exceed its </w:t>
      </w:r>
      <w:r>
        <w:rPr>
          <w:rFonts w:ascii="Arial" w:cs="Arial" w:eastAsia="Arial" w:hAnsi="Arial"/>
          <w:sz w:val="17"/>
          <w:szCs w:val="17"/>
          <w:b w:val="1"/>
          <w:bCs w:val="1"/>
          <w:color w:val="FF0000"/>
          <w:strike w:val="1"/>
        </w:rPr>
        <w:t>LC</w:t>
      </w:r>
      <w:r>
        <w:rPr>
          <w:rFonts w:ascii="Arial" w:cs="Arial" w:eastAsia="Arial" w:hAnsi="Arial"/>
          <w:sz w:val="17"/>
          <w:szCs w:val="17"/>
          <w:b w:val="1"/>
          <w:bCs w:val="1"/>
          <w:u w:val="single" w:color="auto"/>
          <w:color w:val="0000FF"/>
        </w:rPr>
        <w:t>Fronting</w:t>
      </w:r>
      <w:r>
        <w:rPr>
          <w:rFonts w:ascii="Arial" w:cs="Arial" w:eastAsia="Arial" w:hAnsi="Arial"/>
          <w:sz w:val="17"/>
          <w:szCs w:val="17"/>
          <w:color w:val="auto"/>
        </w:rPr>
        <w:t xml:space="preserve"> Commitment for the account of such Borrower or, subject to </w:t>
      </w:r>
      <w:r>
        <w:rPr>
          <w:rFonts w:ascii="Arial" w:cs="Arial" w:eastAsia="Arial" w:hAnsi="Arial"/>
          <w:sz w:val="17"/>
          <w:szCs w:val="17"/>
          <w:u w:val="single" w:color="auto"/>
          <w:color w:val="auto"/>
        </w:rPr>
        <w:t>Section 3.01(m)</w:t>
      </w:r>
      <w:r>
        <w:rPr>
          <w:rFonts w:ascii="Arial" w:cs="Arial" w:eastAsia="Arial" w:hAnsi="Arial"/>
          <w:sz w:val="17"/>
          <w:szCs w:val="17"/>
          <w:color w:val="auto"/>
        </w:rPr>
        <w:t xml:space="preserve"> </w:t>
      </w:r>
      <w:r>
        <w:rPr>
          <w:rFonts w:ascii="Arial" w:cs="Arial" w:eastAsia="Arial" w:hAnsi="Arial"/>
          <w:sz w:val="17"/>
          <w:szCs w:val="17"/>
          <w:b w:val="1"/>
          <w:bCs w:val="1"/>
          <w:color w:val="0000FF"/>
        </w:rPr>
        <w:t>and the applicable Issuing Bank having received all documentation and other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 xml:space="preserve">information in respect of the applicable Restricted Subsidiary (to the extent such Restricted Subsidiary is not a Borrower) requested by such Issuing Bank </w:t>
      </w:r>
      <w:r>
        <w:rPr>
          <w:rFonts w:ascii="Arial" w:cs="Arial" w:eastAsia="Arial" w:hAnsi="Arial"/>
          <w:sz w:val="17"/>
          <w:szCs w:val="17"/>
          <w:i w:val="1"/>
          <w:iCs w:val="1"/>
          <w:u w:val="single" w:color="auto"/>
          <w:color w:val="008000"/>
        </w:rPr>
        <w:t>in order to comply with requirements of the PATRIOT Act and applicable “know your customer” and anti-money laundering rules and</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regulations</w:t>
      </w:r>
      <w:r>
        <w:rPr>
          <w:rFonts w:ascii="Arial" w:cs="Arial" w:eastAsia="Arial" w:hAnsi="Arial"/>
          <w:sz w:val="17"/>
          <w:szCs w:val="17"/>
          <w:color w:val="000000"/>
        </w:rPr>
        <w:t>, a Restricted Subsidiary, in a form reasonably acceptable to such Issuing Bank, at any time and from time to time during the Availability Period.</w:t>
      </w:r>
      <w:r>
        <w:rPr>
          <w:rFonts w:ascii="Arial" w:cs="Arial" w:eastAsia="Arial" w:hAnsi="Arial"/>
          <w:sz w:val="17"/>
          <w:szCs w:val="17"/>
          <w:i w:val="1"/>
          <w:iCs w:val="1"/>
          <w:color w:val="008000"/>
        </w:rPr>
        <w:t xml:space="preserve"> </w:t>
      </w:r>
      <w:r>
        <w:rPr>
          <w:rFonts w:ascii="Arial" w:cs="Arial" w:eastAsia="Arial" w:hAnsi="Arial"/>
          <w:sz w:val="17"/>
          <w:szCs w:val="17"/>
          <w:color w:val="000000"/>
        </w:rPr>
        <w:t xml:space="preserve">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Arial" w:cs="Arial" w:eastAsia="Arial" w:hAnsi="Arial"/>
          <w:sz w:val="17"/>
          <w:szCs w:val="17"/>
          <w:u w:val="single" w:color="auto"/>
          <w:color w:val="000000"/>
        </w:rPr>
        <w:t>(i)</w:t>
      </w:r>
      <w:r>
        <w:rPr>
          <w:rFonts w:ascii="Arial" w:cs="Arial" w:eastAsia="Arial" w:hAnsi="Arial"/>
          <w:sz w:val="17"/>
          <w:szCs w:val="17"/>
          <w:color w:val="000000"/>
        </w:rPr>
        <w:t xml:space="preserve"> to </w:t>
      </w:r>
      <w:r>
        <w:rPr>
          <w:rFonts w:ascii="Arial" w:cs="Arial" w:eastAsia="Arial" w:hAnsi="Arial"/>
          <w:sz w:val="17"/>
          <w:szCs w:val="17"/>
          <w:u w:val="single" w:color="auto"/>
          <w:color w:val="000000"/>
        </w:rPr>
        <w:t>(iii)</w:t>
      </w:r>
      <w:r>
        <w:rPr>
          <w:rFonts w:ascii="Arial" w:cs="Arial" w:eastAsia="Arial" w:hAnsi="Arial"/>
          <w:sz w:val="17"/>
          <w:szCs w:val="17"/>
          <w:color w:val="000000"/>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is intended to limit or restrict the rights of any Borrower or any Restricted Subsidiary to obtain letters of credit otherwise permitted by this Agreement from any Person, regardless of whether such Person is a party hereto. Notwithstanding the foregoing or anything to the contrary contained herein, (</w:t>
      </w:r>
      <w:r>
        <w:rPr>
          <w:rFonts w:ascii="Arial" w:cs="Arial" w:eastAsia="Arial" w:hAnsi="Arial"/>
          <w:sz w:val="17"/>
          <w:szCs w:val="17"/>
          <w:b w:val="1"/>
          <w:bCs w:val="1"/>
          <w:color w:val="FF0000"/>
          <w:strike w:val="1"/>
        </w:rPr>
        <w:t>a</w:t>
      </w:r>
      <w:r>
        <w:rPr>
          <w:rFonts w:ascii="Arial" w:cs="Arial" w:eastAsia="Arial" w:hAnsi="Arial"/>
          <w:sz w:val="17"/>
          <w:szCs w:val="17"/>
          <w:b w:val="1"/>
          <w:bCs w:val="1"/>
          <w:u w:val="single" w:color="auto"/>
          <w:color w:val="0000FF"/>
        </w:rPr>
        <w:t>A</w:t>
      </w:r>
      <w:r>
        <w:rPr>
          <w:rFonts w:ascii="Arial" w:cs="Arial" w:eastAsia="Arial" w:hAnsi="Arial"/>
          <w:sz w:val="17"/>
          <w:szCs w:val="17"/>
          <w:color w:val="000000"/>
        </w:rPr>
        <w:t>) neither Deutsche Bank (solely with respect to the Revolving Credit Commitment thereof), Barclays nor Morgan Stanley, as Issuing Bank, shall be required to issue any Commercial Letters of Credit, (</w:t>
      </w:r>
      <w:r>
        <w:rPr>
          <w:rFonts w:ascii="Arial" w:cs="Arial" w:eastAsia="Arial" w:hAnsi="Arial"/>
          <w:sz w:val="17"/>
          <w:szCs w:val="17"/>
          <w:b w:val="1"/>
          <w:bCs w:val="1"/>
          <w:color w:val="FF0000"/>
          <w:strike w:val="1"/>
        </w:rPr>
        <w:t>b</w:t>
      </w:r>
      <w:r>
        <w:rPr>
          <w:rFonts w:ascii="Arial" w:cs="Arial" w:eastAsia="Arial" w:hAnsi="Arial"/>
          <w:sz w:val="17"/>
          <w:szCs w:val="17"/>
          <w:b w:val="1"/>
          <w:bCs w:val="1"/>
          <w:u w:val="single" w:color="auto"/>
          <w:color w:val="0000FF"/>
        </w:rPr>
        <w:t>B</w:t>
      </w:r>
      <w:r>
        <w:rPr>
          <w:rFonts w:ascii="Arial" w:cs="Arial" w:eastAsia="Arial" w:hAnsi="Arial"/>
          <w:sz w:val="17"/>
          <w:szCs w:val="17"/>
          <w:color w:val="000000"/>
        </w:rPr>
        <w:t xml:space="preserve">) Morgan Stanley will not be required to issue any bank guarantees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c</w:t>
      </w:r>
      <w:r>
        <w:rPr>
          <w:rFonts w:ascii="Arial" w:cs="Arial" w:eastAsia="Arial" w:hAnsi="Arial"/>
          <w:sz w:val="17"/>
          <w:szCs w:val="17"/>
          <w:b w:val="1"/>
          <w:bCs w:val="1"/>
          <w:u w:val="single" w:color="auto"/>
          <w:color w:val="0000FF"/>
        </w:rPr>
        <w:t>C</w:t>
      </w:r>
      <w:r>
        <w:rPr>
          <w:rFonts w:ascii="Arial" w:cs="Arial" w:eastAsia="Arial" w:hAnsi="Arial"/>
          <w:sz w:val="17"/>
          <w:szCs w:val="17"/>
          <w:color w:val="000000"/>
        </w:rPr>
        <w:t xml:space="preserve">) ATB will not be required to issue any Letters of Credit for the account of any Borrower </w:t>
      </w:r>
      <w:r>
        <w:rPr>
          <w:rFonts w:ascii="Arial" w:cs="Arial" w:eastAsia="Arial" w:hAnsi="Arial"/>
          <w:sz w:val="17"/>
          <w:szCs w:val="17"/>
          <w:b w:val="1"/>
          <w:bCs w:val="1"/>
          <w:u w:val="single" w:color="auto"/>
          <w:color w:val="0000FF"/>
        </w:rPr>
        <w:t>or Restricted Subsidiary</w:t>
      </w:r>
      <w:r>
        <w:rPr>
          <w:rFonts w:ascii="Arial" w:cs="Arial" w:eastAsia="Arial" w:hAnsi="Arial"/>
          <w:sz w:val="17"/>
          <w:szCs w:val="17"/>
          <w:color w:val="000000"/>
        </w:rPr>
        <w:t xml:space="preserve"> other than WIL-Canada </w:t>
      </w:r>
      <w:r>
        <w:rPr>
          <w:rFonts w:ascii="Arial" w:cs="Arial" w:eastAsia="Arial" w:hAnsi="Arial"/>
          <w:sz w:val="17"/>
          <w:szCs w:val="17"/>
          <w:b w:val="1"/>
          <w:bCs w:val="1"/>
          <w:u w:val="single" w:color="auto"/>
          <w:color w:val="0000FF"/>
        </w:rPr>
        <w:t>and (D) none of Deutsche Bank, Morgan Stanley or Barclays will be required to issue</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any Letters of Credit denominated in Saudi Riyals</w:t>
      </w:r>
      <w:r>
        <w:rPr>
          <w:rFonts w:ascii="Arial" w:cs="Arial" w:eastAsia="Arial" w:hAnsi="Arial"/>
          <w:sz w:val="17"/>
          <w:szCs w:val="17"/>
          <w:color w:val="000000"/>
        </w:rPr>
        <w:t>. Notwithstanding anything to the contrary herein, no more than 1,000 (or such greater number as may</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be agreed by the Administrative Agent) Letters of Credit issued pursuant to this Agreement (including Existing Letters of Credit issued pursuant to </w:t>
      </w:r>
      <w:r>
        <w:rPr>
          <w:rFonts w:ascii="Arial" w:cs="Arial" w:eastAsia="Arial" w:hAnsi="Arial"/>
          <w:sz w:val="17"/>
          <w:szCs w:val="17"/>
          <w:u w:val="single" w:color="auto"/>
          <w:color w:val="000000"/>
        </w:rPr>
        <w:t>Section 3.01(n)</w:t>
      </w:r>
      <w:r>
        <w:rPr>
          <w:rFonts w:ascii="Arial" w:cs="Arial" w:eastAsia="Arial" w:hAnsi="Arial"/>
          <w:sz w:val="17"/>
          <w:szCs w:val="17"/>
          <w:color w:val="000000"/>
        </w:rPr>
        <w:t>) may be outstanding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-2228215</wp:posOffset>
            </wp:positionV>
            <wp:extent cx="41255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25595"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-2211070</wp:posOffset>
            </wp:positionV>
            <wp:extent cx="41255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2559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1296"/>
        <w:spacing w:after="0" w:line="28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11:00 a.m., New York City time, three (3) Business Days before the proposed date such Letter of Credit is to be issued and (ii) 11:00 a.m., New York City time, three (3)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the amount of such Letter of Credit, whether any such Letter of Credit is to be a </w:t>
      </w:r>
      <w:r>
        <w:rPr>
          <w:rFonts w:ascii="Arial" w:cs="Arial" w:eastAsia="Arial" w:hAnsi="Arial"/>
          <w:sz w:val="16"/>
          <w:szCs w:val="16"/>
          <w:b w:val="1"/>
          <w:bCs w:val="1"/>
          <w:color w:val="FF0000"/>
          <w:strike w:val="1"/>
        </w:rPr>
        <w:t>Peformance Letter of Credit, Revolving</w:t>
      </w:r>
      <w:r>
        <w:rPr>
          <w:rFonts w:ascii="Arial" w:cs="Arial" w:eastAsia="Arial" w:hAnsi="Arial"/>
          <w:sz w:val="16"/>
          <w:szCs w:val="16"/>
          <w:color w:val="auto"/>
        </w:rPr>
        <w:t xml:space="preserve"> Performance Letter of Credit or </w:t>
      </w:r>
      <w:r>
        <w:rPr>
          <w:rFonts w:ascii="Arial" w:cs="Arial" w:eastAsia="Arial" w:hAnsi="Arial"/>
          <w:sz w:val="16"/>
          <w:szCs w:val="16"/>
          <w:b w:val="1"/>
          <w:bCs w:val="1"/>
          <w:color w:val="FF0000"/>
          <w:strike w:val="1"/>
        </w:rPr>
        <w:t>Financial Standby</w:t>
      </w:r>
      <w:r>
        <w:rPr>
          <w:rFonts w:ascii="Arial" w:cs="Arial" w:eastAsia="Arial" w:hAnsi="Arial"/>
          <w:sz w:val="16"/>
          <w:szCs w:val="16"/>
          <w:b w:val="1"/>
          <w:bCs w:val="1"/>
          <w:u w:val="single" w:color="auto"/>
          <w:color w:val="0000FF"/>
        </w:rPr>
        <w:t>Revolving</w:t>
      </w:r>
      <w:r>
        <w:rPr>
          <w:rFonts w:ascii="Arial" w:cs="Arial" w:eastAsia="Arial" w:hAnsi="Arial"/>
          <w:sz w:val="16"/>
          <w:szCs w:val="16"/>
          <w:color w:val="auto"/>
        </w:rPr>
        <w:t xml:space="preserve">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(collectively, the “</w:t>
      </w:r>
      <w:r>
        <w:rPr>
          <w:rFonts w:ascii="Arial" w:cs="Arial" w:eastAsia="Arial" w:hAnsi="Arial"/>
          <w:sz w:val="16"/>
          <w:szCs w:val="16"/>
          <w:u w:val="single" w:color="auto"/>
          <w:color w:val="auto"/>
        </w:rPr>
        <w:t>Letter of Credit Documents</w:t>
      </w:r>
      <w:r>
        <w:rPr>
          <w:rFonts w:ascii="Arial" w:cs="Arial" w:eastAsia="Arial" w:hAnsi="Arial"/>
          <w:sz w:val="16"/>
          <w:szCs w:val="16"/>
          <w:color w:val="auto"/>
        </w:rPr>
        <w:t xml:space="preserve">”).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Credit Exposure shall not exceed the Aggregate Commitments; (ii) the portion of the Total LC Exposure attributable to Letters of Credit issued by such Issuing Bank will not, unless such Issuing Bank shall so agree in accordance with </w:t>
      </w:r>
      <w:r>
        <w:rPr>
          <w:rFonts w:ascii="Arial" w:cs="Arial" w:eastAsia="Arial" w:hAnsi="Arial"/>
          <w:sz w:val="16"/>
          <w:szCs w:val="16"/>
          <w:u w:val="single" w:color="auto"/>
          <w:color w:val="auto"/>
        </w:rPr>
        <w:t>Section 3.01(j)</w:t>
      </w:r>
      <w:r>
        <w:rPr>
          <w:rFonts w:ascii="Arial" w:cs="Arial" w:eastAsia="Arial" w:hAnsi="Arial"/>
          <w:sz w:val="16"/>
          <w:szCs w:val="16"/>
          <w:color w:val="auto"/>
        </w:rPr>
        <w:t xml:space="preserve">, exceed the </w:t>
      </w:r>
      <w:r>
        <w:rPr>
          <w:rFonts w:ascii="Arial" w:cs="Arial" w:eastAsia="Arial" w:hAnsi="Arial"/>
          <w:sz w:val="16"/>
          <w:szCs w:val="16"/>
          <w:b w:val="1"/>
          <w:bCs w:val="1"/>
          <w:color w:val="FF0000"/>
          <w:strike w:val="1"/>
        </w:rPr>
        <w:t>LC</w:t>
      </w:r>
      <w:r>
        <w:rPr>
          <w:rFonts w:ascii="Arial" w:cs="Arial" w:eastAsia="Arial" w:hAnsi="Arial"/>
          <w:sz w:val="16"/>
          <w:szCs w:val="16"/>
          <w:b w:val="1"/>
          <w:bCs w:val="1"/>
          <w:u w:val="single" w:color="auto"/>
          <w:color w:val="0000FF"/>
        </w:rPr>
        <w:t>Fronting</w:t>
      </w:r>
      <w:r>
        <w:rPr>
          <w:rFonts w:ascii="Arial" w:cs="Arial" w:eastAsia="Arial" w:hAnsi="Arial"/>
          <w:sz w:val="16"/>
          <w:szCs w:val="16"/>
          <w:color w:val="auto"/>
        </w:rPr>
        <w:t xml:space="preserve"> Commitment of such Issuing Bank; </w:t>
      </w:r>
      <w:r>
        <w:rPr>
          <w:rFonts w:ascii="Arial" w:cs="Arial" w:eastAsia="Arial" w:hAnsi="Arial"/>
          <w:sz w:val="16"/>
          <w:szCs w:val="16"/>
          <w:b w:val="1"/>
          <w:bCs w:val="1"/>
          <w:color w:val="FF0000"/>
          <w:strike w:val="1"/>
        </w:rPr>
        <w:t>and</w:t>
      </w:r>
      <w:r>
        <w:rPr>
          <w:rFonts w:ascii="Arial" w:cs="Arial" w:eastAsia="Arial" w:hAnsi="Arial"/>
          <w:sz w:val="16"/>
          <w:szCs w:val="16"/>
          <w:color w:val="auto"/>
        </w:rPr>
        <w:t xml:space="preserve"> (iii) the Revolving Credit Outstandings will not exceed the Total Revolving Commitments; </w:t>
      </w:r>
      <w:r>
        <w:rPr>
          <w:rFonts w:ascii="Arial" w:cs="Arial" w:eastAsia="Arial" w:hAnsi="Arial"/>
          <w:sz w:val="16"/>
          <w:szCs w:val="16"/>
          <w:b w:val="1"/>
          <w:bCs w:val="1"/>
          <w:u w:val="single" w:color="auto"/>
          <w:color w:val="0000FF"/>
        </w:rPr>
        <w:t>(iv) the Total LC Exposure shall not exceed the aggregate Fronting Commitments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all Issuing Banks; and (v) the Total LC Exposure in respect of Performance Letters of Credit shall not exceed the aggregate Performance LC Commitments;</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the issuance of</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Letters of Credit (x) constituting Financial Standby Letters of Credit and/or (y) Revolving</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Performance Letters of</w:t>
      </w:r>
      <w:r>
        <w:rPr>
          <w:rFonts w:ascii="Arial" w:cs="Arial" w:eastAsia="Arial" w:hAnsi="Arial"/>
          <w:sz w:val="16"/>
          <w:szCs w:val="16"/>
          <w:b w:val="1"/>
          <w:bCs w:val="1"/>
          <w:u w:val="single" w:color="auto"/>
          <w:color w:val="0000FF"/>
        </w:rPr>
        <w:t>Revolving Letters of</w:t>
      </w:r>
      <w:r>
        <w:rPr>
          <w:rFonts w:ascii="Arial" w:cs="Arial" w:eastAsia="Arial" w:hAnsi="Arial"/>
          <w:sz w:val="16"/>
          <w:szCs w:val="16"/>
          <w:b w:val="1"/>
          <w:bCs w:val="1"/>
          <w:color w:val="FF0000"/>
        </w:rPr>
        <w:t xml:space="preserve"> </w:t>
      </w:r>
      <w:r>
        <w:rPr>
          <w:rFonts w:ascii="Arial" w:cs="Arial" w:eastAsia="Arial" w:hAnsi="Arial"/>
          <w:sz w:val="16"/>
          <w:szCs w:val="16"/>
          <w:color w:val="000000"/>
        </w:rPr>
        <w:t>Credit shall constitute utilization of the Total Revolving Commitments and, for the avoidance of doubt, no</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Financial Standby </w:t>
      </w:r>
      <w:r>
        <w:rPr>
          <w:rFonts w:ascii="Arial" w:cs="Arial" w:eastAsia="Arial" w:hAnsi="Arial"/>
          <w:sz w:val="16"/>
          <w:szCs w:val="16"/>
          <w:b w:val="1"/>
          <w:bCs w:val="1"/>
          <w:color w:val="FF0000"/>
          <w:strike w:val="1"/>
        </w:rPr>
        <w:t>Letters of Credit</w:t>
      </w:r>
      <w:r>
        <w:rPr>
          <w:rFonts w:ascii="Arial" w:cs="Arial" w:eastAsia="Arial" w:hAnsi="Arial"/>
          <w:sz w:val="16"/>
          <w:szCs w:val="16"/>
          <w:b w:val="1"/>
          <w:bCs w:val="1"/>
          <w:u w:val="single" w:color="auto"/>
          <w:color w:val="0000FF"/>
        </w:rPr>
        <w:t>LCs</w:t>
      </w:r>
      <w:r>
        <w:rPr>
          <w:rFonts w:ascii="Arial" w:cs="Arial" w:eastAsia="Arial" w:hAnsi="Arial"/>
          <w:sz w:val="16"/>
          <w:szCs w:val="16"/>
          <w:color w:val="000000"/>
        </w:rPr>
        <w:t xml:space="preserve"> may be issued in respect of the Performance LC Commitments;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the Borrowers shall not reduce the Commitment </w:t>
      </w:r>
      <w:r>
        <w:rPr>
          <w:rFonts w:ascii="Arial" w:cs="Arial" w:eastAsia="Arial" w:hAnsi="Arial"/>
          <w:sz w:val="16"/>
          <w:szCs w:val="16"/>
          <w:b w:val="1"/>
          <w:bCs w:val="1"/>
          <w:u w:val="single" w:color="auto"/>
          <w:color w:val="0000FF"/>
        </w:rPr>
        <w:t>or Fronting Commitment</w:t>
      </w:r>
      <w:r>
        <w:rPr>
          <w:rFonts w:ascii="Arial" w:cs="Arial" w:eastAsia="Arial" w:hAnsi="Arial"/>
          <w:sz w:val="16"/>
          <w:szCs w:val="16"/>
          <w:color w:val="000000"/>
        </w:rPr>
        <w:t xml:space="preserve"> of any Issuing Bank if, after giving effect of such reduction, the conditions set forth in </w:t>
      </w:r>
      <w:r>
        <w:rPr>
          <w:rFonts w:ascii="Arial" w:cs="Arial" w:eastAsia="Arial" w:hAnsi="Arial"/>
          <w:sz w:val="16"/>
          <w:szCs w:val="16"/>
          <w:u w:val="single" w:color="auto"/>
          <w:color w:val="000000"/>
        </w:rPr>
        <w:t>clauses</w:t>
      </w:r>
    </w:p>
    <w:p>
      <w:pPr>
        <w:spacing w:after="0" w:line="10" w:lineRule="exact"/>
        <w:rPr>
          <w:sz w:val="20"/>
          <w:szCs w:val="20"/>
          <w:color w:val="auto"/>
        </w:rPr>
      </w:pPr>
    </w:p>
    <w:p>
      <w:pPr>
        <w:jc w:val="both"/>
        <w:ind w:firstLine="8"/>
        <w:spacing w:after="0" w:line="295" w:lineRule="auto"/>
        <w:tabs>
          <w:tab w:leader="none" w:pos="215" w:val="left"/>
        </w:tabs>
        <w:numPr>
          <w:ilvl w:val="0"/>
          <w:numId w:val="52"/>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FF0000"/>
          <w:strike w:val="1"/>
        </w:rPr>
        <w:t>iii</w:t>
      </w:r>
      <w:r>
        <w:rPr>
          <w:rFonts w:ascii="Arial" w:cs="Arial" w:eastAsia="Arial" w:hAnsi="Arial"/>
          <w:sz w:val="16"/>
          <w:szCs w:val="16"/>
          <w:b w:val="1"/>
          <w:bCs w:val="1"/>
          <w:u w:val="single" w:color="auto"/>
          <w:color w:val="0000FF"/>
        </w:rPr>
        <w:t>v</w:t>
      </w:r>
      <w:r>
        <w:rPr>
          <w:rFonts w:ascii="Arial" w:cs="Arial" w:eastAsia="Arial" w:hAnsi="Arial"/>
          <w:sz w:val="16"/>
          <w:szCs w:val="16"/>
          <w:u w:val="single" w:color="auto"/>
          <w:color w:val="auto"/>
        </w:rPr>
        <w:t>)</w:t>
      </w:r>
      <w:r>
        <w:rPr>
          <w:rFonts w:ascii="Arial" w:cs="Arial" w:eastAsia="Arial" w:hAnsi="Arial"/>
          <w:sz w:val="16"/>
          <w:szCs w:val="16"/>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shall not then be satisfied, then, subject to the terms and conditions hereof, such Issuing Bank shall, on the requested date, issue, amend, renew or extend, as applicable, such Letter of Credit.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firstLine="1296"/>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Legal and Policy Prohibitions</w:t>
      </w:r>
      <w:r>
        <w:rPr>
          <w:rFonts w:ascii="Arial" w:cs="Arial" w:eastAsia="Arial" w:hAnsi="Arial"/>
          <w:sz w:val="18"/>
          <w:szCs w:val="18"/>
          <w:color w:val="auto"/>
        </w:rPr>
        <w:t xml:space="preserve">. Notwithstanding anything to the contrary herein, including </w:t>
      </w:r>
      <w:r>
        <w:rPr>
          <w:rFonts w:ascii="Arial" w:cs="Arial" w:eastAsia="Arial" w:hAnsi="Arial"/>
          <w:sz w:val="18"/>
          <w:szCs w:val="18"/>
          <w:u w:val="single" w:color="auto"/>
          <w:color w:val="auto"/>
        </w:rPr>
        <w:t>Section 6.02</w:t>
      </w:r>
      <w:r>
        <w:rPr>
          <w:rFonts w:ascii="Arial" w:cs="Arial" w:eastAsia="Arial" w:hAnsi="Arial"/>
          <w:sz w:val="18"/>
          <w:szCs w:val="18"/>
          <w:color w:val="auto"/>
        </w:rPr>
        <w:t>, an Issuing Bank shall not be under any obligation to issue any Letter of Credit if:</w:t>
      </w:r>
    </w:p>
    <w:p>
      <w:pPr>
        <w:spacing w:after="0" w:line="170" w:lineRule="exact"/>
        <w:rPr>
          <w:sz w:val="20"/>
          <w:szCs w:val="20"/>
          <w:color w:val="auto"/>
        </w:rPr>
      </w:pPr>
    </w:p>
    <w:p>
      <w:pPr>
        <w:jc w:val="both"/>
        <w:ind w:left="660" w:firstLine="1296"/>
        <w:spacing w:after="0" w:line="273" w:lineRule="auto"/>
        <w:rPr>
          <w:sz w:val="20"/>
          <w:szCs w:val="20"/>
          <w:color w:val="auto"/>
        </w:rPr>
      </w:pPr>
      <w:r>
        <w:rPr>
          <w:rFonts w:ascii="Arial" w:cs="Arial" w:eastAsia="Arial" w:hAnsi="Arial"/>
          <w:sz w:val="17"/>
          <w:szCs w:val="17"/>
          <w:color w:val="auto"/>
        </w:rPr>
        <w:t>(i)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(ii)            the issuance of such Letter of Credit would violate one or more policies of such Issuing Bank applicable to letters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generally.</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Expiration Date</w:t>
      </w:r>
      <w:r>
        <w:rPr>
          <w:rFonts w:ascii="Arial" w:cs="Arial" w:eastAsia="Arial" w:hAnsi="Arial"/>
          <w:sz w:val="16"/>
          <w:szCs w:val="16"/>
          <w:color w:val="auto"/>
        </w:rPr>
        <w:t>. Each Letter of Credit shall expire on or prior to the date (the “</w:t>
      </w:r>
      <w:r>
        <w:rPr>
          <w:rFonts w:ascii="Arial" w:cs="Arial" w:eastAsia="Arial" w:hAnsi="Arial"/>
          <w:sz w:val="16"/>
          <w:szCs w:val="16"/>
          <w:u w:val="single" w:color="auto"/>
          <w:color w:val="auto"/>
        </w:rPr>
        <w:t>LC Expiration Date</w:t>
      </w:r>
      <w:r>
        <w:rPr>
          <w:rFonts w:ascii="Arial" w:cs="Arial" w:eastAsia="Arial" w:hAnsi="Arial"/>
          <w:sz w:val="16"/>
          <w:szCs w:val="16"/>
          <w:color w:val="auto"/>
        </w:rPr>
        <w:t xml:space="preserve">”) that is five Business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terms and conditions of </w:t>
      </w:r>
      <w:r>
        <w:rPr>
          <w:rFonts w:ascii="Arial" w:cs="Arial" w:eastAsia="Arial" w:hAnsi="Arial"/>
          <w:sz w:val="16"/>
          <w:szCs w:val="16"/>
          <w:u w:val="single" w:color="auto"/>
          <w:color w:val="auto"/>
        </w:rPr>
        <w:t>Section 3.01(</w:t>
      </w:r>
      <w:r>
        <w:rPr>
          <w:rFonts w:ascii="Arial" w:cs="Arial" w:eastAsia="Arial" w:hAnsi="Arial"/>
          <w:sz w:val="16"/>
          <w:szCs w:val="16"/>
          <w:b w:val="1"/>
          <w:bCs w:val="1"/>
          <w:u w:val="single" w:color="auto"/>
          <w:color w:val="FF0000"/>
          <w:strike w:val="1"/>
        </w:rPr>
        <w:t>k)</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and the last sentence of each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Section 3.01(e)</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Section 3.01(f</w:t>
      </w:r>
      <w:r>
        <w:rPr>
          <w:rFonts w:ascii="Arial" w:cs="Arial" w:eastAsia="Arial" w:hAnsi="Arial"/>
          <w:sz w:val="16"/>
          <w:szCs w:val="16"/>
          <w:b w:val="1"/>
          <w:bCs w:val="1"/>
          <w:u w:val="single" w:color="auto"/>
          <w:color w:val="0000FF"/>
        </w:rPr>
        <w:t>q</w:t>
      </w:r>
      <w:r>
        <w:rPr>
          <w:rFonts w:ascii="Arial" w:cs="Arial" w:eastAsia="Arial" w:hAnsi="Arial"/>
          <w:sz w:val="16"/>
          <w:szCs w:val="16"/>
          <w:u w:val="single" w:color="auto"/>
          <w:color w:val="000000"/>
        </w:rPr>
        <w:t>)</w:t>
      </w:r>
      <w:r>
        <w:rPr>
          <w:rFonts w:ascii="Arial" w:cs="Arial" w:eastAsia="Arial" w:hAnsi="Arial"/>
          <w:sz w:val="16"/>
          <w:szCs w:val="16"/>
          <w:color w:val="000000"/>
        </w:rPr>
        <w:t>, any Borrower may request that an Issuing Bank issue prior to the Stated Cash Collateralization Date a Letter of Credit with an expiration</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date that is beyond the LC Expiration Date (including as a result of an automatic renewal of a Letter of Credit for an additional period that would end after the LC Expiration Date) but in no event later than the three-year anniversary of the Maturity Date so long as (i) </w:t>
      </w:r>
      <w:r>
        <w:rPr>
          <w:rFonts w:ascii="Arial" w:cs="Arial" w:eastAsia="Arial" w:hAnsi="Arial"/>
          <w:sz w:val="16"/>
          <w:szCs w:val="16"/>
          <w:b w:val="1"/>
          <w:bCs w:val="1"/>
          <w:u w:val="single" w:color="auto"/>
          <w:color w:val="0000FF"/>
        </w:rPr>
        <w:t>on or prior to the Stated Cash</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Collateralization Date,</w:t>
      </w:r>
      <w:r>
        <w:rPr>
          <w:rFonts w:ascii="Arial" w:cs="Arial" w:eastAsia="Arial" w:hAnsi="Arial"/>
          <w:sz w:val="16"/>
          <w:szCs w:val="16"/>
          <w:b w:val="1"/>
          <w:bCs w:val="1"/>
          <w:color w:val="0000FF"/>
        </w:rPr>
        <w:t xml:space="preserve"> </w:t>
      </w:r>
      <w:r>
        <w:rPr>
          <w:rFonts w:ascii="Arial" w:cs="Arial" w:eastAsia="Arial" w:hAnsi="Arial"/>
          <w:sz w:val="16"/>
          <w:szCs w:val="16"/>
          <w:color w:val="000000"/>
        </w:rPr>
        <w:t>such Letter of Credit is cash collateralized or backstopped</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by such Borrower</w:t>
      </w:r>
      <w:r>
        <w:rPr>
          <w:rFonts w:ascii="Arial" w:cs="Arial" w:eastAsia="Arial" w:hAnsi="Arial"/>
          <w:sz w:val="16"/>
          <w:szCs w:val="16"/>
          <w:b w:val="1"/>
          <w:bCs w:val="1"/>
          <w:color w:val="0000FF"/>
        </w:rPr>
        <w:t xml:space="preserve"> </w:t>
      </w:r>
      <w:r>
        <w:rPr>
          <w:rFonts w:ascii="Arial" w:cs="Arial" w:eastAsia="Arial" w:hAnsi="Arial"/>
          <w:sz w:val="16"/>
          <w:szCs w:val="16"/>
          <w:color w:val="000000"/>
        </w:rPr>
        <w:t>pursuant to arrangements reasonably satisfactory to</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relevant Issuing Bank and (ii) the aggregate face amount of all Letters of Credit so extended does not, at any time, exceed $150,000,000 (each such Letter of Credit, an “</w:t>
      </w:r>
      <w:r>
        <w:rPr>
          <w:rFonts w:ascii="Arial" w:cs="Arial" w:eastAsia="Arial" w:hAnsi="Arial"/>
          <w:sz w:val="16"/>
          <w:szCs w:val="16"/>
          <w:u w:val="single" w:color="auto"/>
          <w:color w:val="000000"/>
        </w:rPr>
        <w:t>Extended Expiration Letter of Credit</w:t>
      </w:r>
      <w:r>
        <w:rPr>
          <w:rFonts w:ascii="Arial" w:cs="Arial" w:eastAsia="Arial" w:hAnsi="Arial"/>
          <w:sz w:val="16"/>
          <w:szCs w:val="16"/>
          <w:color w:val="000000"/>
        </w:rPr>
        <w:t xml:space="preserve">”), and such Issuing Bank may in its sole discretion, without the consent of the Administrative Agent or any of the Lenders or other Issuing Banks, agree to issue such Extended Expiration Letter of Credit (it being understood that no Issuing Bank shall be obligated to issue any Extended Expiration Letter of Credit). No Extended Expiration Letter of Credit may be issued on or after the Stated Cash Collateralization Date. </w:t>
      </w:r>
      <w:r>
        <w:rPr>
          <w:rFonts w:ascii="Arial" w:cs="Arial" w:eastAsia="Arial" w:hAnsi="Arial"/>
          <w:sz w:val="16"/>
          <w:szCs w:val="16"/>
          <w:b w:val="1"/>
          <w:bCs w:val="1"/>
          <w:u w:val="single" w:color="auto"/>
          <w:color w:val="0000FF"/>
        </w:rPr>
        <w:t>In connection with any such request for the issuance an Extended Expiration Letter of Credit, promptly after such request is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made and so long as such Issuing Bank has not irrevocably denied such request, the requesting Borrower shall provide a written notice to the Administrative Agent certifying as to the aggregate face amount of all Extended Expiration Letter of Credit both immediately before and after giving effect to the issuance of such requested Extended Expiration Letter of Credit.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1296"/>
        <w:spacing w:after="0" w:line="283"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(LCs)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(LCs) of the Dollar Equivalent amount of each LC Disbursement made by such Issuing Bank and not reimbursed by the Borrowers on the date due as provided in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w:t>
      </w:r>
      <w:r>
        <w:rPr>
          <w:rFonts w:ascii="Arial" w:cs="Arial" w:eastAsia="Arial" w:hAnsi="Arial"/>
          <w:sz w:val="16"/>
          <w:szCs w:val="16"/>
          <w:b w:val="1"/>
          <w:bCs w:val="1"/>
          <w:color w:val="FF0000"/>
          <w:strike w:val="1"/>
        </w:rPr>
        <w:t>Notwithstanding anything to the contrary in this Agreement, no participation will be acquired under this</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u w:val="single" w:color="auto"/>
          <w:color w:val="FF0000"/>
          <w:strike w:val="1"/>
        </w:rPr>
        <w:t xml:space="preserve">Section 3.01(e) </w:t>
      </w:r>
      <w:r>
        <w:rPr>
          <w:rFonts w:ascii="Arial" w:cs="Arial" w:eastAsia="Arial" w:hAnsi="Arial"/>
          <w:sz w:val="18"/>
          <w:szCs w:val="18"/>
          <w:b w:val="1"/>
          <w:bCs w:val="1"/>
          <w:color w:val="FF0000"/>
          <w:strike w:val="1"/>
        </w:rPr>
        <w:t>in respect of an Extended Expiration Letter of Credit issued in accordance with</w:t>
      </w:r>
      <w:r>
        <w:rPr>
          <w:rFonts w:ascii="Arial" w:cs="Arial" w:eastAsia="Arial" w:hAnsi="Arial"/>
          <w:sz w:val="18"/>
          <w:szCs w:val="18"/>
          <w:b w:val="1"/>
          <w:bCs w:val="1"/>
          <w:u w:val="single" w:color="auto"/>
          <w:color w:val="FF0000"/>
          <w:strike w:val="1"/>
        </w:rPr>
        <w:t xml:space="preserve"> Section 3.01(d) </w:t>
      </w:r>
      <w:r>
        <w:rPr>
          <w:rFonts w:ascii="Arial" w:cs="Arial" w:eastAsia="Arial" w:hAnsi="Arial"/>
          <w:sz w:val="18"/>
          <w:szCs w:val="18"/>
          <w:b w:val="1"/>
          <w:bCs w:val="1"/>
          <w:color w:val="FF0000"/>
          <w:strike w:val="1"/>
        </w:rPr>
        <w:t>and no Lender will be required to</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color w:val="FF0000"/>
          <w:strike w:val="1"/>
        </w:rPr>
        <w:t xml:space="preserve">make any payment contemplated by this </w:t>
      </w:r>
      <w:r>
        <w:rPr>
          <w:rFonts w:ascii="Arial" w:cs="Arial" w:eastAsia="Arial" w:hAnsi="Arial"/>
          <w:sz w:val="18"/>
          <w:szCs w:val="18"/>
          <w:b w:val="1"/>
          <w:bCs w:val="1"/>
          <w:u w:val="single" w:color="auto"/>
          <w:color w:val="FF0000"/>
          <w:strike w:val="1"/>
        </w:rPr>
        <w:t>Section 3.01(e)</w:t>
      </w:r>
      <w:r>
        <w:rPr>
          <w:rFonts w:ascii="Arial" w:cs="Arial" w:eastAsia="Arial" w:hAnsi="Arial"/>
          <w:sz w:val="18"/>
          <w:szCs w:val="18"/>
          <w:b w:val="1"/>
          <w:bCs w:val="1"/>
          <w:color w:val="FF0000"/>
          <w:strike w:val="1"/>
        </w:rPr>
        <w:t xml:space="preserve"> in respect of such Extended Expiration Letters of Credit.</w:t>
      </w:r>
    </w:p>
    <w:p>
      <w:pPr>
        <w:spacing w:after="0" w:line="18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applicable Borrower that requested such Letter of Credit or that is otherwise an applicant for such Letter of Credit shall reimburse such LC Disbursement in immediately available funds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w:t>
      </w:r>
      <w:r>
        <w:rPr>
          <w:rFonts w:ascii="Arial" w:cs="Arial" w:eastAsia="Arial" w:hAnsi="Arial"/>
          <w:sz w:val="16"/>
          <w:szCs w:val="16"/>
          <w:b w:val="1"/>
          <w:bCs w:val="1"/>
          <w:u w:val="single" w:color="auto"/>
          <w:color w:val="0000FF"/>
        </w:rPr>
        <w:t>relates to a Letter of Credit that has already been cash collateralized,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unless any Borrower otherwise elects, the reimbursement of such LC Disbursement shall first be made from such cash collateral; provided further that, if such LC Disbursement</w:t>
      </w:r>
      <w:r>
        <w:rPr>
          <w:rFonts w:ascii="Arial" w:cs="Arial" w:eastAsia="Arial" w:hAnsi="Arial"/>
          <w:sz w:val="16"/>
          <w:szCs w:val="16"/>
          <w:b w:val="1"/>
          <w:bCs w:val="1"/>
          <w:color w:val="0000FF"/>
        </w:rPr>
        <w:t xml:space="preserve"> </w:t>
      </w:r>
      <w:r>
        <w:rPr>
          <w:rFonts w:ascii="Arial" w:cs="Arial" w:eastAsia="Arial" w:hAnsi="Arial"/>
          <w:sz w:val="16"/>
          <w:szCs w:val="16"/>
          <w:color w:val="000000"/>
        </w:rPr>
        <w:t>(i) relates to a</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Financial Standby</w:t>
      </w:r>
      <w:r>
        <w:rPr>
          <w:rFonts w:ascii="Arial" w:cs="Arial" w:eastAsia="Arial" w:hAnsi="Arial"/>
          <w:sz w:val="16"/>
          <w:szCs w:val="16"/>
          <w:b w:val="1"/>
          <w:bCs w:val="1"/>
          <w:u w:val="single" w:color="auto"/>
          <w:color w:val="0000FF"/>
        </w:rPr>
        <w:t>Revolving</w:t>
      </w:r>
      <w:r>
        <w:rPr>
          <w:rFonts w:ascii="Arial" w:cs="Arial" w:eastAsia="Arial" w:hAnsi="Arial"/>
          <w:sz w:val="16"/>
          <w:szCs w:val="16"/>
          <w:b w:val="1"/>
          <w:bCs w:val="1"/>
          <w:color w:val="0000FF"/>
        </w:rPr>
        <w:t xml:space="preserve"> </w:t>
      </w:r>
      <w:r>
        <w:rPr>
          <w:rFonts w:ascii="Arial" w:cs="Arial" w:eastAsia="Arial" w:hAnsi="Arial"/>
          <w:sz w:val="16"/>
          <w:szCs w:val="16"/>
          <w:color w:val="000000"/>
        </w:rPr>
        <w:t>Letter of</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Credit or a Revolving Performance Letter of</w:t>
      </w:r>
      <w:r>
        <w:rPr>
          <w:rFonts w:ascii="Arial" w:cs="Arial" w:eastAsia="Arial" w:hAnsi="Arial"/>
          <w:sz w:val="16"/>
          <w:szCs w:val="16"/>
          <w:b w:val="1"/>
          <w:bCs w:val="1"/>
          <w:color w:val="0000FF"/>
        </w:rPr>
        <w:t xml:space="preserve"> </w:t>
      </w:r>
      <w:r>
        <w:rPr>
          <w:rFonts w:ascii="Arial" w:cs="Arial" w:eastAsia="Arial" w:hAnsi="Arial"/>
          <w:sz w:val="16"/>
          <w:szCs w:val="16"/>
          <w:color w:val="000000"/>
        </w:rPr>
        <w:t>Credit and (ii) is</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made during the Availability Period, any Borrower may, at its election and subject to the conditions to borrowing set forth herein, request in accordance with </w:t>
      </w:r>
      <w:r>
        <w:rPr>
          <w:rFonts w:ascii="Arial" w:cs="Arial" w:eastAsia="Arial" w:hAnsi="Arial"/>
          <w:sz w:val="16"/>
          <w:szCs w:val="16"/>
          <w:u w:val="single" w:color="auto"/>
          <w:color w:val="000000"/>
        </w:rPr>
        <w:t>Section 2.02(a)</w:t>
      </w:r>
      <w:r>
        <w:rPr>
          <w:rFonts w:ascii="Arial" w:cs="Arial" w:eastAsia="Arial" w:hAnsi="Arial"/>
          <w:sz w:val="16"/>
          <w:szCs w:val="16"/>
          <w:color w:val="000000"/>
        </w:rPr>
        <w:t xml:space="preserve"> that such payment be financed with a Base Rate Loan in the Dollar Equivalent amount thereof and, to the extent so financed, the applicable Borrower’s obligation to make such payment shall be discharged and replaced by the resulting Base Rate Loan. If the applicable Borrower fails to make such payment when due and no other Borrower makes such payment </w:t>
      </w:r>
      <w:r>
        <w:rPr>
          <w:rFonts w:ascii="Arial" w:cs="Arial" w:eastAsia="Arial" w:hAnsi="Arial"/>
          <w:sz w:val="16"/>
          <w:szCs w:val="16"/>
          <w:b w:val="1"/>
          <w:bCs w:val="1"/>
          <w:u w:val="single" w:color="auto"/>
          <w:color w:val="0000FF"/>
        </w:rPr>
        <w:t>and such payment is not satisfied from cash collateral as provided above</w:t>
      </w:r>
      <w:r>
        <w:rPr>
          <w:rFonts w:ascii="Arial" w:cs="Arial" w:eastAsia="Arial" w:hAnsi="Arial"/>
          <w:sz w:val="16"/>
          <w:szCs w:val="16"/>
          <w:color w:val="000000"/>
        </w:rPr>
        <w:t xml:space="preserve">, the Issuing Bank shall notify the Administrative Agent who shall notify each Lender of the applicable LC Disbursement, the payment then due from such Borrower in respect thereof and such Lender’s Applicable Percentage (LCs) of the Dollar Equivalent thereof. Promptly following receipt of such notice, each Lender shall pay to the applicable Issuing Bank, in Dollars, its Applicable Percentage (LCs)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 </w:t>
      </w:r>
      <w:r>
        <w:rPr>
          <w:rFonts w:ascii="Arial" w:cs="Arial" w:eastAsia="Arial" w:hAnsi="Arial"/>
          <w:sz w:val="16"/>
          <w:szCs w:val="16"/>
          <w:b w:val="1"/>
          <w:bCs w:val="1"/>
          <w:color w:val="FF0000"/>
          <w:strike w:val="1"/>
        </w:rPr>
        <w:t>Notwithstanding anything to the contrary in this</w:t>
      </w:r>
    </w:p>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FF0000"/>
          <w:strike w:val="1"/>
        </w:rPr>
        <w:t xml:space="preserve">Agreement, no Lender will be required to make any payment contemplated by this </w:t>
      </w:r>
      <w:r>
        <w:rPr>
          <w:rFonts w:ascii="Arial" w:cs="Arial" w:eastAsia="Arial" w:hAnsi="Arial"/>
          <w:sz w:val="18"/>
          <w:szCs w:val="18"/>
          <w:b w:val="1"/>
          <w:bCs w:val="1"/>
          <w:u w:val="single" w:color="auto"/>
          <w:color w:val="FF0000"/>
          <w:strike w:val="1"/>
        </w:rPr>
        <w:t>Section 3.01(f)</w:t>
      </w:r>
      <w:r>
        <w:rPr>
          <w:rFonts w:ascii="Arial" w:cs="Arial" w:eastAsia="Arial" w:hAnsi="Arial"/>
          <w:sz w:val="18"/>
          <w:szCs w:val="18"/>
          <w:b w:val="1"/>
          <w:bCs w:val="1"/>
          <w:color w:val="FF0000"/>
          <w:strike w:val="1"/>
        </w:rPr>
        <w:t xml:space="preserve"> in respect of any Extended Expiration Letters of Credit.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296"/>
        <w:spacing w:after="0" w:line="284"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obligations to reimburse LC Disbursements as provided in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1296"/>
        <w:spacing w:after="0" w:line="273"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Each Issuing Bank shall, within the period stipulated by the terms and conditions of the applicable Letter of Credit, following its receipt thereof, examine all documents purporting to represent a demand for payment under such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Borrowers of their obligation to reimburse such Issuing Bank and the Lenders with respect to any such LC Disbursement.</w:t>
      </w:r>
    </w:p>
    <w:p>
      <w:pPr>
        <w:spacing w:after="0" w:line="17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Borrowers fail to reimburse such LC Disbursement when due pursuant to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then </w:t>
      </w:r>
      <w:r>
        <w:rPr>
          <w:rFonts w:ascii="Arial" w:cs="Arial" w:eastAsia="Arial" w:hAnsi="Arial"/>
          <w:sz w:val="16"/>
          <w:szCs w:val="16"/>
          <w:u w:val="single" w:color="auto"/>
          <w:color w:val="auto"/>
        </w:rPr>
        <w:t>Section 4.04(b)</w:t>
      </w:r>
      <w:r>
        <w:rPr>
          <w:rFonts w:ascii="Arial" w:cs="Arial" w:eastAsia="Arial" w:hAnsi="Arial"/>
          <w:sz w:val="16"/>
          <w:szCs w:val="16"/>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to reimburse such Issuing Bank shall be for the account of such Lender to the extent of such payment.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Modification and Termination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 of Issuing Banks</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73" w:lineRule="auto"/>
        <w:rPr>
          <w:sz w:val="20"/>
          <w:szCs w:val="20"/>
          <w:color w:val="auto"/>
        </w:rPr>
      </w:pPr>
      <w:r>
        <w:rPr>
          <w:rFonts w:ascii="Arial" w:cs="Arial" w:eastAsia="Arial" w:hAnsi="Arial"/>
          <w:sz w:val="17"/>
          <w:szCs w:val="17"/>
          <w:color w:val="auto"/>
        </w:rPr>
        <w:t xml:space="preserve">(i)            The </w:t>
      </w:r>
      <w:r>
        <w:rPr>
          <w:rFonts w:ascii="Arial" w:cs="Arial" w:eastAsia="Arial" w:hAnsi="Arial"/>
          <w:sz w:val="17"/>
          <w:szCs w:val="17"/>
          <w:b w:val="1"/>
          <w:bCs w:val="1"/>
          <w:color w:val="FF0000"/>
          <w:strike w:val="1"/>
        </w:rPr>
        <w:t>LC</w:t>
      </w:r>
      <w:r>
        <w:rPr>
          <w:rFonts w:ascii="Arial" w:cs="Arial" w:eastAsia="Arial" w:hAnsi="Arial"/>
          <w:sz w:val="17"/>
          <w:szCs w:val="17"/>
          <w:b w:val="1"/>
          <w:bCs w:val="1"/>
          <w:u w:val="single" w:color="auto"/>
          <w:color w:val="0000FF"/>
        </w:rPr>
        <w:t>Fronting</w:t>
      </w:r>
      <w:r>
        <w:rPr>
          <w:rFonts w:ascii="Arial" w:cs="Arial" w:eastAsia="Arial" w:hAnsi="Arial"/>
          <w:sz w:val="17"/>
          <w:szCs w:val="17"/>
          <w:color w:val="auto"/>
        </w:rPr>
        <w:t xml:space="preserve">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w:t>
      </w:r>
      <w:r>
        <w:rPr>
          <w:rFonts w:ascii="Arial" w:cs="Arial" w:eastAsia="Arial" w:hAnsi="Arial"/>
          <w:sz w:val="17"/>
          <w:szCs w:val="17"/>
          <w:b w:val="1"/>
          <w:bCs w:val="1"/>
          <w:color w:val="FF0000"/>
          <w:strike w:val="1"/>
        </w:rPr>
        <w:t>LC</w:t>
      </w:r>
      <w:r>
        <w:rPr>
          <w:rFonts w:ascii="Arial" w:cs="Arial" w:eastAsia="Arial" w:hAnsi="Arial"/>
          <w:sz w:val="17"/>
          <w:szCs w:val="17"/>
          <w:b w:val="1"/>
          <w:bCs w:val="1"/>
          <w:u w:val="single" w:color="auto"/>
          <w:color w:val="0000FF"/>
        </w:rPr>
        <w:t>Fronting</w:t>
      </w:r>
      <w:r>
        <w:rPr>
          <w:rFonts w:ascii="Arial" w:cs="Arial" w:eastAsia="Arial" w:hAnsi="Arial"/>
          <w:sz w:val="17"/>
          <w:szCs w:val="17"/>
          <w:color w:val="auto"/>
        </w:rPr>
        <w:t xml:space="preserve">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remove such Issuing Bank as an Issuing Bank from </w:t>
      </w:r>
      <w:r>
        <w:rPr>
          <w:rFonts w:ascii="Arial" w:cs="Arial" w:eastAsia="Arial" w:hAnsi="Arial"/>
          <w:sz w:val="17"/>
          <w:szCs w:val="17"/>
          <w:u w:val="single" w:color="auto"/>
          <w:color w:val="auto"/>
        </w:rPr>
        <w:t>Schedule 2.01</w:t>
      </w:r>
      <w:r>
        <w:rPr>
          <w:rFonts w:ascii="Arial" w:cs="Arial" w:eastAsia="Arial" w:hAnsi="Arial"/>
          <w:sz w:val="17"/>
          <w:szCs w:val="17"/>
          <w:color w:val="auto"/>
        </w:rPr>
        <w:t>.</w:t>
      </w:r>
    </w:p>
    <w:p>
      <w:pPr>
        <w:spacing w:after="0" w:line="176" w:lineRule="exact"/>
        <w:rPr>
          <w:sz w:val="20"/>
          <w:szCs w:val="20"/>
          <w:color w:val="auto"/>
        </w:rPr>
      </w:pPr>
    </w:p>
    <w:p>
      <w:pPr>
        <w:jc w:val="both"/>
        <w:ind w:left="660" w:firstLine="1296"/>
        <w:spacing w:after="0" w:line="271" w:lineRule="auto"/>
        <w:rPr>
          <w:sz w:val="20"/>
          <w:szCs w:val="20"/>
          <w:color w:val="auto"/>
        </w:rPr>
      </w:pPr>
      <w:r>
        <w:rPr>
          <w:rFonts w:ascii="Arial" w:cs="Arial" w:eastAsia="Arial" w:hAnsi="Arial"/>
          <w:sz w:val="17"/>
          <w:szCs w:val="17"/>
          <w:color w:val="auto"/>
        </w:rPr>
        <w:t xml:space="preserve">(ii)            By written notice to the Borrowers, each Issuing Bank may from time to time request that such Issuing Bank’s </w:t>
      </w:r>
      <w:r>
        <w:rPr>
          <w:rFonts w:ascii="Arial" w:cs="Arial" w:eastAsia="Arial" w:hAnsi="Arial"/>
          <w:sz w:val="17"/>
          <w:szCs w:val="17"/>
          <w:b w:val="1"/>
          <w:bCs w:val="1"/>
          <w:color w:val="FF0000"/>
          <w:strike w:val="1"/>
        </w:rPr>
        <w:t>LC</w:t>
      </w:r>
      <w:r>
        <w:rPr>
          <w:rFonts w:ascii="Arial" w:cs="Arial" w:eastAsia="Arial" w:hAnsi="Arial"/>
          <w:sz w:val="17"/>
          <w:szCs w:val="17"/>
          <w:b w:val="1"/>
          <w:bCs w:val="1"/>
          <w:u w:val="single" w:color="auto"/>
          <w:color w:val="0000FF"/>
        </w:rPr>
        <w:t>Fronting</w:t>
      </w:r>
      <w:r>
        <w:rPr>
          <w:rFonts w:ascii="Arial" w:cs="Arial" w:eastAsia="Arial" w:hAnsi="Arial"/>
          <w:sz w:val="17"/>
          <w:szCs w:val="17"/>
          <w:b w:val="1"/>
          <w:bCs w:val="1"/>
          <w:color w:val="FF0000"/>
        </w:rPr>
        <w:t xml:space="preserve"> </w:t>
      </w:r>
      <w:r>
        <w:rPr>
          <w:rFonts w:ascii="Arial" w:cs="Arial" w:eastAsia="Arial" w:hAnsi="Arial"/>
          <w:sz w:val="17"/>
          <w:szCs w:val="17"/>
          <w:color w:val="000000"/>
        </w:rPr>
        <w:t>Commitment be increased, decreased or terminated. Within ten (10) Business Days following receipt of such notice, the Borrowers</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w:t>
      </w:r>
      <w:r>
        <w:rPr>
          <w:rFonts w:ascii="Arial" w:cs="Arial" w:eastAsia="Arial" w:hAnsi="Arial"/>
          <w:sz w:val="17"/>
          <w:szCs w:val="17"/>
          <w:b w:val="1"/>
          <w:bCs w:val="1"/>
          <w:color w:val="FF0000"/>
          <w:strike w:val="1"/>
        </w:rPr>
        <w:t>LC</w:t>
      </w:r>
      <w:r>
        <w:rPr>
          <w:rFonts w:ascii="Arial" w:cs="Arial" w:eastAsia="Arial" w:hAnsi="Arial"/>
          <w:sz w:val="17"/>
          <w:szCs w:val="17"/>
          <w:b w:val="1"/>
          <w:bCs w:val="1"/>
          <w:u w:val="single" w:color="auto"/>
          <w:color w:val="0000FF"/>
        </w:rPr>
        <w:t>Fronting</w:t>
      </w:r>
      <w:r>
        <w:rPr>
          <w:rFonts w:ascii="Arial" w:cs="Arial" w:eastAsia="Arial" w:hAnsi="Arial"/>
          <w:sz w:val="17"/>
          <w:szCs w:val="17"/>
          <w:color w:val="000000"/>
        </w:rPr>
        <w:t xml:space="preserve">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1296"/>
        <w:spacing w:after="0" w:line="261" w:lineRule="auto"/>
        <w:rPr>
          <w:sz w:val="20"/>
          <w:szCs w:val="20"/>
          <w:color w:val="auto"/>
        </w:rPr>
      </w:pPr>
      <w:r>
        <w:rPr>
          <w:rFonts w:ascii="Arial" w:cs="Arial" w:eastAsia="Arial" w:hAnsi="Arial"/>
          <w:sz w:val="18"/>
          <w:szCs w:val="18"/>
          <w:b w:val="1"/>
          <w:bCs w:val="1"/>
          <w:u w:val="single" w:color="auto"/>
          <w:color w:val="0000FF"/>
        </w:rPr>
        <w:t>(iii)            Notwithstanding anything to the contrary contained herein, the Fronting Commitments of each Issuing Bank may be utilized at any time under any tranche of the facility (i.e., in respect of the Revolving Credit Commitments or the Performance LC Commitments) as determined by the Administrative Agent, the Borrowers and the applicable Issuing Bank, each acting in their sole discretion, without further notice to or consent of any other party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If:</w:t>
      </w:r>
    </w:p>
    <w:p>
      <w:pPr>
        <w:spacing w:after="0" w:line="225" w:lineRule="exact"/>
        <w:rPr>
          <w:sz w:val="20"/>
          <w:szCs w:val="20"/>
          <w:color w:val="auto"/>
        </w:rPr>
      </w:pPr>
    </w:p>
    <w:p>
      <w:pPr>
        <w:jc w:val="both"/>
        <w:ind w:left="640" w:firstLine="1296"/>
        <w:spacing w:after="0" w:line="259"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any Letter of Credit is outstanding and any Event of Default shall occur and be continuing, on the Business</w:t>
      </w:r>
      <w:r>
        <w:rPr>
          <w:rFonts w:ascii="Arial" w:cs="Arial" w:eastAsia="Arial" w:hAnsi="Arial"/>
          <w:sz w:val="18"/>
          <w:szCs w:val="18"/>
          <w:color w:val="010000"/>
        </w:rPr>
        <w:t xml:space="preserve"> </w:t>
      </w:r>
      <w:r>
        <w:rPr>
          <w:rFonts w:ascii="Arial" w:cs="Arial" w:eastAsia="Arial" w:hAnsi="Arial"/>
          <w:sz w:val="18"/>
          <w:szCs w:val="18"/>
          <w:color w:val="000000"/>
        </w:rPr>
        <w:t>Day 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83" w:lineRule="exact"/>
        <w:rPr>
          <w:sz w:val="20"/>
          <w:szCs w:val="20"/>
          <w:color w:val="auto"/>
        </w:rPr>
      </w:pPr>
    </w:p>
    <w:p>
      <w:pPr>
        <w:jc w:val="both"/>
        <w:ind w:left="640" w:right="20" w:firstLine="1296"/>
        <w:spacing w:after="0" w:line="312"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color w:val="000000"/>
        </w:rPr>
        <w:t>any Letter of Credit</w:t>
      </w:r>
      <w:r>
        <w:rPr>
          <w:rFonts w:ascii="Arial" w:cs="Arial" w:eastAsia="Arial" w:hAnsi="Arial"/>
          <w:sz w:val="17"/>
          <w:szCs w:val="17"/>
          <w:color w:val="010000"/>
        </w:rPr>
        <w:t xml:space="preserve"> </w:t>
      </w:r>
      <w:r>
        <w:rPr>
          <w:rFonts w:ascii="Arial" w:cs="Arial" w:eastAsia="Arial" w:hAnsi="Arial"/>
          <w:sz w:val="17"/>
          <w:szCs w:val="17"/>
          <w:b w:val="1"/>
          <w:bCs w:val="1"/>
          <w:u w:val="single" w:color="auto"/>
          <w:color w:val="0000FF"/>
        </w:rPr>
        <w:t>(other than an Extended Expiration Letter of Credit)</w:t>
      </w:r>
      <w:r>
        <w:rPr>
          <w:rFonts w:ascii="Arial" w:cs="Arial" w:eastAsia="Arial" w:hAnsi="Arial"/>
          <w:sz w:val="17"/>
          <w:szCs w:val="17"/>
          <w:color w:val="010000"/>
        </w:rPr>
        <w:t xml:space="preserve"> </w:t>
      </w:r>
      <w:r>
        <w:rPr>
          <w:rFonts w:ascii="Arial" w:cs="Arial" w:eastAsia="Arial" w:hAnsi="Arial"/>
          <w:sz w:val="17"/>
          <w:szCs w:val="17"/>
          <w:color w:val="000000"/>
        </w:rPr>
        <w:t>is outstanding on</w:t>
      </w:r>
      <w:r>
        <w:rPr>
          <w:rFonts w:ascii="Arial" w:cs="Arial" w:eastAsia="Arial" w:hAnsi="Arial"/>
          <w:sz w:val="17"/>
          <w:szCs w:val="17"/>
          <w:color w:val="010000"/>
        </w:rPr>
        <w:t xml:space="preserve"> </w:t>
      </w:r>
      <w:r>
        <w:rPr>
          <w:rFonts w:ascii="Arial" w:cs="Arial" w:eastAsia="Arial" w:hAnsi="Arial"/>
          <w:sz w:val="17"/>
          <w:szCs w:val="17"/>
          <w:b w:val="1"/>
          <w:bCs w:val="1"/>
          <w:u w:val="single" w:color="auto"/>
          <w:color w:val="0000FF"/>
        </w:rPr>
        <w:t>the date that</w:t>
      </w:r>
      <w:r>
        <w:rPr>
          <w:rFonts w:ascii="Arial" w:cs="Arial" w:eastAsia="Arial" w:hAnsi="Arial"/>
          <w:sz w:val="17"/>
          <w:szCs w:val="17"/>
          <w:color w:val="010000"/>
        </w:rPr>
        <w:t xml:space="preserve"> </w:t>
      </w:r>
      <w:r>
        <w:rPr>
          <w:rFonts w:ascii="Arial" w:cs="Arial" w:eastAsia="Arial" w:hAnsi="Arial"/>
          <w:sz w:val="17"/>
          <w:szCs w:val="17"/>
          <w:b w:val="1"/>
          <w:bCs w:val="1"/>
          <w:u w:val="single" w:color="auto"/>
          <w:color w:val="0000FF"/>
        </w:rPr>
        <w:t>is five (5) Business Days prior to</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Maturity Date or, if earlier, the termination of the Aggregate Commitments; or</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the Borrowers are required to cash collateralize LC Exposure pursuant to</w:t>
      </w:r>
      <w:r>
        <w:rPr>
          <w:rFonts w:ascii="Arial" w:cs="Arial" w:eastAsia="Arial" w:hAnsi="Arial"/>
          <w:sz w:val="18"/>
          <w:szCs w:val="18"/>
          <w:color w:val="010000"/>
        </w:rPr>
        <w:t xml:space="preserve"> </w:t>
      </w:r>
      <w:r>
        <w:rPr>
          <w:rFonts w:ascii="Arial" w:cs="Arial" w:eastAsia="Arial" w:hAnsi="Arial"/>
          <w:sz w:val="18"/>
          <w:szCs w:val="18"/>
          <w:b w:val="1"/>
          <w:bCs w:val="1"/>
          <w:color w:val="FF0000"/>
          <w:strike w:val="1"/>
        </w:rPr>
        <w:t>(I)</w:t>
      </w:r>
      <w:r>
        <w:rPr>
          <w:rFonts w:ascii="Arial" w:cs="Arial" w:eastAsia="Arial" w:hAnsi="Arial"/>
          <w:sz w:val="18"/>
          <w:szCs w:val="18"/>
          <w:b w:val="1"/>
          <w:bCs w:val="1"/>
          <w:u w:val="single" w:color="auto"/>
          <w:color w:val="0000FF"/>
        </w:rPr>
        <w:t>Section 4.01,</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4.03</w:t>
      </w:r>
      <w:r>
        <w:rPr>
          <w:rFonts w:ascii="Arial" w:cs="Arial" w:eastAsia="Arial" w:hAnsi="Arial"/>
          <w:sz w:val="18"/>
          <w:szCs w:val="18"/>
          <w:color w:val="010000"/>
        </w:rPr>
        <w:t xml:space="preserve"> </w:t>
      </w:r>
      <w:r>
        <w:rPr>
          <w:rFonts w:ascii="Arial" w:cs="Arial" w:eastAsia="Arial" w:hAnsi="Arial"/>
          <w:sz w:val="18"/>
          <w:szCs w:val="18"/>
          <w:color w:val="000000"/>
        </w:rPr>
        <w:t>or</w:t>
      </w:r>
    </w:p>
    <w:p>
      <w:pPr>
        <w:spacing w:after="0" w:line="27" w:lineRule="exact"/>
        <w:rPr>
          <w:sz w:val="20"/>
          <w:szCs w:val="20"/>
          <w:color w:val="auto"/>
        </w:rPr>
      </w:pPr>
    </w:p>
    <w:p>
      <w:pPr>
        <w:ind w:left="940" w:hanging="296"/>
        <w:spacing w:after="0"/>
        <w:tabs>
          <w:tab w:leader="none" w:pos="940" w:val="left"/>
        </w:tabs>
        <w:numPr>
          <w:ilvl w:val="0"/>
          <w:numId w:val="53"/>
        </w:numPr>
        <w:rPr>
          <w:rFonts w:ascii="Arial" w:cs="Arial" w:eastAsia="Arial" w:hAnsi="Arial"/>
          <w:sz w:val="18"/>
          <w:szCs w:val="18"/>
          <w:b w:val="1"/>
          <w:bCs w:val="1"/>
          <w:color w:val="FF0000"/>
          <w:strike w:val="1"/>
        </w:rPr>
      </w:pP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then the Borrowers shall deposit </w:t>
      </w:r>
      <w:r>
        <w:rPr>
          <w:rFonts w:ascii="Arial" w:cs="Arial" w:eastAsia="Arial" w:hAnsi="Arial"/>
          <w:sz w:val="16"/>
          <w:szCs w:val="16"/>
          <w:b w:val="1"/>
          <w:bCs w:val="1"/>
          <w:color w:val="FF0000"/>
          <w:strike w:val="1"/>
        </w:rPr>
        <w:t>in an</w:t>
      </w:r>
      <w:r>
        <w:rPr>
          <w:rFonts w:ascii="Arial" w:cs="Arial" w:eastAsia="Arial" w:hAnsi="Arial"/>
          <w:sz w:val="16"/>
          <w:szCs w:val="16"/>
          <w:b w:val="1"/>
          <w:bCs w:val="1"/>
          <w:u w:val="single" w:color="auto"/>
          <w:color w:val="0000FF"/>
        </w:rPr>
        <w:t>(without duplication of any cash collateral already provided pursuant to the terms of this Agreement)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in an</w:t>
      </w:r>
      <w:r>
        <w:rPr>
          <w:rFonts w:ascii="Arial" w:cs="Arial" w:eastAsia="Arial" w:hAnsi="Arial"/>
          <w:sz w:val="16"/>
          <w:szCs w:val="16"/>
          <w:b w:val="1"/>
          <w:bCs w:val="1"/>
          <w:color w:val="0000FF"/>
        </w:rPr>
        <w:t xml:space="preserve"> </w:t>
      </w:r>
      <w:r>
        <w:rPr>
          <w:rFonts w:ascii="Arial" w:cs="Arial" w:eastAsia="Arial" w:hAnsi="Arial"/>
          <w:sz w:val="16"/>
          <w:szCs w:val="16"/>
          <w:color w:val="000000"/>
        </w:rPr>
        <w:t>account maintained with the Administrative Agent, in the name of the Administrative Agent and for the benefit of the Issuing Banks and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Lenders (the “</w:t>
      </w:r>
      <w:r>
        <w:rPr>
          <w:rFonts w:ascii="Arial" w:cs="Arial" w:eastAsia="Arial" w:hAnsi="Arial"/>
          <w:sz w:val="16"/>
          <w:szCs w:val="16"/>
          <w:u w:val="single" w:color="auto"/>
          <w:color w:val="000000"/>
        </w:rPr>
        <w:t>LC Collateral Account</w:t>
      </w:r>
      <w:r>
        <w:rPr>
          <w:rFonts w:ascii="Arial" w:cs="Arial" w:eastAsia="Arial" w:hAnsi="Arial"/>
          <w:sz w:val="16"/>
          <w:szCs w:val="16"/>
          <w:color w:val="000000"/>
        </w:rPr>
        <w:t xml:space="preserve">”), an amount in cash in immediately available funds in the applicable Currency equal to (y) in the case of </w:t>
      </w:r>
      <w:r>
        <w:rPr>
          <w:rFonts w:ascii="Arial" w:cs="Arial" w:eastAsia="Arial" w:hAnsi="Arial"/>
          <w:sz w:val="16"/>
          <w:szCs w:val="16"/>
          <w:u w:val="single" w:color="auto"/>
          <w:color w:val="000000"/>
        </w:rPr>
        <w:t>clauses (A)</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immediately above, (1) 105% of the Total LC Exposure with respect to Letters of Credit that are denominated in an Alternative Currency and (2) 103% of the Total LC Exposure with respect to Letters of Credit that are denominated in Dollars as of such date </w:t>
      </w:r>
      <w:r>
        <w:rPr>
          <w:rFonts w:ascii="Arial" w:cs="Arial" w:eastAsia="Arial" w:hAnsi="Arial"/>
          <w:sz w:val="16"/>
          <w:szCs w:val="16"/>
          <w:b w:val="1"/>
          <w:bCs w:val="1"/>
          <w:u w:val="single" w:color="auto"/>
          <w:color w:val="FF0000"/>
          <w:strike w:val="1"/>
        </w:rPr>
        <w:t>plus</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any accrued and unpaid interest thereon</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FF0000"/>
        </w:rPr>
        <w:t xml:space="preserve"> </w:t>
      </w:r>
      <w:r>
        <w:rPr>
          <w:rFonts w:ascii="Arial" w:cs="Arial" w:eastAsia="Arial" w:hAnsi="Arial"/>
          <w:sz w:val="16"/>
          <w:szCs w:val="16"/>
          <w:color w:val="000000"/>
        </w:rPr>
        <w:t>that the obligation of the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Borrowers</w:t>
      </w:r>
      <w:r>
        <w:rPr>
          <w:rFonts w:ascii="Arial" w:cs="Arial" w:eastAsia="Arial" w:hAnsi="Arial"/>
          <w:sz w:val="16"/>
          <w:szCs w:val="16"/>
          <w:b w:val="1"/>
          <w:bCs w:val="1"/>
          <w:color w:val="FF0000"/>
        </w:rPr>
        <w:t xml:space="preserve"> </w:t>
      </w:r>
      <w:r>
        <w:rPr>
          <w:rFonts w:ascii="Arial" w:cs="Arial" w:eastAsia="Arial" w:hAnsi="Arial"/>
          <w:sz w:val="16"/>
          <w:szCs w:val="16"/>
          <w:color w:val="000000"/>
        </w:rPr>
        <w:t>that requested, or is otherwise an applicant</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Arial" w:cs="Arial" w:eastAsia="Arial" w:hAnsi="Arial"/>
          <w:sz w:val="16"/>
          <w:szCs w:val="16"/>
          <w:u w:val="single" w:color="auto"/>
          <w:color w:val="000000"/>
        </w:rPr>
        <w:t>clause (i)</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(j)</w:t>
      </w:r>
      <w:r>
        <w:rPr>
          <w:rFonts w:ascii="Arial" w:cs="Arial" w:eastAsia="Arial" w:hAnsi="Arial"/>
          <w:sz w:val="16"/>
          <w:szCs w:val="16"/>
          <w:color w:val="000000"/>
        </w:rPr>
        <w:t xml:space="preserve"> of </w:t>
      </w:r>
      <w:r>
        <w:rPr>
          <w:rFonts w:ascii="Arial" w:cs="Arial" w:eastAsia="Arial" w:hAnsi="Arial"/>
          <w:sz w:val="16"/>
          <w:szCs w:val="16"/>
          <w:u w:val="single" w:color="auto"/>
          <w:color w:val="000000"/>
        </w:rPr>
        <w:t>Section 10.01</w:t>
      </w:r>
      <w:r>
        <w:rPr>
          <w:rFonts w:ascii="Arial" w:cs="Arial" w:eastAsia="Arial" w:hAnsi="Arial"/>
          <w:sz w:val="16"/>
          <w:szCs w:val="16"/>
          <w:color w:val="000000"/>
        </w:rPr>
        <w:t xml:space="preserve">, and (z) in the case of </w:t>
      </w:r>
      <w:r>
        <w:rPr>
          <w:rFonts w:ascii="Arial" w:cs="Arial" w:eastAsia="Arial" w:hAnsi="Arial"/>
          <w:sz w:val="16"/>
          <w:szCs w:val="16"/>
          <w:u w:val="single" w:color="auto"/>
          <w:color w:val="000000"/>
        </w:rPr>
        <w:t>clause (C)</w:t>
      </w:r>
      <w:r>
        <w:rPr>
          <w:rFonts w:ascii="Arial" w:cs="Arial" w:eastAsia="Arial" w:hAnsi="Arial"/>
          <w:sz w:val="16"/>
          <w:szCs w:val="16"/>
          <w:color w:val="000000"/>
        </w:rPr>
        <w:t xml:space="preserve"> immediately above, an amount necessary to satisfy the requirements of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4.01, 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4.03</w:t>
      </w:r>
      <w:r>
        <w:rPr>
          <w:rFonts w:ascii="Arial" w:cs="Arial" w:eastAsia="Arial" w:hAnsi="Arial"/>
          <w:sz w:val="16"/>
          <w:szCs w:val="16"/>
          <w:color w:val="000000"/>
        </w:rPr>
        <w:t xml:space="preserve"> or </w:t>
      </w:r>
      <w:r>
        <w:rPr>
          <w:rFonts w:ascii="Arial" w:cs="Arial" w:eastAsia="Arial" w:hAnsi="Arial"/>
          <w:sz w:val="16"/>
          <w:szCs w:val="16"/>
          <w:b w:val="1"/>
          <w:bCs w:val="1"/>
          <w:u w:val="single" w:color="auto"/>
          <w:color w:val="0000FF"/>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4.11</w:t>
      </w:r>
      <w:r>
        <w:rPr>
          <w:rFonts w:ascii="Arial" w:cs="Arial" w:eastAsia="Arial" w:hAnsi="Arial"/>
          <w:sz w:val="16"/>
          <w:szCs w:val="16"/>
          <w:color w:val="000000"/>
        </w:rPr>
        <w:t xml:space="preserve">, as the case may be. Any such deposits pursuant to this </w:t>
      </w:r>
      <w:r>
        <w:rPr>
          <w:rFonts w:ascii="Arial" w:cs="Arial" w:eastAsia="Arial" w:hAnsi="Arial"/>
          <w:sz w:val="16"/>
          <w:szCs w:val="16"/>
          <w:u w:val="single" w:color="auto"/>
          <w:color w:val="000000"/>
        </w:rPr>
        <w:t>Section 3.01(k)(i)</w:t>
      </w:r>
      <w:r>
        <w:rPr>
          <w:rFonts w:ascii="Arial" w:cs="Arial" w:eastAsia="Arial" w:hAnsi="Arial"/>
          <w:sz w:val="16"/>
          <w:szCs w:val="16"/>
          <w:color w:val="000000"/>
        </w:rPr>
        <w:t xml:space="preserve"> or such other provisions under this Agreement </w:t>
      </w:r>
      <w:r>
        <w:rPr>
          <w:rFonts w:ascii="Arial" w:cs="Arial" w:eastAsia="Arial" w:hAnsi="Arial"/>
          <w:sz w:val="16"/>
          <w:szCs w:val="16"/>
          <w:b w:val="1"/>
          <w:bCs w:val="1"/>
          <w:u w:val="single" w:color="auto"/>
          <w:color w:val="0000FF"/>
        </w:rPr>
        <w:t>(other than Section 3.01(q))</w:t>
      </w:r>
      <w:r>
        <w:rPr>
          <w:rFonts w:ascii="Arial" w:cs="Arial" w:eastAsia="Arial" w:hAnsi="Arial"/>
          <w:sz w:val="16"/>
          <w:szCs w:val="16"/>
          <w:color w:val="000000"/>
        </w:rPr>
        <w:t xml:space="preserve">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Borrowers shall only direct the Administrative Agent to invest such deposits in Cash Equivalents. Interest or profits, if any, on such investments shall accumulate in the LC Collateral Account. </w:t>
      </w:r>
      <w:r>
        <w:rPr>
          <w:rFonts w:ascii="Arial" w:cs="Arial" w:eastAsia="Arial" w:hAnsi="Arial"/>
          <w:sz w:val="16"/>
          <w:szCs w:val="16"/>
          <w:b w:val="1"/>
          <w:bCs w:val="1"/>
          <w:color w:val="FF0000"/>
          <w:strike w:val="1"/>
        </w:rPr>
        <w:t>Moneys</w:t>
      </w:r>
      <w:r>
        <w:rPr>
          <w:rFonts w:ascii="Arial" w:cs="Arial" w:eastAsia="Arial" w:hAnsi="Arial"/>
          <w:sz w:val="16"/>
          <w:szCs w:val="16"/>
          <w:b w:val="1"/>
          <w:bCs w:val="1"/>
          <w:u w:val="single" w:color="auto"/>
          <w:color w:val="0000FF"/>
        </w:rPr>
        <w:t>Monies</w:t>
      </w:r>
      <w:r>
        <w:rPr>
          <w:rFonts w:ascii="Arial" w:cs="Arial" w:eastAsia="Arial" w:hAnsi="Arial"/>
          <w:sz w:val="16"/>
          <w:szCs w:val="16"/>
          <w:color w:val="000000"/>
        </w:rPr>
        <w:t xml:space="preserve">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Arial" w:cs="Arial" w:eastAsia="Arial" w:hAnsi="Arial"/>
          <w:sz w:val="16"/>
          <w:szCs w:val="16"/>
          <w:u w:val="single" w:color="auto"/>
          <w:color w:val="000000"/>
        </w:rPr>
        <w:t>Section 3.01(f)</w:t>
      </w:r>
      <w:r>
        <w:rPr>
          <w:rFonts w:ascii="Arial" w:cs="Arial" w:eastAsia="Arial" w:hAnsi="Arial"/>
          <w:sz w:val="16"/>
          <w:szCs w:val="16"/>
          <w:color w:val="000000"/>
        </w:rPr>
        <w:t xml:space="preserve"> 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Arial" w:cs="Arial" w:eastAsia="Arial" w:hAnsi="Arial"/>
          <w:sz w:val="16"/>
          <w:szCs w:val="16"/>
          <w:u w:val="single" w:color="auto"/>
          <w:color w:val="000000"/>
        </w:rPr>
        <w:t>Section 3.01(k)(i)</w:t>
      </w:r>
      <w:r>
        <w:rPr>
          <w:rFonts w:ascii="Arial" w:cs="Arial" w:eastAsia="Arial" w:hAnsi="Arial"/>
          <w:sz w:val="16"/>
          <w:szCs w:val="16"/>
          <w:color w:val="000000"/>
        </w:rPr>
        <w:t>) shall be returned to the Borrowers within three Business Days after all Events of Default have been cured or waived</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w:t>
      </w:r>
      <w:r>
        <w:rPr>
          <w:rFonts w:ascii="Arial" w:cs="Arial" w:eastAsia="Arial" w:hAnsi="Arial"/>
          <w:sz w:val="16"/>
          <w:szCs w:val="16"/>
          <w:color w:val="000000"/>
        </w:rPr>
        <w:t xml:space="preserve"> (2) pursuant to </w:t>
      </w:r>
      <w:r>
        <w:rPr>
          <w:rFonts w:ascii="Arial" w:cs="Arial" w:eastAsia="Arial" w:hAnsi="Arial"/>
          <w:sz w:val="16"/>
          <w:szCs w:val="16"/>
          <w:u w:val="single" w:color="auto"/>
          <w:color w:val="000000"/>
        </w:rPr>
        <w:t>Section 4.03</w:t>
      </w:r>
      <w:r>
        <w:rPr>
          <w:rFonts w:ascii="Arial" w:cs="Arial" w:eastAsia="Arial" w:hAnsi="Arial"/>
          <w:sz w:val="16"/>
          <w:szCs w:val="16"/>
          <w:color w:val="000000"/>
        </w:rPr>
        <w:t xml:space="preserve"> and the Total LC Exposure is subsequently reduced to an amount less than the Adjusted Aggregate Commitments, such cash collateral (to the extent not applied as provided in this </w:t>
      </w:r>
      <w:r>
        <w:rPr>
          <w:rFonts w:ascii="Arial" w:cs="Arial" w:eastAsia="Arial" w:hAnsi="Arial"/>
          <w:sz w:val="16"/>
          <w:szCs w:val="16"/>
          <w:u w:val="single" w:color="auto"/>
          <w:color w:val="000000"/>
        </w:rPr>
        <w:t>Section 3.01(k)(i)</w:t>
      </w:r>
      <w:r>
        <w:rPr>
          <w:rFonts w:ascii="Arial" w:cs="Arial" w:eastAsia="Arial" w:hAnsi="Arial"/>
          <w:sz w:val="16"/>
          <w:szCs w:val="16"/>
          <w:color w:val="000000"/>
        </w:rPr>
        <w:t xml:space="preserve">) or a portion thereof shall be promptly returned to the Borrowers to the extent, and within three (3) Business Days after determining, that the amount of the Total LC Exposure is less than the amount of the Adjusted Aggregate Commitments </w:t>
      </w:r>
      <w:r>
        <w:rPr>
          <w:rFonts w:ascii="Arial" w:cs="Arial" w:eastAsia="Arial" w:hAnsi="Arial"/>
          <w:sz w:val="16"/>
          <w:szCs w:val="16"/>
          <w:b w:val="1"/>
          <w:bCs w:val="1"/>
          <w:color w:val="FF0000"/>
          <w:strike w:val="1"/>
        </w:rPr>
        <w:t>or (3)</w:t>
      </w:r>
      <w:r>
        <w:rPr>
          <w:rFonts w:ascii="Arial" w:cs="Arial" w:eastAsia="Arial" w:hAnsi="Arial"/>
          <w:sz w:val="16"/>
          <w:szCs w:val="16"/>
          <w:color w:val="000000"/>
        </w:rPr>
        <w:t xml:space="preserve"> </w:t>
      </w:r>
      <w:r>
        <w:rPr>
          <w:rFonts w:ascii="Arial" w:cs="Arial" w:eastAsia="Arial" w:hAnsi="Arial"/>
          <w:sz w:val="16"/>
          <w:szCs w:val="16"/>
          <w:i w:val="1"/>
          <w:iCs w:val="1"/>
          <w:color w:val="008000"/>
          <w:strike w:val="1"/>
        </w:rPr>
        <w:t>as a result of any</w:t>
      </w:r>
      <w:r>
        <w:rPr>
          <w:rFonts w:ascii="Arial" w:cs="Arial" w:eastAsia="Arial" w:hAnsi="Arial"/>
          <w:sz w:val="16"/>
          <w:szCs w:val="16"/>
          <w:color w:val="000000"/>
        </w:rPr>
        <w:t xml:space="preserve"> </w:t>
      </w:r>
      <w:r>
        <w:rPr>
          <w:rFonts w:ascii="Arial" w:cs="Arial" w:eastAsia="Arial" w:hAnsi="Arial"/>
          <w:sz w:val="16"/>
          <w:szCs w:val="16"/>
          <w:i w:val="1"/>
          <w:iCs w:val="1"/>
          <w:color w:val="008000"/>
          <w:strike w:val="1"/>
        </w:rPr>
        <w:t>Extended Expiration Letters of Credit, such amount (to the extent not applied as provided in this Section 3.01(</w:t>
      </w:r>
      <w:r>
        <w:rPr>
          <w:rFonts w:ascii="Arial" w:cs="Arial" w:eastAsia="Arial" w:hAnsi="Arial"/>
          <w:sz w:val="16"/>
          <w:szCs w:val="16"/>
          <w:b w:val="1"/>
          <w:bCs w:val="1"/>
          <w:color w:val="FF0000"/>
        </w:rPr>
        <w:t>k)(i</w:t>
      </w:r>
      <w:r>
        <w:rPr>
          <w:rFonts w:ascii="Arial" w:cs="Arial" w:eastAsia="Arial" w:hAnsi="Arial"/>
          <w:sz w:val="16"/>
          <w:szCs w:val="16"/>
          <w:i w:val="1"/>
          <w:iCs w:val="1"/>
          <w:color w:val="008000"/>
          <w:strike w:val="1"/>
        </w:rPr>
        <w:t>)) shall be returned to the</w:t>
      </w:r>
      <w:r>
        <w:rPr>
          <w:rFonts w:ascii="Arial" w:cs="Arial" w:eastAsia="Arial" w:hAnsi="Arial"/>
          <w:sz w:val="16"/>
          <w:szCs w:val="16"/>
          <w:i w:val="1"/>
          <w:iCs w:val="1"/>
          <w:color w:val="008000"/>
        </w:rPr>
        <w:t xml:space="preserve"> </w:t>
      </w:r>
      <w:r>
        <w:rPr>
          <w:rFonts w:ascii="Arial" w:cs="Arial" w:eastAsia="Arial" w:hAnsi="Arial"/>
          <w:sz w:val="16"/>
          <w:szCs w:val="16"/>
          <w:i w:val="1"/>
          <w:iCs w:val="1"/>
          <w:color w:val="008000"/>
          <w:strike w:val="1"/>
        </w:rPr>
        <w:t>Borrowers within three Business Days after each such Extended Expiration Letter of Credit has expired or terminated without any pending draw under such Extended Expiration Letter of Credit</w:t>
      </w:r>
      <w:r>
        <w:rPr>
          <w:rFonts w:ascii="Arial" w:cs="Arial" w:eastAsia="Arial" w:hAnsi="Arial"/>
          <w:sz w:val="16"/>
          <w:szCs w:val="16"/>
          <w:color w:val="000000"/>
          <w:strike w:val="1"/>
        </w:rPr>
        <w:t>.</w:t>
      </w:r>
      <w:r>
        <w:rPr>
          <w:rFonts w:ascii="Arial" w:cs="Arial" w:eastAsia="Arial" w:hAnsi="Arial"/>
          <w:sz w:val="16"/>
          <w:szCs w:val="16"/>
          <w:b w:val="1"/>
          <w:bCs w:val="1"/>
          <w:u w:val="single" w:color="auto"/>
          <w:color w:val="0000FF"/>
          <w:strike w:val="1"/>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1" w:name="page132"/>
    <w:bookmarkEnd w:id="131"/>
    <w:p>
      <w:pPr>
        <w:jc w:val="both"/>
        <w:ind w:left="-460" w:firstLine="1292"/>
        <w:spacing w:after="0" w:line="257" w:lineRule="auto"/>
        <w:tabs>
          <w:tab w:leader="none" w:pos="1101" w:val="left"/>
        </w:tabs>
        <w:numPr>
          <w:ilvl w:val="0"/>
          <w:numId w:val="54"/>
        </w:numPr>
        <w:rPr>
          <w:rFonts w:ascii="Arial" w:cs="Arial" w:eastAsia="Arial" w:hAnsi="Arial"/>
          <w:sz w:val="18"/>
          <w:szCs w:val="18"/>
          <w:b w:val="1"/>
          <w:bCs w:val="1"/>
          <w:color w:val="FF0000"/>
          <w:strike w:val="1"/>
        </w:rPr>
      </w:pPr>
      <w:r>
        <w:rPr>
          <w:rFonts w:ascii="Arial" w:cs="Arial" w:eastAsia="Arial" w:hAnsi="Arial"/>
          <w:sz w:val="18"/>
          <w:szCs w:val="18"/>
          <w:i w:val="1"/>
          <w:iCs w:val="1"/>
          <w:color w:val="008000"/>
          <w:strike w:val="1"/>
        </w:rPr>
        <w:t xml:space="preserve">The obligations of each of the Borrowers and the Lenders under this Agreement and the other Loan Documents regarding Letters of Credit, including obligations under this </w:t>
      </w:r>
      <w:r>
        <w:rPr>
          <w:rFonts w:ascii="Arial" w:cs="Arial" w:eastAsia="Arial" w:hAnsi="Arial"/>
          <w:sz w:val="18"/>
          <w:szCs w:val="18"/>
          <w:i w:val="1"/>
          <w:iCs w:val="1"/>
          <w:u w:val="single" w:color="auto"/>
          <w:color w:val="008000"/>
          <w:strike w:val="1"/>
        </w:rPr>
        <w:t>Section 3.01</w:t>
      </w:r>
      <w:r>
        <w:rPr>
          <w:rFonts w:ascii="Arial" w:cs="Arial" w:eastAsia="Arial" w:hAnsi="Arial"/>
          <w:sz w:val="18"/>
          <w:szCs w:val="18"/>
          <w:i w:val="1"/>
          <w:iCs w:val="1"/>
          <w:color w:val="008000"/>
          <w:strike w:val="1"/>
        </w:rPr>
        <w:t xml:space="preserve">, shall survive after the Maturity Date and termination of this Agreement for so long as any LC Exposure exists (whether or not all or any portion of such LC Exposure has been cash collateralized as described in </w:t>
      </w:r>
      <w:r>
        <w:rPr>
          <w:rFonts w:ascii="Arial" w:cs="Arial" w:eastAsia="Arial" w:hAnsi="Arial"/>
          <w:sz w:val="18"/>
          <w:szCs w:val="18"/>
          <w:i w:val="1"/>
          <w:iCs w:val="1"/>
          <w:u w:val="single" w:color="auto"/>
          <w:color w:val="008000"/>
          <w:strike w:val="1"/>
        </w:rPr>
        <w:t>Section 3.01(k)</w:t>
      </w:r>
      <w:r>
        <w:rPr>
          <w:rFonts w:ascii="Arial" w:cs="Arial" w:eastAsia="Arial" w:hAnsi="Arial"/>
          <w:sz w:val="18"/>
          <w:szCs w:val="18"/>
          <w:b w:val="1"/>
          <w:bCs w:val="1"/>
          <w:color w:val="FF0000"/>
          <w:strike w:val="1"/>
        </w:rPr>
        <w:t>);</w:t>
      </w:r>
      <w:r>
        <w:rPr>
          <w:rFonts w:ascii="Arial" w:cs="Arial" w:eastAsia="Arial" w:hAnsi="Arial"/>
          <w:sz w:val="18"/>
          <w:szCs w:val="18"/>
          <w:i w:val="1"/>
          <w:iCs w:val="1"/>
          <w:color w:val="008000"/>
          <w:strike w:val="1"/>
        </w:rPr>
        <w:t xml:space="preserve"> </w:t>
      </w:r>
      <w:r>
        <w:rPr>
          <w:rFonts w:ascii="Arial" w:cs="Arial" w:eastAsia="Arial" w:hAnsi="Arial"/>
          <w:sz w:val="18"/>
          <w:szCs w:val="18"/>
          <w:b w:val="1"/>
          <w:bCs w:val="1"/>
          <w:u w:val="single" w:color="auto"/>
          <w:color w:val="FF0000"/>
          <w:strike w:val="1"/>
        </w:rPr>
        <w:t xml:space="preserve">provided </w:t>
      </w:r>
      <w:r>
        <w:rPr>
          <w:rFonts w:ascii="Arial" w:cs="Arial" w:eastAsia="Arial" w:hAnsi="Arial"/>
          <w:sz w:val="18"/>
          <w:szCs w:val="18"/>
          <w:b w:val="1"/>
          <w:bCs w:val="1"/>
          <w:color w:val="FF0000"/>
          <w:strike w:val="1"/>
        </w:rPr>
        <w:t>that with respect to Extended Expiration Letters of Credit, only the Borrowers and the applicable Issuing Banks’ obligations</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color w:val="FF0000"/>
          <w:strike w:val="1"/>
        </w:rPr>
        <w:t>(and not those of any other Lender) shall so survive.</w:t>
      </w:r>
    </w:p>
    <w:p>
      <w:pPr>
        <w:spacing w:after="0" w:line="187" w:lineRule="exact"/>
        <w:rPr>
          <w:rFonts w:ascii="Arial" w:cs="Arial" w:eastAsia="Arial" w:hAnsi="Arial"/>
          <w:sz w:val="18"/>
          <w:szCs w:val="18"/>
          <w:b w:val="1"/>
          <w:bCs w:val="1"/>
          <w:color w:val="FF0000"/>
          <w:strike w:val="1"/>
        </w:rPr>
      </w:pPr>
    </w:p>
    <w:p>
      <w:pPr>
        <w:jc w:val="both"/>
        <w:ind w:left="-460" w:firstLine="1292"/>
        <w:spacing w:after="0" w:line="301" w:lineRule="auto"/>
        <w:tabs>
          <w:tab w:leader="none" w:pos="1151" w:val="left"/>
        </w:tabs>
        <w:numPr>
          <w:ilvl w:val="0"/>
          <w:numId w:val="54"/>
        </w:numPr>
        <w:rPr>
          <w:rFonts w:ascii="Arial" w:cs="Arial" w:eastAsia="Arial" w:hAnsi="Arial"/>
          <w:sz w:val="16"/>
          <w:szCs w:val="16"/>
          <w:b w:val="1"/>
          <w:bCs w:val="1"/>
          <w:color w:val="FF0000"/>
          <w:strike w:val="1"/>
        </w:rPr>
      </w:pPr>
      <w:r>
        <w:rPr>
          <w:rFonts w:ascii="Arial" w:cs="Arial" w:eastAsia="Arial" w:hAnsi="Arial"/>
          <w:sz w:val="16"/>
          <w:szCs w:val="16"/>
          <w:i w:val="1"/>
          <w:iCs w:val="1"/>
          <w:color w:val="008000"/>
          <w:strike w:val="1"/>
        </w:rPr>
        <w:t xml:space="preserve">For the avoidance of doubt, each Lender confirms that its respective obligations (x) under </w:t>
      </w:r>
      <w:r>
        <w:rPr>
          <w:rFonts w:ascii="Arial" w:cs="Arial" w:eastAsia="Arial" w:hAnsi="Arial"/>
          <w:sz w:val="16"/>
          <w:szCs w:val="16"/>
          <w:i w:val="1"/>
          <w:iCs w:val="1"/>
          <w:u w:val="single" w:color="auto"/>
          <w:color w:val="008000"/>
          <w:strike w:val="1"/>
        </w:rPr>
        <w:t>Section 3.01(e)</w:t>
      </w:r>
      <w:r>
        <w:rPr>
          <w:rFonts w:ascii="Arial" w:cs="Arial" w:eastAsia="Arial" w:hAnsi="Arial"/>
          <w:sz w:val="16"/>
          <w:szCs w:val="16"/>
          <w:i w:val="1"/>
          <w:iCs w:val="1"/>
          <w:color w:val="008000"/>
          <w:strike w:val="1"/>
        </w:rPr>
        <w:t xml:space="preserve"> and (y) in respect of Letters of Credit shall be reinstated in full and apply if the delivery of any cash collateral pursuant to </w:t>
      </w:r>
      <w:r>
        <w:rPr>
          <w:rFonts w:ascii="Arial" w:cs="Arial" w:eastAsia="Arial" w:hAnsi="Arial"/>
          <w:sz w:val="16"/>
          <w:szCs w:val="16"/>
          <w:b w:val="1"/>
          <w:bCs w:val="1"/>
          <w:color w:val="FF0000"/>
          <w:strike w:val="1"/>
        </w:rPr>
        <w:t>this</w:t>
      </w:r>
      <w:r>
        <w:rPr>
          <w:rFonts w:ascii="Arial" w:cs="Arial" w:eastAsia="Arial" w:hAnsi="Arial"/>
          <w:sz w:val="16"/>
          <w:szCs w:val="16"/>
          <w:i w:val="1"/>
          <w:iCs w:val="1"/>
          <w:color w:val="008000"/>
          <w:strike w:val="1"/>
        </w:rPr>
        <w:t xml:space="preserve"> </w:t>
      </w:r>
      <w:r>
        <w:rPr>
          <w:rFonts w:ascii="Arial" w:cs="Arial" w:eastAsia="Arial" w:hAnsi="Arial"/>
          <w:sz w:val="16"/>
          <w:szCs w:val="16"/>
          <w:b w:val="1"/>
          <w:bCs w:val="1"/>
          <w:u w:val="single" w:color="auto"/>
          <w:color w:val="FF0000"/>
          <w:strike w:val="1"/>
        </w:rPr>
        <w:t>Section 3.01(k)</w:t>
      </w:r>
      <w:r>
        <w:rPr>
          <w:rFonts w:ascii="Arial" w:cs="Arial" w:eastAsia="Arial" w:hAnsi="Arial"/>
          <w:sz w:val="16"/>
          <w:szCs w:val="16"/>
          <w:i w:val="1"/>
          <w:iCs w:val="1"/>
          <w:color w:val="008000"/>
          <w:strike w:val="1"/>
        </w:rPr>
        <w:t xml:space="preserve"> </w:t>
      </w:r>
      <w:r>
        <w:rPr>
          <w:rFonts w:ascii="Arial" w:cs="Arial" w:eastAsia="Arial" w:hAnsi="Arial"/>
          <w:sz w:val="16"/>
          <w:szCs w:val="16"/>
          <w:b w:val="1"/>
          <w:bCs w:val="1"/>
          <w:color w:val="FF0000"/>
          <w:strike w:val="1"/>
        </w:rPr>
        <w:t>in respect</w:t>
      </w:r>
      <w:r>
        <w:rPr>
          <w:rFonts w:ascii="Arial" w:cs="Arial" w:eastAsia="Arial" w:hAnsi="Arial"/>
          <w:sz w:val="16"/>
          <w:szCs w:val="16"/>
          <w:i w:val="1"/>
          <w:iCs w:val="1"/>
          <w:color w:val="008000"/>
          <w:strike w:val="1"/>
        </w:rPr>
        <w:t xml:space="preserve"> of such Letters of Credit is subsequently invalidated, declared to be fraudulent or preferential, set aside or required to be repaid to a trustee, receiver or any other party, in the case of any event with respect to any Borrower described in or </w:t>
      </w:r>
      <w:r>
        <w:rPr>
          <w:rFonts w:ascii="Arial" w:cs="Arial" w:eastAsia="Arial" w:hAnsi="Arial"/>
          <w:sz w:val="16"/>
          <w:szCs w:val="16"/>
          <w:i w:val="1"/>
          <w:iCs w:val="1"/>
          <w:u w:val="single" w:color="auto"/>
          <w:color w:val="008000"/>
          <w:strike w:val="1"/>
        </w:rPr>
        <w:t>Section 10.01(i)</w:t>
      </w:r>
      <w:r>
        <w:rPr>
          <w:rFonts w:ascii="Arial" w:cs="Arial" w:eastAsia="Arial" w:hAnsi="Arial"/>
          <w:sz w:val="16"/>
          <w:szCs w:val="16"/>
          <w:i w:val="1"/>
          <w:iCs w:val="1"/>
          <w:color w:val="008000"/>
          <w:strike w:val="1"/>
        </w:rPr>
        <w:t xml:space="preserve"> or </w:t>
      </w:r>
      <w:r>
        <w:rPr>
          <w:rFonts w:ascii="Arial" w:cs="Arial" w:eastAsia="Arial" w:hAnsi="Arial"/>
          <w:sz w:val="16"/>
          <w:szCs w:val="16"/>
          <w:i w:val="1"/>
          <w:iCs w:val="1"/>
          <w:u w:val="single" w:color="auto"/>
          <w:color w:val="008000"/>
          <w:strike w:val="1"/>
        </w:rPr>
        <w:t>Section 10.01(j)</w:t>
      </w:r>
      <w:r>
        <w:rPr>
          <w:rFonts w:ascii="Arial" w:cs="Arial" w:eastAsia="Arial" w:hAnsi="Arial"/>
          <w:sz w:val="16"/>
          <w:szCs w:val="16"/>
          <w:i w:val="1"/>
          <w:iCs w:val="1"/>
          <w:color w:val="008000"/>
          <w:strike w:val="1"/>
        </w:rPr>
        <w:t xml:space="preserve"> or otherwise.</w:t>
      </w:r>
    </w:p>
    <w:p>
      <w:pPr>
        <w:spacing w:after="0" w:line="3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2" w:name="page133"/>
    <w:bookmarkEnd w:id="132"/>
    <w:p>
      <w:pPr>
        <w:jc w:val="both"/>
        <w:ind w:firstLine="1296"/>
        <w:spacing w:after="0" w:line="254"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8"/>
          <w:szCs w:val="18"/>
          <w:u w:val="single" w:color="auto"/>
          <w:color w:val="auto"/>
        </w:rPr>
        <w:t>Issuing Bank Agreement</w:t>
      </w:r>
      <w:r>
        <w:rPr>
          <w:rFonts w:ascii="Arial" w:cs="Arial" w:eastAsia="Arial" w:hAnsi="Arial"/>
          <w:sz w:val="18"/>
          <w:szCs w:val="18"/>
          <w:color w:val="auto"/>
        </w:rPr>
        <w:t xml:space="preserve">”), which shall be in a form reasonably satisfactory to the Borrowers and the Administrative Agent, shall set forth the </w:t>
      </w:r>
      <w:r>
        <w:rPr>
          <w:rFonts w:ascii="Arial" w:cs="Arial" w:eastAsia="Arial" w:hAnsi="Arial"/>
          <w:sz w:val="18"/>
          <w:szCs w:val="18"/>
          <w:b w:val="1"/>
          <w:bCs w:val="1"/>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b w:val="1"/>
          <w:bCs w:val="1"/>
          <w:color w:val="FF0000"/>
        </w:rPr>
        <w:t xml:space="preserve"> </w:t>
      </w:r>
      <w:r>
        <w:rPr>
          <w:rFonts w:ascii="Arial" w:cs="Arial" w:eastAsia="Arial" w:hAnsi="Arial"/>
          <w:sz w:val="18"/>
          <w:szCs w:val="18"/>
          <w:color w:val="000000"/>
        </w:rPr>
        <w:t>Commitment of such Lender and shall be executed by such Lender, the Borrowers and the Administrative Agent and, from and after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(m)            </w:t>
      </w:r>
      <w:r>
        <w:rPr>
          <w:rFonts w:ascii="Arial" w:cs="Arial" w:eastAsia="Arial" w:hAnsi="Arial"/>
          <w:sz w:val="16"/>
          <w:szCs w:val="16"/>
          <w:u w:val="single" w:color="auto"/>
          <w:color w:val="auto"/>
        </w:rPr>
        <w:t>Letters of Credit Issued for Account of Restricted Subsidiaries</w:t>
      </w:r>
      <w:r>
        <w:rPr>
          <w:rFonts w:ascii="Arial" w:cs="Arial" w:eastAsia="Arial" w:hAnsi="Arial"/>
          <w:sz w:val="16"/>
          <w:szCs w:val="16"/>
          <w:color w:val="auto"/>
        </w:rPr>
        <w:t xml:space="preserve">.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 </w:t>
      </w:r>
      <w:r>
        <w:rPr>
          <w:rFonts w:ascii="Arial" w:cs="Arial" w:eastAsia="Arial" w:hAnsi="Arial"/>
          <w:sz w:val="16"/>
          <w:szCs w:val="16"/>
          <w:b w:val="1"/>
          <w:bCs w:val="1"/>
          <w:u w:val="single" w:color="auto"/>
          <w:color w:val="0000FF"/>
        </w:rPr>
        <w:t>No Letter of Credit shall be issued for the account of a Restricted Subsidiary (to the extent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Restricted Subsidiary is not a Borrower) hereunder unless a Borrower is a co-applicant in respect of such Letter of Credit.</w:t>
      </w:r>
    </w:p>
    <w:p>
      <w:pPr>
        <w:spacing w:after="0" w:line="17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Simultaneously with the occurrence of the Effective Date, each of the Existing Letters of Credit shall be deemed issued under this Agreement (and shall comprise Performance Letters of Credit under this Agreement and the other Loan Documents), and with respect to each such Existing Letter of Credit, the applicable Borrower specified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with respect to such Existing Letter of Credit shall be deemed to be the applicant (or where no Borrower is specified on either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all Borrowers shall be deemed to be the applicant thereof), and shall have the reimbursement obligations provided in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with respect thereto. Existing Letters of Credit shall be subject to all provisions contained herein (including, without limitation,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3.01(g)</w:t>
      </w:r>
      <w:r>
        <w:rPr>
          <w:rFonts w:ascii="Arial" w:cs="Arial" w:eastAsia="Arial" w:hAnsi="Arial"/>
          <w:sz w:val="18"/>
          <w:szCs w:val="18"/>
          <w:color w:val="auto"/>
        </w:rPr>
        <w:t>) and be secured by the Collateral pursuant to the Loan Documents.</w:t>
      </w:r>
    </w:p>
    <w:p>
      <w:pPr>
        <w:spacing w:after="0" w:line="19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Minimum Denominations</w:t>
      </w:r>
      <w:r>
        <w:rPr>
          <w:rFonts w:ascii="Arial" w:cs="Arial" w:eastAsia="Arial" w:hAnsi="Arial"/>
          <w:sz w:val="18"/>
          <w:szCs w:val="18"/>
          <w:color w:val="auto"/>
        </w:rPr>
        <w:t>. Letters of Credit (other than Existing Letters of Credit) hereunder shall be issued in minimum face amounts of $25,000 (or if denominated in an Alternative Currency, the Dollar equivalent of $25,000).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1296"/>
        <w:spacing w:after="0" w:line="286" w:lineRule="auto"/>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w:t>
      </w:r>
    </w:p>
    <w:p>
      <w:pPr>
        <w:spacing w:after="0" w:line="1"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amount which is drawn, reimbursed and no longer available under such Letter of Credit).</w:t>
      </w:r>
    </w:p>
    <w:p>
      <w:pPr>
        <w:spacing w:after="0" w:line="20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u w:val="single" w:color="auto"/>
          <w:color w:val="0000FF"/>
        </w:rPr>
        <w:t>(q)            Cash Collateral For Extended Expiration Letters of Credit.</w:t>
      </w:r>
    </w:p>
    <w:p>
      <w:pPr>
        <w:spacing w:after="0" w:line="225" w:lineRule="exact"/>
        <w:rPr>
          <w:sz w:val="20"/>
          <w:szCs w:val="20"/>
          <w:color w:val="auto"/>
        </w:rPr>
      </w:pPr>
    </w:p>
    <w:p>
      <w:pPr>
        <w:jc w:val="both"/>
        <w:ind w:left="660" w:firstLine="1296"/>
        <w:spacing w:after="0" w:line="268" w:lineRule="auto"/>
        <w:rPr>
          <w:sz w:val="20"/>
          <w:szCs w:val="20"/>
          <w:color w:val="auto"/>
        </w:rPr>
      </w:pPr>
      <w:r>
        <w:rPr>
          <w:rFonts w:ascii="Arial" w:cs="Arial" w:eastAsia="Arial" w:hAnsi="Arial"/>
          <w:sz w:val="17"/>
          <w:szCs w:val="17"/>
          <w:b w:val="1"/>
          <w:bCs w:val="1"/>
          <w:u w:val="single" w:color="auto"/>
          <w:color w:val="0000FF"/>
        </w:rPr>
        <w:t>(i)            The Borrowers shall provide cash collateral to each applicable Issuing Bank with respect to each Extended Expiration Letter of Credit issued by such Issuing Bank (in an amount equal to (1) 105% of the Total LC Exposure with respect to Extended Expiration Letters of Credit that are denominated in an Alternative Currency and (2) 103% of the Total LC Exposure with respect to Extended Expiration Letters of Credit that are denominated in Dollars) by the Stated Cash Collateralization Date by depositing such amount in same day funds, in the applicable Currencies, into a cash collateral account or cash collateral accounts maintained at the applicable Issuing Bank (each, an “Extended Expiration LC Cash Collateral Account”) and shall enter into a cash collateral agreement in form and substance reasonably satisfactory to such Issuing Bank and such other documentation as such Issuing Bank or the Administrative Agent may reasonably request; provided that if the Borrowers fail to provide cash collateral with respect to any such Extended Expiration Letter of Credit by such time, such event shall be treated as a drawing under such Extended Expiration Letter of Credit in an amount equal to (1) 105% of the Total LC Exposure with respect to Extended Expiration Letters of Credit that are denominated in an Alternative Currency and (2) 103% of the Total LC Exposure with respect to Extended Expiration Letters of Credit that are denominated in Dollars, which shall be reimbursed (or participations therein funded) in accordance with this Section 3.01 (including, subject to the conditions set forth in Section 3.01(f), through a Base Rate Loan in respect of Revolving Letters of Credit); provided further that such deemed drawing shall be deemed to be a drawing solely for purposes of this Section 3.01(q)(i) and shall not affect the effectiveness or provisions of such Extended Expiration Letter of Credit.</w:t>
      </w:r>
    </w:p>
    <w:p>
      <w:pPr>
        <w:spacing w:after="0" w:line="182" w:lineRule="exact"/>
        <w:rPr>
          <w:sz w:val="20"/>
          <w:szCs w:val="20"/>
          <w:color w:val="auto"/>
        </w:rPr>
      </w:pPr>
    </w:p>
    <w:p>
      <w:pPr>
        <w:jc w:val="both"/>
        <w:ind w:left="660" w:firstLine="1296"/>
        <w:spacing w:after="0" w:line="268" w:lineRule="auto"/>
        <w:rPr>
          <w:sz w:val="20"/>
          <w:szCs w:val="20"/>
          <w:color w:val="auto"/>
        </w:rPr>
      </w:pPr>
      <w:r>
        <w:rPr>
          <w:rFonts w:ascii="Arial" w:cs="Arial" w:eastAsia="Arial" w:hAnsi="Arial"/>
          <w:sz w:val="17"/>
          <w:szCs w:val="17"/>
          <w:b w:val="1"/>
          <w:bCs w:val="1"/>
          <w:u w:val="single" w:color="auto"/>
          <w:color w:val="0000FF"/>
        </w:rPr>
        <w:t>(ii)            Any such deposits pursuant to this Section 3.01(q) shall be held by the applicable Issuing Bank as collateral for the payment and performance of the Borrowers’ reimbursement and other obligations in respect of Extended Expiration Letters of Credit issued by such Issuing Bank under this Agreement. Such Issuing Bank shall have exclusive dominion and control, as defined in the Uniform Commercial Code of the State of New York, including the exclusive right of withdrawal, over the applicable Extended Expiration LC Cash Collateral Account, and each Borrower hereby grants the applicable Issuing Bank a security interest in such Extended Expiration LC Cash Collateral Account. Such Issuing Bank shall have no obligation to pay interest on the investment of such deposits, but such Issuing Bank shall invest such deposits at the written direction of the Borrowers (subject to the sole discretion of such Issuing Bank), which investments shall be made at the Borrowers’ risk and expense; provided that the Borrowers shall only direct such Issuing Bank to invest such deposits in Cash Equivalents. Interest or profits, if any, on such investments shall accumulate in the Extended Expiration LC Cash Collateral Account. Moneys in the Extended Expiration LC Cash Collateral Account shall be applied to reimburse the applicable Issuing Bank for LC Disbursements made by such Issuing Bank for which it has not been reimbursed, and, to the extent not so applied, shall be held for the satisfaction of the reimbursement obligations of the applicable Borrower pursuant to Section 3.01(f) or, if the scheduled maturity date of the Obligations has been accelerated, be applied to satisfy other obligations of the Borrowers under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660" w:firstLine="1296"/>
        <w:spacing w:after="0" w:line="284" w:lineRule="auto"/>
        <w:rPr>
          <w:sz w:val="20"/>
          <w:szCs w:val="20"/>
          <w:color w:val="auto"/>
        </w:rPr>
      </w:pPr>
      <w:r>
        <w:rPr>
          <w:rFonts w:ascii="Arial" w:cs="Arial" w:eastAsia="Arial" w:hAnsi="Arial"/>
          <w:sz w:val="16"/>
          <w:szCs w:val="16"/>
          <w:b w:val="1"/>
          <w:bCs w:val="1"/>
          <w:u w:val="single" w:color="auto"/>
          <w:color w:val="0000FF"/>
        </w:rPr>
        <w:t>(iii)            Subject to Section 3.01(s), if the Borrowers have fully cash collateralized the applicable Issuing Bank with respect to any Extended Expiration Letter of Credit issued by such Issuing Bank in accordance with subsections (i) and (ii) above and the Borrowers and the applicable Issuing Bank have made arrangements between them with respect to the pricing and fees associated therewith (each such Extended Expiration Letter of Credit, a “Cash Collateralized Letter of Credit”), then after the date of notice to the Administrative Agent thereof by the applicable Issuing Bank and for so long as such cash collateral remains in place (A) such Cash Collateralized Letter of Credit shall cease to be a “Letter of Credit” hereunder, (B) such Cash Collateralized Letter of Credit shall not constitute utilization of the Revolving Credit Commitments or the Performance LC Commitment, as applicable, (C) no Lender shall have any further obligation to fund participations or Loans to reimburse any drawing under any such Cash Collateralized Letter of Credit,</w:t>
      </w:r>
    </w:p>
    <w:p>
      <w:pPr>
        <w:spacing w:after="0" w:line="5" w:lineRule="exact"/>
        <w:rPr>
          <w:sz w:val="20"/>
          <w:szCs w:val="20"/>
          <w:color w:val="auto"/>
        </w:rPr>
      </w:pPr>
    </w:p>
    <w:p>
      <w:pPr>
        <w:jc w:val="both"/>
        <w:ind w:left="660" w:hanging="4"/>
        <w:spacing w:after="0" w:line="277" w:lineRule="auto"/>
        <w:tabs>
          <w:tab w:leader="none" w:pos="970" w:val="left"/>
        </w:tabs>
        <w:numPr>
          <w:ilvl w:val="0"/>
          <w:numId w:val="56"/>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notwithstanding anything to the contrary herein, no LC Participation Fees shall be due or payable to the Lenders, or any of them, hereunder with respect to such Cash Collateralized Letter of Credit, and (E) any fronting fee, issuance fee or other fee with respect to such Cash Collateralized Letter of Credit shall be as agreed separately between the Borrowers and such Issuing Bank.</w:t>
      </w:r>
    </w:p>
    <w:p>
      <w:pPr>
        <w:spacing w:after="0" w:line="169" w:lineRule="exact"/>
        <w:rPr>
          <w:sz w:val="20"/>
          <w:szCs w:val="20"/>
          <w:color w:val="auto"/>
        </w:rPr>
      </w:pPr>
    </w:p>
    <w:p>
      <w:pPr>
        <w:jc w:val="both"/>
        <w:ind w:left="660" w:firstLine="1296"/>
        <w:spacing w:after="0" w:line="261" w:lineRule="auto"/>
        <w:rPr>
          <w:sz w:val="20"/>
          <w:szCs w:val="20"/>
          <w:color w:val="auto"/>
        </w:rPr>
      </w:pPr>
      <w:r>
        <w:rPr>
          <w:rFonts w:ascii="Arial" w:cs="Arial" w:eastAsia="Arial" w:hAnsi="Arial"/>
          <w:sz w:val="18"/>
          <w:szCs w:val="18"/>
          <w:b w:val="1"/>
          <w:bCs w:val="1"/>
          <w:u w:val="single" w:color="auto"/>
          <w:color w:val="0000FF"/>
        </w:rPr>
        <w:t xml:space="preserve">(iv)            If the Borrowers are required to provide an amount of cash collateral </w:t>
      </w:r>
      <w:r>
        <w:rPr>
          <w:rFonts w:ascii="Arial" w:cs="Arial" w:eastAsia="Arial" w:hAnsi="Arial"/>
          <w:sz w:val="18"/>
          <w:szCs w:val="18"/>
          <w:i w:val="1"/>
          <w:iCs w:val="1"/>
          <w:u w:val="single" w:color="auto"/>
          <w:color w:val="008000"/>
        </w:rPr>
        <w:t>as a result of any Extended Expiration</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8000"/>
        </w:rPr>
        <w:t>Letters of Credit, such amount (to the extent not applied as provided in this Section 3.01(</w:t>
      </w:r>
      <w:r>
        <w:rPr>
          <w:rFonts w:ascii="Arial" w:cs="Arial" w:eastAsia="Arial" w:hAnsi="Arial"/>
          <w:sz w:val="18"/>
          <w:szCs w:val="18"/>
          <w:b w:val="1"/>
          <w:bCs w:val="1"/>
          <w:u w:val="single" w:color="auto"/>
          <w:color w:val="0000FF"/>
        </w:rPr>
        <w:t>q</w:t>
      </w:r>
      <w:r>
        <w:rPr>
          <w:rFonts w:ascii="Arial" w:cs="Arial" w:eastAsia="Arial" w:hAnsi="Arial"/>
          <w:sz w:val="18"/>
          <w:szCs w:val="18"/>
          <w:i w:val="1"/>
          <w:iCs w:val="1"/>
          <w:u w:val="single" w:color="auto"/>
          <w:color w:val="008000"/>
        </w:rPr>
        <w:t>)) shall be returned to the Borrowers within three Business Days after each such Extended Expiration Letter of Credit has expired or terminated without any pending draw under such Extended Expiration Letter of Credit.</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u w:val="single" w:color="auto"/>
          <w:color w:val="0000FF"/>
        </w:rPr>
        <w:t xml:space="preserve">(r)            Survival. </w:t>
      </w:r>
      <w:r>
        <w:rPr>
          <w:rFonts w:ascii="Arial" w:cs="Arial" w:eastAsia="Arial" w:hAnsi="Arial"/>
          <w:sz w:val="17"/>
          <w:szCs w:val="17"/>
          <w:i w:val="1"/>
          <w:iCs w:val="1"/>
          <w:u w:val="single" w:color="auto"/>
          <w:color w:val="008000"/>
        </w:rPr>
        <w:t>The obligations of each of the Borrowers and the Lenders under this Agreement and the other Loan Documents</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regarding Letters of Credit, including obligations under this Section 3.01, shall survive after the Maturity Date and termination of this Agreement for so long as any LC Exposure exists (</w:t>
      </w:r>
      <w:r>
        <w:rPr>
          <w:rFonts w:ascii="Arial" w:cs="Arial" w:eastAsia="Arial" w:hAnsi="Arial"/>
          <w:sz w:val="17"/>
          <w:szCs w:val="17"/>
          <w:b w:val="1"/>
          <w:bCs w:val="1"/>
          <w:u w:val="single" w:color="auto"/>
          <w:color w:val="0000FF"/>
        </w:rPr>
        <w:t>other than as specified in Section 3.01(q)(iii)(C),</w:t>
      </w:r>
      <w:r>
        <w:rPr>
          <w:rFonts w:ascii="Arial" w:cs="Arial" w:eastAsia="Arial" w:hAnsi="Arial"/>
          <w:sz w:val="17"/>
          <w:szCs w:val="17"/>
          <w:i w:val="1"/>
          <w:iCs w:val="1"/>
          <w:u w:val="single" w:color="auto"/>
          <w:color w:val="008000"/>
        </w:rPr>
        <w:t xml:space="preserve"> whether or not all or any portion of such LC Exposure has been cash collateralized as described in Section 3.01(k) </w:t>
      </w:r>
      <w:r>
        <w:rPr>
          <w:rFonts w:ascii="Arial" w:cs="Arial" w:eastAsia="Arial" w:hAnsi="Arial"/>
          <w:sz w:val="17"/>
          <w:szCs w:val="17"/>
          <w:b w:val="1"/>
          <w:bCs w:val="1"/>
          <w:u w:val="single" w:color="auto"/>
          <w:color w:val="0000FF"/>
        </w:rPr>
        <w:t>or Section 3.01(q)), except that the Lenders (other than, for the avoidance of doubt, the applicable</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Issuing Bank) shall have no obligations with respect to Extended Expiration Letters of Credit after the Maturity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1300"/>
        <w:spacing w:after="0"/>
        <w:rPr>
          <w:sz w:val="20"/>
          <w:szCs w:val="20"/>
          <w:color w:val="auto"/>
        </w:rPr>
      </w:pPr>
      <w:r>
        <w:rPr>
          <w:rFonts w:ascii="Arial" w:cs="Arial" w:eastAsia="Arial" w:hAnsi="Arial"/>
          <w:sz w:val="16"/>
          <w:szCs w:val="16"/>
          <w:b w:val="1"/>
          <w:bCs w:val="1"/>
          <w:u w:val="single" w:color="auto"/>
          <w:color w:val="0000FF"/>
        </w:rPr>
        <w:t xml:space="preserve">(s)            Reinstatement. </w:t>
      </w:r>
      <w:r>
        <w:rPr>
          <w:rFonts w:ascii="Arial" w:cs="Arial" w:eastAsia="Arial" w:hAnsi="Arial"/>
          <w:sz w:val="16"/>
          <w:szCs w:val="16"/>
          <w:i w:val="1"/>
          <w:iCs w:val="1"/>
          <w:u w:val="single" w:color="auto"/>
          <w:color w:val="008000"/>
        </w:rPr>
        <w:t>For the avoidance of doubt, each Lender confirms that its respective obligations (x) under Section 3.01(e) and</w:t>
      </w:r>
    </w:p>
    <w:p>
      <w:pPr>
        <w:spacing w:after="0" w:line="50" w:lineRule="exact"/>
        <w:rPr>
          <w:sz w:val="20"/>
          <w:szCs w:val="20"/>
          <w:color w:val="auto"/>
        </w:rPr>
      </w:pPr>
    </w:p>
    <w:p>
      <w:pPr>
        <w:jc w:val="both"/>
        <w:ind w:firstLine="8"/>
        <w:spacing w:after="0" w:line="253" w:lineRule="auto"/>
        <w:tabs>
          <w:tab w:leader="none" w:pos="299" w:val="left"/>
        </w:tabs>
        <w:numPr>
          <w:ilvl w:val="0"/>
          <w:numId w:val="57"/>
        </w:numPr>
        <w:rPr>
          <w:rFonts w:ascii="Arial" w:cs="Arial" w:eastAsia="Arial" w:hAnsi="Arial"/>
          <w:sz w:val="18"/>
          <w:szCs w:val="18"/>
          <w:i w:val="1"/>
          <w:iCs w:val="1"/>
          <w:u w:val="single" w:color="auto"/>
          <w:color w:val="008000"/>
        </w:rPr>
      </w:pPr>
      <w:r>
        <w:rPr>
          <w:rFonts w:ascii="Arial" w:cs="Arial" w:eastAsia="Arial" w:hAnsi="Arial"/>
          <w:sz w:val="18"/>
          <w:szCs w:val="18"/>
          <w:i w:val="1"/>
          <w:iCs w:val="1"/>
          <w:u w:val="single" w:color="auto"/>
          <w:color w:val="008000"/>
        </w:rPr>
        <w:t xml:space="preserve">in respect of Letters of Credit shall be reinstated in full and apply if the delivery of any cash collateral pursuant to </w:t>
      </w:r>
      <w:r>
        <w:rPr>
          <w:rFonts w:ascii="Arial" w:cs="Arial" w:eastAsia="Arial" w:hAnsi="Arial"/>
          <w:sz w:val="18"/>
          <w:szCs w:val="18"/>
          <w:b w:val="1"/>
          <w:bCs w:val="1"/>
          <w:u w:val="single" w:color="auto"/>
          <w:color w:val="0000FF"/>
        </w:rPr>
        <w:t>Section 3.01(k) or</w:t>
      </w:r>
      <w:r>
        <w:rPr>
          <w:rFonts w:ascii="Arial" w:cs="Arial" w:eastAsia="Arial" w:hAnsi="Arial"/>
          <w:sz w:val="18"/>
          <w:szCs w:val="18"/>
          <w:i w:val="1"/>
          <w:iCs w:val="1"/>
          <w:u w:val="single" w:color="auto"/>
          <w:color w:val="008000"/>
        </w:rPr>
        <w:t xml:space="preserve"> </w:t>
      </w:r>
      <w:r>
        <w:rPr>
          <w:rFonts w:ascii="Arial" w:cs="Arial" w:eastAsia="Arial" w:hAnsi="Arial"/>
          <w:sz w:val="18"/>
          <w:szCs w:val="18"/>
          <w:b w:val="1"/>
          <w:bCs w:val="1"/>
          <w:u w:val="single" w:color="auto"/>
          <w:color w:val="0000FF"/>
        </w:rPr>
        <w:t xml:space="preserve">Section 3.01(q) in respect </w:t>
      </w:r>
      <w:r>
        <w:rPr>
          <w:rFonts w:ascii="Arial" w:cs="Arial" w:eastAsia="Arial" w:hAnsi="Arial"/>
          <w:sz w:val="18"/>
          <w:szCs w:val="18"/>
          <w:i w:val="1"/>
          <w:iCs w:val="1"/>
          <w:u w:val="single" w:color="auto"/>
          <w:color w:val="008000"/>
        </w:rPr>
        <w:t>of such Letters of Credit is subsequently invalidated, declared to be fraudulent or preferential, set aside or required to be repaid</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8000"/>
        </w:rPr>
        <w:t>to a trustee, receiver or any other party, in the case of any event with respect to any Borrower described in or Section 10.01(i) or Section 10.01(j) or otherwise.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 xml:space="preserve">SECTION 3.02 </w:t>
      </w:r>
      <w:r>
        <w:rPr>
          <w:rFonts w:ascii="Arial" w:cs="Arial" w:eastAsia="Arial" w:hAnsi="Arial"/>
          <w:sz w:val="18"/>
          <w:szCs w:val="18"/>
          <w:b w:val="1"/>
          <w:bCs w:val="1"/>
          <w:u w:val="single" w:color="auto"/>
          <w:color w:val="FF0000"/>
          <w:strike w:val="1"/>
        </w:rPr>
        <w:t>Increase in Performance LC Commitments</w:t>
      </w:r>
      <w:r>
        <w:rPr>
          <w:rFonts w:ascii="Arial" w:cs="Arial" w:eastAsia="Arial" w:hAnsi="Arial"/>
          <w:sz w:val="18"/>
          <w:szCs w:val="18"/>
          <w:b w:val="1"/>
          <w:bCs w:val="1"/>
          <w:color w:val="FF0000"/>
          <w:strike w:val="1"/>
        </w:rPr>
        <w:t>.</w:t>
      </w:r>
    </w:p>
    <w:p>
      <w:pPr>
        <w:spacing w:after="0" w:line="225" w:lineRule="exact"/>
        <w:rPr>
          <w:sz w:val="20"/>
          <w:szCs w:val="20"/>
          <w:color w:val="auto"/>
        </w:rPr>
      </w:pPr>
    </w:p>
    <w:p>
      <w:pPr>
        <w:jc w:val="both"/>
        <w:ind w:firstLine="1304"/>
        <w:spacing w:after="0" w:line="283" w:lineRule="auto"/>
        <w:tabs>
          <w:tab w:leader="none" w:pos="1578" w:val="left"/>
        </w:tabs>
        <w:numPr>
          <w:ilvl w:val="1"/>
          <w:numId w:val="58"/>
        </w:numPr>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FF0000"/>
          <w:strike w:val="1"/>
        </w:rPr>
        <w:t>Borrowers’ Request</w:t>
      </w:r>
      <w:r>
        <w:rPr>
          <w:rFonts w:ascii="Arial" w:cs="Arial" w:eastAsia="Arial" w:hAnsi="Arial"/>
          <w:sz w:val="16"/>
          <w:szCs w:val="16"/>
          <w:b w:val="1"/>
          <w:bCs w:val="1"/>
          <w:color w:val="FF0000"/>
          <w:strike w:val="1"/>
        </w:rPr>
        <w:t>. Subject to the terms and conditions set forth herein, the Borrowers may by written notice to the</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Administrative Agent, and with the consent of each Issuing Bank, elect to request at any time and from time to time (but not more than three times in any calendar year) after the Effective Date but prior to the Maturity Date an increase to the aggregate Performance LC Commitments (each such increase, a “</w:t>
      </w:r>
      <w:r>
        <w:rPr>
          <w:rFonts w:ascii="Arial" w:cs="Arial" w:eastAsia="Arial" w:hAnsi="Arial"/>
          <w:sz w:val="16"/>
          <w:szCs w:val="16"/>
          <w:b w:val="1"/>
          <w:bCs w:val="1"/>
          <w:u w:val="single" w:color="auto"/>
          <w:color w:val="FF0000"/>
          <w:strike w:val="1"/>
        </w:rPr>
        <w:t>Performance LC Commitment Increase</w:t>
      </w:r>
      <w:r>
        <w:rPr>
          <w:rFonts w:ascii="Arial" w:cs="Arial" w:eastAsia="Arial" w:hAnsi="Arial"/>
          <w:sz w:val="16"/>
          <w:szCs w:val="16"/>
          <w:b w:val="1"/>
          <w:bCs w:val="1"/>
          <w:color w:val="FF0000"/>
          <w:strike w:val="1"/>
        </w:rPr>
        <w:t>”, and each additional commitment provided pursuant to a Performance LC Commitment Increase, an “</w:t>
      </w:r>
      <w:r>
        <w:rPr>
          <w:rFonts w:ascii="Arial" w:cs="Arial" w:eastAsia="Arial" w:hAnsi="Arial"/>
          <w:sz w:val="16"/>
          <w:szCs w:val="16"/>
          <w:b w:val="1"/>
          <w:bCs w:val="1"/>
          <w:u w:val="single" w:color="auto"/>
          <w:color w:val="FF0000"/>
          <w:strike w:val="1"/>
        </w:rPr>
        <w:t>Incremental Performance LC Commitment</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the aggregate amount of (x) all Incremental Performance LC Commitments provided after the Effective Date under this Agreement (other than any Incremental Performance LC Commitments provided in order to give effect to any reduction and reallocation under </w:t>
      </w:r>
      <w:r>
        <w:rPr>
          <w:rFonts w:ascii="Arial" w:cs="Arial" w:eastAsia="Arial" w:hAnsi="Arial"/>
          <w:sz w:val="16"/>
          <w:szCs w:val="16"/>
          <w:b w:val="1"/>
          <w:bCs w:val="1"/>
          <w:u w:val="single" w:color="auto"/>
          <w:color w:val="FF0000"/>
          <w:strike w:val="1"/>
        </w:rPr>
        <w:t>Section 3.02(c)</w:t>
      </w:r>
      <w:r>
        <w:rPr>
          <w:rFonts w:ascii="Arial" w:cs="Arial" w:eastAsia="Arial" w:hAnsi="Arial"/>
          <w:sz w:val="16"/>
          <w:szCs w:val="16"/>
          <w:b w:val="1"/>
          <w:bCs w:val="1"/>
          <w:color w:val="FF0000"/>
          <w:strike w:val="1"/>
        </w:rPr>
        <w:t>) shall not exceed $200,000,000 (such amount, the “</w:t>
      </w:r>
      <w:r>
        <w:rPr>
          <w:rFonts w:ascii="Arial" w:cs="Arial" w:eastAsia="Arial" w:hAnsi="Arial"/>
          <w:sz w:val="16"/>
          <w:szCs w:val="16"/>
          <w:b w:val="1"/>
          <w:bCs w:val="1"/>
          <w:u w:val="single" w:color="auto"/>
          <w:color w:val="FF0000"/>
          <w:strike w:val="1"/>
        </w:rPr>
        <w:t>Incremental</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Performance LC Commitment Cap</w:t>
      </w:r>
      <w:r>
        <w:rPr>
          <w:rFonts w:ascii="Arial" w:cs="Arial" w:eastAsia="Arial" w:hAnsi="Arial"/>
          <w:sz w:val="16"/>
          <w:szCs w:val="16"/>
          <w:b w:val="1"/>
          <w:bCs w:val="1"/>
          <w:color w:val="FF0000"/>
          <w:strike w:val="1"/>
        </w:rPr>
        <w:t xml:space="preserve">”). Each such notice shall specify (i) the date on which the Borrowers propose that the applicable Incremental Performance LC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Performance LC Commitments be allocated and the amounts of such allocations;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(A) any existing Lender approached to provide an Incremental Performance LC Commitment may elect or decline, in its sole discretion, to provide such Incremental Performance LC Commitment (any existing Lender electing to provide an Incremental Performance LC Commitment, an “</w:t>
      </w:r>
      <w:r>
        <w:rPr>
          <w:rFonts w:ascii="Arial" w:cs="Arial" w:eastAsia="Arial" w:hAnsi="Arial"/>
          <w:sz w:val="16"/>
          <w:szCs w:val="16"/>
          <w:b w:val="1"/>
          <w:bCs w:val="1"/>
          <w:u w:val="single" w:color="auto"/>
          <w:color w:val="FF0000"/>
          <w:strike w:val="1"/>
        </w:rPr>
        <w:t>Increasing Lender</w:t>
      </w:r>
      <w:r>
        <w:rPr>
          <w:rFonts w:ascii="Arial" w:cs="Arial" w:eastAsia="Arial" w:hAnsi="Arial"/>
          <w:sz w:val="16"/>
          <w:szCs w:val="16"/>
          <w:b w:val="1"/>
          <w:bCs w:val="1"/>
          <w:color w:val="FF0000"/>
          <w:strike w:val="1"/>
        </w:rPr>
        <w:t xml:space="preserve">”), (B) any Person approached to provide an Incremental Performance LC Commitment that is not already a Lender shall meet the requirements to be an assignee under </w:t>
      </w:r>
      <w:r>
        <w:rPr>
          <w:rFonts w:ascii="Arial" w:cs="Arial" w:eastAsia="Arial" w:hAnsi="Arial"/>
          <w:sz w:val="16"/>
          <w:szCs w:val="16"/>
          <w:b w:val="1"/>
          <w:bCs w:val="1"/>
          <w:u w:val="single" w:color="auto"/>
          <w:color w:val="FF0000"/>
          <w:strike w:val="1"/>
        </w:rPr>
        <w:t>Section 12.05(b)</w:t>
      </w:r>
      <w:r>
        <w:rPr>
          <w:rFonts w:ascii="Arial" w:cs="Arial" w:eastAsia="Arial" w:hAnsi="Arial"/>
          <w:sz w:val="16"/>
          <w:szCs w:val="16"/>
          <w:b w:val="1"/>
          <w:bCs w:val="1"/>
          <w:color w:val="FF0000"/>
          <w:strike w:val="1"/>
        </w:rPr>
        <w:t xml:space="preserve"> (subject to such consents, if any, as may be required under </w:t>
      </w:r>
      <w:r>
        <w:rPr>
          <w:rFonts w:ascii="Arial" w:cs="Arial" w:eastAsia="Arial" w:hAnsi="Arial"/>
          <w:sz w:val="16"/>
          <w:szCs w:val="16"/>
          <w:b w:val="1"/>
          <w:bCs w:val="1"/>
          <w:u w:val="single" w:color="auto"/>
          <w:color w:val="FF0000"/>
          <w:strike w:val="1"/>
        </w:rPr>
        <w:t>Section 12.05(b)</w:t>
      </w:r>
      <w:r>
        <w:rPr>
          <w:rFonts w:ascii="Arial" w:cs="Arial" w:eastAsia="Arial" w:hAnsi="Arial"/>
          <w:sz w:val="16"/>
          <w:szCs w:val="16"/>
          <w:b w:val="1"/>
          <w:bCs w:val="1"/>
          <w:color w:val="FF0000"/>
          <w:strike w:val="1"/>
        </w:rPr>
        <w:t xml:space="preserve">) and shall deliver all applicable forms and documents required by </w:t>
      </w:r>
      <w:r>
        <w:rPr>
          <w:rFonts w:ascii="Arial" w:cs="Arial" w:eastAsia="Arial" w:hAnsi="Arial"/>
          <w:sz w:val="16"/>
          <w:szCs w:val="16"/>
          <w:b w:val="1"/>
          <w:bCs w:val="1"/>
          <w:u w:val="single" w:color="auto"/>
          <w:color w:val="FF0000"/>
          <w:strike w:val="1"/>
        </w:rPr>
        <w:t>clauses (D)</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(E)</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(F)</w:t>
      </w:r>
      <w:r>
        <w:rPr>
          <w:rFonts w:ascii="Arial" w:cs="Arial" w:eastAsia="Arial" w:hAnsi="Arial"/>
          <w:sz w:val="16"/>
          <w:szCs w:val="16"/>
          <w:b w:val="1"/>
          <w:bCs w:val="1"/>
          <w:color w:val="FF0000"/>
          <w:strike w:val="1"/>
        </w:rPr>
        <w:t xml:space="preserve"> and </w:t>
      </w:r>
      <w:r>
        <w:rPr>
          <w:rFonts w:ascii="Arial" w:cs="Arial" w:eastAsia="Arial" w:hAnsi="Arial"/>
          <w:sz w:val="16"/>
          <w:szCs w:val="16"/>
          <w:b w:val="1"/>
          <w:bCs w:val="1"/>
          <w:u w:val="single" w:color="auto"/>
          <w:color w:val="FF0000"/>
          <w:strike w:val="1"/>
        </w:rPr>
        <w:t>(H)</w:t>
      </w:r>
      <w:r>
        <w:rPr>
          <w:rFonts w:ascii="Arial" w:cs="Arial" w:eastAsia="Arial" w:hAnsi="Arial"/>
          <w:sz w:val="16"/>
          <w:szCs w:val="16"/>
          <w:b w:val="1"/>
          <w:bCs w:val="1"/>
          <w:color w:val="FF0000"/>
          <w:strike w:val="1"/>
        </w:rPr>
        <w:t xml:space="preserve"> of </w:t>
      </w:r>
      <w:r>
        <w:rPr>
          <w:rFonts w:ascii="Arial" w:cs="Arial" w:eastAsia="Arial" w:hAnsi="Arial"/>
          <w:sz w:val="16"/>
          <w:szCs w:val="16"/>
          <w:b w:val="1"/>
          <w:bCs w:val="1"/>
          <w:u w:val="single" w:color="auto"/>
          <w:color w:val="FF0000"/>
          <w:strike w:val="1"/>
        </w:rPr>
        <w:t>Section 12.05(b)</w:t>
      </w:r>
    </w:p>
    <w:p>
      <w:pPr>
        <w:spacing w:after="0" w:line="3" w:lineRule="exact"/>
        <w:rPr>
          <w:rFonts w:ascii="Arial" w:cs="Arial" w:eastAsia="Arial" w:hAnsi="Arial"/>
          <w:sz w:val="16"/>
          <w:szCs w:val="16"/>
          <w:b w:val="1"/>
          <w:bCs w:val="1"/>
          <w:color w:val="FF0000"/>
          <w:strike w:val="1"/>
        </w:rPr>
      </w:pPr>
    </w:p>
    <w:p>
      <w:pPr>
        <w:jc w:val="both"/>
        <w:ind w:firstLine="8"/>
        <w:spacing w:after="0" w:line="281" w:lineRule="auto"/>
        <w:tabs>
          <w:tab w:leader="none" w:pos="292" w:val="left"/>
        </w:tabs>
        <w:numPr>
          <w:ilvl w:val="0"/>
          <w:numId w:val="59"/>
        </w:numPr>
        <w:rPr>
          <w:rFonts w:ascii="Arial" w:cs="Arial" w:eastAsia="Arial" w:hAnsi="Arial"/>
          <w:sz w:val="16"/>
          <w:szCs w:val="16"/>
          <w:b w:val="1"/>
          <w:bCs w:val="1"/>
          <w:u w:val="single" w:color="auto"/>
          <w:color w:val="FF0000"/>
          <w:strike w:val="1"/>
        </w:rPr>
      </w:pPr>
      <w:r>
        <w:rPr>
          <w:rFonts w:ascii="Arial" w:cs="Arial" w:eastAsia="Arial" w:hAnsi="Arial"/>
          <w:sz w:val="16"/>
          <w:szCs w:val="16"/>
          <w:i w:val="1"/>
          <w:iCs w:val="1"/>
          <w:u w:val="single" w:color="auto"/>
          <w:color w:val="008000"/>
        </w:rPr>
        <w:t xml:space="preserve">(any such Person agreeing to provide all or any portion of an Incremental </w:t>
      </w:r>
      <w:r>
        <w:rPr>
          <w:rFonts w:ascii="Arial" w:cs="Arial" w:eastAsia="Arial" w:hAnsi="Arial"/>
          <w:sz w:val="16"/>
          <w:szCs w:val="16"/>
          <w:b w:val="1"/>
          <w:bCs w:val="1"/>
          <w:color w:val="FF0000"/>
          <w:strike w:val="1"/>
        </w:rPr>
        <w:t>Performance LC Commitment that is not already a Lender, an</w:t>
      </w:r>
      <w:r>
        <w:rPr>
          <w:rFonts w:ascii="Arial" w:cs="Arial" w:eastAsia="Arial" w:hAnsi="Arial"/>
          <w:sz w:val="16"/>
          <w:szCs w:val="16"/>
          <w:i w:val="1"/>
          <w:iCs w:val="1"/>
          <w:u w:val="single" w:color="auto"/>
          <w:color w:val="008000"/>
        </w:rPr>
        <w:t xml:space="preserve"> </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Additional Lender</w:t>
      </w:r>
      <w:r>
        <w:rPr>
          <w:rFonts w:ascii="Arial" w:cs="Arial" w:eastAsia="Arial" w:hAnsi="Arial"/>
          <w:sz w:val="16"/>
          <w:szCs w:val="16"/>
          <w:b w:val="1"/>
          <w:bCs w:val="1"/>
          <w:color w:val="FF0000"/>
          <w:strike w:val="1"/>
        </w:rPr>
        <w:t>”), (C) if any Increasing Lender is providing an Incremental Performance LC Commitment, then the Borrowers and such Increasing Lender shall execute an Increasing Lender Supplement, and (D) if any Additional Lender is providing an Incremental Performance LC Commitment</w:t>
      </w:r>
      <w:r>
        <w:rPr>
          <w:rFonts w:ascii="Arial" w:cs="Arial" w:eastAsia="Arial" w:hAnsi="Arial"/>
          <w:sz w:val="16"/>
          <w:szCs w:val="16"/>
          <w:i w:val="1"/>
          <w:iCs w:val="1"/>
          <w:u w:val="single" w:color="auto"/>
          <w:color w:val="008000"/>
          <w:strike w:val="1"/>
        </w:rPr>
        <w:t>, then the Borrowers and such Additional Lender shall execute an Additional Lender Supplement. Each</w:t>
      </w:r>
      <w:r>
        <w:rPr>
          <w:rFonts w:ascii="Arial" w:cs="Arial" w:eastAsia="Arial" w:hAnsi="Arial"/>
          <w:sz w:val="16"/>
          <w:szCs w:val="16"/>
          <w:b w:val="1"/>
          <w:bCs w:val="1"/>
          <w:color w:val="FF0000"/>
          <w:strike w:val="1"/>
        </w:rPr>
        <w:t xml:space="preserve"> Performance LC Commitment</w:t>
      </w:r>
    </w:p>
    <w:p>
      <w:pPr>
        <w:spacing w:after="0" w:line="2" w:lineRule="exact"/>
        <w:rPr>
          <w:rFonts w:ascii="Arial" w:cs="Arial" w:eastAsia="Arial" w:hAnsi="Arial"/>
          <w:sz w:val="16"/>
          <w:szCs w:val="16"/>
          <w:b w:val="1"/>
          <w:bCs w:val="1"/>
          <w:u w:val="single" w:color="auto"/>
          <w:color w:val="FF0000"/>
          <w:strike w:val="1"/>
        </w:rPr>
      </w:pPr>
    </w:p>
    <w:p>
      <w:pPr>
        <w:jc w:val="both"/>
        <w:spacing w:after="0" w:line="255" w:lineRule="auto"/>
        <w:rPr>
          <w:rFonts w:ascii="Arial" w:cs="Arial" w:eastAsia="Arial" w:hAnsi="Arial"/>
          <w:sz w:val="16"/>
          <w:szCs w:val="16"/>
          <w:b w:val="1"/>
          <w:bCs w:val="1"/>
          <w:u w:val="single" w:color="auto"/>
          <w:color w:val="FF0000"/>
          <w:strike w:val="1"/>
        </w:rPr>
      </w:pPr>
      <w:r>
        <w:rPr>
          <w:rFonts w:ascii="Arial" w:cs="Arial" w:eastAsia="Arial" w:hAnsi="Arial"/>
          <w:sz w:val="18"/>
          <w:szCs w:val="18"/>
          <w:b w:val="1"/>
          <w:bCs w:val="1"/>
          <w:color w:val="FF0000"/>
          <w:strike w:val="1"/>
        </w:rPr>
        <w:t>Increase shall be in an aggregate amount of $5,000,000 or any whole multiple of $1,000,000 in excess thereof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the amount of a Performance LC Commitment Increase may be less than $5,000,000 if such amount represents all remaining availability under the Incremental Performance LC Commitment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-2141220</wp:posOffset>
            </wp:positionV>
            <wp:extent cx="71253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304"/>
        <w:spacing w:after="0" w:line="314" w:lineRule="auto"/>
        <w:tabs>
          <w:tab w:leader="none" w:pos="1561" w:val="left"/>
        </w:tabs>
        <w:numPr>
          <w:ilvl w:val="0"/>
          <w:numId w:val="60"/>
        </w:numPr>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FF0000"/>
          <w:strike w:val="1"/>
        </w:rPr>
        <w:t>Conditions</w:t>
      </w:r>
      <w:r>
        <w:rPr>
          <w:rFonts w:ascii="Arial" w:cs="Arial" w:eastAsia="Arial" w:hAnsi="Arial"/>
          <w:sz w:val="16"/>
          <w:szCs w:val="16"/>
          <w:b w:val="1"/>
          <w:bCs w:val="1"/>
          <w:color w:val="FF0000"/>
          <w:strike w:val="1"/>
        </w:rPr>
        <w:t>. Each Performance LC Commitment Increase shall become effective on the proposed effective date set forth in the</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Borrowers’ request for a Performance LC Commitment Increase or such later date as the Administrative Agent and the Borrowers agree (the “</w:t>
      </w:r>
      <w:r>
        <w:rPr>
          <w:rFonts w:ascii="Arial" w:cs="Arial" w:eastAsia="Arial" w:hAnsi="Arial"/>
          <w:sz w:val="16"/>
          <w:szCs w:val="16"/>
          <w:b w:val="1"/>
          <w:bCs w:val="1"/>
          <w:u w:val="single" w:color="auto"/>
          <w:color w:val="FF0000"/>
          <w:strike w:val="1"/>
        </w:rPr>
        <w:t>Increase Effective Date</w:t>
      </w:r>
      <w:r>
        <w:rPr>
          <w:rFonts w:ascii="Arial" w:cs="Arial" w:eastAsia="Arial" w:hAnsi="Arial"/>
          <w:sz w:val="16"/>
          <w:szCs w:val="16"/>
          <w:b w:val="1"/>
          <w:bCs w:val="1"/>
          <w:color w:val="FF0000"/>
          <w:strike w:val="1"/>
        </w:rPr>
        <w:t>”), which in any event shall be on or after the date on which the Administrative Agent shall have received:</w:t>
      </w:r>
    </w:p>
    <w:p>
      <w:pPr>
        <w:spacing w:after="0" w:line="141" w:lineRule="exact"/>
        <w:rPr>
          <w:rFonts w:ascii="Arial" w:cs="Arial" w:eastAsia="Arial" w:hAnsi="Arial"/>
          <w:sz w:val="16"/>
          <w:szCs w:val="16"/>
          <w:b w:val="1"/>
          <w:bCs w:val="1"/>
          <w:color w:val="FF0000"/>
          <w:strike w:val="1"/>
        </w:rPr>
      </w:pPr>
    </w:p>
    <w:p>
      <w:pPr>
        <w:jc w:val="both"/>
        <w:ind w:left="660" w:firstLine="1292"/>
        <w:spacing w:after="0" w:line="266" w:lineRule="auto"/>
        <w:tabs>
          <w:tab w:leader="none" w:pos="2190" w:val="left"/>
        </w:tabs>
        <w:numPr>
          <w:ilvl w:val="1"/>
          <w:numId w:val="60"/>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an Additional Lender Supplement for each Additional Lender participating in such Performance LC Commitment Increase and an Increasing Lender Supplement for each Increasing Lender participating in such Performance LC Commitment Increase, in each case duly executed by all parties thereto;</w:t>
      </w:r>
    </w:p>
    <w:p>
      <w:pPr>
        <w:spacing w:after="0" w:line="179" w:lineRule="exact"/>
        <w:rPr>
          <w:rFonts w:ascii="Arial" w:cs="Arial" w:eastAsia="Arial" w:hAnsi="Arial"/>
          <w:sz w:val="18"/>
          <w:szCs w:val="18"/>
          <w:b w:val="1"/>
          <w:bCs w:val="1"/>
          <w:color w:val="FF0000"/>
          <w:strike w:val="1"/>
        </w:rPr>
      </w:pPr>
    </w:p>
    <w:p>
      <w:pPr>
        <w:jc w:val="both"/>
        <w:ind w:left="660" w:firstLine="1292"/>
        <w:spacing w:after="0" w:line="274" w:lineRule="auto"/>
        <w:tabs>
          <w:tab w:leader="none" w:pos="2248" w:val="left"/>
        </w:tabs>
        <w:numPr>
          <w:ilvl w:val="1"/>
          <w:numId w:val="60"/>
        </w:numPr>
        <w:rPr>
          <w:rFonts w:ascii="Arial" w:cs="Arial" w:eastAsia="Arial" w:hAnsi="Arial"/>
          <w:sz w:val="17"/>
          <w:szCs w:val="17"/>
          <w:b w:val="1"/>
          <w:bCs w:val="1"/>
          <w:color w:val="FF0000"/>
          <w:strike w:val="1"/>
        </w:rPr>
      </w:pPr>
      <w:r>
        <w:rPr>
          <w:rFonts w:ascii="Arial" w:cs="Arial" w:eastAsia="Arial" w:hAnsi="Arial"/>
          <w:sz w:val="17"/>
          <w:szCs w:val="17"/>
          <w:i w:val="1"/>
          <w:iCs w:val="1"/>
          <w:u w:val="single" w:color="auto"/>
          <w:color w:val="008000"/>
        </w:rPr>
        <w:t xml:space="preserve">such documents and opinions consistent with those delivered on the Effective Date as to the organizational power and authority of the Borrowers to request Letters of Credit and other extensions of credit hereunder after giving effect to such </w:t>
      </w:r>
      <w:r>
        <w:rPr>
          <w:rFonts w:ascii="Arial" w:cs="Arial" w:eastAsia="Arial" w:hAnsi="Arial"/>
          <w:sz w:val="17"/>
          <w:szCs w:val="17"/>
          <w:b w:val="1"/>
          <w:bCs w:val="1"/>
          <w:color w:val="FF0000"/>
          <w:strike w:val="1"/>
        </w:rPr>
        <w:t>Performance LC</w:t>
      </w:r>
    </w:p>
    <w:p>
      <w:pPr>
        <w:ind w:left="660"/>
        <w:spacing w:after="0"/>
        <w:rPr>
          <w:rFonts w:ascii="Arial" w:cs="Arial" w:eastAsia="Arial" w:hAnsi="Arial"/>
          <w:sz w:val="17"/>
          <w:szCs w:val="17"/>
          <w:b w:val="1"/>
          <w:bCs w:val="1"/>
          <w:color w:val="FF0000"/>
          <w:strike w:val="1"/>
        </w:rPr>
      </w:pPr>
      <w:r>
        <w:rPr>
          <w:rFonts w:ascii="Arial" w:cs="Arial" w:eastAsia="Arial" w:hAnsi="Arial"/>
          <w:sz w:val="18"/>
          <w:szCs w:val="18"/>
          <w:b w:val="1"/>
          <w:bCs w:val="1"/>
          <w:color w:val="FF0000"/>
          <w:strike w:val="1"/>
        </w:rPr>
        <w:t>Commitment Increase as the Administrative Agent may reasonably request;</w:t>
      </w:r>
    </w:p>
    <w:p>
      <w:pPr>
        <w:spacing w:after="0" w:line="210" w:lineRule="exact"/>
        <w:rPr>
          <w:rFonts w:ascii="Arial" w:cs="Arial" w:eastAsia="Arial" w:hAnsi="Arial"/>
          <w:sz w:val="17"/>
          <w:szCs w:val="17"/>
          <w:b w:val="1"/>
          <w:bCs w:val="1"/>
          <w:color w:val="FF0000"/>
          <w:strike w:val="1"/>
        </w:rPr>
      </w:pPr>
    </w:p>
    <w:p>
      <w:pPr>
        <w:jc w:val="both"/>
        <w:ind w:left="660" w:firstLine="1292"/>
        <w:spacing w:after="0" w:line="263" w:lineRule="auto"/>
        <w:tabs>
          <w:tab w:leader="none" w:pos="2271" w:val="left"/>
        </w:tabs>
        <w:numPr>
          <w:ilvl w:val="1"/>
          <w:numId w:val="60"/>
        </w:numPr>
        <w:rPr>
          <w:rFonts w:ascii="Arial" w:cs="Arial" w:eastAsia="Arial" w:hAnsi="Arial"/>
          <w:sz w:val="18"/>
          <w:szCs w:val="18"/>
          <w:b w:val="1"/>
          <w:bCs w:val="1"/>
          <w:color w:val="FF0000"/>
          <w:strike w:val="1"/>
        </w:rPr>
      </w:pPr>
      <w:r>
        <w:rPr>
          <w:rFonts w:ascii="Arial" w:cs="Arial" w:eastAsia="Arial" w:hAnsi="Arial"/>
          <w:sz w:val="18"/>
          <w:szCs w:val="18"/>
          <w:i w:val="1"/>
          <w:iCs w:val="1"/>
          <w:u w:val="single" w:color="auto"/>
          <w:color w:val="008000"/>
        </w:rPr>
        <w:t xml:space="preserve">such evidence of appropriate corporate or other organizational authorization on the part of the Borrowers, Parent and the other Obligors (of the type consistent with those delivered on the Effective Date) with respect to such </w:t>
      </w:r>
      <w:r>
        <w:rPr>
          <w:rFonts w:ascii="Arial" w:cs="Arial" w:eastAsia="Arial" w:hAnsi="Arial"/>
          <w:sz w:val="18"/>
          <w:szCs w:val="18"/>
          <w:b w:val="1"/>
          <w:bCs w:val="1"/>
          <w:color w:val="FF0000"/>
          <w:strike w:val="1"/>
        </w:rPr>
        <w:t>Performance LC Commitment Increase as</w:t>
      </w:r>
      <w:r>
        <w:rPr>
          <w:rFonts w:ascii="Arial" w:cs="Arial" w:eastAsia="Arial" w:hAnsi="Arial"/>
          <w:sz w:val="18"/>
          <w:szCs w:val="18"/>
          <w:i w:val="1"/>
          <w:iCs w:val="1"/>
          <w:u w:val="single" w:color="auto"/>
          <w:color w:val="008000"/>
        </w:rPr>
        <w:t xml:space="preserve"> </w:t>
      </w:r>
      <w:r>
        <w:rPr>
          <w:rFonts w:ascii="Arial" w:cs="Arial" w:eastAsia="Arial" w:hAnsi="Arial"/>
          <w:sz w:val="18"/>
          <w:szCs w:val="18"/>
          <w:b w:val="1"/>
          <w:bCs w:val="1"/>
          <w:color w:val="FF0000"/>
          <w:strike w:val="1"/>
        </w:rPr>
        <w:t>the Administrative Agent may reasonably request;</w:t>
      </w:r>
    </w:p>
    <w:p>
      <w:pPr>
        <w:spacing w:after="0" w:line="179" w:lineRule="exact"/>
        <w:rPr>
          <w:rFonts w:ascii="Arial" w:cs="Arial" w:eastAsia="Arial" w:hAnsi="Arial"/>
          <w:sz w:val="18"/>
          <w:szCs w:val="18"/>
          <w:b w:val="1"/>
          <w:bCs w:val="1"/>
          <w:color w:val="FF0000"/>
          <w:strike w:val="1"/>
        </w:rPr>
      </w:pPr>
    </w:p>
    <w:p>
      <w:pPr>
        <w:jc w:val="both"/>
        <w:ind w:left="660" w:firstLine="1292"/>
        <w:spacing w:after="0" w:line="261" w:lineRule="auto"/>
        <w:tabs>
          <w:tab w:leader="none" w:pos="2290" w:val="left"/>
        </w:tabs>
        <w:numPr>
          <w:ilvl w:val="1"/>
          <w:numId w:val="60"/>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Performance LC Commitment Increase as the Administrative Agent may reasonably request;</w:t>
      </w:r>
    </w:p>
    <w:p>
      <w:pPr>
        <w:spacing w:after="0" w:line="179" w:lineRule="exact"/>
        <w:rPr>
          <w:rFonts w:ascii="Arial" w:cs="Arial" w:eastAsia="Arial" w:hAnsi="Arial"/>
          <w:sz w:val="18"/>
          <w:szCs w:val="18"/>
          <w:b w:val="1"/>
          <w:bCs w:val="1"/>
          <w:color w:val="FF0000"/>
          <w:strike w:val="1"/>
        </w:rPr>
      </w:pPr>
    </w:p>
    <w:p>
      <w:pPr>
        <w:jc w:val="both"/>
        <w:ind w:left="660" w:firstLine="1292"/>
        <w:spacing w:after="0" w:line="271" w:lineRule="auto"/>
        <w:tabs>
          <w:tab w:leader="none" w:pos="2268" w:val="left"/>
        </w:tabs>
        <w:numPr>
          <w:ilvl w:val="1"/>
          <w:numId w:val="60"/>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 xml:space="preserve">a certificate of a Responsible Officer of Parent, dated such Increase Effective Date, certifying that (A) the representations and warranties set forth in </w:t>
      </w:r>
      <w:r>
        <w:rPr>
          <w:rFonts w:ascii="Arial" w:cs="Arial" w:eastAsia="Arial" w:hAnsi="Arial"/>
          <w:sz w:val="17"/>
          <w:szCs w:val="17"/>
          <w:b w:val="1"/>
          <w:bCs w:val="1"/>
          <w:u w:val="single" w:color="auto"/>
          <w:color w:val="FF0000"/>
          <w:strike w:val="1"/>
        </w:rPr>
        <w:t>Article VI</w:t>
      </w:r>
      <w:r>
        <w:rPr>
          <w:rFonts w:ascii="Arial" w:cs="Arial" w:eastAsia="Arial" w:hAnsi="Arial"/>
          <w:sz w:val="17"/>
          <w:szCs w:val="17"/>
          <w:b w:val="1"/>
          <w:bCs w:val="1"/>
          <w:color w:val="FF0000"/>
          <w:strike w:val="1"/>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w:t>
      </w:r>
      <w:r>
        <w:rPr>
          <w:rFonts w:ascii="Arial" w:cs="Arial" w:eastAsia="Arial" w:hAnsi="Arial"/>
          <w:sz w:val="17"/>
          <w:szCs w:val="17"/>
          <w:i w:val="1"/>
          <w:iCs w:val="1"/>
          <w:u w:val="single" w:color="auto"/>
          <w:color w:val="008000"/>
          <w:strike w:val="1"/>
        </w:rPr>
        <w:t>no Default or Event of Default shall have occurred and be continuing</w:t>
      </w:r>
      <w:r>
        <w:rPr>
          <w:rFonts w:ascii="Arial" w:cs="Arial" w:eastAsia="Arial" w:hAnsi="Arial"/>
          <w:sz w:val="17"/>
          <w:szCs w:val="17"/>
          <w:b w:val="1"/>
          <w:bCs w:val="1"/>
          <w:color w:val="FF0000"/>
          <w:strike w:val="1"/>
        </w:rPr>
        <w:t xml:space="preserve"> on such Increase Effective Date both immediately before and after giving effect to such Performance LC Commitment Increase; and</w:t>
      </w:r>
    </w:p>
    <w:p>
      <w:pPr>
        <w:spacing w:after="0" w:line="177" w:lineRule="exact"/>
        <w:rPr>
          <w:rFonts w:ascii="Arial" w:cs="Arial" w:eastAsia="Arial" w:hAnsi="Arial"/>
          <w:sz w:val="17"/>
          <w:szCs w:val="17"/>
          <w:b w:val="1"/>
          <w:bCs w:val="1"/>
          <w:color w:val="FF0000"/>
          <w:strike w:val="1"/>
        </w:rPr>
      </w:pPr>
    </w:p>
    <w:p>
      <w:pPr>
        <w:jc w:val="both"/>
        <w:ind w:left="660" w:firstLine="1292"/>
        <w:spacing w:after="0" w:line="291" w:lineRule="auto"/>
        <w:tabs>
          <w:tab w:leader="none" w:pos="2288" w:val="left"/>
        </w:tabs>
        <w:numPr>
          <w:ilvl w:val="1"/>
          <w:numId w:val="60"/>
        </w:numPr>
        <w:rPr>
          <w:rFonts w:ascii="Arial" w:cs="Arial" w:eastAsia="Arial" w:hAnsi="Arial"/>
          <w:sz w:val="16"/>
          <w:szCs w:val="16"/>
          <w:b w:val="1"/>
          <w:bCs w:val="1"/>
          <w:color w:val="FF0000"/>
          <w:strike w:val="1"/>
        </w:rPr>
      </w:pPr>
      <w:r>
        <w:rPr>
          <w:rFonts w:ascii="Arial" w:cs="Arial" w:eastAsia="Arial" w:hAnsi="Arial"/>
          <w:sz w:val="16"/>
          <w:szCs w:val="16"/>
          <w:i w:val="1"/>
          <w:iCs w:val="1"/>
          <w:u w:val="single" w:color="auto"/>
          <w:color w:val="008000"/>
        </w:rPr>
        <w:t xml:space="preserve">other customary closing certificates and documentation (similar to the documentation required to be delivered on the Effective Date under </w:t>
      </w:r>
      <w:r>
        <w:rPr>
          <w:rFonts w:ascii="Arial" w:cs="Arial" w:eastAsia="Arial" w:hAnsi="Arial"/>
          <w:sz w:val="16"/>
          <w:szCs w:val="16"/>
          <w:i w:val="1"/>
          <w:iCs w:val="1"/>
          <w:u w:val="single" w:color="auto"/>
          <w:color w:val="008000"/>
          <w:strike w:val="1"/>
        </w:rPr>
        <w:t>Section 6.</w:t>
      </w:r>
      <w:r>
        <w:rPr>
          <w:rFonts w:ascii="Arial" w:cs="Arial" w:eastAsia="Arial" w:hAnsi="Arial"/>
          <w:sz w:val="16"/>
          <w:szCs w:val="16"/>
          <w:i w:val="1"/>
          <w:iCs w:val="1"/>
          <w:u w:val="single" w:color="auto"/>
          <w:color w:val="008000"/>
        </w:rPr>
        <w:t>01</w:t>
      </w:r>
      <w:r>
        <w:rPr>
          <w:rFonts w:ascii="Arial" w:cs="Arial" w:eastAsia="Arial" w:hAnsi="Arial"/>
          <w:sz w:val="16"/>
          <w:szCs w:val="16"/>
          <w:i w:val="1"/>
          <w:iCs w:val="1"/>
          <w:color w:val="008000"/>
          <w:strike w:val="1"/>
        </w:rPr>
        <w:t>, to the extent applicable) relating to such</w:t>
      </w:r>
      <w:r>
        <w:rPr>
          <w:rFonts w:ascii="Arial" w:cs="Arial" w:eastAsia="Arial" w:hAnsi="Arial"/>
          <w:sz w:val="16"/>
          <w:szCs w:val="16"/>
          <w:i w:val="1"/>
          <w:iCs w:val="1"/>
          <w:u w:val="single" w:color="auto"/>
          <w:color w:val="008000"/>
        </w:rPr>
        <w:t xml:space="preserve"> </w:t>
      </w:r>
      <w:r>
        <w:rPr>
          <w:rFonts w:ascii="Arial" w:cs="Arial" w:eastAsia="Arial" w:hAnsi="Arial"/>
          <w:sz w:val="16"/>
          <w:szCs w:val="16"/>
          <w:b w:val="1"/>
          <w:bCs w:val="1"/>
          <w:color w:val="FF0000"/>
          <w:strike w:val="1"/>
        </w:rPr>
        <w:t>Performance LC Commitment Increase as the Administrative</w:t>
      </w:r>
    </w:p>
    <w:p>
      <w:pPr>
        <w:ind w:left="660"/>
        <w:spacing w:after="0"/>
        <w:rPr>
          <w:rFonts w:ascii="Arial" w:cs="Arial" w:eastAsia="Arial" w:hAnsi="Arial"/>
          <w:sz w:val="16"/>
          <w:szCs w:val="16"/>
          <w:b w:val="1"/>
          <w:bCs w:val="1"/>
          <w:color w:val="FF0000"/>
          <w:strike w:val="1"/>
        </w:rPr>
      </w:pPr>
      <w:r>
        <w:rPr>
          <w:rFonts w:ascii="Arial" w:cs="Arial" w:eastAsia="Arial" w:hAnsi="Arial"/>
          <w:sz w:val="18"/>
          <w:szCs w:val="18"/>
          <w:b w:val="1"/>
          <w:bCs w:val="1"/>
          <w:color w:val="FF0000"/>
          <w:strike w:val="1"/>
        </w:rPr>
        <w:t>Agent may reasonably request.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304"/>
        <w:spacing w:after="0" w:line="270" w:lineRule="auto"/>
        <w:tabs>
          <w:tab w:leader="none" w:pos="1567" w:val="left"/>
        </w:tabs>
        <w:numPr>
          <w:ilvl w:val="0"/>
          <w:numId w:val="61"/>
        </w:numPr>
        <w:rPr>
          <w:rFonts w:ascii="Arial" w:cs="Arial" w:eastAsia="Arial" w:hAnsi="Arial"/>
          <w:sz w:val="17"/>
          <w:szCs w:val="17"/>
          <w:b w:val="1"/>
          <w:bCs w:val="1"/>
          <w:color w:val="FF0000"/>
          <w:strike w:val="1"/>
        </w:rPr>
      </w:pPr>
      <w:r>
        <w:rPr>
          <w:rFonts w:ascii="Arial" w:cs="Arial" w:eastAsia="Arial" w:hAnsi="Arial"/>
          <w:sz w:val="17"/>
          <w:szCs w:val="17"/>
          <w:b w:val="1"/>
          <w:bCs w:val="1"/>
          <w:u w:val="single" w:color="auto"/>
          <w:color w:val="FF0000"/>
          <w:strike w:val="1"/>
        </w:rPr>
        <w:t>Reduction and Reallocation</w:t>
      </w:r>
      <w:r>
        <w:rPr>
          <w:rFonts w:ascii="Arial" w:cs="Arial" w:eastAsia="Arial" w:hAnsi="Arial"/>
          <w:sz w:val="17"/>
          <w:szCs w:val="17"/>
          <w:b w:val="1"/>
          <w:bCs w:val="1"/>
          <w:color w:val="FF0000"/>
          <w:strike w:val="1"/>
        </w:rPr>
        <w:t>. If, after giving effect to any Performance LC Commitment Increase or Specific Incremental</w:t>
      </w:r>
      <w:r>
        <w:rPr>
          <w:rFonts w:ascii="Arial" w:cs="Arial" w:eastAsia="Arial" w:hAnsi="Arial"/>
          <w:sz w:val="17"/>
          <w:szCs w:val="17"/>
          <w:b w:val="1"/>
          <w:bCs w:val="1"/>
          <w:u w:val="single" w:color="auto"/>
          <w:color w:val="FF0000"/>
          <w:strike w:val="1"/>
        </w:rPr>
        <w:t xml:space="preserve"> </w:t>
      </w:r>
      <w:r>
        <w:rPr>
          <w:rFonts w:ascii="Arial" w:cs="Arial" w:eastAsia="Arial" w:hAnsi="Arial"/>
          <w:sz w:val="17"/>
          <w:szCs w:val="17"/>
          <w:b w:val="1"/>
          <w:bCs w:val="1"/>
          <w:color w:val="FF0000"/>
          <w:strike w:val="1"/>
        </w:rPr>
        <w:t xml:space="preserve">Commitment Increase, the aggregate Commitments would exceed $400,000,000, any such Performance LC Commitment Increase or Specific Incremental Commitment Increase, as applicable, shall be </w:t>
      </w:r>
      <w:r>
        <w:rPr>
          <w:rFonts w:ascii="Arial" w:cs="Arial" w:eastAsia="Arial" w:hAnsi="Arial"/>
          <w:sz w:val="17"/>
          <w:szCs w:val="17"/>
          <w:b w:val="1"/>
          <w:bCs w:val="1"/>
          <w:u w:val="single" w:color="auto"/>
          <w:color w:val="FF0000"/>
          <w:strike w:val="1"/>
        </w:rPr>
        <w:t>first</w:t>
      </w:r>
      <w:r>
        <w:rPr>
          <w:rFonts w:ascii="Arial" w:cs="Arial" w:eastAsia="Arial" w:hAnsi="Arial"/>
          <w:sz w:val="17"/>
          <w:szCs w:val="17"/>
          <w:b w:val="1"/>
          <w:bCs w:val="1"/>
          <w:color w:val="FF0000"/>
          <w:strike w:val="1"/>
        </w:rPr>
        <w:t xml:space="preserve"> applied to reduce, on a pro rata basis, the applicable Commitments of each Joint Lead Arranger with Commitments greater than $75,000,000 until the Commitments of each such Joint Lead Arranger is not greater than $75,000,000; provided, that for the avoidance of doubt, the reductions and reallocations provided for under this Section 3.02(c) are not intended to reduce or count towards the Incremental Performance LC Commitment Cap or the Specific Incremental Commitment Cap. In connection with the foregoing, the Commitments will be reallocated among the Lenders as needed and in accordance with procedures determined by the Administrative Agent to be reasonable and necessary to effect such reallocations, and, following such reallocation, the Administrative Agent shall deliver an updated </w:t>
      </w:r>
      <w:r>
        <w:rPr>
          <w:rFonts w:ascii="Arial" w:cs="Arial" w:eastAsia="Arial" w:hAnsi="Arial"/>
          <w:sz w:val="17"/>
          <w:szCs w:val="17"/>
          <w:b w:val="1"/>
          <w:bCs w:val="1"/>
          <w:u w:val="single" w:color="auto"/>
          <w:color w:val="FF0000"/>
          <w:strike w:val="1"/>
        </w:rPr>
        <w:t>Schedule 2.01</w:t>
      </w:r>
      <w:r>
        <w:rPr>
          <w:rFonts w:ascii="Arial" w:cs="Arial" w:eastAsia="Arial" w:hAnsi="Arial"/>
          <w:sz w:val="17"/>
          <w:szCs w:val="17"/>
          <w:b w:val="1"/>
          <w:bCs w:val="1"/>
          <w:color w:val="FF0000"/>
          <w:strike w:val="1"/>
        </w:rPr>
        <w:t xml:space="preserve"> to the Borrowers and the Lenders reflecting same, which updated </w:t>
      </w:r>
      <w:r>
        <w:rPr>
          <w:rFonts w:ascii="Arial" w:cs="Arial" w:eastAsia="Arial" w:hAnsi="Arial"/>
          <w:sz w:val="17"/>
          <w:szCs w:val="17"/>
          <w:b w:val="1"/>
          <w:bCs w:val="1"/>
          <w:u w:val="single" w:color="auto"/>
          <w:color w:val="FF0000"/>
          <w:strike w:val="1"/>
        </w:rPr>
        <w:t>Schedule 2.01</w:t>
      </w:r>
      <w:r>
        <w:rPr>
          <w:rFonts w:ascii="Arial" w:cs="Arial" w:eastAsia="Arial" w:hAnsi="Arial"/>
          <w:sz w:val="17"/>
          <w:szCs w:val="17"/>
          <w:b w:val="1"/>
          <w:bCs w:val="1"/>
          <w:color w:val="FF0000"/>
          <w:strike w:val="1"/>
        </w:rPr>
        <w:t xml:space="preserve"> shall replace and supersede the then effective </w:t>
      </w:r>
      <w:r>
        <w:rPr>
          <w:rFonts w:ascii="Arial" w:cs="Arial" w:eastAsia="Arial" w:hAnsi="Arial"/>
          <w:sz w:val="17"/>
          <w:szCs w:val="17"/>
          <w:b w:val="1"/>
          <w:bCs w:val="1"/>
          <w:u w:val="single" w:color="auto"/>
          <w:color w:val="FF0000"/>
          <w:strike w:val="1"/>
        </w:rPr>
        <w:t>Schedule 2.01</w:t>
      </w:r>
      <w:r>
        <w:rPr>
          <w:rFonts w:ascii="Arial" w:cs="Arial" w:eastAsia="Arial" w:hAnsi="Arial"/>
          <w:sz w:val="17"/>
          <w:szCs w:val="17"/>
          <w:b w:val="1"/>
          <w:bCs w:val="1"/>
          <w:color w:val="FF0000"/>
          <w:strike w:val="1"/>
        </w:rPr>
        <w:t xml:space="preserve"> in its entirety for all purposes of the Loan Documents.</w:t>
      </w:r>
    </w:p>
    <w:p>
      <w:pPr>
        <w:spacing w:after="0" w:line="176" w:lineRule="exact"/>
        <w:rPr>
          <w:rFonts w:ascii="Arial" w:cs="Arial" w:eastAsia="Arial" w:hAnsi="Arial"/>
          <w:sz w:val="17"/>
          <w:szCs w:val="17"/>
          <w:b w:val="1"/>
          <w:bCs w:val="1"/>
          <w:color w:val="FF0000"/>
          <w:strike w:val="1"/>
        </w:rPr>
      </w:pPr>
    </w:p>
    <w:p>
      <w:pPr>
        <w:jc w:val="both"/>
        <w:ind w:firstLine="1304"/>
        <w:spacing w:after="0" w:line="266" w:lineRule="auto"/>
        <w:tabs>
          <w:tab w:leader="none" w:pos="1588" w:val="left"/>
        </w:tabs>
        <w:numPr>
          <w:ilvl w:val="0"/>
          <w:numId w:val="61"/>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FF0000"/>
          <w:strike w:val="1"/>
        </w:rPr>
        <w:t>Equal and Ratable Benefit</w:t>
      </w:r>
      <w:r>
        <w:rPr>
          <w:rFonts w:ascii="Arial" w:cs="Arial" w:eastAsia="Arial" w:hAnsi="Arial"/>
          <w:sz w:val="18"/>
          <w:szCs w:val="18"/>
          <w:b w:val="1"/>
          <w:bCs w:val="1"/>
          <w:i w:val="1"/>
          <w:iCs w:val="1"/>
          <w:color w:val="FF0000"/>
          <w:strike w:val="1"/>
        </w:rPr>
        <w:t>.</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color w:val="FF0000"/>
          <w:strike w:val="1"/>
        </w:rPr>
        <w:t>The Performance LC Commitments established pursuant to this paragraph shall constitute</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color w:val="FF0000"/>
          <w:strike w:val="1"/>
        </w:rPr>
        <w:t>Performance LC Commitments under, and shall be entitled to all the benefits afforded by, this Agreement and the other Loan Documents, and shall, without limiting the foregoing, benefit equally and ratably from the Guaranty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FF0000"/>
          <w:strike w:val="1"/>
        </w:rPr>
        <w:t>SECTION 3.03</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FF0000"/>
          <w:strike w:val="1"/>
        </w:rPr>
        <w:t>Activity Reports</w:t>
      </w:r>
      <w:r>
        <w:rPr>
          <w:rFonts w:ascii="Arial" w:cs="Arial" w:eastAsia="Arial" w:hAnsi="Arial"/>
          <w:sz w:val="18"/>
          <w:szCs w:val="18"/>
          <w:b w:val="1"/>
          <w:bCs w:val="1"/>
          <w:u w:val="single" w:color="auto"/>
          <w:color w:val="0000FF"/>
        </w:rPr>
        <w:t>Activity Reports</w:t>
      </w:r>
      <w:r>
        <w:rPr>
          <w:rFonts w:ascii="Arial" w:cs="Arial" w:eastAsia="Arial" w:hAnsi="Arial"/>
          <w:sz w:val="18"/>
          <w:szCs w:val="18"/>
          <w:color w:val="000000"/>
        </w:rPr>
        <w:t>. Each Issuing Bank shall deliver a weekly report in the form of</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Exhibit N</w:t>
      </w:r>
      <w:r>
        <w:rPr>
          <w:rFonts w:ascii="Arial" w:cs="Arial" w:eastAsia="Arial" w:hAnsi="Arial"/>
          <w:sz w:val="18"/>
          <w:szCs w:val="18"/>
          <w:b w:val="1"/>
          <w:bCs w:val="1"/>
          <w:color w:val="FF0000"/>
        </w:rPr>
        <w:t xml:space="preserve"> </w:t>
      </w:r>
      <w:r>
        <w:rPr>
          <w:rFonts w:ascii="Arial" w:cs="Arial" w:eastAsia="Arial" w:hAnsi="Arial"/>
          <w:sz w:val="18"/>
          <w:szCs w:val="18"/>
          <w:color w:val="000000"/>
        </w:rPr>
        <w:t>or any other form</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reasonably acceptable to the Administrative Agent, to the Administrative Agent on the first Business Day of each week indicating the number of Letters of Credit issued or amended (including the face amount thereof </w:t>
      </w:r>
      <w:r>
        <w:rPr>
          <w:rFonts w:ascii="Arial" w:cs="Arial" w:eastAsia="Arial" w:hAnsi="Arial"/>
          <w:sz w:val="18"/>
          <w:szCs w:val="18"/>
          <w:b w:val="1"/>
          <w:bCs w:val="1"/>
          <w:u w:val="single" w:color="auto"/>
          <w:color w:val="0000FF"/>
        </w:rPr>
        <w:t>and whether such Letter of Credit is a Performance Letter of Credit or a Revolving</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Letter of Credit</w:t>
      </w:r>
      <w:r>
        <w:rPr>
          <w:rFonts w:ascii="Arial" w:cs="Arial" w:eastAsia="Arial" w:hAnsi="Arial"/>
          <w:sz w:val="18"/>
          <w:szCs w:val="18"/>
          <w:color w:val="000000"/>
        </w:rPr>
        <w:t>) on each day during the prior week by such Issuing Bank.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CREDIT PROVISIONS</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1" w:lineRule="exact"/>
        <w:rPr>
          <w:sz w:val="20"/>
          <w:szCs w:val="20"/>
          <w:color w:val="auto"/>
        </w:rPr>
      </w:pPr>
    </w:p>
    <w:p>
      <w:pPr>
        <w:ind w:left="1560" w:hanging="256"/>
        <w:spacing w:after="0"/>
        <w:tabs>
          <w:tab w:leader="none" w:pos="1560" w:val="left"/>
        </w:tabs>
        <w:numPr>
          <w:ilvl w:val="0"/>
          <w:numId w:val="62"/>
        </w:numPr>
        <w:rPr>
          <w:rFonts w:ascii="Arial" w:cs="Arial" w:eastAsia="Arial" w:hAnsi="Arial"/>
          <w:sz w:val="18"/>
          <w:szCs w:val="18"/>
          <w:b w:val="1"/>
          <w:bCs w:val="1"/>
          <w:color w:val="FF0000"/>
          <w:strike w:val="1"/>
        </w:rPr>
      </w:pPr>
      <w:r>
        <w:rPr>
          <w:rFonts w:ascii="Arial" w:cs="Arial" w:eastAsia="Arial" w:hAnsi="Arial"/>
          <w:sz w:val="18"/>
          <w:szCs w:val="18"/>
          <w:b w:val="1"/>
          <w:bCs w:val="1"/>
          <w:u w:val="single" w:color="auto"/>
          <w:color w:val="FF0000"/>
          <w:strike w:val="1"/>
        </w:rPr>
        <w:t>Termination of Commitments on the Maturity Date</w:t>
      </w:r>
      <w:r>
        <w:rPr>
          <w:rFonts w:ascii="Arial" w:cs="Arial" w:eastAsia="Arial" w:hAnsi="Arial"/>
          <w:sz w:val="18"/>
          <w:szCs w:val="18"/>
          <w:b w:val="1"/>
          <w:bCs w:val="1"/>
          <w:color w:val="FF0000"/>
          <w:strike w:val="1"/>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u w:val="single" w:color="auto"/>
          <w:color w:val="0000FF"/>
        </w:rPr>
        <w:t>(a)           </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(i)</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Termination of Commitments on the Maturity Date.</w:t>
      </w:r>
      <w:r>
        <w:rPr>
          <w:rFonts w:ascii="Arial" w:cs="Arial" w:eastAsia="Arial" w:hAnsi="Arial"/>
          <w:sz w:val="18"/>
          <w:szCs w:val="18"/>
          <w:b w:val="1"/>
          <w:bCs w:val="1"/>
          <w:color w:val="0000FF"/>
        </w:rPr>
        <w:t xml:space="preserve"> </w:t>
      </w:r>
      <w:r>
        <w:rPr>
          <w:rFonts w:ascii="Arial" w:cs="Arial" w:eastAsia="Arial" w:hAnsi="Arial"/>
          <w:sz w:val="18"/>
          <w:szCs w:val="18"/>
          <w:color w:val="000000"/>
        </w:rPr>
        <w:t>On the Maturity Date (if the Commitments have not been terminated</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in full earlier in accordance with the terms hereof), (x) the Borrowers shall pay to each Lender all amounts then payable to such Lender under this Agreement and (y) such Lender’s Commitment (and, in the case of a Lender that is an Issuing Bank, such Issuing Bank’s </w:t>
      </w:r>
      <w:r>
        <w:rPr>
          <w:rFonts w:ascii="Arial" w:cs="Arial" w:eastAsia="Arial" w:hAnsi="Arial"/>
          <w:sz w:val="18"/>
          <w:szCs w:val="18"/>
          <w:b w:val="1"/>
          <w:bCs w:val="1"/>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color w:val="000000"/>
        </w:rPr>
        <w:t xml:space="preserve"> Commitment) shall automatically terminate.</w:t>
      </w:r>
    </w:p>
    <w:p>
      <w:pPr>
        <w:spacing w:after="0" w:line="180" w:lineRule="exact"/>
        <w:rPr>
          <w:sz w:val="20"/>
          <w:szCs w:val="20"/>
          <w:color w:val="auto"/>
        </w:rPr>
      </w:pPr>
    </w:p>
    <w:p>
      <w:pPr>
        <w:jc w:val="both"/>
        <w:ind w:left="660" w:firstLine="1292"/>
        <w:spacing w:after="0" w:line="258" w:lineRule="auto"/>
        <w:tabs>
          <w:tab w:leader="none" w:pos="2243" w:val="left"/>
        </w:tabs>
        <w:numPr>
          <w:ilvl w:val="0"/>
          <w:numId w:val="63"/>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Arial" w:cs="Arial" w:eastAsia="Arial" w:hAnsi="Arial"/>
          <w:sz w:val="18"/>
          <w:szCs w:val="18"/>
          <w:b w:val="1"/>
          <w:bCs w:val="1"/>
          <w:u w:val="single" w:color="auto"/>
          <w:color w:val="FF0000"/>
          <w:strike w:val="1"/>
        </w:rPr>
        <w:t>Section 3.01(k)(i)</w:t>
      </w:r>
      <w:r>
        <w:rPr>
          <w:rFonts w:ascii="Arial" w:cs="Arial" w:eastAsia="Arial" w:hAnsi="Arial"/>
          <w:sz w:val="18"/>
          <w:szCs w:val="18"/>
          <w:b w:val="1"/>
          <w:bCs w:val="1"/>
          <w:color w:val="FF0000"/>
          <w:strike w:val="1"/>
        </w:rPr>
        <w:t xml:space="preserve"> (and the cash so deposited shall be held, invested and applied by such Issuing Bank in a manner consistent with the investment and other procedures described in </w:t>
      </w:r>
      <w:r>
        <w:rPr>
          <w:rFonts w:ascii="Arial" w:cs="Arial" w:eastAsia="Arial" w:hAnsi="Arial"/>
          <w:sz w:val="18"/>
          <w:szCs w:val="18"/>
          <w:b w:val="1"/>
          <w:bCs w:val="1"/>
          <w:u w:val="single" w:color="auto"/>
          <w:color w:val="FF0000"/>
          <w:strike w:val="1"/>
        </w:rPr>
        <w:t>Section 3.01(k)</w:t>
      </w:r>
      <w:r>
        <w:rPr>
          <w:rFonts w:ascii="Arial" w:cs="Arial" w:eastAsia="Arial" w:hAnsi="Arial"/>
          <w:sz w:val="18"/>
          <w:szCs w:val="18"/>
          <w:b w:val="1"/>
          <w:bCs w:val="1"/>
          <w:color w:val="FF0000"/>
          <w:strike w:val="1"/>
        </w:rPr>
        <w:t>) until the expiration and termination of such Letter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64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Voluntary Reduction of Commitments</w:t>
      </w:r>
      <w:r>
        <w:rPr>
          <w:rFonts w:ascii="Arial" w:cs="Arial" w:eastAsia="Arial" w:hAnsi="Arial"/>
          <w:sz w:val="18"/>
          <w:szCs w:val="18"/>
          <w:color w:val="auto"/>
        </w:rPr>
        <w:t>.</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6"/>
          <w:szCs w:val="16"/>
          <w:color w:val="auto"/>
        </w:rPr>
        <w:t xml:space="preserve">(i)            At their option, the Borrowers may at any time terminate, or from time to time reduce,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jc w:val="both"/>
        <w:ind w:left="4" w:hanging="4"/>
        <w:spacing w:after="0" w:line="281" w:lineRule="auto"/>
        <w:tabs>
          <w:tab w:leader="none" w:pos="30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4"/>
        <w:spacing w:after="0" w:line="253" w:lineRule="auto"/>
        <w:rPr>
          <w:rFonts w:ascii="Arial" w:cs="Arial" w:eastAsia="Arial" w:hAnsi="Arial"/>
          <w:sz w:val="16"/>
          <w:szCs w:val="16"/>
          <w:color w:val="auto"/>
        </w:rPr>
      </w:pPr>
      <w:r>
        <w:rPr>
          <w:rFonts w:ascii="Arial" w:cs="Arial" w:eastAsia="Arial" w:hAnsi="Arial"/>
          <w:sz w:val="18"/>
          <w:szCs w:val="18"/>
          <w:color w:val="auto"/>
        </w:rPr>
        <w:t>(i) the Total Credit Exposure would exceed the Aggregate Commitments</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(ii) the </w:t>
      </w:r>
      <w:r>
        <w:rPr>
          <w:rFonts w:ascii="Arial" w:cs="Arial" w:eastAsia="Arial" w:hAnsi="Arial"/>
          <w:sz w:val="18"/>
          <w:szCs w:val="18"/>
          <w:b w:val="1"/>
          <w:bCs w:val="1"/>
          <w:u w:val="single" w:color="auto"/>
          <w:color w:val="0000FF"/>
        </w:rPr>
        <w:t>total</w:t>
      </w:r>
      <w:r>
        <w:rPr>
          <w:rFonts w:ascii="Arial" w:cs="Arial" w:eastAsia="Arial" w:hAnsi="Arial"/>
          <w:sz w:val="18"/>
          <w:szCs w:val="18"/>
          <w:color w:val="auto"/>
        </w:rPr>
        <w:t xml:space="preserve"> Revolving Credit </w:t>
      </w:r>
      <w:r>
        <w:rPr>
          <w:rFonts w:ascii="Arial" w:cs="Arial" w:eastAsia="Arial" w:hAnsi="Arial"/>
          <w:sz w:val="18"/>
          <w:szCs w:val="18"/>
          <w:b w:val="1"/>
          <w:bCs w:val="1"/>
          <w:color w:val="FF0000"/>
          <w:strike w:val="1"/>
        </w:rPr>
        <w:t>Exposure</w:t>
      </w:r>
      <w:r>
        <w:rPr>
          <w:rFonts w:ascii="Arial" w:cs="Arial" w:eastAsia="Arial" w:hAnsi="Arial"/>
          <w:sz w:val="18"/>
          <w:szCs w:val="18"/>
          <w:b w:val="1"/>
          <w:bCs w:val="1"/>
          <w:u w:val="single" w:color="auto"/>
          <w:color w:val="0000FF"/>
        </w:rPr>
        <w:t>Outstandings</w:t>
      </w:r>
      <w:r>
        <w:rPr>
          <w:rFonts w:ascii="Arial" w:cs="Arial" w:eastAsia="Arial" w:hAnsi="Arial"/>
          <w:sz w:val="18"/>
          <w:szCs w:val="18"/>
          <w:color w:val="auto"/>
        </w:rPr>
        <w:t xml:space="preserve"> would exceed the Total Revolving Commitments</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or (iii) the </w:t>
      </w:r>
      <w:r>
        <w:rPr>
          <w:rFonts w:ascii="Arial" w:cs="Arial" w:eastAsia="Arial" w:hAnsi="Arial"/>
          <w:sz w:val="18"/>
          <w:szCs w:val="18"/>
          <w:b w:val="1"/>
          <w:bCs w:val="1"/>
          <w:color w:val="FF0000"/>
          <w:strike w:val="1"/>
        </w:rPr>
        <w:t>sum of (A) the aggregate principal amount of Loans outstanding plus (B) the Revolving</w:t>
      </w:r>
      <w:r>
        <w:rPr>
          <w:rFonts w:ascii="Arial" w:cs="Arial" w:eastAsia="Arial" w:hAnsi="Arial"/>
          <w:sz w:val="18"/>
          <w:szCs w:val="18"/>
          <w:b w:val="1"/>
          <w:bCs w:val="1"/>
          <w:u w:val="single" w:color="auto"/>
          <w:color w:val="0000FF"/>
        </w:rPr>
        <w:t>Total</w:t>
      </w:r>
      <w:r>
        <w:rPr>
          <w:rFonts w:ascii="Arial" w:cs="Arial" w:eastAsia="Arial" w:hAnsi="Arial"/>
          <w:sz w:val="18"/>
          <w:szCs w:val="18"/>
          <w:color w:val="auto"/>
        </w:rPr>
        <w:t xml:space="preserve"> LC Exposure </w:t>
      </w:r>
      <w:r>
        <w:rPr>
          <w:rFonts w:ascii="Arial" w:cs="Arial" w:eastAsia="Arial" w:hAnsi="Arial"/>
          <w:sz w:val="18"/>
          <w:szCs w:val="18"/>
          <w:b w:val="1"/>
          <w:bCs w:val="1"/>
          <w:color w:val="FF0000"/>
          <w:strike w:val="1"/>
        </w:rPr>
        <w:t>of Lenders with a Revolving Credit Commitment</w:t>
      </w:r>
      <w:r>
        <w:rPr>
          <w:rFonts w:ascii="Arial" w:cs="Arial" w:eastAsia="Arial" w:hAnsi="Arial"/>
          <w:sz w:val="18"/>
          <w:szCs w:val="18"/>
          <w:color w:val="auto"/>
        </w:rPr>
        <w:t xml:space="preserve"> in respect of </w:t>
      </w:r>
      <w:r>
        <w:rPr>
          <w:rFonts w:ascii="Arial" w:cs="Arial" w:eastAsia="Arial" w:hAnsi="Arial"/>
          <w:sz w:val="18"/>
          <w:szCs w:val="18"/>
          <w:b w:val="1"/>
          <w:bCs w:val="1"/>
          <w:color w:val="FF0000"/>
          <w:strike w:val="1"/>
        </w:rPr>
        <w:t>Revolving</w:t>
      </w:r>
      <w:r>
        <w:rPr>
          <w:rFonts w:ascii="Arial" w:cs="Arial" w:eastAsia="Arial" w:hAnsi="Arial"/>
          <w:sz w:val="18"/>
          <w:szCs w:val="18"/>
          <w:color w:val="auto"/>
        </w:rPr>
        <w:t xml:space="preserve"> Performance Letters of Credit would exceed the </w:t>
      </w:r>
      <w:r>
        <w:rPr>
          <w:rFonts w:ascii="Arial" w:cs="Arial" w:eastAsia="Arial" w:hAnsi="Arial"/>
          <w:sz w:val="18"/>
          <w:szCs w:val="18"/>
          <w:b w:val="1"/>
          <w:bCs w:val="1"/>
          <w:color w:val="FF0000"/>
          <w:strike w:val="1"/>
        </w:rPr>
        <w:t>difference between (1) the total Revolving Credit</w:t>
      </w:r>
      <w:r>
        <w:rPr>
          <w:rFonts w:ascii="Arial" w:cs="Arial" w:eastAsia="Arial" w:hAnsi="Arial"/>
          <w:sz w:val="18"/>
          <w:szCs w:val="18"/>
          <w:b w:val="1"/>
          <w:bCs w:val="1"/>
          <w:u w:val="single" w:color="auto"/>
          <w:color w:val="0000FF"/>
        </w:rPr>
        <w:t>Performance LC</w:t>
      </w:r>
      <w:r>
        <w:rPr>
          <w:rFonts w:ascii="Arial" w:cs="Arial" w:eastAsia="Arial" w:hAnsi="Arial"/>
          <w:sz w:val="18"/>
          <w:szCs w:val="18"/>
          <w:b w:val="1"/>
          <w:bCs w:val="1"/>
          <w:color w:val="FF0000"/>
        </w:rPr>
        <w:t xml:space="preserve"> </w:t>
      </w:r>
      <w:r>
        <w:rPr>
          <w:rFonts w:ascii="Arial" w:cs="Arial" w:eastAsia="Arial" w:hAnsi="Arial"/>
          <w:sz w:val="18"/>
          <w:szCs w:val="18"/>
          <w:color w:val="000000"/>
        </w:rPr>
        <w:t>Commitments</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as so reduced and (2) the Financial LC-Specific</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Commitment</w:t>
      </w:r>
      <w:r>
        <w:rPr>
          <w:rFonts w:ascii="Arial" w:cs="Arial" w:eastAsia="Arial" w:hAnsi="Arial"/>
          <w:sz w:val="18"/>
          <w:szCs w:val="18"/>
          <w:color w:val="000000"/>
        </w:rPr>
        <w:t>.</w:t>
      </w:r>
    </w:p>
    <w:p>
      <w:pPr>
        <w:spacing w:after="0" w:line="191" w:lineRule="exact"/>
        <w:rPr>
          <w:sz w:val="20"/>
          <w:szCs w:val="20"/>
          <w:color w:val="auto"/>
        </w:rPr>
      </w:pPr>
    </w:p>
    <w:p>
      <w:pPr>
        <w:jc w:val="both"/>
        <w:ind w:left="4" w:firstLine="1296"/>
        <w:spacing w:after="0" w:line="253" w:lineRule="auto"/>
        <w:rPr>
          <w:sz w:val="20"/>
          <w:szCs w:val="20"/>
          <w:color w:val="auto"/>
        </w:rPr>
      </w:pPr>
      <w:r>
        <w:rPr>
          <w:rFonts w:ascii="Arial" w:cs="Arial" w:eastAsia="Arial" w:hAnsi="Arial"/>
          <w:sz w:val="18"/>
          <w:szCs w:val="18"/>
          <w:color w:val="auto"/>
        </w:rPr>
        <w:t xml:space="preserve">(ii)            The Borrowers shall notify the Administrative Agent of any election to terminate or reduce the Commitments under </w:t>
      </w:r>
      <w:r>
        <w:rPr>
          <w:rFonts w:ascii="Arial" w:cs="Arial" w:eastAsia="Arial" w:hAnsi="Arial"/>
          <w:sz w:val="18"/>
          <w:szCs w:val="18"/>
          <w:u w:val="single" w:color="auto"/>
          <w:color w:val="auto"/>
        </w:rPr>
        <w:t>Section 4.01(b)(i)</w:t>
      </w:r>
      <w:r>
        <w:rPr>
          <w:rFonts w:ascii="Arial" w:cs="Arial" w:eastAsia="Arial" w:hAnsi="Arial"/>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(provided that the failure of such contingency shall not relieve the Borrowers from their obligations in respect thereof under </w:t>
      </w:r>
      <w:r>
        <w:rPr>
          <w:rFonts w:ascii="Arial" w:cs="Arial" w:eastAsia="Arial" w:hAnsi="Arial"/>
          <w:sz w:val="18"/>
          <w:szCs w:val="18"/>
          <w:u w:val="single" w:color="auto"/>
          <w:color w:val="auto"/>
        </w:rPr>
        <w:t>Section 4.07</w:t>
      </w:r>
      <w:r>
        <w:rPr>
          <w:rFonts w:ascii="Arial" w:cs="Arial" w:eastAsia="Arial" w:hAnsi="Arial"/>
          <w:sz w:val="18"/>
          <w:szCs w:val="18"/>
          <w:color w:val="auto"/>
        </w:rPr>
        <w:t>).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94" w:lineRule="exact"/>
        <w:rPr>
          <w:sz w:val="20"/>
          <w:szCs w:val="20"/>
          <w:color w:val="auto"/>
        </w:rPr>
      </w:pPr>
    </w:p>
    <w:p>
      <w:pPr>
        <w:jc w:val="both"/>
        <w:ind w:left="4" w:firstLine="1296"/>
        <w:spacing w:after="0" w:line="253" w:lineRule="auto"/>
        <w:rPr>
          <w:sz w:val="20"/>
          <w:szCs w:val="20"/>
          <w:color w:val="auto"/>
        </w:rPr>
      </w:pPr>
      <w:r>
        <w:rPr>
          <w:rFonts w:ascii="Arial" w:cs="Arial" w:eastAsia="Arial" w:hAnsi="Arial"/>
          <w:sz w:val="18"/>
          <w:szCs w:val="18"/>
          <w:color w:val="auto"/>
        </w:rPr>
        <w:t xml:space="preserve">(iii)            Each permanent reduction of the Total Revolving Commitments permitted pursuant to this Section shall be accompanied by a payment of principal sufficient to reduce the aggregate outstanding Loans and Revolving LC Exposures, as applicable, after such reduction to the Total Revolving Commitments as so reduced, and if the Revolving LC Exposures </w:t>
      </w:r>
      <w:r>
        <w:rPr>
          <w:rFonts w:ascii="Arial" w:cs="Arial" w:eastAsia="Arial" w:hAnsi="Arial"/>
          <w:sz w:val="18"/>
          <w:szCs w:val="18"/>
          <w:b w:val="1"/>
          <w:bCs w:val="1"/>
          <w:u w:val="single" w:color="auto"/>
          <w:color w:val="0000FF"/>
        </w:rPr>
        <w:t>still</w:t>
      </w:r>
      <w:r>
        <w:rPr>
          <w:rFonts w:ascii="Arial" w:cs="Arial" w:eastAsia="Arial" w:hAnsi="Arial"/>
          <w:sz w:val="18"/>
          <w:szCs w:val="18"/>
          <w:color w:val="auto"/>
        </w:rPr>
        <w:t xml:space="preserve"> exceed the Total Revolving Commitments as so reduced, the Borrowers shall be required to deposit cash in the LC Collateral Account in an amount equal to such excess. Such cash collateral shall be applied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10.01</w:t>
      </w:r>
      <w:r>
        <w:rPr>
          <w:rFonts w:ascii="Arial" w:cs="Arial" w:eastAsia="Arial" w:hAnsi="Arial"/>
          <w:sz w:val="18"/>
          <w:szCs w:val="18"/>
          <w:b w:val="1"/>
          <w:bCs w:val="1"/>
          <w:u w:val="single" w:color="auto"/>
          <w:color w:val="0000FF"/>
        </w:rPr>
        <w:t>3.01(k)</w:t>
      </w:r>
      <w:r>
        <w:rPr>
          <w:rFonts w:ascii="Arial" w:cs="Arial" w:eastAsia="Arial" w:hAnsi="Arial"/>
          <w:sz w:val="18"/>
          <w:szCs w:val="18"/>
          <w:color w:val="auto"/>
        </w:rPr>
        <w:t xml:space="preserve">. Any reduction of the Total Revolving Commitments to zero shall be accompanied by payment of all outstanding Loans (and furnishing of cash collateral satisfactory to the Administrative Agent for all Revolving LC Exposure or other arrangements satisfactory to the respective Issuing Banks) and shall result in the termination of the Total Revolving Commitments. If the reduction of the Revolving Credit Commitments </w:t>
      </w:r>
      <w:r>
        <w:rPr>
          <w:rFonts w:ascii="Arial" w:cs="Arial" w:eastAsia="Arial" w:hAnsi="Arial"/>
          <w:sz w:val="18"/>
          <w:szCs w:val="18"/>
          <w:b w:val="1"/>
          <w:bCs w:val="1"/>
          <w:u w:val="single" w:color="auto"/>
          <w:color w:val="0000FF"/>
        </w:rPr>
        <w:t>or the Revolving Loan-Specific Commitments</w:t>
      </w:r>
      <w:r>
        <w:rPr>
          <w:rFonts w:ascii="Arial" w:cs="Arial" w:eastAsia="Arial" w:hAnsi="Arial"/>
          <w:sz w:val="18"/>
          <w:szCs w:val="18"/>
          <w:color w:val="auto"/>
        </w:rPr>
        <w:t xml:space="preserve"> requires the repayment of any Eurocurrency Rate Loan or RFR Loan, such repayment shall be accompanied by any amount required to be paid pursuant to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9" w:name="page140"/>
    <w:bookmarkEnd w:id="139"/>
    <w:p>
      <w:pPr>
        <w:ind w:left="660"/>
        <w:spacing w:after="0"/>
        <w:tabs>
          <w:tab w:leader="none" w:pos="20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Repayment of Obligations; Evidence of Debt.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(a)            The Borrowers hereby unconditionally promise to pay in immediately available funds to the Administrative Agent for the account of each Lender all outstanding Obligations on the Maturity Date in accordance with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            Each Lender shall maintain in accordance with its usual practice an account or accounts evidencing the indebtedness of the Borrowers to such Lender resulting from each Loan and/or Letter of Credit made by such Lender, including the amounts of principal and interest payable and paid to such Lender from time to time hereunder.</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            The Administrative Agent shall maintain accounts in which it shall record (i) the amount of each Loan made hereunder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(d)            The entries made in the accounts maintained pursuant to this Section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(e)            Upon the request of any Lender made through the Administrative Agent, each Borrower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spacing w:after="0" w:line="16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Mandatory Prepayment of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(a)            If at any time the Revolving Credit Outstandings exceed the Total Revolving Commitments, the Borrowers agree to repay immediately upon notice from the Administrative Agent, by payment to the Administrative Agent for the account of the Lenders, Extensions of Credit in an amount equal to such excess with each such repayment applied first, to the principal amount of outstanding Loans and second, with respect to any remaining Revolving Credit Outstandings attributable to outstanding Letters of Credit, to cash collateralize Revolving LC Exposures in accordance with </w:t>
      </w:r>
      <w:r>
        <w:rPr>
          <w:rFonts w:ascii="Arial" w:cs="Arial" w:eastAsia="Arial" w:hAnsi="Arial"/>
          <w:sz w:val="17"/>
          <w:szCs w:val="17"/>
          <w:u w:val="single" w:color="auto"/>
          <w:color w:val="auto"/>
        </w:rPr>
        <w:t>Section 4.10(a)</w:t>
      </w:r>
      <w:r>
        <w:rPr>
          <w:rFonts w:ascii="Arial" w:cs="Arial" w:eastAsia="Arial" w:hAnsi="Arial"/>
          <w:sz w:val="17"/>
          <w:szCs w:val="17"/>
          <w:color w:val="auto"/>
        </w:rPr>
        <w:t xml:space="preserve"> and the procedures set forth in </w:t>
      </w:r>
      <w:r>
        <w:rPr>
          <w:rFonts w:ascii="Arial" w:cs="Arial" w:eastAsia="Arial" w:hAnsi="Arial"/>
          <w:sz w:val="17"/>
          <w:szCs w:val="17"/>
          <w:u w:val="single" w:color="auto"/>
          <w:color w:val="auto"/>
        </w:rPr>
        <w:t>Section 3.01(k)(i)</w:t>
      </w:r>
      <w:r>
        <w:rPr>
          <w:rFonts w:ascii="Arial" w:cs="Arial" w:eastAsia="Arial" w:hAnsi="Arial"/>
          <w:sz w:val="17"/>
          <w:szCs w:val="17"/>
          <w:color w:val="auto"/>
        </w:rPr>
        <w:t xml:space="preserve"> in an amount equal to the remaining excess.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On the date that a Change of Control occurs, the Commitments shall terminate and the Borrowers shall, subject to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(i) repay all outstanding Obligations in immediately available funds and (ii) deposit in the LC Collateral Account an amount in cash required by </w:t>
      </w:r>
      <w:r>
        <w:rPr>
          <w:rFonts w:ascii="Arial" w:cs="Arial" w:eastAsia="Arial" w:hAnsi="Arial"/>
          <w:sz w:val="18"/>
          <w:szCs w:val="18"/>
          <w:u w:val="single" w:color="auto"/>
          <w:color w:val="auto"/>
        </w:rPr>
        <w:t>Section 3.01(k)(i)</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296"/>
        <w:spacing w:after="0" w:line="259" w:lineRule="auto"/>
        <w:rPr>
          <w:sz w:val="20"/>
          <w:szCs w:val="20"/>
          <w:color w:val="auto"/>
        </w:rPr>
      </w:pPr>
      <w:r>
        <w:rPr>
          <w:rFonts w:ascii="Arial" w:cs="Arial" w:eastAsia="Arial" w:hAnsi="Arial"/>
          <w:sz w:val="18"/>
          <w:szCs w:val="18"/>
          <w:color w:val="auto"/>
        </w:rPr>
        <w:t xml:space="preserve">(c)            If at any time (including concurrently with or immediately after giving effect to any reduction of the Lenders’ Commitments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difference between (i) the Total LC Exposure and (ii) the Revolving LC Exposures exceeds the Adjusted Aggregate Commitments, the Borrowers shall, within two (2) Business Days, cash collateralize LC Exposures in accordance with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and the procedures set forth in </w:t>
      </w:r>
      <w:r>
        <w:rPr>
          <w:rFonts w:ascii="Arial" w:cs="Arial" w:eastAsia="Arial" w:hAnsi="Arial"/>
          <w:sz w:val="18"/>
          <w:szCs w:val="18"/>
          <w:u w:val="single" w:color="auto"/>
          <w:color w:val="auto"/>
        </w:rPr>
        <w:t>Section 3.01(k)(i)</w:t>
      </w:r>
      <w:r>
        <w:rPr>
          <w:rFonts w:ascii="Arial" w:cs="Arial" w:eastAsia="Arial" w:hAnsi="Arial"/>
          <w:sz w:val="18"/>
          <w:szCs w:val="18"/>
          <w:color w:val="auto"/>
        </w:rPr>
        <w:t xml:space="preserve"> in an amount equal to such excess.</w:t>
      </w:r>
    </w:p>
    <w:p>
      <w:pPr>
        <w:spacing w:after="0" w:line="18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Interest Rate Options</w:t>
      </w:r>
      <w:r>
        <w:rPr>
          <w:rFonts w:ascii="Arial" w:cs="Arial" w:eastAsia="Arial" w:hAnsi="Arial"/>
          <w:sz w:val="16"/>
          <w:szCs w:val="16"/>
          <w:color w:val="auto"/>
        </w:rPr>
        <w:t xml:space="preserve">. Loans may be (i) with respect to Loans denominated in Dollars, (A) Base Rate Loans or (B) Term SOFR Loans, (ii) with respect to Loans denominated in Euros, Yen, Australian Dollars, Canadian Dollars or other Currencies (other than Sterling or Swiss Francs), Eurocurrency Rate Loans or (iii) with respect to Loans denominated in Sterling or Swiss Francs, Daily Simple RFR Loans, each as further provided herein. Subject to the provisions of this Section, at the election of the Borrowers (where applicable), Loans that are (1) Base Rate Loans shall bear interest at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(2) Term SOFR Loans shall bear interest at Adjusted Term SOFR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2" w:lineRule="exact"/>
        <w:rPr>
          <w:sz w:val="20"/>
          <w:szCs w:val="20"/>
          <w:color w:val="auto"/>
        </w:rPr>
      </w:pPr>
    </w:p>
    <w:p>
      <w:pPr>
        <w:jc w:val="both"/>
        <w:ind w:firstLine="8"/>
        <w:spacing w:after="0" w:line="302" w:lineRule="auto"/>
        <w:tabs>
          <w:tab w:leader="none" w:pos="2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Eurocurrency Rate Loans shall bear interest at the applicable Adjusted Eurocurrency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and (4) Daily Simple RFR Loans shall bear interest at the applicable Daily Simple RFR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The Borrowers shall select the rate of interest and Interest Period, if any, applicable to any Loan at the time a Notice of Borrowing is given or at the time a Notice of Conversion/Continuation is given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5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Notwithstanding the foregoing, if any Event of Default has occurred and is continuing, including if any interest,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amount. Interest shall continue to accrue on the Obligations after the filing by or against the applicable Borrower of any petition seeking any relief in bankruptcy or under any Insolvency Laws.</w:t>
      </w:r>
    </w:p>
    <w:p>
      <w:pPr>
        <w:spacing w:after="0" w:line="17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Interest Payment and Computation</w:t>
      </w:r>
      <w:r>
        <w:rPr>
          <w:rFonts w:ascii="Arial" w:cs="Arial" w:eastAsia="Arial" w:hAnsi="Arial"/>
          <w:sz w:val="17"/>
          <w:szCs w:val="17"/>
          <w:color w:val="auto"/>
        </w:rPr>
        <w:t xml:space="preserve">. Interest on each Loan shall be due and payable in arrears on each Interest Payment Date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event of any repayment or prepayment of any Eurocurrency Rate Loan or Term SOFR Loan, accrued interest on the principal amount repaid or prepaid shall be payable on the date of such repayment or prepayment, (ii) in the event of any conversion of any Eurocurrency Rate Loan or Term SOFR Loan prior to the end of the Interest Period therefor, accrued interest on such Loan shall be payable on the effective date of such conversion and (iii) interest accrued pursuant to </w:t>
      </w:r>
      <w:r>
        <w:rPr>
          <w:rFonts w:ascii="Arial" w:cs="Arial" w:eastAsia="Arial" w:hAnsi="Arial"/>
          <w:sz w:val="17"/>
          <w:szCs w:val="17"/>
          <w:u w:val="single" w:color="auto"/>
          <w:color w:val="auto"/>
        </w:rPr>
        <w:t>Section 4.04(b)</w:t>
      </w:r>
      <w:r>
        <w:rPr>
          <w:rFonts w:ascii="Arial" w:cs="Arial" w:eastAsia="Arial" w:hAnsi="Arial"/>
          <w:sz w:val="17"/>
          <w:szCs w:val="17"/>
          <w:color w:val="auto"/>
        </w:rPr>
        <w:t xml:space="preserve"> shall be payable on demand.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Loans denominated in any Alternative Currency as to which market practice differs from the foregoing shall be computed in accordance with market practice for such Loans.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296"/>
        <w:spacing w:after="0" w:line="275"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Initial Benchmark Conforming Changes</w:t>
      </w:r>
      <w:r>
        <w:rPr>
          <w:rFonts w:ascii="Arial" w:cs="Arial" w:eastAsia="Arial" w:hAnsi="Arial"/>
          <w:sz w:val="17"/>
          <w:szCs w:val="17"/>
          <w:color w:val="auto"/>
        </w:rPr>
        <w:t>. In connection with the use or administration of any Benchmark,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any Benchmark.</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Swiss Obligors</w:t>
      </w:r>
      <w:r>
        <w:rPr>
          <w:rFonts w:ascii="Arial" w:cs="Arial" w:eastAsia="Arial" w:hAnsi="Arial"/>
          <w:sz w:val="17"/>
          <w:szCs w:val="17"/>
          <w:color w:val="auto"/>
        </w:rPr>
        <w:t xml:space="preserve">. The interest rates provided for in this Agreement with respect to any Swiss Obligor, including this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are minimum interest rates. When entering into this Agreement, the parties have assumed that the interest payable at the rates set out in this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7"/>
          <w:szCs w:val="17"/>
          <w:u w:val="single" w:color="auto"/>
          <w:color w:val="auto"/>
        </w:rPr>
        <w:t>Section 5.02</w:t>
      </w:r>
      <w:r>
        <w:rPr>
          <w:rFonts w:ascii="Arial" w:cs="Arial" w:eastAsia="Arial" w:hAnsi="Arial"/>
          <w:sz w:val="17"/>
          <w:szCs w:val="17"/>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Interest Act (Canada)</w:t>
      </w:r>
      <w:r>
        <w:rPr>
          <w:rFonts w:ascii="Arial" w:cs="Arial" w:eastAsia="Arial" w:hAnsi="Arial"/>
          <w:sz w:val="16"/>
          <w:szCs w:val="16"/>
          <w:color w:val="auto"/>
        </w:rPr>
        <w:t>. For the purposes of the Interest Act (Canada), (i) whenever a rate of interest or fee rate hereunder is calculated on the basis of a year (the “</w:t>
      </w:r>
      <w:r>
        <w:rPr>
          <w:rFonts w:ascii="Arial" w:cs="Arial" w:eastAsia="Arial" w:hAnsi="Arial"/>
          <w:sz w:val="16"/>
          <w:szCs w:val="16"/>
          <w:u w:val="single" w:color="auto"/>
          <w:color w:val="auto"/>
        </w:rPr>
        <w:t>deemed year</w:t>
      </w:r>
      <w:r>
        <w:rPr>
          <w:rFonts w:ascii="Arial" w:cs="Arial" w:eastAsia="Arial" w:hAnsi="Arial"/>
          <w:sz w:val="16"/>
          <w:szCs w:val="16"/>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660"/>
        <w:spacing w:after="0"/>
        <w:tabs>
          <w:tab w:leader="none" w:pos="20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March, June, September and December of each year, shall be payable in arrears in Dollars 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 after such last date and on the date on which the aggregate Commitments terminate and on the Maturity Date, with payment commencing on January 15, 2023. All facility fees shall be computed on the basis of a year of 360 days and shall be payable for the actual number of days elapsed (including the first day but excluding the last day).</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(b)            The Borrowers agree to pay (subject to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91" w:lineRule="auto"/>
        <w:rPr>
          <w:sz w:val="20"/>
          <w:szCs w:val="20"/>
          <w:color w:val="auto"/>
        </w:rPr>
      </w:pPr>
      <w:r>
        <w:rPr>
          <w:rFonts w:ascii="Arial" w:cs="Arial" w:eastAsia="Arial" w:hAnsi="Arial"/>
          <w:sz w:val="16"/>
          <w:szCs w:val="16"/>
          <w:color w:val="auto"/>
        </w:rPr>
        <w:t xml:space="preserve">(i)            to the Administrative Agent, for the account of each Lender in accordance with its applicable Applicable Percentage (LCs), a </w:t>
      </w:r>
      <w:r>
        <w:rPr>
          <w:rFonts w:ascii="Arial" w:cs="Arial" w:eastAsia="Arial" w:hAnsi="Arial"/>
          <w:sz w:val="16"/>
          <w:szCs w:val="16"/>
          <w:b w:val="1"/>
          <w:bCs w:val="1"/>
          <w:u w:val="single" w:color="auto"/>
          <w:color w:val="0000FF"/>
        </w:rPr>
        <w:t>non-refundable</w:t>
      </w:r>
      <w:r>
        <w:rPr>
          <w:rFonts w:ascii="Arial" w:cs="Arial" w:eastAsia="Arial" w:hAnsi="Arial"/>
          <w:sz w:val="16"/>
          <w:szCs w:val="16"/>
          <w:color w:val="auto"/>
        </w:rPr>
        <w:t xml:space="preserve"> participation fee with respect to the Lenders’ participations in each Letter of Credit, which shall accrue at the LC Participation Fee Rate on the average daily Dollar Equivalent of the </w:t>
      </w:r>
      <w:r>
        <w:rPr>
          <w:rFonts w:ascii="Arial" w:cs="Arial" w:eastAsia="Arial" w:hAnsi="Arial"/>
          <w:sz w:val="16"/>
          <w:szCs w:val="16"/>
          <w:b w:val="1"/>
          <w:bCs w:val="1"/>
          <w:color w:val="FF0000"/>
          <w:strike w:val="1"/>
        </w:rPr>
        <w:t>maximum amount available to be drawn under each</w:t>
      </w:r>
      <w:r>
        <w:rPr>
          <w:rFonts w:ascii="Arial" w:cs="Arial" w:eastAsia="Arial" w:hAnsi="Arial"/>
          <w:sz w:val="16"/>
          <w:szCs w:val="16"/>
          <w:b w:val="1"/>
          <w:bCs w:val="1"/>
          <w:u w:val="single" w:color="auto"/>
          <w:color w:val="0000FF"/>
        </w:rPr>
        <w:t>daily stated amount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of each Letter of Credit, less the amount of any draws on</w:t>
      </w:r>
      <w:r>
        <w:rPr>
          <w:rFonts w:ascii="Arial" w:cs="Arial" w:eastAsia="Arial" w:hAnsi="Arial"/>
          <w:sz w:val="16"/>
          <w:szCs w:val="16"/>
          <w:b w:val="1"/>
          <w:bCs w:val="1"/>
          <w:color w:val="0000FF"/>
        </w:rPr>
        <w:t xml:space="preserve"> </w:t>
      </w:r>
      <w:r>
        <w:rPr>
          <w:rFonts w:ascii="Arial" w:cs="Arial" w:eastAsia="Arial" w:hAnsi="Arial"/>
          <w:sz w:val="16"/>
          <w:szCs w:val="16"/>
          <w:color w:val="000000"/>
        </w:rPr>
        <w:t>such Letter of Credit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(whether or not any increase in respect thereof has taken</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effect)</w:t>
      </w:r>
      <w:r>
        <w:rPr>
          <w:rFonts w:ascii="Arial" w:cs="Arial" w:eastAsia="Arial" w:hAnsi="Arial"/>
          <w:sz w:val="16"/>
          <w:szCs w:val="16"/>
          <w:b w:val="1"/>
          <w:bCs w:val="1"/>
          <w:u w:val="single" w:color="auto"/>
          <w:color w:val="0000FF"/>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during the period from and including the date of issuance of each such Letter of Credit to but excluding the earlier of (1) the date on which</w:t>
      </w:r>
      <w:r>
        <w:rPr>
          <w:rFonts w:ascii="Arial" w:cs="Arial" w:eastAsia="Arial" w:hAnsi="Arial"/>
          <w:sz w:val="16"/>
          <w:szCs w:val="16"/>
          <w:b w:val="1"/>
          <w:bCs w:val="1"/>
          <w:color w:val="FF0000"/>
        </w:rPr>
        <w:t xml:space="preserve"> </w:t>
      </w:r>
      <w:r>
        <w:rPr>
          <w:rFonts w:ascii="Arial" w:cs="Arial" w:eastAsia="Arial" w:hAnsi="Arial"/>
          <w:sz w:val="16"/>
          <w:szCs w:val="16"/>
          <w:color w:val="000000"/>
        </w:rPr>
        <w:t>such Letter of Credit expires or terminates and (2) the Maturity Date (</w:t>
      </w:r>
      <w:r>
        <w:rPr>
          <w:rFonts w:ascii="Arial" w:cs="Arial" w:eastAsia="Arial" w:hAnsi="Arial"/>
          <w:sz w:val="16"/>
          <w:szCs w:val="16"/>
          <w:b w:val="1"/>
          <w:bCs w:val="1"/>
          <w:u w:val="single" w:color="auto"/>
          <w:color w:val="0000FF"/>
        </w:rPr>
        <w:t>for the avoidance of doubt, prior to the Maturity Date, such period shall</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continue so long as such Letter of Credit is outstanding but has been cash collateralized (</w:t>
      </w:r>
      <w:r>
        <w:rPr>
          <w:rFonts w:ascii="Arial" w:cs="Arial" w:eastAsia="Arial" w:hAnsi="Arial"/>
          <w:sz w:val="16"/>
          <w:szCs w:val="16"/>
          <w:color w:val="000000"/>
        </w:rPr>
        <w:t>the “</w:t>
      </w:r>
      <w:r>
        <w:rPr>
          <w:rFonts w:ascii="Arial" w:cs="Arial" w:eastAsia="Arial" w:hAnsi="Arial"/>
          <w:sz w:val="16"/>
          <w:szCs w:val="16"/>
          <w:u w:val="single" w:color="auto"/>
          <w:color w:val="000000"/>
        </w:rPr>
        <w:t>LC Participation Fee</w:t>
      </w:r>
      <w:r>
        <w:rPr>
          <w:rFonts w:ascii="Arial" w:cs="Arial" w:eastAsia="Arial" w:hAnsi="Arial"/>
          <w:sz w:val="16"/>
          <w:szCs w:val="16"/>
          <w:color w:val="000000"/>
        </w:rPr>
        <w:t>”)</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and</w:t>
      </w:r>
    </w:p>
    <w:p>
      <w:pPr>
        <w:spacing w:after="0" w:line="166"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 xml:space="preserve">(ii)            to each Issuing Bank, for its own account, a fronting fee with respect to each Letter of Credit issued by such Issuing Bank, which shall accrue at the rate of </w:t>
      </w:r>
      <w:r>
        <w:rPr>
          <w:rFonts w:ascii="Arial" w:cs="Arial" w:eastAsia="Arial" w:hAnsi="Arial"/>
          <w:sz w:val="18"/>
          <w:szCs w:val="18"/>
          <w:b w:val="1"/>
          <w:bCs w:val="1"/>
          <w:color w:val="FF0000"/>
          <w:strike w:val="1"/>
        </w:rPr>
        <w:t>0.125</w:t>
      </w:r>
      <w:r>
        <w:rPr>
          <w:rFonts w:ascii="Arial" w:cs="Arial" w:eastAsia="Arial" w:hAnsi="Arial"/>
          <w:sz w:val="18"/>
          <w:szCs w:val="18"/>
          <w:b w:val="1"/>
          <w:bCs w:val="1"/>
          <w:u w:val="single" w:color="auto"/>
          <w:color w:val="0000FF"/>
        </w:rPr>
        <w:t>0.20</w:t>
      </w:r>
      <w:r>
        <w:rPr>
          <w:rFonts w:ascii="Arial" w:cs="Arial" w:eastAsia="Arial" w:hAnsi="Arial"/>
          <w:sz w:val="18"/>
          <w:szCs w:val="18"/>
          <w:color w:val="auto"/>
        </w:rPr>
        <w:t>%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Participation fees and fronting fees accrued through and including the last day of March, June, September and December of each year shall be payable in arrears in Dollars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such last day, with payment commencing on January 15, 2023;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fees shall be payable to the Lenders on the Maturity Date</w:t>
      </w:r>
      <w:r>
        <w:rPr>
          <w:rFonts w:ascii="Arial" w:cs="Arial" w:eastAsia="Arial" w:hAnsi="Arial"/>
          <w:sz w:val="18"/>
          <w:szCs w:val="18"/>
          <w:b w:val="1"/>
          <w:bCs w:val="1"/>
          <w:color w:val="FF0000"/>
          <w:strike w:val="1"/>
        </w:rPr>
        <w:t>, to all Lenders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and shall be payable for the actual number of days elapsed (including the first day but excluding the last day) </w:t>
      </w:r>
      <w:r>
        <w:rPr>
          <w:rFonts w:ascii="Arial" w:cs="Arial" w:eastAsia="Arial" w:hAnsi="Arial"/>
          <w:sz w:val="18"/>
          <w:szCs w:val="18"/>
          <w:b w:val="1"/>
          <w:bCs w:val="1"/>
          <w:color w:val="FF0000"/>
          <w:strike w:val="1"/>
        </w:rPr>
        <w:t>other than as set forth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Section 4.04(c)</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with respect to LC Participation Fees based on the Base Rate</w:t>
      </w:r>
      <w:r>
        <w:rPr>
          <w:rFonts w:ascii="Arial" w:cs="Arial" w:eastAsia="Arial" w:hAnsi="Arial"/>
          <w:sz w:val="18"/>
          <w:szCs w:val="18"/>
          <w:color w:val="000000"/>
        </w:rPr>
        <w:t>. The amount of participation and fronting fees payable hereunder shall be</w:t>
      </w:r>
      <w:r>
        <w:rPr>
          <w:rFonts w:ascii="Arial" w:cs="Arial" w:eastAsia="Arial" w:hAnsi="Arial"/>
          <w:sz w:val="18"/>
          <w:szCs w:val="18"/>
          <w:b w:val="1"/>
          <w:bCs w:val="1"/>
          <w:color w:val="FF0000"/>
        </w:rPr>
        <w:t xml:space="preserve"> </w:t>
      </w:r>
      <w:r>
        <w:rPr>
          <w:rFonts w:ascii="Arial" w:cs="Arial" w:eastAsia="Arial" w:hAnsi="Arial"/>
          <w:sz w:val="18"/>
          <w:szCs w:val="18"/>
          <w:color w:val="000000"/>
        </w:rPr>
        <w:t>set forth in a written invoice or other notice delivered to the Borrowers by the Administrative Agent or, in the case of fronting fees, by the applicable Issuing Bank.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296"/>
        <w:spacing w:after="0" w:line="277" w:lineRule="auto"/>
        <w:rPr>
          <w:sz w:val="20"/>
          <w:szCs w:val="20"/>
          <w:color w:val="auto"/>
        </w:rPr>
      </w:pPr>
      <w:r>
        <w:rPr>
          <w:rFonts w:ascii="Arial" w:cs="Arial" w:eastAsia="Arial" w:hAnsi="Arial"/>
          <w:sz w:val="18"/>
          <w:szCs w:val="18"/>
          <w:color w:val="auto"/>
        </w:rPr>
        <w:t>(c)            The Borrowers agree to pay to the Administrative Agent, for its own account, fees payable in the amounts and at the times separately agreed upon between themselves and the Administrative Agent.</w:t>
      </w:r>
    </w:p>
    <w:p>
      <w:pPr>
        <w:spacing w:after="0" w:line="170" w:lineRule="exact"/>
        <w:rPr>
          <w:sz w:val="20"/>
          <w:szCs w:val="20"/>
          <w:color w:val="auto"/>
        </w:rPr>
      </w:pPr>
    </w:p>
    <w:p>
      <w:pPr>
        <w:jc w:val="both"/>
        <w:ind w:right="20" w:firstLine="1296"/>
        <w:spacing w:after="0" w:line="279" w:lineRule="auto"/>
        <w:rPr>
          <w:sz w:val="20"/>
          <w:szCs w:val="20"/>
          <w:color w:val="auto"/>
        </w:rPr>
      </w:pPr>
      <w:r>
        <w:rPr>
          <w:rFonts w:ascii="Arial" w:cs="Arial" w:eastAsia="Arial" w:hAnsi="Arial"/>
          <w:sz w:val="17"/>
          <w:szCs w:val="17"/>
          <w:color w:val="auto"/>
        </w:rPr>
        <w:t xml:space="preserve">(d)            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17"/>
          <w:szCs w:val="17"/>
          <w:u w:val="single" w:color="auto"/>
          <w:color w:val="auto"/>
        </w:rPr>
        <w:t>Section 4.05</w:t>
      </w:r>
      <w:r>
        <w:rPr>
          <w:rFonts w:ascii="Arial" w:cs="Arial" w:eastAsia="Arial" w:hAnsi="Arial"/>
          <w:sz w:val="17"/>
          <w:szCs w:val="17"/>
          <w:color w:val="auto"/>
        </w:rPr>
        <w:t>, to the applicable Lenders. Fees paid shall not be refundable under any circumstances (unless otherwise agreed by the Administrative Agent with respect to fees payable to the Administrative Agent for its own account).</w:t>
      </w:r>
    </w:p>
    <w:p>
      <w:pPr>
        <w:spacing w:after="0" w:line="17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Circumstances Affecting Eurocurrency Rates and RFRs</w:t>
      </w:r>
      <w:r>
        <w:rPr>
          <w:rFonts w:ascii="Arial" w:cs="Arial" w:eastAsia="Arial" w:hAnsi="Arial"/>
          <w:sz w:val="16"/>
          <w:szCs w:val="16"/>
          <w:color w:val="auto"/>
        </w:rPr>
        <w:t>. Subject to clause (c) below, in connection with any RFR Loan or Eurocurrency Rate Loan, a request therefor, a conversion to or a continuation thereof or otherwise, if for any reason (i) the Administrative Agent shall determine (which determination shall be conclusive and binding absent manifest error) that (x) if Daily Simple RFR is utilized in any calculations hereunder or under any other Loan Document with respect to any Obligations, interest, fees, commissions or other amounts, reasonable and adequate means do not exist for ascertaining Daily Simple RFR pursuant to the definition thereof or (y) if Adjusted Term SOFR or a Eurocurrency Rate is utilized in any calculations hereunder or under any other Loan Document with respect to any Obligations, interest, fees, commissions or other amounts, reasonable and adequate means do not exist for ascertaining Adjusted Term SOFR or such Eurocurrency Rate, as applicable, for the applicable Currency and the applicable Interest Period with respect to a proposed Term SOFR Loan or Eurocurrency Rate Loan,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(iii)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(iv) the Required Lenders shall determine (which determination shall be conclusive and binding absent manifest error) that (x) if Daily Simple RFR is utilized in any calculations hereunder or under any other Loan Document with respect to any Obligations, interest, fees, commissions or other amounts, Daily Simple RFR does not adequately and fairly reflect the cost to such Lenders of making or maintaining such Loans or (y) if Adjusted Term SOFR or a Eurocurrency Rate is utilized in any calculations hereunder or under any other Loan Document with respect to any Obligations, interest, fees, commissions or other amounts, Adjusted Term SOFR 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Borrowers, any obligation of the Lenders to make RFR Loans or Eurocurrency Rate Loans, as applicable, in each such Currency, and any right of the Borrowers to convert any Loan in each such Currency (if applicable) to or continue any Loan as an RFR Loan or a Eurocurrency Rate Loan, as applicable, in each such Currency, shall be suspended (to the extent of the affected RFR Loans or Eurocurrency Rate Loans or, in the case of Term SOFR Loans or Eurocurrency Rate Loans, the affected Interest Periods) until the Administrative Agent (with respect to clause (iv), at the instruction of the Required Lenders) revokes such notice. Upon receipt of such notice, (A) the applicable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 (I) in the case of any request for a borrowing of an affected Term SOFR Loan, the applicable Borrower will be deemed to have converted any such request into a request for a borrowing of or conversion to Base Rate Loans in the amount specified therein and</w:t>
      </w:r>
    </w:p>
    <w:p>
      <w:pPr>
        <w:spacing w:after="0" w:line="9" w:lineRule="exact"/>
        <w:rPr>
          <w:sz w:val="20"/>
          <w:szCs w:val="20"/>
          <w:color w:val="auto"/>
        </w:rPr>
      </w:pPr>
    </w:p>
    <w:p>
      <w:pPr>
        <w:jc w:val="both"/>
        <w:ind w:firstLine="8"/>
        <w:spacing w:after="0" w:line="281" w:lineRule="auto"/>
        <w:tabs>
          <w:tab w:leader="none" w:pos="29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Loans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applicable Borrower by the date that is the earlier of (x) three</w:t>
      </w:r>
    </w:p>
    <w:p>
      <w:pPr>
        <w:spacing w:after="0" w:line="3"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(3) Business Days after receipt by such Borrower of such notice or (y) with respect to a Eurocurrency Rate Loan the last day of the current Interest Period,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296"/>
        <w:spacing w:after="0" w:line="28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Laws Affecting Eurocurrency Rate or RFR Availability</w:t>
      </w:r>
      <w:r>
        <w:rPr>
          <w:rFonts w:ascii="Arial" w:cs="Arial" w:eastAsia="Arial" w:hAnsi="Arial"/>
          <w:sz w:val="16"/>
          <w:szCs w:val="16"/>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or Eurocurrency Rate Loan, or to determine or charge interest based upon any applicable RFR, Daily Simple RFR, the Term SOFR Reference Rate, Term SOFR, Adjusted Term SOFR, the Eurocurrency Rate or the Adjusted Eurocurrency Rate, such Lender shall promptly give notice thereof to the Administrative Agent and the Administrative Agent shall promptly give notice to the Borrowers and the other Lenders (an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Thereafter, until each affected Lender notifies the Administrative Agent and the Administrative Agent notifies the Borrowers that the circumstances giving rise to such determination no longer exist, (i) any obligation of the Lenders to make RFR Loans or Eurocurrency Rate Loans, as applicable, in the affected Currency or Currencies, and any right of the Borrowers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w:t>
      </w:r>
    </w:p>
    <w:p>
      <w:pPr>
        <w:spacing w:after="0" w:line="11" w:lineRule="exact"/>
        <w:rPr>
          <w:sz w:val="20"/>
          <w:szCs w:val="20"/>
          <w:color w:val="auto"/>
        </w:rPr>
      </w:pPr>
    </w:p>
    <w:p>
      <w:pPr>
        <w:jc w:val="both"/>
        <w:ind w:firstLine="8"/>
        <w:spacing w:after="0" w:line="269" w:lineRule="auto"/>
        <w:tabs>
          <w:tab w:leader="none" w:pos="2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Borrowers shall also pay accrued interest (except with respect to any prepayment or conversion of a Daily Simple RFR Loan) on the amount so prepaid or converted, together with any additional amounts required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1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Notwithstanding anything to the contrary herein or in any other Loan Document,</w:t>
      </w:r>
    </w:p>
    <w:p>
      <w:pPr>
        <w:spacing w:after="0" w:line="225" w:lineRule="exact"/>
        <w:rPr>
          <w:sz w:val="20"/>
          <w:szCs w:val="20"/>
          <w:color w:val="auto"/>
        </w:rPr>
      </w:pPr>
    </w:p>
    <w:p>
      <w:pPr>
        <w:jc w:val="both"/>
        <w:ind w:left="180" w:firstLine="1296"/>
        <w:spacing w:after="0" w:line="287" w:lineRule="auto"/>
        <w:rPr>
          <w:sz w:val="20"/>
          <w:szCs w:val="20"/>
          <w:color w:val="auto"/>
        </w:rPr>
      </w:pPr>
      <w:r>
        <w:rPr>
          <w:rFonts w:ascii="Arial" w:cs="Arial" w:eastAsia="Arial" w:hAnsi="Arial"/>
          <w:sz w:val="16"/>
          <w:szCs w:val="16"/>
          <w:color w:val="010000"/>
        </w:rPr>
        <w:t xml:space="preserve">(A)            </w:t>
      </w:r>
      <w:r>
        <w:rPr>
          <w:rFonts w:ascii="Arial" w:cs="Arial" w:eastAsia="Arial" w:hAnsi="Arial"/>
          <w:sz w:val="16"/>
          <w:szCs w:val="16"/>
          <w:color w:val="000000"/>
        </w:rPr>
        <w:t>upon the occurrence of a Benchmark Transition Event with respect to any Benchmark (other than, for the</w:t>
      </w:r>
      <w:r>
        <w:rPr>
          <w:rFonts w:ascii="Arial" w:cs="Arial" w:eastAsia="Arial" w:hAnsi="Arial"/>
          <w:sz w:val="16"/>
          <w:szCs w:val="16"/>
          <w:color w:val="010000"/>
        </w:rPr>
        <w:t xml:space="preserve"> </w:t>
      </w:r>
      <w:r>
        <w:rPr>
          <w:rFonts w:ascii="Arial" w:cs="Arial" w:eastAsia="Arial" w:hAnsi="Arial"/>
          <w:sz w:val="16"/>
          <w:szCs w:val="16"/>
          <w:color w:val="000000"/>
        </w:rPr>
        <w:t>avoidance of doubt, CDOR), the Administrative Agent and the Borrowers may amend this Agreement to replace such Benchmark with a Benchmark Replacement. Any such amendment with respect to a Benchmark Transition Event will become effective at 5:00 p.m. on the</w:t>
      </w:r>
    </w:p>
    <w:p>
      <w:pPr>
        <w:spacing w:after="0" w:line="2"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fifth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6"/>
          <w:szCs w:val="16"/>
          <w:u w:val="single" w:color="auto"/>
          <w:color w:val="auto"/>
        </w:rPr>
        <w:t>Section 4.06(c)(i)</w:t>
      </w:r>
    </w:p>
    <w:p>
      <w:pPr>
        <w:spacing w:after="0" w:line="2" w:lineRule="exact"/>
        <w:rPr>
          <w:sz w:val="20"/>
          <w:szCs w:val="20"/>
          <w:color w:val="auto"/>
        </w:rPr>
      </w:pPr>
    </w:p>
    <w:p>
      <w:pPr>
        <w:ind w:left="480" w:hanging="296"/>
        <w:spacing w:after="0"/>
        <w:tabs>
          <w:tab w:leader="none" w:pos="480" w:val="left"/>
        </w:tabs>
        <w:numPr>
          <w:ilvl w:val="0"/>
          <w:numId w:val="68"/>
        </w:numPr>
        <w:rPr>
          <w:rFonts w:ascii="Arial" w:cs="Arial" w:eastAsia="Arial" w:hAnsi="Arial"/>
          <w:sz w:val="18"/>
          <w:szCs w:val="18"/>
          <w:u w:val="single" w:color="auto"/>
          <w:color w:val="auto"/>
        </w:rPr>
      </w:pPr>
      <w:r>
        <w:rPr>
          <w:rFonts w:ascii="Arial" w:cs="Arial" w:eastAsia="Arial" w:hAnsi="Arial"/>
          <w:sz w:val="18"/>
          <w:szCs w:val="18"/>
          <w:color w:val="auto"/>
        </w:rPr>
        <w:t>will occur prior to the applicable Benchmark Transition Start Date; and</w:t>
      </w:r>
    </w:p>
    <w:p>
      <w:pPr>
        <w:spacing w:after="0" w:line="211" w:lineRule="exact"/>
        <w:rPr>
          <w:sz w:val="20"/>
          <w:szCs w:val="20"/>
          <w:color w:val="auto"/>
        </w:rPr>
      </w:pPr>
    </w:p>
    <w:p>
      <w:pPr>
        <w:jc w:val="both"/>
        <w:ind w:left="180" w:firstLine="1296"/>
        <w:spacing w:after="0" w:line="293" w:lineRule="auto"/>
        <w:rPr>
          <w:sz w:val="20"/>
          <w:szCs w:val="20"/>
          <w:color w:val="auto"/>
        </w:rPr>
      </w:pPr>
      <w:r>
        <w:rPr>
          <w:rFonts w:ascii="Arial" w:cs="Arial" w:eastAsia="Arial" w:hAnsi="Arial"/>
          <w:sz w:val="16"/>
          <w:szCs w:val="16"/>
          <w:color w:val="010000"/>
        </w:rPr>
        <w:t xml:space="preserve">(B)            </w:t>
      </w:r>
      <w:r>
        <w:rPr>
          <w:rFonts w:ascii="Arial" w:cs="Arial" w:eastAsia="Arial" w:hAnsi="Arial"/>
          <w:sz w:val="16"/>
          <w:szCs w:val="16"/>
          <w:color w:val="000000"/>
        </w:rPr>
        <w:t>on the date that all Available Tenors of CDOR have either permanently or indefinitely ceased to be provided</w:t>
      </w:r>
      <w:r>
        <w:rPr>
          <w:rFonts w:ascii="Arial" w:cs="Arial" w:eastAsia="Arial" w:hAnsi="Arial"/>
          <w:sz w:val="16"/>
          <w:szCs w:val="16"/>
          <w:color w:val="010000"/>
        </w:rPr>
        <w:t xml:space="preserve"> </w:t>
      </w:r>
      <w:r>
        <w:rPr>
          <w:rFonts w:ascii="Arial" w:cs="Arial" w:eastAsia="Arial" w:hAnsi="Arial"/>
          <w:sz w:val="16"/>
          <w:szCs w:val="16"/>
          <w:color w:val="000000"/>
        </w:rPr>
        <w:t xml:space="preserve">by RBSL, if the then-current Benchmark for Obligations, interest, fees, commissions or other amounts denominated in, or calculated with respect to, Canadian Dollars is CDOR, then if a Benchmark Replacement is determined in </w:t>
      </w:r>
      <w:r>
        <w:rPr>
          <w:rFonts w:ascii="Arial" w:cs="Arial" w:eastAsia="Arial" w:hAnsi="Arial"/>
          <w:sz w:val="16"/>
          <w:szCs w:val="16"/>
          <w:b w:val="1"/>
          <w:bCs w:val="1"/>
          <w:color w:val="FF0000"/>
          <w:strike w:val="1"/>
        </w:rPr>
        <w:t>accorance</w:t>
      </w:r>
      <w:r>
        <w:rPr>
          <w:rFonts w:ascii="Arial" w:cs="Arial" w:eastAsia="Arial" w:hAnsi="Arial"/>
          <w:sz w:val="16"/>
          <w:szCs w:val="16"/>
          <w:b w:val="1"/>
          <w:bCs w:val="1"/>
          <w:u w:val="single" w:color="auto"/>
          <w:color w:val="0000FF"/>
        </w:rPr>
        <w:t>accordance</w:t>
      </w:r>
      <w:r>
        <w:rPr>
          <w:rFonts w:ascii="Arial" w:cs="Arial" w:eastAsia="Arial" w:hAnsi="Arial"/>
          <w:sz w:val="16"/>
          <w:szCs w:val="16"/>
          <w:color w:val="000000"/>
        </w:rPr>
        <w:t xml:space="preserve"> with clause (a) of the definition of “Benchmark Replacement” with respect to Canadian Dollars, such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3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6" w:name="page147"/>
    <w:bookmarkEnd w:id="146"/>
    <w:p>
      <w:pPr>
        <w:jc w:val="both"/>
        <w:ind w:firstLine="1296"/>
        <w:spacing w:after="0" w:line="257"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xml:space="preserve">. The Administrative Agent will promptly notify the Borrowers and the Lenders of (A) the implementation of any Benchmark Replacement, (B) any occurrence of a Term CORRA Transition Event and (C) the effectiveness of any Conforming Changes in connection with the use, administration, adoption or implementation of a Benchmark Replacement. The Administrative Agent will promptly notify the Borrowers of (x) the removal or reinstatement of any tenor of a Benchmark pursuant to </w:t>
      </w:r>
      <w:r>
        <w:rPr>
          <w:rFonts w:ascii="Arial" w:cs="Arial" w:eastAsia="Arial" w:hAnsi="Arial"/>
          <w:sz w:val="17"/>
          <w:szCs w:val="17"/>
          <w:u w:val="single" w:color="auto"/>
          <w:color w:val="auto"/>
        </w:rPr>
        <w:t>Section 4.06(c)(iv)</w:t>
      </w:r>
      <w:r>
        <w:rPr>
          <w:rFonts w:ascii="Arial" w:cs="Arial" w:eastAsia="Arial" w:hAnsi="Arial"/>
          <w:sz w:val="17"/>
          <w:szCs w:val="17"/>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Arial" w:cs="Arial" w:eastAsia="Arial" w:hAnsi="Arial"/>
          <w:sz w:val="17"/>
          <w:szCs w:val="17"/>
          <w:u w:val="single" w:color="auto"/>
          <w:color w:val="auto"/>
        </w:rPr>
        <w:t>Section 4.06(c)</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7"/>
          <w:szCs w:val="17"/>
          <w:u w:val="single" w:color="auto"/>
          <w:color w:val="auto"/>
        </w:rPr>
        <w:t>Section 4.06(c)</w:t>
      </w:r>
      <w:r>
        <w:rPr>
          <w:rFonts w:ascii="Arial" w:cs="Arial" w:eastAsia="Arial" w:hAnsi="Arial"/>
          <w:sz w:val="17"/>
          <w:szCs w:val="17"/>
          <w:color w:val="auto"/>
        </w:rPr>
        <w:t>.</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(iv)            </w:t>
      </w: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Notwithstanding anything to the contrary herein or in any other Loan Document, at any time (including in connection with the implementation of a Benchmark Replacement), (A) if any then-current Benchmark is a term rate (including the Term SOFR Reference Rate, EURIBOR, TIBOR, BBSY</w:t>
      </w:r>
      <w:r>
        <w:rPr>
          <w:rFonts w:ascii="Arial" w:cs="Arial" w:eastAsia="Arial" w:hAnsi="Arial"/>
          <w:sz w:val="17"/>
          <w:szCs w:val="17"/>
          <w:b w:val="1"/>
          <w:bCs w:val="1"/>
          <w:u w:val="single" w:color="auto"/>
          <w:color w:val="0000FF"/>
        </w:rPr>
        <w:t>, Term CORRA</w:t>
      </w:r>
      <w:r>
        <w:rPr>
          <w:rFonts w:ascii="Arial" w:cs="Arial" w:eastAsia="Arial" w:hAnsi="Arial"/>
          <w:sz w:val="17"/>
          <w:szCs w:val="17"/>
          <w:color w:val="auto"/>
        </w:rPr>
        <w:t xml:space="preserve"> or CDOR)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3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7" w:name="page148"/>
    <w:bookmarkEnd w:id="147"/>
    <w:p>
      <w:pPr>
        <w:jc w:val="both"/>
        <w:ind w:firstLine="1296"/>
        <w:spacing w:after="0" w:line="284" w:lineRule="auto"/>
        <w:rPr>
          <w:sz w:val="20"/>
          <w:szCs w:val="20"/>
          <w:color w:val="auto"/>
        </w:rPr>
      </w:pPr>
      <w:r>
        <w:rPr>
          <w:rFonts w:ascii="Arial" w:cs="Arial" w:eastAsia="Arial" w:hAnsi="Arial"/>
          <w:sz w:val="16"/>
          <w:szCs w:val="16"/>
          <w:color w:val="auto"/>
        </w:rPr>
        <w:t xml:space="preserve">(v)            </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Upon the Borrowers’ receipt of notice of the commencement of a Benchmark Unavailability Period with respect to a given Benchmark, (A) the Borrowers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Borrowers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Daily Simple RFR Loan, if no election is made by the applicable Borrower by the date that is three (3) Business Days after receipt by such Borrower of such notice, such Borrower shall be deemed to have elected clause (1) above;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Eurocurrency Rate Loan, if no election is made by the applicable Borrower by the earlier of (x) the date that is three (3) Business Days after receipt by such Borrower of such notice and (y) the last day of the current Interest Period for the applicable Eurocurrency Rate Loan,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Section 4‎.07.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6105525</wp:posOffset>
            </wp:positionH>
            <wp:positionV relativeFrom="paragraph">
              <wp:posOffset>-450215</wp:posOffset>
            </wp:positionV>
            <wp:extent cx="5797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(vi)            Notwithstanding anything to the contrary herein or in any Loan Document and subject to the proviso below in this clause, if a Term CORRA Transition Event and its related Term CORRA Transition Date have occurred, then on and after such Term CORRA Transition Date (A) the Benchmark Replacement described in clause (a)(i) of such definition will replace the then-current Benchmark for all purposes hereunder or under any Loan Document in respect of any setting of such Benchmark on such day and all subsequent settings, without any amendment to, or further action or consent of any other party to, this Agreement or any other Loan Document; and (B) each Loan outstanding on the Term CORRA Transition Date bearing interest based on the then-current Benchmark for Canadian Dollars shall convert, at the start of the next interest payment period, into a Loan bearing interest at the Benchmark Replacement described in clause (a)(i) of such definition for the respective Available Tenor as selected by the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Borrowers</w:t>
      </w:r>
      <w:r>
        <w:rPr>
          <w:rFonts w:ascii="Arial" w:cs="Arial" w:eastAsia="Arial" w:hAnsi="Arial"/>
          <w:sz w:val="16"/>
          <w:szCs w:val="16"/>
          <w:color w:val="auto"/>
        </w:rPr>
        <w:t xml:space="preserve"> as is available for the then-current Benchmark;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4.06(c)(vi)</w:t>
      </w:r>
      <w:r>
        <w:rPr>
          <w:rFonts w:ascii="Arial" w:cs="Arial" w:eastAsia="Arial" w:hAnsi="Arial"/>
          <w:sz w:val="16"/>
          <w:szCs w:val="16"/>
          <w:color w:val="auto"/>
        </w:rPr>
        <w:t xml:space="preserve"> shall not be effective unless the Administrative Agent has delivered to the Lenders and the Borrowers a Term CORRA Notice,</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so long as the Administrative Agent has not received, by 5:00 p.m. (Toronto time) on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the date of the Term CORRA Notice, written notice of objection to such conversion to Term CORRA from Lenders comprising the Required Lenders or the Borrowers.</w:t>
      </w: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48" w:name="page149"/>
    <w:bookmarkEnd w:id="148"/>
    <w:p>
      <w:pPr>
        <w:jc w:val="both"/>
        <w:ind w:firstLine="1296"/>
        <w:spacing w:after="0" w:line="287"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Illegality</w:t>
      </w:r>
      <w:r>
        <w:rPr>
          <w:rFonts w:ascii="Arial" w:cs="Arial" w:eastAsia="Arial" w:hAnsi="Arial"/>
          <w:sz w:val="16"/>
          <w:szCs w:val="16"/>
          <w:color w:val="auto"/>
        </w:rPr>
        <w:t>. If, in any applicable jurisdiction, the Administrative Agent, any Issuing Bank or any Lender determines that any applicable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w:t>
      </w:r>
    </w:p>
    <w:p>
      <w:pPr>
        <w:spacing w:after="0" w:line="2" w:lineRule="exact"/>
        <w:rPr>
          <w:sz w:val="20"/>
          <w:szCs w:val="20"/>
          <w:color w:val="auto"/>
        </w:rPr>
      </w:pPr>
    </w:p>
    <w:p>
      <w:pPr>
        <w:jc w:val="both"/>
        <w:ind w:firstLine="8"/>
        <w:spacing w:after="0" w:line="287" w:lineRule="auto"/>
        <w:tabs>
          <w:tab w:leader="none" w:pos="3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Obligors shall, (A) repay that Person’s participation in the Loans or other applicable Obligations on the applicable Interest Payment Date for any Daily Simple RFR Loan or on last day of the Interest Period for any Eurocurrency Rate Loan or Term SOFR Loan, or on another applicable date with respect to another Obligation, occurring after the Administrative Agent has notified the Borrowers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Alternative Currencies</w:t>
      </w:r>
      <w:r>
        <w:rPr>
          <w:rFonts w:ascii="Arial" w:cs="Arial" w:eastAsia="Arial" w:hAnsi="Arial"/>
          <w:sz w:val="16"/>
          <w:szCs w:val="16"/>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w:t>
      </w:r>
    </w:p>
    <w:p>
      <w:pPr>
        <w:spacing w:after="0" w:line="1" w:lineRule="exact"/>
        <w:rPr>
          <w:sz w:val="20"/>
          <w:szCs w:val="20"/>
          <w:color w:val="auto"/>
        </w:rPr>
      </w:pPr>
    </w:p>
    <w:p>
      <w:pPr>
        <w:jc w:val="both"/>
        <w:ind w:firstLine="8"/>
        <w:spacing w:after="0" w:line="252" w:lineRule="auto"/>
        <w:tabs>
          <w:tab w:leader="none" w:pos="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currency being impracticable for the Lenders to loan or (iv) such currency no longer being a currency in which the Required Lenders are willing to make Extensions of Credit (each of clauses (i), (ii), (iii) and (iv), a “</w:t>
      </w:r>
      <w:r>
        <w:rPr>
          <w:rFonts w:ascii="Arial" w:cs="Arial" w:eastAsia="Arial" w:hAnsi="Arial"/>
          <w:sz w:val="18"/>
          <w:szCs w:val="18"/>
          <w:u w:val="single" w:color="auto"/>
          <w:color w:val="auto"/>
        </w:rPr>
        <w:t>Disqualifying Event</w:t>
      </w:r>
      <w:r>
        <w:rPr>
          <w:rFonts w:ascii="Arial" w:cs="Arial" w:eastAsia="Arial" w:hAnsi="Arial"/>
          <w:sz w:val="18"/>
          <w:szCs w:val="18"/>
          <w:color w:val="auto"/>
        </w:rPr>
        <w:t>”), then the Administrative Agent shall promptly notify the Lenders and the Borrowers, and such currency shall no longer be an Alternative Currency until such time as the Disqualifying Event(s) no longer exist. Within five (5) Business Days after receipt of such notice from the Administrative Agent, the Borrowers shall repay all Loans denominated in such currency to which the Disqualifying Event(s) apply or convert such Loans into the Dollar Equivalent in Dollars, bearing interest at the Base Rate, subject to the other terms contained herein.</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applicable Borrower to make any payment when due of any amount due hereunder in connection with an RFR Loan or a Eurocurrency Rate Loan, (b) any failure of the applicable Borrower to borrow or continue an RFR Loan or a Eurocurrency Rate Loan or convert to an RFR Loan or a Eurocurrency Rate Loan on a date specified therefor in a Notice of Borrowing or Notice of Conversion/Continuation, (c) any failure of the applicable Borrower to prepay any RFR Loan or Eurocurrency Rate Loan on a date specified therefor in any Notice of Prepayment (regardless of whether any such Notice of Prepayment may be revoked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is revoked in accordance therewith), (d) any payment, prepayment or conversion of any Daily Simple RFR Loan on a date other than on the Interest Payment Date therefor (including as a result of an Event of Default) or Term SOFR Loan or Eurocurrency Rate Loan on a date other than the last day of the Interest Period therefor (including as a result of an Event of Default) or (e) the assignment of any Daily Simple RFR Loan other than on the Interest Payment Date therefor or any Eurocurrency Rate Loan or Term SOFR Loan other than on the last day of the Interest Period applicable thereto as a result of a request by a Borrower pursuant to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In the case of a Eurocurrency Rate Loan, the amount of such loss or expense shall be determined, in the applicable Lender’s sole discretion, based upon the assumption that such Lender funded its Applicable Percentage (Loans) of the Eurocurrency Rate Loans in the London or other 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All of the obligations of the Obligors under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spacing w:after="0"/>
        <w:tabs>
          <w:tab w:leader="none" w:pos="136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            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liquidity or similar requirement (including any compulsory loan requirement, insurance charge or other assessment) against assets of, deposits with or for the account of, or advances, loans or other credit extended or participated in by, any Lender or any Issuing Bank;</w:t>
      </w:r>
    </w:p>
    <w:p>
      <w:pPr>
        <w:spacing w:after="0" w:line="19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(ii)            impose on any Lender or any Issuing Bank any other condition, cost or expense (other than Taxes) affecting this Agreement or Loans made by such Lender or any Letter of Credit or participation therein; or</w:t>
      </w:r>
    </w:p>
    <w:p>
      <w:pPr>
        <w:spacing w:after="0" w:line="38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0" w:name="page151"/>
    <w:bookmarkEnd w:id="150"/>
    <w:p>
      <w:pPr>
        <w:ind w:left="1960"/>
        <w:spacing w:after="0"/>
        <w:rPr>
          <w:sz w:val="20"/>
          <w:szCs w:val="20"/>
          <w:color w:val="auto"/>
        </w:rPr>
      </w:pPr>
      <w:r>
        <w:rPr>
          <w:rFonts w:ascii="Arial" w:cs="Arial" w:eastAsia="Arial" w:hAnsi="Arial"/>
          <w:sz w:val="17"/>
          <w:szCs w:val="17"/>
          <w:color w:val="auto"/>
        </w:rPr>
        <w:t xml:space="preserve">(iii)            subject any Recipient to any Taxes (other than (A) Indemnified Taxes, (B) Taxes described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w:t>
      </w:r>
    </w:p>
    <w:p>
      <w:pPr>
        <w:spacing w:after="0" w:line="35" w:lineRule="exact"/>
        <w:rPr>
          <w:sz w:val="20"/>
          <w:szCs w:val="20"/>
          <w:color w:val="auto"/>
        </w:rPr>
      </w:pPr>
    </w:p>
    <w:p>
      <w:pPr>
        <w:ind w:left="660" w:hanging="4"/>
        <w:spacing w:after="0" w:line="260" w:lineRule="auto"/>
        <w:tabs>
          <w:tab w:leader="none" w:pos="941"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color w:val="auto"/>
        </w:rPr>
        <w:t>of the definition of “Excluded Taxes”, (C) Connection Income Taxes, and (D) Other Taxes) on its loans, loan principal, letters of credit, commitments, or other obligations, or its deposits, reserves, other liabilities or capital attributable thereto;</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Commitment or Loans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(b)            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9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(c)            A certificate of a Lender or an Issuing Bank setting forth the amount or amounts necessary to compensate such Lender or such Issuing Bank or its holding company, as the case may be, as specified in </w:t>
      </w:r>
      <w:r>
        <w:rPr>
          <w:rFonts w:ascii="Arial" w:cs="Arial" w:eastAsia="Arial" w:hAnsi="Arial"/>
          <w:sz w:val="17"/>
          <w:szCs w:val="17"/>
          <w:u w:val="single" w:color="auto"/>
          <w:color w:val="auto"/>
        </w:rPr>
        <w:t>Section 4.08(a)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4.08(b)</w:t>
      </w:r>
      <w:r>
        <w:rPr>
          <w:rFonts w:ascii="Arial" w:cs="Arial" w:eastAsia="Arial" w:hAnsi="Arial"/>
          <w:sz w:val="17"/>
          <w:szCs w:val="17"/>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17"/>
          <w:szCs w:val="17"/>
          <w:u w:val="single" w:color="auto"/>
          <w:color w:val="auto"/>
        </w:rPr>
        <w:t>Section 4.08(a)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4.08(b)</w:t>
      </w:r>
      <w:r>
        <w:rPr>
          <w:rFonts w:ascii="Arial" w:cs="Arial" w:eastAsia="Arial" w:hAnsi="Arial"/>
          <w:sz w:val="17"/>
          <w:szCs w:val="17"/>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7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(d)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1300"/>
        <w:spacing w:after="0"/>
        <w:rPr>
          <w:sz w:val="20"/>
          <w:szCs w:val="20"/>
          <w:color w:val="auto"/>
        </w:rPr>
      </w:pPr>
      <w:r>
        <w:rPr>
          <w:rFonts w:ascii="Arial" w:cs="Arial" w:eastAsia="Arial" w:hAnsi="Arial"/>
          <w:sz w:val="18"/>
          <w:szCs w:val="18"/>
          <w:color w:val="auto"/>
        </w:rPr>
        <w:t xml:space="preserve">(e)            Each Lender requesting compensation under this Section shall comply with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All of the obligations of the Obligors under this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u w:val="single" w:color="auto"/>
          <w:color w:val="auto"/>
        </w:rPr>
        <w:t>Determination of Exchange Rates; Cash Collateralization as a Result of Currency Fluctuations</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(a)            The Administrative Agent </w:t>
      </w:r>
      <w:r>
        <w:rPr>
          <w:rFonts w:ascii="Arial" w:cs="Arial" w:eastAsia="Arial" w:hAnsi="Arial"/>
          <w:sz w:val="18"/>
          <w:szCs w:val="18"/>
          <w:b w:val="1"/>
          <w:bCs w:val="1"/>
          <w:color w:val="FF0000"/>
          <w:strike w:val="1"/>
        </w:rPr>
        <w:t>or the applicable Issuing Bank (with notice thereof to the Administrative Agent), as applicable,</w:t>
      </w:r>
      <w:r>
        <w:rPr>
          <w:rFonts w:ascii="Arial" w:cs="Arial" w:eastAsia="Arial" w:hAnsi="Arial"/>
          <w:sz w:val="18"/>
          <w:szCs w:val="18"/>
          <w:color w:val="auto"/>
        </w:rPr>
        <w:t xml:space="preserve"> shall determine the Dollar Equivalent </w:t>
      </w:r>
      <w:r>
        <w:rPr>
          <w:rFonts w:ascii="Arial" w:cs="Arial" w:eastAsia="Arial" w:hAnsi="Arial"/>
          <w:sz w:val="18"/>
          <w:szCs w:val="18"/>
          <w:b w:val="1"/>
          <w:bCs w:val="1"/>
          <w:color w:val="FF0000"/>
          <w:strike w:val="1"/>
        </w:rPr>
        <w:t>amounts of Extensions</w:t>
      </w:r>
      <w:r>
        <w:rPr>
          <w:rFonts w:ascii="Arial" w:cs="Arial" w:eastAsia="Arial" w:hAnsi="Arial"/>
          <w:sz w:val="18"/>
          <w:szCs w:val="18"/>
          <w:b w:val="1"/>
          <w:bCs w:val="1"/>
          <w:u w:val="single" w:color="auto"/>
          <w:color w:val="0000FF"/>
        </w:rPr>
        <w:t>amount of each Extension</w:t>
      </w:r>
      <w:r>
        <w:rPr>
          <w:rFonts w:ascii="Arial" w:cs="Arial" w:eastAsia="Arial" w:hAnsi="Arial"/>
          <w:sz w:val="18"/>
          <w:szCs w:val="18"/>
          <w:color w:val="auto"/>
        </w:rPr>
        <w:t xml:space="preserve">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spacing w:after="0" w:line="19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If as a result of fluctuations in the Spot Rate (which shall be calculated in accordance with the definition thereof by the Administrative Agent on each Revaluation Date) the Administrative Agent notifies the Borrowers in writing that the Total LC Exposure exceeds 105% of the Adjusted Aggregate Commitments, the Borrowers shall, within two (2) Business Days following receipt of such notice, deliver to the Administrative Agent cash collateral in an amount equal to the remaining excess after giving effect to such prepayment.</w:t>
      </w:r>
    </w:p>
    <w:p>
      <w:pPr>
        <w:spacing w:after="0" w:line="18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 xml:space="preserve">(c)            Wherever in this Agreement in connection with a borrowing, conversion, continuation or prepayment of </w:t>
      </w:r>
      <w:r>
        <w:rPr>
          <w:rFonts w:ascii="Arial" w:cs="Arial" w:eastAsia="Arial" w:hAnsi="Arial"/>
          <w:sz w:val="17"/>
          <w:szCs w:val="17"/>
          <w:b w:val="1"/>
          <w:bCs w:val="1"/>
          <w:color w:val="FF0000"/>
          <w:strike w:val="1"/>
        </w:rPr>
        <w:t>an RFR Loan or</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Eurocurrency Rate</w:t>
      </w:r>
      <w:r>
        <w:rPr>
          <w:rFonts w:ascii="Arial" w:cs="Arial" w:eastAsia="Arial" w:hAnsi="Arial"/>
          <w:sz w:val="17"/>
          <w:szCs w:val="17"/>
          <w:b w:val="1"/>
          <w:bCs w:val="1"/>
          <w:u w:val="single" w:color="auto"/>
          <w:color w:val="0000FF"/>
        </w:rPr>
        <w:t>any</w:t>
      </w:r>
      <w:r>
        <w:rPr>
          <w:rFonts w:ascii="Arial" w:cs="Arial" w:eastAsia="Arial" w:hAnsi="Arial"/>
          <w:sz w:val="17"/>
          <w:szCs w:val="17"/>
          <w:b w:val="1"/>
          <w:bCs w:val="1"/>
          <w:color w:val="FF0000"/>
        </w:rPr>
        <w:t xml:space="preserve"> </w:t>
      </w:r>
      <w:r>
        <w:rPr>
          <w:rFonts w:ascii="Arial" w:cs="Arial" w:eastAsia="Arial" w:hAnsi="Arial"/>
          <w:sz w:val="17"/>
          <w:szCs w:val="17"/>
          <w:color w:val="000000"/>
        </w:rPr>
        <w:t>Loan or the issuance, amendment or extension of a Letter of Credit, an amount, such as a required minimum or multiple amount,</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w:t>
      </w:r>
      <w:r>
        <w:rPr>
          <w:rFonts w:ascii="Arial" w:cs="Arial" w:eastAsia="Arial" w:hAnsi="Arial"/>
          <w:sz w:val="17"/>
          <w:szCs w:val="17"/>
          <w:i w:val="1"/>
          <w:iCs w:val="1"/>
          <w:color w:val="008000"/>
          <w:strike w:val="1"/>
        </w:rPr>
        <w:t>or the applicable Issuing Bank, as the case may be</w:t>
      </w:r>
      <w:r>
        <w:rPr>
          <w:rFonts w:ascii="Arial" w:cs="Arial" w:eastAsia="Arial" w:hAnsi="Arial"/>
          <w:sz w:val="17"/>
          <w:szCs w:val="17"/>
          <w:color w:val="000000"/>
        </w:rPr>
        <w:t>.</w:t>
      </w:r>
    </w:p>
    <w:p>
      <w:pPr>
        <w:spacing w:after="0" w:line="16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u w:val="single" w:color="auto"/>
          <w:color w:val="0000FF"/>
        </w:rPr>
        <w:t xml:space="preserve">(d)            Notwithstanding the foregoing provisions of this Section 4.09 or any other provision of this Agreement, each Issuing Bank may </w:t>
      </w:r>
      <w:r>
        <w:rPr>
          <w:rFonts w:ascii="Arial" w:cs="Arial" w:eastAsia="Arial" w:hAnsi="Arial"/>
          <w:sz w:val="17"/>
          <w:szCs w:val="17"/>
          <w:i w:val="1"/>
          <w:iCs w:val="1"/>
          <w:u w:val="single" w:color="auto"/>
          <w:color w:val="008000"/>
        </w:rPr>
        <w:t>compute the Dollar Equivalent of the maximum amount of each applicable Letter of Credit issued by such Issuing Bank by reference to</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exchange rates determined using any reasonable method customarily employed by such Issuing Bank for such </w:t>
      </w:r>
      <w:r>
        <w:rPr>
          <w:rFonts w:ascii="Arial" w:cs="Arial" w:eastAsia="Arial" w:hAnsi="Arial"/>
          <w:sz w:val="17"/>
          <w:szCs w:val="17"/>
          <w:b w:val="1"/>
          <w:bCs w:val="1"/>
          <w:u w:val="single" w:color="auto"/>
          <w:color w:val="0000FF"/>
        </w:rPr>
        <w:t>purposes.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ind w:firstLine="1296"/>
        <w:spacing w:after="0" w:line="303" w:lineRule="auto"/>
        <w:rPr>
          <w:sz w:val="20"/>
          <w:szCs w:val="20"/>
          <w:color w:val="auto"/>
        </w:rPr>
      </w:pPr>
      <w:r>
        <w:rPr>
          <w:rFonts w:ascii="Arial" w:cs="Arial" w:eastAsia="Arial" w:hAnsi="Arial"/>
          <w:sz w:val="16"/>
          <w:szCs w:val="16"/>
          <w:b w:val="1"/>
          <w:bCs w:val="1"/>
          <w:u w:val="single" w:color="auto"/>
          <w:color w:val="0000FF"/>
        </w:rPr>
        <w:t>(e)            Notwithstanding the foregoing provisions of this Section 4.09 or any other provision of this Agreement, in connection with Daily Simple RFR Loans in an Alternative Currency for a particular Borrower, the Spot Rate on each date of borrowing by such Borrower shall be the Spot Rate in effect as of the Revaluation Date applicable to the first borrowing of any such Daily Simple RFR Loans by such Borrower in such Alternative Currency (or, if applicable, any later Revaluation Date pursuant to clause (a)(iii) of the definition of “Revaluation Date”).</w:t>
      </w:r>
    </w:p>
    <w:p>
      <w:pPr>
        <w:spacing w:after="0" w:line="15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Several Liability; Agreement to Defer Exercise of Right of Contribution, Etc.</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(a)            Notwithstanding anything in this Agreement or any other Loan Documents to the contrary, with respect to each borrowing of Loans and/or each issuance of a Letter of Credit, (a) the </w:t>
      </w:r>
      <w:r>
        <w:rPr>
          <w:rFonts w:ascii="Arial" w:cs="Arial" w:eastAsia="Arial" w:hAnsi="Arial"/>
          <w:sz w:val="17"/>
          <w:szCs w:val="17"/>
          <w:b w:val="1"/>
          <w:bCs w:val="1"/>
          <w:color w:val="FF0000"/>
          <w:strike w:val="1"/>
        </w:rPr>
        <w:t>Borrower</w:t>
      </w:r>
      <w:r>
        <w:rPr>
          <w:rFonts w:ascii="Arial" w:cs="Arial" w:eastAsia="Arial" w:hAnsi="Arial"/>
          <w:sz w:val="17"/>
          <w:szCs w:val="17"/>
          <w:b w:val="1"/>
          <w:bCs w:val="1"/>
          <w:u w:val="single" w:color="auto"/>
          <w:color w:val="0000FF"/>
        </w:rPr>
        <w:t>Borrowers</w:t>
      </w:r>
      <w:r>
        <w:rPr>
          <w:rFonts w:ascii="Arial" w:cs="Arial" w:eastAsia="Arial" w:hAnsi="Arial"/>
          <w:sz w:val="17"/>
          <w:szCs w:val="17"/>
          <w:color w:val="auto"/>
        </w:rPr>
        <w:t xml:space="preserve"> that requests such Loans or Letter of Credit or otherwise is the applicant therefor and shall be the “</w:t>
      </w:r>
      <w:r>
        <w:rPr>
          <w:rFonts w:ascii="Arial" w:cs="Arial" w:eastAsia="Arial" w:hAnsi="Arial"/>
          <w:sz w:val="17"/>
          <w:szCs w:val="17"/>
          <w:u w:val="single" w:color="auto"/>
          <w:color w:val="auto"/>
        </w:rPr>
        <w:t>Requesting Borrower</w:t>
      </w:r>
      <w:r>
        <w:rPr>
          <w:rFonts w:ascii="Arial" w:cs="Arial" w:eastAsia="Arial" w:hAnsi="Arial"/>
          <w:sz w:val="17"/>
          <w:szCs w:val="17"/>
          <w:color w:val="auto"/>
        </w:rPr>
        <w:t>” and all Borrowers other than the Requesting Borrower shall be the “</w:t>
      </w:r>
      <w:r>
        <w:rPr>
          <w:rFonts w:ascii="Arial" w:cs="Arial" w:eastAsia="Arial" w:hAnsi="Arial"/>
          <w:sz w:val="17"/>
          <w:szCs w:val="17"/>
          <w:u w:val="single" w:color="auto"/>
          <w:color w:val="auto"/>
        </w:rPr>
        <w:t>Other Borrowers</w:t>
      </w:r>
      <w:r>
        <w:rPr>
          <w:rFonts w:ascii="Arial" w:cs="Arial" w:eastAsia="Arial" w:hAnsi="Arial"/>
          <w:sz w:val="17"/>
          <w:szCs w:val="17"/>
          <w:color w:val="auto"/>
        </w:rPr>
        <w:t xml:space="preserve">”, (b) the Requesting Borrower shall be severally (and not jointly) liable under this Agreement for the repayment, prepayment, reimbursement, cash collateral and other obligations (including fees and interest) associated with such Loans and/or Letter of Credit, and (c) no Other Borrower shall be a co-debtor with the Requesting Borrower with respect to such Loans or Letter of Credit or be in any way primarily liable under this Agreement for such Loans or Letter of Credit or the repayment, prepayment, reimbursement, cash collateral or other obligations (including fees and interest) associated with such Loans or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forgoing limitations shall not affect (i) any obligations of any such Other Borrower with respect to any other Loans or Letters of Credit (and the related repayment, prepayment, reimbursement and other obligations with respect thereto) for which it is a “Requesting Borrower” or (ii) any obligations of any such Other Borrower under the Affiliate Guaranty.</w:t>
      </w:r>
    </w:p>
    <w:p>
      <w:pPr>
        <w:spacing w:after="0" w:line="18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(b)            Notwithstanding any payment or payments made by a Borrower (a “</w:t>
      </w:r>
      <w:r>
        <w:rPr>
          <w:rFonts w:ascii="Arial" w:cs="Arial" w:eastAsia="Arial" w:hAnsi="Arial"/>
          <w:sz w:val="16"/>
          <w:szCs w:val="16"/>
          <w:u w:val="single" w:color="auto"/>
          <w:color w:val="auto"/>
        </w:rPr>
        <w:t>Paying Borrower</w:t>
      </w:r>
      <w:r>
        <w:rPr>
          <w:rFonts w:ascii="Arial" w:cs="Arial" w:eastAsia="Arial" w:hAnsi="Arial"/>
          <w:sz w:val="16"/>
          <w:szCs w:val="16"/>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tabs>
          <w:tab w:leader="none" w:pos="20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            Notwithstanding any provision of any Loan Document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            facility fees shall cease to accrue on the unfunded portion of the Commitment of such Defaulting Lender pursuant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11" w:lineRule="exact"/>
        <w:rPr>
          <w:sz w:val="20"/>
          <w:szCs w:val="20"/>
          <w:color w:val="auto"/>
        </w:rPr>
      </w:pPr>
    </w:p>
    <w:p>
      <w:pPr>
        <w:jc w:val="both"/>
        <w:ind w:left="660" w:firstLine="1296"/>
        <w:spacing w:after="0" w:line="279" w:lineRule="auto"/>
        <w:rPr>
          <w:sz w:val="20"/>
          <w:szCs w:val="20"/>
          <w:color w:val="auto"/>
        </w:rPr>
      </w:pPr>
      <w:r>
        <w:rPr>
          <w:rFonts w:ascii="Arial" w:cs="Arial" w:eastAsia="Arial" w:hAnsi="Arial"/>
          <w:sz w:val="17"/>
          <w:szCs w:val="17"/>
          <w:color w:val="auto"/>
        </w:rPr>
        <w:t xml:space="preserve">(ii)            the Total Credit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the vote of a Defaulting Lender in the case of an amendment, waiver or other modification described in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for which such Defaulting Lender’s consent is expressly required;</w:t>
      </w:r>
    </w:p>
    <w:p>
      <w:pPr>
        <w:spacing w:after="0" w:line="171" w:lineRule="exact"/>
        <w:rPr>
          <w:sz w:val="20"/>
          <w:szCs w:val="20"/>
          <w:color w:val="auto"/>
        </w:rPr>
      </w:pPr>
    </w:p>
    <w:p>
      <w:pPr>
        <w:jc w:val="both"/>
        <w:ind w:left="660" w:firstLine="1296"/>
        <w:spacing w:after="0" w:line="284" w:lineRule="auto"/>
        <w:rPr>
          <w:sz w:val="20"/>
          <w:szCs w:val="20"/>
          <w:color w:val="auto"/>
        </w:rPr>
      </w:pPr>
      <w:r>
        <w:rPr>
          <w:rFonts w:ascii="Arial" w:cs="Arial" w:eastAsia="Arial" w:hAnsi="Arial"/>
          <w:sz w:val="16"/>
          <w:szCs w:val="16"/>
          <w:color w:val="auto"/>
        </w:rPr>
        <w:t xml:space="preserve">(iii)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the Issuing Banks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LC Exposure of such Defaulting Lender as set forth in clause (a)(iv) below;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Borrowers, to cash collateralize LC Exposure with respect to such Defaulting Lender with respect to future Letters of Credit issued under this Agreement, in accordance with </w:t>
      </w:r>
      <w:r>
        <w:rPr>
          <w:rFonts w:ascii="Arial" w:cs="Arial" w:eastAsia="Arial" w:hAnsi="Arial"/>
          <w:sz w:val="16"/>
          <w:szCs w:val="16"/>
          <w:u w:val="single" w:color="auto"/>
          <w:color w:val="auto"/>
        </w:rPr>
        <w:t>clause (a)(v)</w:t>
      </w:r>
      <w:r>
        <w:rPr>
          <w:rFonts w:ascii="Arial" w:cs="Arial" w:eastAsia="Arial" w:hAnsi="Arial"/>
          <w:sz w:val="16"/>
          <w:szCs w:val="16"/>
          <w:color w:val="auto"/>
        </w:rPr>
        <w:t xml:space="preserve"> below;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(1) such payment is a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were satisfied or waived, such payment shall be applied solely to pay the Loans of, and funded participations in Letters of Credit owed to, all Non-Defaulting Lenders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funded participations in Letters of Credit owed to, such Defaulting Lender until such time as all Loans and funded and unfunded participations in Letters of Credit are held by the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Aggregate Commitments without giving effect to </w:t>
      </w:r>
      <w:r>
        <w:rPr>
          <w:rFonts w:ascii="Arial" w:cs="Arial" w:eastAsia="Arial" w:hAnsi="Arial"/>
          <w:sz w:val="16"/>
          <w:szCs w:val="16"/>
          <w:u w:val="single" w:color="auto"/>
          <w:color w:val="auto"/>
        </w:rPr>
        <w:t>Section 4.11(a)(iv)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4.11(a)(iii)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840"/>
        <w:spacing w:after="0"/>
        <w:rPr>
          <w:sz w:val="20"/>
          <w:szCs w:val="20"/>
          <w:color w:val="auto"/>
        </w:rPr>
      </w:pPr>
      <w:r>
        <w:rPr>
          <w:rFonts w:ascii="Arial" w:cs="Arial" w:eastAsia="Arial" w:hAnsi="Arial"/>
          <w:sz w:val="18"/>
          <w:szCs w:val="18"/>
          <w:color w:val="auto"/>
        </w:rPr>
        <w:t>(iv)            if any LC Exposure exists at the time such Lender becomes a Defaulting Lender, then:</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010000"/>
        </w:rPr>
        <w:t xml:space="preserve">(A)            </w:t>
      </w:r>
      <w:r>
        <w:rPr>
          <w:rFonts w:ascii="Arial" w:cs="Arial" w:eastAsia="Arial" w:hAnsi="Arial"/>
          <w:sz w:val="17"/>
          <w:szCs w:val="17"/>
          <w:color w:val="000000"/>
        </w:rPr>
        <w:t>all or any part of LC Exposure of such Defaulting Lender shall be automatically reallocated (effective as of</w:t>
      </w:r>
      <w:r>
        <w:rPr>
          <w:rFonts w:ascii="Arial" w:cs="Arial" w:eastAsia="Arial" w:hAnsi="Arial"/>
          <w:sz w:val="17"/>
          <w:szCs w:val="17"/>
          <w:color w:val="010000"/>
        </w:rPr>
        <w:t xml:space="preserve"> </w:t>
      </w:r>
      <w:r>
        <w:rPr>
          <w:rFonts w:ascii="Arial" w:cs="Arial" w:eastAsia="Arial" w:hAnsi="Arial"/>
          <w:sz w:val="17"/>
          <w:szCs w:val="17"/>
          <w:color w:val="000000"/>
        </w:rPr>
        <w:t>the date such Lender becomes a Defaulting Lender) among the non-Defaulting Lenders in accordance with their respective Applicable Percentages (LCs) (provided that Revolving LC Exposure shall be so reallocated in accordance with such Lenders’ Applicable Percentage (LCs) as specified in clause (b) of the definition thereof), but only to the extent that (v) each non-Defaulting Lender’s Revolving Credit Exposure does not exceed the Total Revolving Commitments of such non-Defaulting Lender, (w) each non-Defaulting Lender’s LC Exposure (less such Lender’s Revolving LC Exposure) does not exceed the Performance LC Commitment of such non-Defaulting Lender, (x) the sum of all non-Defaulting Lenders’ Revolving Credit Exposure does not exceed the total of all non-Defaulting Lenders’ Total Revolving Commitments, (y) the sum of all non-Defaulting Lenders’ LC Exposure (less amounts attributable to Revolving LC Exposure) does not exceed the total of all non-Defaulting Lenders’ Performance LC Commitments and (z) no Event of Default has occurred and is continuing;</w:t>
      </w:r>
    </w:p>
    <w:p>
      <w:pPr>
        <w:spacing w:after="0" w:line="185" w:lineRule="exact"/>
        <w:rPr>
          <w:sz w:val="20"/>
          <w:szCs w:val="20"/>
          <w:color w:val="auto"/>
        </w:rPr>
      </w:pPr>
    </w:p>
    <w:p>
      <w:pPr>
        <w:jc w:val="both"/>
        <w:ind w:left="180" w:firstLine="1296"/>
        <w:spacing w:after="0" w:line="293" w:lineRule="auto"/>
        <w:rPr>
          <w:sz w:val="20"/>
          <w:szCs w:val="20"/>
          <w:color w:val="auto"/>
        </w:rPr>
      </w:pPr>
      <w:r>
        <w:rPr>
          <w:rFonts w:ascii="Arial" w:cs="Arial" w:eastAsia="Arial" w:hAnsi="Arial"/>
          <w:sz w:val="16"/>
          <w:szCs w:val="16"/>
          <w:color w:val="010000"/>
        </w:rPr>
        <w:t xml:space="preserve">(B)            </w:t>
      </w:r>
      <w:r>
        <w:rPr>
          <w:rFonts w:ascii="Arial" w:cs="Arial" w:eastAsia="Arial" w:hAnsi="Arial"/>
          <w:sz w:val="16"/>
          <w:szCs w:val="16"/>
          <w:color w:val="000000"/>
        </w:rPr>
        <w:t>if the reallocation described in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clause (A)</w:t>
      </w:r>
      <w:r>
        <w:rPr>
          <w:rFonts w:ascii="Arial" w:cs="Arial" w:eastAsia="Arial" w:hAnsi="Arial"/>
          <w:sz w:val="16"/>
          <w:szCs w:val="16"/>
          <w:color w:val="010000"/>
        </w:rPr>
        <w:t xml:space="preserve"> </w:t>
      </w:r>
      <w:r>
        <w:rPr>
          <w:rFonts w:ascii="Arial" w:cs="Arial" w:eastAsia="Arial" w:hAnsi="Arial"/>
          <w:sz w:val="16"/>
          <w:szCs w:val="16"/>
          <w:color w:val="000000"/>
        </w:rPr>
        <w:t>above cannot, or can only partially, be effected, the Borrowers shall,</w:t>
      </w:r>
      <w:r>
        <w:rPr>
          <w:rFonts w:ascii="Arial" w:cs="Arial" w:eastAsia="Arial" w:hAnsi="Arial"/>
          <w:sz w:val="16"/>
          <w:szCs w:val="16"/>
          <w:color w:val="010000"/>
        </w:rPr>
        <w:t xml:space="preserve"> </w:t>
      </w:r>
      <w:r>
        <w:rPr>
          <w:rFonts w:ascii="Arial" w:cs="Arial" w:eastAsia="Arial" w:hAnsi="Arial"/>
          <w:sz w:val="16"/>
          <w:szCs w:val="16"/>
          <w:color w:val="000000"/>
        </w:rPr>
        <w:t xml:space="preserve">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above) in accordance with the procedures set forth in </w:t>
      </w:r>
      <w:r>
        <w:rPr>
          <w:rFonts w:ascii="Arial" w:cs="Arial" w:eastAsia="Arial" w:hAnsi="Arial"/>
          <w:sz w:val="16"/>
          <w:szCs w:val="16"/>
          <w:u w:val="single" w:color="auto"/>
          <w:color w:val="000000"/>
        </w:rPr>
        <w:t>Section 3.01(k)(i)</w:t>
      </w:r>
      <w:r>
        <w:rPr>
          <w:rFonts w:ascii="Arial" w:cs="Arial" w:eastAsia="Arial" w:hAnsi="Arial"/>
          <w:sz w:val="16"/>
          <w:szCs w:val="16"/>
          <w:color w:val="000000"/>
        </w:rPr>
        <w:t xml:space="preserve"> (and the cash so deposited shall be held, invested and applied by </w:t>
      </w:r>
      <w:r>
        <w:rPr>
          <w:rFonts w:ascii="Arial" w:cs="Arial" w:eastAsia="Arial" w:hAnsi="Arial"/>
          <w:sz w:val="16"/>
          <w:szCs w:val="16"/>
          <w:b w:val="1"/>
          <w:bCs w:val="1"/>
          <w:color w:val="FF0000"/>
          <w:strike w:val="1"/>
        </w:rPr>
        <w:t>such Issuing Bank</w:t>
      </w:r>
      <w:r>
        <w:rPr>
          <w:rFonts w:ascii="Arial" w:cs="Arial" w:eastAsia="Arial" w:hAnsi="Arial"/>
          <w:sz w:val="16"/>
          <w:szCs w:val="16"/>
          <w:b w:val="1"/>
          <w:bCs w:val="1"/>
          <w:u w:val="single" w:color="auto"/>
          <w:color w:val="0000FF"/>
        </w:rPr>
        <w:t>the Administrative Agent</w:t>
      </w:r>
      <w:r>
        <w:rPr>
          <w:rFonts w:ascii="Arial" w:cs="Arial" w:eastAsia="Arial" w:hAnsi="Arial"/>
          <w:sz w:val="16"/>
          <w:szCs w:val="16"/>
          <w:color w:val="000000"/>
        </w:rPr>
        <w:t xml:space="preserve"> in a manner consistent with the investment and other procedures described in </w:t>
      </w:r>
      <w:r>
        <w:rPr>
          <w:rFonts w:ascii="Arial" w:cs="Arial" w:eastAsia="Arial" w:hAnsi="Arial"/>
          <w:sz w:val="16"/>
          <w:szCs w:val="16"/>
          <w:u w:val="single" w:color="auto"/>
          <w:color w:val="000000"/>
        </w:rPr>
        <w:t>Section 3.01(k)</w:t>
      </w:r>
      <w:r>
        <w:rPr>
          <w:rFonts w:ascii="Arial" w:cs="Arial" w:eastAsia="Arial" w:hAnsi="Arial"/>
          <w:sz w:val="16"/>
          <w:szCs w:val="16"/>
          <w:color w:val="000000"/>
        </w:rPr>
        <w:t>) for so long as such LC Exposure is outstanding;</w:t>
      </w:r>
    </w:p>
    <w:p>
      <w:pPr>
        <w:spacing w:after="0" w:line="164" w:lineRule="exact"/>
        <w:rPr>
          <w:sz w:val="20"/>
          <w:szCs w:val="20"/>
          <w:color w:val="auto"/>
        </w:rPr>
      </w:pPr>
    </w:p>
    <w:p>
      <w:pPr>
        <w:jc w:val="both"/>
        <w:ind w:left="180" w:firstLine="1296"/>
        <w:spacing w:after="0" w:line="286" w:lineRule="auto"/>
        <w:rPr>
          <w:sz w:val="20"/>
          <w:szCs w:val="20"/>
          <w:color w:val="auto"/>
        </w:rPr>
      </w:pPr>
      <w:r>
        <w:rPr>
          <w:rFonts w:ascii="Arial" w:cs="Arial" w:eastAsia="Arial" w:hAnsi="Arial"/>
          <w:sz w:val="17"/>
          <w:szCs w:val="17"/>
          <w:color w:val="010000"/>
        </w:rPr>
        <w:t xml:space="preserve">(C)            </w:t>
      </w:r>
      <w:r>
        <w:rPr>
          <w:rFonts w:ascii="Arial" w:cs="Arial" w:eastAsia="Arial" w:hAnsi="Arial"/>
          <w:sz w:val="17"/>
          <w:szCs w:val="17"/>
          <w:color w:val="000000"/>
        </w:rPr>
        <w:t>if the Borrowers cash collateralize any portion of such Defaulting Lender’s LC Exposure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clause (B)</w:t>
      </w:r>
      <w:r>
        <w:rPr>
          <w:rFonts w:ascii="Arial" w:cs="Arial" w:eastAsia="Arial" w:hAnsi="Arial"/>
          <w:sz w:val="17"/>
          <w:szCs w:val="17"/>
          <w:color w:val="000000"/>
        </w:rPr>
        <w:t xml:space="preserve"> above, the Borrowers shall not be required to pay any fees to such Defaulting Lender pursuant to </w:t>
      </w:r>
      <w:r>
        <w:rPr>
          <w:rFonts w:ascii="Arial" w:cs="Arial" w:eastAsia="Arial" w:hAnsi="Arial"/>
          <w:sz w:val="17"/>
          <w:szCs w:val="17"/>
          <w:u w:val="single" w:color="auto"/>
          <w:color w:val="000000"/>
        </w:rPr>
        <w:t>Section 4.05(b)(i)</w:t>
      </w:r>
      <w:r>
        <w:rPr>
          <w:rFonts w:ascii="Arial" w:cs="Arial" w:eastAsia="Arial" w:hAnsi="Arial"/>
          <w:sz w:val="17"/>
          <w:szCs w:val="17"/>
          <w:color w:val="000000"/>
        </w:rPr>
        <w:t xml:space="preserve"> with respect to such Defaulting Lender’s LC Exposure during the period such Defaulting Lender’s LC Exposure is cash collateralized;</w:t>
      </w:r>
    </w:p>
    <w:p>
      <w:pPr>
        <w:spacing w:after="0" w:line="38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5" w:name="page156"/>
    <w:bookmarkEnd w:id="155"/>
    <w:p>
      <w:pPr>
        <w:jc w:val="both"/>
        <w:ind w:left="1300" w:firstLine="1296"/>
        <w:spacing w:after="0" w:line="263" w:lineRule="auto"/>
        <w:rPr>
          <w:sz w:val="20"/>
          <w:szCs w:val="20"/>
          <w:color w:val="auto"/>
        </w:rPr>
      </w:pPr>
      <w:r>
        <w:rPr>
          <w:rFonts w:ascii="Arial" w:cs="Arial" w:eastAsia="Arial" w:hAnsi="Arial"/>
          <w:sz w:val="18"/>
          <w:szCs w:val="18"/>
          <w:color w:val="010000"/>
        </w:rPr>
        <w:t xml:space="preserve">(D)            </w:t>
      </w:r>
      <w:r>
        <w:rPr>
          <w:rFonts w:ascii="Arial" w:cs="Arial" w:eastAsia="Arial" w:hAnsi="Arial"/>
          <w:sz w:val="18"/>
          <w:szCs w:val="18"/>
          <w:color w:val="000000"/>
        </w:rPr>
        <w:t>if the LC Exposure of the non-Defaulting Lenders is reallocated pursuant to</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clause (A)</w:t>
      </w:r>
      <w:r>
        <w:rPr>
          <w:rFonts w:ascii="Arial" w:cs="Arial" w:eastAsia="Arial" w:hAnsi="Arial"/>
          <w:sz w:val="18"/>
          <w:szCs w:val="18"/>
          <w:color w:val="010000"/>
        </w:rPr>
        <w:t xml:space="preserve"> </w:t>
      </w:r>
      <w:r>
        <w:rPr>
          <w:rFonts w:ascii="Arial" w:cs="Arial" w:eastAsia="Arial" w:hAnsi="Arial"/>
          <w:sz w:val="18"/>
          <w:szCs w:val="18"/>
          <w:color w:val="000000"/>
        </w:rPr>
        <w:t>above, then the Letter</w:t>
      </w:r>
      <w:r>
        <w:rPr>
          <w:rFonts w:ascii="Arial" w:cs="Arial" w:eastAsia="Arial" w:hAnsi="Arial"/>
          <w:sz w:val="18"/>
          <w:szCs w:val="18"/>
          <w:color w:val="010000"/>
        </w:rPr>
        <w:t xml:space="preserve"> </w:t>
      </w:r>
      <w:r>
        <w:rPr>
          <w:rFonts w:ascii="Arial" w:cs="Arial" w:eastAsia="Arial" w:hAnsi="Arial"/>
          <w:sz w:val="18"/>
          <w:szCs w:val="18"/>
          <w:color w:val="000000"/>
        </w:rPr>
        <w:t xml:space="preserve">of Credit participation fees payable to the Lenders pursuant to </w:t>
      </w:r>
      <w:r>
        <w:rPr>
          <w:rFonts w:ascii="Arial" w:cs="Arial" w:eastAsia="Arial" w:hAnsi="Arial"/>
          <w:sz w:val="18"/>
          <w:szCs w:val="18"/>
          <w:u w:val="single" w:color="auto"/>
          <w:color w:val="000000"/>
        </w:rPr>
        <w:t>Section 4.05(b)(i)</w:t>
      </w:r>
      <w:r>
        <w:rPr>
          <w:rFonts w:ascii="Arial" w:cs="Arial" w:eastAsia="Arial" w:hAnsi="Arial"/>
          <w:sz w:val="18"/>
          <w:szCs w:val="18"/>
          <w:color w:val="000000"/>
        </w:rPr>
        <w:t xml:space="preserve"> shall be adjusted in accordance with such non-Defaulting Lenders’ Applicable Percentages (LCs) after giving effect to such reallocation; and</w:t>
      </w:r>
    </w:p>
    <w:p>
      <w:pPr>
        <w:spacing w:after="0" w:line="184" w:lineRule="exact"/>
        <w:rPr>
          <w:sz w:val="20"/>
          <w:szCs w:val="20"/>
          <w:color w:val="auto"/>
        </w:rPr>
      </w:pPr>
    </w:p>
    <w:p>
      <w:pPr>
        <w:jc w:val="both"/>
        <w:ind w:left="1300" w:firstLine="1296"/>
        <w:spacing w:after="0" w:line="291" w:lineRule="auto"/>
        <w:rPr>
          <w:sz w:val="20"/>
          <w:szCs w:val="20"/>
          <w:color w:val="auto"/>
        </w:rPr>
      </w:pPr>
      <w:r>
        <w:rPr>
          <w:rFonts w:ascii="Arial" w:cs="Arial" w:eastAsia="Arial" w:hAnsi="Arial"/>
          <w:sz w:val="16"/>
          <w:szCs w:val="16"/>
          <w:color w:val="010000"/>
        </w:rPr>
        <w:t xml:space="preserve">(E)            </w:t>
      </w:r>
      <w:r>
        <w:rPr>
          <w:rFonts w:ascii="Arial" w:cs="Arial" w:eastAsia="Arial" w:hAnsi="Arial"/>
          <w:sz w:val="16"/>
          <w:szCs w:val="16"/>
          <w:color w:val="000000"/>
        </w:rPr>
        <w:t>if all or any portion of such Defaulting Lender’s LC Exposure is neither reallocated nor cash collateralized</w:t>
      </w:r>
      <w:r>
        <w:rPr>
          <w:rFonts w:ascii="Arial" w:cs="Arial" w:eastAsia="Arial" w:hAnsi="Arial"/>
          <w:sz w:val="16"/>
          <w:szCs w:val="16"/>
          <w:color w:val="010000"/>
        </w:rPr>
        <w:t xml:space="preserve"> </w:t>
      </w:r>
      <w:r>
        <w:rPr>
          <w:rFonts w:ascii="Arial" w:cs="Arial" w:eastAsia="Arial" w:hAnsi="Arial"/>
          <w:sz w:val="16"/>
          <w:szCs w:val="16"/>
          <w:color w:val="000000"/>
        </w:rPr>
        <w:t xml:space="preserve">pursuant to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16"/>
          <w:szCs w:val="16"/>
          <w:u w:val="single" w:color="auto"/>
          <w:color w:val="000000"/>
        </w:rPr>
        <w:t>Section 4.05(a)</w:t>
      </w:r>
      <w:r>
        <w:rPr>
          <w:rFonts w:ascii="Arial" w:cs="Arial" w:eastAsia="Arial" w:hAnsi="Arial"/>
          <w:sz w:val="16"/>
          <w:szCs w:val="16"/>
          <w:color w:val="000000"/>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16"/>
          <w:szCs w:val="16"/>
          <w:u w:val="single" w:color="auto"/>
          <w:color w:val="000000"/>
        </w:rPr>
        <w:t>Section 4.05(b)(i)</w:t>
      </w:r>
      <w:r>
        <w:rPr>
          <w:rFonts w:ascii="Arial" w:cs="Arial" w:eastAsia="Arial" w:hAnsi="Arial"/>
          <w:sz w:val="16"/>
          <w:szCs w:val="16"/>
          <w:color w:val="000000"/>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Arial" w:cs="Arial" w:eastAsia="Arial" w:hAnsi="Arial"/>
          <w:sz w:val="16"/>
          <w:szCs w:val="16"/>
          <w:u w:val="single" w:color="auto"/>
          <w:color w:val="000000"/>
        </w:rPr>
        <w:t>clause (A)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above; and</w:t>
      </w:r>
    </w:p>
    <w:p>
      <w:pPr>
        <w:spacing w:after="0" w:line="166" w:lineRule="exact"/>
        <w:rPr>
          <w:sz w:val="20"/>
          <w:szCs w:val="20"/>
          <w:color w:val="auto"/>
        </w:rPr>
      </w:pPr>
    </w:p>
    <w:p>
      <w:pPr>
        <w:jc w:val="both"/>
        <w:ind w:left="660" w:firstLine="1296"/>
        <w:spacing w:after="0" w:line="275" w:lineRule="auto"/>
        <w:rPr>
          <w:sz w:val="20"/>
          <w:szCs w:val="20"/>
          <w:color w:val="auto"/>
        </w:rPr>
      </w:pPr>
      <w:r>
        <w:rPr>
          <w:rFonts w:ascii="Arial" w:cs="Arial" w:eastAsia="Arial" w:hAnsi="Arial"/>
          <w:sz w:val="17"/>
          <w:szCs w:val="17"/>
          <w:color w:val="auto"/>
        </w:rPr>
        <w:t xml:space="preserve">(v)            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17"/>
          <w:szCs w:val="17"/>
          <w:u w:val="single" w:color="auto"/>
          <w:color w:val="auto"/>
        </w:rPr>
        <w:t>Section 4.11(a)(iv)(B)</w:t>
      </w:r>
      <w:r>
        <w:rPr>
          <w:rFonts w:ascii="Arial" w:cs="Arial" w:eastAsia="Arial" w:hAnsi="Arial"/>
          <w:sz w:val="17"/>
          <w:szCs w:val="17"/>
          <w:color w:val="auto"/>
        </w:rPr>
        <w:t xml:space="preserve">, and participating interests in any newly issued or increased Letter of Credit shall be allocated among non-Defaulting Lenders in a manner consistent with </w:t>
      </w:r>
      <w:r>
        <w:rPr>
          <w:rFonts w:ascii="Arial" w:cs="Arial" w:eastAsia="Arial" w:hAnsi="Arial"/>
          <w:sz w:val="17"/>
          <w:szCs w:val="17"/>
          <w:u w:val="single" w:color="auto"/>
          <w:color w:val="auto"/>
        </w:rPr>
        <w:t>Section 4.11(a)(iv)(A)</w:t>
      </w:r>
      <w:r>
        <w:rPr>
          <w:rFonts w:ascii="Arial" w:cs="Arial" w:eastAsia="Arial" w:hAnsi="Arial"/>
          <w:sz w:val="17"/>
          <w:szCs w:val="17"/>
          <w:color w:val="auto"/>
        </w:rPr>
        <w:t xml:space="preserve"> (and such Defaulting Lender shall not participate therein);</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The rights and remedies against, and with respect to, a Defaulting Lender under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In the event that the Administrative Agent, the Borrowers, and the Issuing Banks agree in writing that a Defaulting Lender has adequately remedied all matters that caused such Lender to be a Defaulting Lender, then the Total Credit Exposures of the Lenders shall be readjusted to reflect the inclusion of such Lender’s Commitment.</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b w:val="1"/>
          <w:bCs w:val="1"/>
          <w:u w:val="single" w:color="auto"/>
          <w:color w:val="FF0000"/>
          <w:strike w:val="1"/>
        </w:rPr>
        <w:t>Retranching of Revolving Credit Commitments and Performance LC Commitments</w:t>
      </w:r>
      <w:r>
        <w:rPr>
          <w:rFonts w:ascii="Arial" w:cs="Arial" w:eastAsia="Arial" w:hAnsi="Arial"/>
          <w:sz w:val="16"/>
          <w:szCs w:val="16"/>
          <w:b w:val="1"/>
          <w:bCs w:val="1"/>
          <w:u w:val="single" w:color="auto"/>
          <w:color w:val="0000FF"/>
          <w:strike w:val="1"/>
        </w:rPr>
        <w:t>Additional Alternative Currencies</w:t>
      </w:r>
      <w:r>
        <w:rPr>
          <w:rFonts w:ascii="Arial" w:cs="Arial" w:eastAsia="Arial" w:hAnsi="Arial"/>
          <w:sz w:val="16"/>
          <w:szCs w:val="16"/>
          <w:color w:val="000000"/>
          <w:strike w:val="1"/>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u w:val="single" w:color="auto"/>
          <w:color w:val="0000FF"/>
        </w:rPr>
        <w:t>(a)            The Borrowers may from time to time request that (i) Loans be made in a currency other than those specifically listed in clause (a) of the definition of “Alternative Currency” and/or (ii) Letters of Credit be issued in a currency other than those specifically listed in clauses (a) and (b) of the definition of “Alternative Currency”; provided that such requested currency is (A) a lawful currency (other than Dollars) that is readily available and freely transferable and convertible into Dollars, (B) dealt with in the London or other applicable offshore interbank deposit market and (C) for which no central bank or other governmental authorization in the country of issue of such currency is required to give authorization for the use of such currency by any Lender for making Loans or any Issuing Bank for issuing Letters of Credit, as applicable, unless such authorization has been obtained and remains in full force and effect. In the case of any such request with respect to the making of Loans, such request shall be subject to the approval of the Administrative Agent and the Lenders (such approval not to be unreasonably withheld), and in the case of any such request with respect to the issuance of Letters of Credit, such request shall be subject to the approval of the Administrative Agent and the applicable Issuing Bank or Issuing Banks (such approval not to be unreasonably withheld).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1296"/>
        <w:spacing w:after="0" w:line="268" w:lineRule="auto"/>
        <w:rPr>
          <w:sz w:val="20"/>
          <w:szCs w:val="20"/>
          <w:color w:val="auto"/>
        </w:rPr>
      </w:pPr>
      <w:r>
        <w:rPr>
          <w:rFonts w:ascii="Arial" w:cs="Arial" w:eastAsia="Arial" w:hAnsi="Arial"/>
          <w:sz w:val="17"/>
          <w:szCs w:val="17"/>
          <w:b w:val="1"/>
          <w:bCs w:val="1"/>
          <w:u w:val="single" w:color="auto"/>
          <w:color w:val="0000FF"/>
        </w:rPr>
        <w:t>(b)            Any such request shall be made to the Administrative Agent not later than 11:00 a.m., (i) with respect to a request for an additional Alternative Currency (other than solely for the issuance of Letters of Credit), ten (10) Business Days prior to the date of the desired Extension of Credit (or such other time or date as may be agreed by the Administrative Agent in its sole discretion) or (ii) with respect to a request for an additional Alternative Currency for issuance of Letters of Credit, five (5) Business Days prior to the date of the desired Letter of Credit (or such other time or date as may be agreed by the applicable Issuing Bank, in its sole discretion with notice to the Administrative Agent). Each such request shall also identify the applicable benchmark rate that is to apply to Obligations, interest, fees, commissions or other amounts denominated in, or calculated with respect to, such requested additional Alternative Currency. In the case of any such request pertaining to Loans, the Administrative Agent shall promptly notify each Lender thereof, and in the case of any such request pertaining to Letters of Credit, the Administrative Agent shall promptly notify the Issuing Bank thereof. Each Lender (in the case of any such request pertaining to Loans) shall notify the Administrative Agent, not later than 11:00 a.m., five (5) Business Days after receipt of such request whether it consents, in its sole discretion, to the making of Loans in such requested currency and the usage of such benchmark rate. The applicable Issuing Bank (in the case of a request pertaining to Letters of Credit) shall notify the Administrative Agent, not later than 11:00 a.m., three (3) Business Days after receipt of such request whether it consents, in its sole discretion, to the issuance of Letters of Credit in such requested currency and the usage of such benchmark rate.</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u w:val="single" w:color="auto"/>
          <w:color w:val="0000FF"/>
        </w:rPr>
        <w:t xml:space="preserve">Any failure by a Lender </w:t>
      </w:r>
      <w:r>
        <w:rPr>
          <w:rFonts w:ascii="Arial" w:cs="Arial" w:eastAsia="Arial" w:hAnsi="Arial"/>
          <w:sz w:val="16"/>
          <w:szCs w:val="16"/>
          <w:i w:val="1"/>
          <w:iCs w:val="1"/>
          <w:u w:val="single" w:color="auto"/>
          <w:color w:val="008000"/>
        </w:rPr>
        <w:t>or the applicable Issuing Bank, as the case may be</w:t>
      </w:r>
      <w:r>
        <w:rPr>
          <w:rFonts w:ascii="Arial" w:cs="Arial" w:eastAsia="Arial" w:hAnsi="Arial"/>
          <w:sz w:val="16"/>
          <w:szCs w:val="16"/>
          <w:b w:val="1"/>
          <w:bCs w:val="1"/>
          <w:u w:val="single" w:color="auto"/>
          <w:color w:val="0000FF"/>
        </w:rPr>
        <w:t>, to respond to such request within the time period specified in the preceding sentence shall be deemed to be a refusal by such Lender or the applicable Issuing Bank, as the case may be, to permit Loans to be made or Letters of Credit to be issued in such requested currency and such benchmark rate to be used. If the Administrative Agent and all the Lenders consent to making Loans in such requested currency and using such benchmark rate, the Administrative Agent shall so notify the Borrowers and such currency shall thereupon be deemed for all purposes to be an Alternative Currency hereunder for purposes of any borrowings of Loans; and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by such Issuing Bank. If the Administrative Agent shall fail to obtain consent to any request for an additional currency under this Section 4.12, the Administrative Agent shall promptly so notify the Borrowers.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48"/>
        <w:spacing w:after="0" w:line="256" w:lineRule="auto"/>
        <w:rPr>
          <w:sz w:val="20"/>
          <w:szCs w:val="20"/>
          <w:color w:val="auto"/>
        </w:rPr>
      </w:pPr>
      <w:r>
        <w:rPr>
          <w:rFonts w:ascii="Arial" w:cs="Arial" w:eastAsia="Arial" w:hAnsi="Arial"/>
          <w:sz w:val="18"/>
          <w:szCs w:val="18"/>
          <w:b w:val="1"/>
          <w:bCs w:val="1"/>
          <w:u w:val="single" w:color="auto"/>
          <w:color w:val="0000FF"/>
        </w:rPr>
        <w:t>In connection with any approved request for an Alternative Currency, the Administrative Agent will have the right to make any technical, administrative or operational changes that the Administrative Agent decides may be appropriate to reflect the inclusion of such Alternative Currency and the adoption and implementation of the benchmark rate applicable thereto and to permit the administration thereof by the Administrative Agent from time to time and, notwithstanding anything to the contrary herein or in any other Loan Document, any amendments implementing such changes will become effective without any further action or consent of any other party to this Agreement or any other Loan Document.</w:t>
      </w:r>
    </w:p>
    <w:p>
      <w:pPr>
        <w:spacing w:after="0" w:line="187" w:lineRule="exact"/>
        <w:rPr>
          <w:sz w:val="20"/>
          <w:szCs w:val="20"/>
          <w:color w:val="auto"/>
        </w:rPr>
      </w:pPr>
    </w:p>
    <w:p>
      <w:pPr>
        <w:jc w:val="both"/>
        <w:ind w:firstLine="1304"/>
        <w:spacing w:after="0" w:line="293" w:lineRule="auto"/>
        <w:tabs>
          <w:tab w:leader="none" w:pos="1551" w:val="left"/>
        </w:tabs>
        <w:numPr>
          <w:ilvl w:val="0"/>
          <w:numId w:val="72"/>
        </w:numPr>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FF0000"/>
          <w:strike w:val="1"/>
        </w:rPr>
        <w:t>Initial Retranching</w:t>
      </w:r>
      <w:r>
        <w:rPr>
          <w:rFonts w:ascii="Arial" w:cs="Arial" w:eastAsia="Arial" w:hAnsi="Arial"/>
          <w:sz w:val="16"/>
          <w:szCs w:val="16"/>
          <w:b w:val="1"/>
          <w:bCs w:val="1"/>
          <w:color w:val="FF0000"/>
          <w:strike w:val="1"/>
        </w:rPr>
        <w:t>. Subject to the terms and conditions set forth below, at any time after the</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i w:val="1"/>
          <w:iCs w:val="1"/>
          <w:u w:val="single" w:color="auto"/>
          <w:color w:val="008000"/>
          <w:strike w:val="1"/>
        </w:rPr>
        <w:t>Leverage Ratio (calculated as of</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i w:val="1"/>
          <w:iCs w:val="1"/>
          <w:u w:val="single" w:color="auto"/>
          <w:color w:val="008000"/>
          <w:strike w:val="1"/>
        </w:rPr>
        <w:t>the last day of the most recently ended period for which financial statements are available</w:t>
      </w:r>
      <w:r>
        <w:rPr>
          <w:rFonts w:ascii="Arial" w:cs="Arial" w:eastAsia="Arial" w:hAnsi="Arial"/>
          <w:sz w:val="16"/>
          <w:szCs w:val="16"/>
          <w:b w:val="1"/>
          <w:bCs w:val="1"/>
          <w:color w:val="FF0000"/>
          <w:strike w:val="1"/>
        </w:rPr>
        <w:t>) is less than 3.00 to 1.00 for two (2) consecutive Fiscal</w:t>
      </w:r>
    </w:p>
    <w:p>
      <w:pPr>
        <w:spacing w:after="0" w:line="1" w:lineRule="exact"/>
        <w:rPr>
          <w:rFonts w:ascii="Arial" w:cs="Arial" w:eastAsia="Arial" w:hAnsi="Arial"/>
          <w:sz w:val="16"/>
          <w:szCs w:val="16"/>
          <w:b w:val="1"/>
          <w:bCs w:val="1"/>
          <w:color w:val="FF0000"/>
          <w:strike w:val="1"/>
        </w:rPr>
      </w:pPr>
    </w:p>
    <w:p>
      <w:pPr>
        <w:jc w:val="both"/>
        <w:spacing w:after="0" w:line="253" w:lineRule="auto"/>
        <w:rPr>
          <w:rFonts w:ascii="Arial" w:cs="Arial" w:eastAsia="Arial" w:hAnsi="Arial"/>
          <w:sz w:val="16"/>
          <w:szCs w:val="16"/>
          <w:b w:val="1"/>
          <w:bCs w:val="1"/>
          <w:color w:val="FF0000"/>
          <w:strike w:val="1"/>
        </w:rPr>
      </w:pPr>
      <w:r>
        <w:rPr>
          <w:rFonts w:ascii="Arial" w:cs="Arial" w:eastAsia="Arial" w:hAnsi="Arial"/>
          <w:sz w:val="18"/>
          <w:szCs w:val="18"/>
          <w:b w:val="1"/>
          <w:bCs w:val="1"/>
          <w:color w:val="FF0000"/>
          <w:strike w:val="1"/>
        </w:rPr>
        <w:t>Quarters (commencing with the Fiscal Quarter ended June 30, 2022), the Borrowers may request, no more than four times during the term of this facility, to increase the Revolving Credit Commitments (with a corresponding dollar-for-dollar reduction of the Performance LC Commitments) by up to $50,000,000 in the aggregate (collectively, the “</w:t>
      </w:r>
      <w:r>
        <w:rPr>
          <w:rFonts w:ascii="Arial" w:cs="Arial" w:eastAsia="Arial" w:hAnsi="Arial"/>
          <w:sz w:val="18"/>
          <w:szCs w:val="18"/>
          <w:b w:val="1"/>
          <w:bCs w:val="1"/>
          <w:u w:val="single" w:color="auto"/>
          <w:color w:val="FF0000"/>
          <w:strike w:val="1"/>
        </w:rPr>
        <w:t>Initial Retranching</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the minimum amount of such Initial Retranching shall be $10,000,000 (or, if less, the balance of the $50,000,000 available for Initial Retranching). The Initial Retranching will be subject to satisfaction of the following conditions:</w:t>
      </w:r>
    </w:p>
    <w:p>
      <w:pPr>
        <w:spacing w:after="0" w:line="186" w:lineRule="exact"/>
        <w:rPr>
          <w:rFonts w:ascii="Arial" w:cs="Arial" w:eastAsia="Arial" w:hAnsi="Arial"/>
          <w:sz w:val="16"/>
          <w:szCs w:val="16"/>
          <w:b w:val="1"/>
          <w:bCs w:val="1"/>
          <w:color w:val="FF0000"/>
          <w:strike w:val="1"/>
        </w:rPr>
      </w:pPr>
    </w:p>
    <w:p>
      <w:pPr>
        <w:jc w:val="both"/>
        <w:ind w:left="660" w:firstLine="1292"/>
        <w:spacing w:after="0" w:line="261" w:lineRule="auto"/>
        <w:tabs>
          <w:tab w:leader="none" w:pos="2191" w:val="left"/>
        </w:tabs>
        <w:numPr>
          <w:ilvl w:val="1"/>
          <w:numId w:val="7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Borrowers shall have delivered to the Administrative Agent (for prompt distribution to the Lenders) a written notice (each, a “</w:t>
      </w:r>
      <w:r>
        <w:rPr>
          <w:rFonts w:ascii="Arial" w:cs="Arial" w:eastAsia="Arial" w:hAnsi="Arial"/>
          <w:sz w:val="18"/>
          <w:szCs w:val="18"/>
          <w:b w:val="1"/>
          <w:bCs w:val="1"/>
          <w:u w:val="single" w:color="auto"/>
          <w:color w:val="FF0000"/>
          <w:strike w:val="1"/>
        </w:rPr>
        <w:t>Retranching Request</w:t>
      </w:r>
      <w:r>
        <w:rPr>
          <w:rFonts w:ascii="Arial" w:cs="Arial" w:eastAsia="Arial" w:hAnsi="Arial"/>
          <w:sz w:val="18"/>
          <w:szCs w:val="18"/>
          <w:b w:val="1"/>
          <w:bCs w:val="1"/>
          <w:color w:val="FF0000"/>
          <w:strike w:val="1"/>
        </w:rPr>
        <w:t>”) indicating (A) the requested effective date of the Initial Retranching (which shall be no earlier than the date that is ten (10 Business Days following delivery of the Initial Retranching Request) and (B) the requested amount of the Initial Retranching;</w:t>
      </w:r>
    </w:p>
    <w:p>
      <w:pPr>
        <w:spacing w:after="0" w:line="179" w:lineRule="exact"/>
        <w:rPr>
          <w:rFonts w:ascii="Arial" w:cs="Arial" w:eastAsia="Arial" w:hAnsi="Arial"/>
          <w:sz w:val="18"/>
          <w:szCs w:val="18"/>
          <w:b w:val="1"/>
          <w:bCs w:val="1"/>
          <w:color w:val="FF0000"/>
          <w:strike w:val="1"/>
        </w:rPr>
      </w:pPr>
    </w:p>
    <w:p>
      <w:pPr>
        <w:ind w:left="660" w:firstLine="1292"/>
        <w:spacing w:after="0" w:line="282" w:lineRule="auto"/>
        <w:tabs>
          <w:tab w:leader="none" w:pos="2236" w:val="left"/>
        </w:tabs>
        <w:numPr>
          <w:ilvl w:val="1"/>
          <w:numId w:val="7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no Default or Event of Default shall have occurred and be continuing immediately before and after giving effect to such Initial Retranching;</w:t>
      </w:r>
    </w:p>
    <w:p>
      <w:pPr>
        <w:spacing w:after="0" w:line="161" w:lineRule="exact"/>
        <w:rPr>
          <w:rFonts w:ascii="Arial" w:cs="Arial" w:eastAsia="Arial" w:hAnsi="Arial"/>
          <w:sz w:val="18"/>
          <w:szCs w:val="18"/>
          <w:b w:val="1"/>
          <w:bCs w:val="1"/>
          <w:color w:val="FF0000"/>
          <w:strike w:val="1"/>
        </w:rPr>
      </w:pPr>
    </w:p>
    <w:p>
      <w:pPr>
        <w:ind w:left="660" w:firstLine="1292"/>
        <w:spacing w:after="0" w:line="282" w:lineRule="auto"/>
        <w:tabs>
          <w:tab w:leader="none" w:pos="2322" w:val="left"/>
        </w:tabs>
        <w:numPr>
          <w:ilvl w:val="1"/>
          <w:numId w:val="7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after giving pro forma effect to the Initial Retranching, Parent and its Restricted Subsidiaries would be in compliance with the covenants set forth in </w:t>
      </w:r>
      <w:r>
        <w:rPr>
          <w:rFonts w:ascii="Arial" w:cs="Arial" w:eastAsia="Arial" w:hAnsi="Arial"/>
          <w:sz w:val="18"/>
          <w:szCs w:val="18"/>
          <w:b w:val="1"/>
          <w:bCs w:val="1"/>
          <w:u w:val="single" w:color="auto"/>
          <w:color w:val="FF0000"/>
          <w:strike w:val="1"/>
        </w:rPr>
        <w:t>Section 9.09</w:t>
      </w:r>
      <w:r>
        <w:rPr>
          <w:rFonts w:ascii="Arial" w:cs="Arial" w:eastAsia="Arial" w:hAnsi="Arial"/>
          <w:sz w:val="18"/>
          <w:szCs w:val="18"/>
          <w:b w:val="1"/>
          <w:bCs w:val="1"/>
          <w:color w:val="FF0000"/>
          <w:strike w:val="1"/>
        </w:rPr>
        <w:t>;</w:t>
      </w:r>
    </w:p>
    <w:p>
      <w:pPr>
        <w:spacing w:after="0" w:line="161" w:lineRule="exact"/>
        <w:rPr>
          <w:rFonts w:ascii="Arial" w:cs="Arial" w:eastAsia="Arial" w:hAnsi="Arial"/>
          <w:sz w:val="18"/>
          <w:szCs w:val="18"/>
          <w:b w:val="1"/>
          <w:bCs w:val="1"/>
          <w:color w:val="FF0000"/>
          <w:strike w:val="1"/>
        </w:rPr>
      </w:pPr>
    </w:p>
    <w:p>
      <w:pPr>
        <w:jc w:val="both"/>
        <w:ind w:left="660" w:firstLine="1292"/>
        <w:spacing w:after="0" w:line="292" w:lineRule="auto"/>
        <w:tabs>
          <w:tab w:leader="none" w:pos="2280" w:val="left"/>
        </w:tabs>
        <w:numPr>
          <w:ilvl w:val="1"/>
          <w:numId w:val="72"/>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the requested Initial Retranching date, except to the extent any such representations and warranties are expressly limited to an earlier date, in which case, on and as of the requested Initial Retranching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left="660" w:firstLine="1292"/>
        <w:spacing w:after="0" w:line="289" w:lineRule="auto"/>
        <w:tabs>
          <w:tab w:leader="none" w:pos="2221" w:val="left"/>
        </w:tabs>
        <w:numPr>
          <w:ilvl w:val="1"/>
          <w:numId w:val="73"/>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Administrative Agent shall have received a certificate of a Responsible Officer of the Borrowers certifying, as of the requested date of the Initial Retranching, as to the satisfaction of the foregoing conditions in clauses (ii) through (iv), and, in the case of clause (iii), including reasonably detailed calculations demonstrating such compliance; and</w:t>
      </w:r>
    </w:p>
    <w:p>
      <w:pPr>
        <w:spacing w:after="0" w:line="157" w:lineRule="exact"/>
        <w:rPr>
          <w:rFonts w:ascii="Arial" w:cs="Arial" w:eastAsia="Arial" w:hAnsi="Arial"/>
          <w:sz w:val="17"/>
          <w:szCs w:val="17"/>
          <w:b w:val="1"/>
          <w:bCs w:val="1"/>
          <w:color w:val="FF0000"/>
          <w:strike w:val="1"/>
        </w:rPr>
      </w:pPr>
    </w:p>
    <w:p>
      <w:pPr>
        <w:ind w:left="660" w:right="20" w:firstLine="1292"/>
        <w:spacing w:after="0" w:line="282" w:lineRule="auto"/>
        <w:tabs>
          <w:tab w:leader="none" w:pos="2296" w:val="left"/>
        </w:tabs>
        <w:numPr>
          <w:ilvl w:val="1"/>
          <w:numId w:val="73"/>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one or more of the Lenders shall have agreed to participate in the Initial Retranching in accordance with the procedures set forth in </w:t>
      </w:r>
      <w:r>
        <w:rPr>
          <w:rFonts w:ascii="Arial" w:cs="Arial" w:eastAsia="Arial" w:hAnsi="Arial"/>
          <w:sz w:val="18"/>
          <w:szCs w:val="18"/>
          <w:b w:val="1"/>
          <w:bCs w:val="1"/>
          <w:u w:val="single" w:color="auto"/>
          <w:color w:val="FF0000"/>
          <w:strike w:val="1"/>
        </w:rPr>
        <w:t>Section 4.12(c)</w:t>
      </w:r>
      <w:r>
        <w:rPr>
          <w:rFonts w:ascii="Arial" w:cs="Arial" w:eastAsia="Arial" w:hAnsi="Arial"/>
          <w:sz w:val="18"/>
          <w:szCs w:val="18"/>
          <w:b w:val="1"/>
          <w:bCs w:val="1"/>
          <w:color w:val="FF0000"/>
          <w:strike w:val="1"/>
        </w:rPr>
        <w:t>.</w:t>
      </w:r>
    </w:p>
    <w:p>
      <w:pPr>
        <w:spacing w:after="0" w:line="161" w:lineRule="exact"/>
        <w:rPr>
          <w:rFonts w:ascii="Arial" w:cs="Arial" w:eastAsia="Arial" w:hAnsi="Arial"/>
          <w:sz w:val="18"/>
          <w:szCs w:val="18"/>
          <w:b w:val="1"/>
          <w:bCs w:val="1"/>
          <w:color w:val="FF0000"/>
          <w:strike w:val="1"/>
        </w:rPr>
      </w:pPr>
    </w:p>
    <w:p>
      <w:pPr>
        <w:jc w:val="both"/>
        <w:ind w:firstLine="1304"/>
        <w:spacing w:after="0" w:line="291" w:lineRule="auto"/>
        <w:tabs>
          <w:tab w:leader="none" w:pos="1561" w:val="left"/>
        </w:tabs>
        <w:numPr>
          <w:ilvl w:val="0"/>
          <w:numId w:val="74"/>
        </w:numPr>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FF0000"/>
          <w:strike w:val="1"/>
        </w:rPr>
        <w:t>Additional Retranching</w:t>
      </w:r>
      <w:r>
        <w:rPr>
          <w:rFonts w:ascii="Arial" w:cs="Arial" w:eastAsia="Arial" w:hAnsi="Arial"/>
          <w:sz w:val="16"/>
          <w:szCs w:val="16"/>
          <w:b w:val="1"/>
          <w:bCs w:val="1"/>
          <w:color w:val="FF0000"/>
          <w:strike w:val="1"/>
        </w:rPr>
        <w:t>. Subject to the terms and conditions set forth below, following the Initial Retranching, the Borrowers</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may request, no more than five times during the term of this facility, to increase the Revolving Credit Commitments (with a corresponding dollar-for-dollar reduction of the Performance LC Commitments) by up to an additional $50,000,000 total (collectively, the “</w:t>
      </w:r>
      <w:r>
        <w:rPr>
          <w:rFonts w:ascii="Arial" w:cs="Arial" w:eastAsia="Arial" w:hAnsi="Arial"/>
          <w:sz w:val="16"/>
          <w:szCs w:val="16"/>
          <w:b w:val="1"/>
          <w:bCs w:val="1"/>
          <w:u w:val="single" w:color="auto"/>
          <w:color w:val="FF0000"/>
          <w:strike w:val="1"/>
        </w:rPr>
        <w:t>Additional Retranching</w:t>
      </w:r>
      <w:r>
        <w:rPr>
          <w:rFonts w:ascii="Arial" w:cs="Arial" w:eastAsia="Arial" w:hAnsi="Arial"/>
          <w:sz w:val="16"/>
          <w:szCs w:val="16"/>
          <w:b w:val="1"/>
          <w:bCs w:val="1"/>
          <w:color w:val="FF0000"/>
          <w:strike w:val="1"/>
        </w:rPr>
        <w:t xml:space="preserve">”) if the Leverage Ratio (calculated </w:t>
      </w:r>
      <w:r>
        <w:rPr>
          <w:rFonts w:ascii="Arial" w:cs="Arial" w:eastAsia="Arial" w:hAnsi="Arial"/>
          <w:sz w:val="16"/>
          <w:szCs w:val="16"/>
          <w:i w:val="1"/>
          <w:iCs w:val="1"/>
          <w:u w:val="single" w:color="auto"/>
          <w:color w:val="008000"/>
          <w:strike w:val="1"/>
        </w:rPr>
        <w:t>as of the last day of the most recently ended period for which financial statements are available</w:t>
      </w:r>
      <w:r>
        <w:rPr>
          <w:rFonts w:ascii="Arial" w:cs="Arial" w:eastAsia="Arial" w:hAnsi="Arial"/>
          <w:sz w:val="16"/>
          <w:szCs w:val="16"/>
          <w:b w:val="1"/>
          <w:bCs w:val="1"/>
          <w:color w:val="FF0000"/>
          <w:strike w:val="1"/>
        </w:rPr>
        <w:t xml:space="preserve">) is less than 3.00 to 1.00 for an additional two (2) consecutive Fiscal Quarters (not including, for the avoidance of doubt, the Fiscal Quarters used to qualify for the Initial Retranching);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the minimum amount of such Additional Retranching shall be $10,000,000 (or, if less, the balance of the $50,000,000 available for Additional Retranching); </w:t>
      </w:r>
      <w:r>
        <w:rPr>
          <w:rFonts w:ascii="Arial" w:cs="Arial" w:eastAsia="Arial" w:hAnsi="Arial"/>
          <w:sz w:val="16"/>
          <w:szCs w:val="16"/>
          <w:b w:val="1"/>
          <w:bCs w:val="1"/>
          <w:u w:val="single" w:color="auto"/>
          <w:color w:val="FF0000"/>
          <w:strike w:val="1"/>
        </w:rPr>
        <w:t>provided further</w:t>
      </w:r>
      <w:r>
        <w:rPr>
          <w:rFonts w:ascii="Arial" w:cs="Arial" w:eastAsia="Arial" w:hAnsi="Arial"/>
          <w:sz w:val="16"/>
          <w:szCs w:val="16"/>
          <w:b w:val="1"/>
          <w:bCs w:val="1"/>
          <w:color w:val="FF0000"/>
          <w:strike w:val="1"/>
        </w:rPr>
        <w:t xml:space="preserve"> that in no event will the aggregate Revolving Credit Commitments exceed $200,000,000 after giving effect to all Retranchings. The Additional Retranching will be subject to satisfaction of the following conditions:</w:t>
      </w:r>
    </w:p>
    <w:p>
      <w:pPr>
        <w:spacing w:after="0" w:line="159" w:lineRule="exact"/>
        <w:rPr>
          <w:rFonts w:ascii="Arial" w:cs="Arial" w:eastAsia="Arial" w:hAnsi="Arial"/>
          <w:sz w:val="16"/>
          <w:szCs w:val="16"/>
          <w:b w:val="1"/>
          <w:bCs w:val="1"/>
          <w:color w:val="FF0000"/>
          <w:strike w:val="1"/>
        </w:rPr>
      </w:pPr>
    </w:p>
    <w:p>
      <w:pPr>
        <w:jc w:val="both"/>
        <w:ind w:left="660" w:firstLine="1292"/>
        <w:spacing w:after="0" w:line="261" w:lineRule="auto"/>
        <w:tabs>
          <w:tab w:leader="none" w:pos="2231" w:val="left"/>
        </w:tabs>
        <w:numPr>
          <w:ilvl w:val="1"/>
          <w:numId w:val="74"/>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Borrowers shall have delivered to the Administrative Agent (for prompt distribution to the Lenders) a Retranching Request indicating (A) the requested effective date of the Additional Retranching (which shall be no earlier than the date that is ten (10) Business Days following delivery of the Additional Retranching Request) and (B) the requested amount of the Additional Retranching;</w:t>
      </w:r>
    </w:p>
    <w:p>
      <w:pPr>
        <w:spacing w:after="0" w:line="179" w:lineRule="exact"/>
        <w:rPr>
          <w:rFonts w:ascii="Arial" w:cs="Arial" w:eastAsia="Arial" w:hAnsi="Arial"/>
          <w:sz w:val="18"/>
          <w:szCs w:val="18"/>
          <w:b w:val="1"/>
          <w:bCs w:val="1"/>
          <w:color w:val="FF0000"/>
          <w:strike w:val="1"/>
        </w:rPr>
      </w:pPr>
    </w:p>
    <w:p>
      <w:pPr>
        <w:ind w:left="660" w:firstLine="1292"/>
        <w:spacing w:after="0" w:line="282" w:lineRule="auto"/>
        <w:tabs>
          <w:tab w:leader="none" w:pos="2236" w:val="left"/>
        </w:tabs>
        <w:numPr>
          <w:ilvl w:val="1"/>
          <w:numId w:val="74"/>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no Default or Event of Default shall have occurred and be continuing immediately before and after giving effect to such Additional Retranching;</w:t>
      </w:r>
    </w:p>
    <w:p>
      <w:pPr>
        <w:spacing w:after="0" w:line="161" w:lineRule="exact"/>
        <w:rPr>
          <w:rFonts w:ascii="Arial" w:cs="Arial" w:eastAsia="Arial" w:hAnsi="Arial"/>
          <w:sz w:val="18"/>
          <w:szCs w:val="18"/>
          <w:b w:val="1"/>
          <w:bCs w:val="1"/>
          <w:color w:val="FF0000"/>
          <w:strike w:val="1"/>
        </w:rPr>
      </w:pPr>
    </w:p>
    <w:p>
      <w:pPr>
        <w:ind w:left="660" w:firstLine="1292"/>
        <w:spacing w:after="0" w:line="282" w:lineRule="auto"/>
        <w:tabs>
          <w:tab w:leader="none" w:pos="2302" w:val="left"/>
        </w:tabs>
        <w:numPr>
          <w:ilvl w:val="1"/>
          <w:numId w:val="74"/>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after giving pro forma effect to the Additional Retranching, Parent and its Restricted Subsidiaries would be in compliance with the covenants set forth in </w:t>
      </w:r>
      <w:r>
        <w:rPr>
          <w:rFonts w:ascii="Arial" w:cs="Arial" w:eastAsia="Arial" w:hAnsi="Arial"/>
          <w:sz w:val="18"/>
          <w:szCs w:val="18"/>
          <w:b w:val="1"/>
          <w:bCs w:val="1"/>
          <w:u w:val="single" w:color="auto"/>
          <w:color w:val="FF0000"/>
          <w:strike w:val="1"/>
        </w:rPr>
        <w:t>Section 9.09</w:t>
      </w:r>
      <w:r>
        <w:rPr>
          <w:rFonts w:ascii="Arial" w:cs="Arial" w:eastAsia="Arial" w:hAnsi="Arial"/>
          <w:sz w:val="18"/>
          <w:szCs w:val="18"/>
          <w:b w:val="1"/>
          <w:bCs w:val="1"/>
          <w:color w:val="FF0000"/>
          <w:strike w:val="1"/>
        </w:rPr>
        <w:t>;</w:t>
      </w:r>
    </w:p>
    <w:p>
      <w:pPr>
        <w:spacing w:after="0" w:line="161" w:lineRule="exact"/>
        <w:rPr>
          <w:rFonts w:ascii="Arial" w:cs="Arial" w:eastAsia="Arial" w:hAnsi="Arial"/>
          <w:sz w:val="18"/>
          <w:szCs w:val="18"/>
          <w:b w:val="1"/>
          <w:bCs w:val="1"/>
          <w:color w:val="FF0000"/>
          <w:strike w:val="1"/>
        </w:rPr>
      </w:pPr>
    </w:p>
    <w:p>
      <w:pPr>
        <w:jc w:val="both"/>
        <w:ind w:left="660" w:firstLine="1292"/>
        <w:spacing w:after="0" w:line="292" w:lineRule="auto"/>
        <w:tabs>
          <w:tab w:leader="none" w:pos="2280" w:val="left"/>
        </w:tabs>
        <w:numPr>
          <w:ilvl w:val="1"/>
          <w:numId w:val="74"/>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requested Additional Retranching date, except to the extent any such representations and warranties are expressly limited to an earlier date, in which case, on and as of the requested date of the Additional Retranching,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left="660" w:firstLine="1292"/>
        <w:spacing w:after="0" w:line="289" w:lineRule="auto"/>
        <w:tabs>
          <w:tab w:leader="none" w:pos="2221" w:val="left"/>
        </w:tabs>
        <w:numPr>
          <w:ilvl w:val="2"/>
          <w:numId w:val="75"/>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Administrative Agent shall have received a certificate of a Responsible Officer of the Borrowers certifying, as of the requested date of the Additional Retranching, as to the satisfaction of the foregoing conditions in clauses (ii) through (iv), and, in the case of clause (iii), including reasonably detailed calculations demonstrating such compliance; and</w:t>
      </w:r>
    </w:p>
    <w:p>
      <w:pPr>
        <w:spacing w:after="0" w:line="157" w:lineRule="exact"/>
        <w:rPr>
          <w:rFonts w:ascii="Arial" w:cs="Arial" w:eastAsia="Arial" w:hAnsi="Arial"/>
          <w:sz w:val="17"/>
          <w:szCs w:val="17"/>
          <w:b w:val="1"/>
          <w:bCs w:val="1"/>
          <w:color w:val="FF0000"/>
          <w:strike w:val="1"/>
        </w:rPr>
      </w:pPr>
    </w:p>
    <w:p>
      <w:pPr>
        <w:ind w:left="660" w:firstLine="1292"/>
        <w:spacing w:after="0" w:line="282" w:lineRule="auto"/>
        <w:tabs>
          <w:tab w:leader="none" w:pos="2278" w:val="left"/>
        </w:tabs>
        <w:numPr>
          <w:ilvl w:val="2"/>
          <w:numId w:val="75"/>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one or more of the Lenders shall have agreed to participate in the Additional Retranching in accordance with the procedures set forth in </w:t>
      </w:r>
      <w:r>
        <w:rPr>
          <w:rFonts w:ascii="Arial" w:cs="Arial" w:eastAsia="Arial" w:hAnsi="Arial"/>
          <w:sz w:val="18"/>
          <w:szCs w:val="18"/>
          <w:b w:val="1"/>
          <w:bCs w:val="1"/>
          <w:u w:val="single" w:color="auto"/>
          <w:color w:val="FF0000"/>
          <w:strike w:val="1"/>
        </w:rPr>
        <w:t>Section 4.12(c)</w:t>
      </w:r>
      <w:r>
        <w:rPr>
          <w:rFonts w:ascii="Arial" w:cs="Arial" w:eastAsia="Arial" w:hAnsi="Arial"/>
          <w:sz w:val="18"/>
          <w:szCs w:val="18"/>
          <w:b w:val="1"/>
          <w:bCs w:val="1"/>
          <w:color w:val="FF0000"/>
          <w:strike w:val="1"/>
        </w:rPr>
        <w:t>.</w:t>
      </w:r>
    </w:p>
    <w:p>
      <w:pPr>
        <w:spacing w:after="0" w:line="161" w:lineRule="exact"/>
        <w:rPr>
          <w:rFonts w:ascii="Arial" w:cs="Arial" w:eastAsia="Arial" w:hAnsi="Arial"/>
          <w:sz w:val="18"/>
          <w:szCs w:val="18"/>
          <w:b w:val="1"/>
          <w:bCs w:val="1"/>
          <w:color w:val="FF0000"/>
          <w:strike w:val="1"/>
        </w:rPr>
      </w:pPr>
    </w:p>
    <w:p>
      <w:pPr>
        <w:ind w:left="1580" w:hanging="276"/>
        <w:spacing w:after="0"/>
        <w:tabs>
          <w:tab w:leader="none" w:pos="1580" w:val="left"/>
        </w:tabs>
        <w:numPr>
          <w:ilvl w:val="1"/>
          <w:numId w:val="76"/>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Following receipt by the Lenders of a Retranching Request, each Lender shall promptly, and in any event within ten</w:t>
      </w:r>
    </w:p>
    <w:p>
      <w:pPr>
        <w:spacing w:after="0" w:line="38" w:lineRule="exact"/>
        <w:rPr>
          <w:rFonts w:ascii="Arial" w:cs="Arial" w:eastAsia="Arial" w:hAnsi="Arial"/>
          <w:sz w:val="17"/>
          <w:szCs w:val="17"/>
          <w:b w:val="1"/>
          <w:bCs w:val="1"/>
          <w:color w:val="FF0000"/>
          <w:strike w:val="1"/>
        </w:rPr>
      </w:pPr>
    </w:p>
    <w:p>
      <w:pPr>
        <w:jc w:val="both"/>
        <w:ind w:firstLine="8"/>
        <w:spacing w:after="0" w:line="265" w:lineRule="auto"/>
        <w:tabs>
          <w:tab w:leader="none" w:pos="376" w:val="left"/>
        </w:tabs>
        <w:numPr>
          <w:ilvl w:val="0"/>
          <w:numId w:val="77"/>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 xml:space="preserve">Business Days, notify the Administrative Agent and the Borrowers whether such Lender agrees to have its Commitment retranched as requested;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b w:val="1"/>
          <w:bCs w:val="1"/>
          <w:color w:val="FF0000"/>
          <w:strike w:val="1"/>
        </w:rPr>
        <w:t xml:space="preserve"> that no Lender shall be required to participate in either the Initial Retranching or the Additional Retranching (each, a “</w:t>
      </w:r>
      <w:r>
        <w:rPr>
          <w:rFonts w:ascii="Arial" w:cs="Arial" w:eastAsia="Arial" w:hAnsi="Arial"/>
          <w:sz w:val="17"/>
          <w:szCs w:val="17"/>
          <w:b w:val="1"/>
          <w:bCs w:val="1"/>
          <w:u w:val="single" w:color="auto"/>
          <w:color w:val="FF0000"/>
          <w:strike w:val="1"/>
        </w:rPr>
        <w:t>Retranching</w:t>
      </w:r>
      <w:r>
        <w:rPr>
          <w:rFonts w:ascii="Arial" w:cs="Arial" w:eastAsia="Arial" w:hAnsi="Arial"/>
          <w:sz w:val="17"/>
          <w:szCs w:val="17"/>
          <w:b w:val="1"/>
          <w:bCs w:val="1"/>
          <w:color w:val="FF0000"/>
          <w:strike w:val="1"/>
        </w:rPr>
        <w:t xml:space="preserve">”) without its consent; </w:t>
      </w:r>
      <w:r>
        <w:rPr>
          <w:rFonts w:ascii="Arial" w:cs="Arial" w:eastAsia="Arial" w:hAnsi="Arial"/>
          <w:sz w:val="17"/>
          <w:szCs w:val="17"/>
          <w:b w:val="1"/>
          <w:bCs w:val="1"/>
          <w:u w:val="single" w:color="auto"/>
          <w:color w:val="FF0000"/>
          <w:strike w:val="1"/>
        </w:rPr>
        <w:t>provided further</w:t>
      </w:r>
      <w:r>
        <w:rPr>
          <w:rFonts w:ascii="Arial" w:cs="Arial" w:eastAsia="Arial" w:hAnsi="Arial"/>
          <w:sz w:val="17"/>
          <w:szCs w:val="17"/>
          <w:b w:val="1"/>
          <w:bCs w:val="1"/>
          <w:color w:val="FF0000"/>
          <w:strike w:val="1"/>
        </w:rPr>
        <w:t xml:space="preserve"> that any Lender that has not responded to such Retranching Request within ten</w:t>
      </w:r>
    </w:p>
    <w:p>
      <w:pPr>
        <w:jc w:val="both"/>
        <w:ind w:firstLine="8"/>
        <w:spacing w:after="0" w:line="285" w:lineRule="auto"/>
        <w:tabs>
          <w:tab w:leader="none" w:pos="368" w:val="left"/>
        </w:tabs>
        <w:numPr>
          <w:ilvl w:val="0"/>
          <w:numId w:val="78"/>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Business Days shall be deemed to have declined to participate in the Retranching described in such Retranching Request. If any Lender declines to participate in a Retranching, then the Borrowers may request, in a writing delivered to the Administrative Agent and each of the participating Lenders no later than five (5) Business Days prior to the requested date of such Retranching specified in the applicable Retranching Request (such written request, a “</w:t>
      </w:r>
      <w:r>
        <w:rPr>
          <w:rFonts w:ascii="Arial" w:cs="Arial" w:eastAsia="Arial" w:hAnsi="Arial"/>
          <w:sz w:val="16"/>
          <w:szCs w:val="16"/>
          <w:b w:val="1"/>
          <w:bCs w:val="1"/>
          <w:u w:val="single" w:color="auto"/>
          <w:color w:val="FF0000"/>
          <w:strike w:val="1"/>
        </w:rPr>
        <w:t>Follow-On Retranching Request</w:t>
      </w:r>
      <w:r>
        <w:rPr>
          <w:rFonts w:ascii="Arial" w:cs="Arial" w:eastAsia="Arial" w:hAnsi="Arial"/>
          <w:sz w:val="16"/>
          <w:szCs w:val="16"/>
          <w:b w:val="1"/>
          <w:bCs w:val="1"/>
          <w:color w:val="FF0000"/>
          <w:strike w:val="1"/>
        </w:rPr>
        <w:t xml:space="preserve">”), that the participating Lenders agree to participate in the balance of such Retranching, and, so long as each of the participating Lenders has been offered an opportunity to participate in at least its pro rata share of such balance (calculated solely among the participating Lenders), one or more of the participating Lenders may agree to participate in all or a portion of such balance by so indicating in writing delivered to the Administrative Agent and the Borrowers no later than three (3) Business Days following receipt by such Lender of a Follow-On Retranching Request. Following satisfaction of the conditions specified in </w:t>
      </w:r>
      <w:r>
        <w:rPr>
          <w:rFonts w:ascii="Arial" w:cs="Arial" w:eastAsia="Arial" w:hAnsi="Arial"/>
          <w:sz w:val="16"/>
          <w:szCs w:val="16"/>
          <w:b w:val="1"/>
          <w:bCs w:val="1"/>
          <w:u w:val="single" w:color="auto"/>
          <w:color w:val="FF0000"/>
          <w:strike w:val="1"/>
        </w:rPr>
        <w:t>Section 4.12(a)</w:t>
      </w:r>
      <w:r>
        <w:rPr>
          <w:rFonts w:ascii="Arial" w:cs="Arial" w:eastAsia="Arial" w:hAnsi="Arial"/>
          <w:sz w:val="16"/>
          <w:szCs w:val="16"/>
          <w:b w:val="1"/>
          <w:bCs w:val="1"/>
          <w:color w:val="FF0000"/>
          <w:strike w:val="1"/>
        </w:rPr>
        <w:t xml:space="preserve"> or </w:t>
      </w:r>
      <w:r>
        <w:rPr>
          <w:rFonts w:ascii="Arial" w:cs="Arial" w:eastAsia="Arial" w:hAnsi="Arial"/>
          <w:sz w:val="16"/>
          <w:szCs w:val="16"/>
          <w:b w:val="1"/>
          <w:bCs w:val="1"/>
          <w:u w:val="single" w:color="auto"/>
          <w:color w:val="FF0000"/>
          <w:strike w:val="1"/>
        </w:rPr>
        <w:t>Section 4.12(b)</w:t>
      </w:r>
      <w:r>
        <w:rPr>
          <w:rFonts w:ascii="Arial" w:cs="Arial" w:eastAsia="Arial" w:hAnsi="Arial"/>
          <w:sz w:val="16"/>
          <w:szCs w:val="16"/>
          <w:b w:val="1"/>
          <w:bCs w:val="1"/>
          <w:color w:val="FF0000"/>
          <w:strike w:val="1"/>
        </w:rPr>
        <w:t xml:space="preserve">, as applicable, such Retranching shall become effective upon the date specified in the applicable Retranching Request, the Commitments will be reallocated among the Lenders as needed to reflect the Lenders’ participation in such Retranching and in accordance with procedures determined by the Administrative Agent to be reasonable and necessary to effect such reallocations, and, following such reallocation, the Administrative Agent shall deliver an updated </w:t>
      </w:r>
      <w:r>
        <w:rPr>
          <w:rFonts w:ascii="Arial" w:cs="Arial" w:eastAsia="Arial" w:hAnsi="Arial"/>
          <w:sz w:val="16"/>
          <w:szCs w:val="16"/>
          <w:b w:val="1"/>
          <w:bCs w:val="1"/>
          <w:u w:val="single" w:color="auto"/>
          <w:color w:val="FF0000"/>
          <w:strike w:val="1"/>
        </w:rPr>
        <w:t>Schedule 2.01</w:t>
      </w:r>
      <w:r>
        <w:rPr>
          <w:rFonts w:ascii="Arial" w:cs="Arial" w:eastAsia="Arial" w:hAnsi="Arial"/>
          <w:sz w:val="16"/>
          <w:szCs w:val="16"/>
          <w:b w:val="1"/>
          <w:bCs w:val="1"/>
          <w:color w:val="FF0000"/>
          <w:strike w:val="1"/>
        </w:rPr>
        <w:t xml:space="preserve"> to the Borrowers and the Lenders reflecting same, which updated </w:t>
      </w:r>
      <w:r>
        <w:rPr>
          <w:rFonts w:ascii="Arial" w:cs="Arial" w:eastAsia="Arial" w:hAnsi="Arial"/>
          <w:sz w:val="16"/>
          <w:szCs w:val="16"/>
          <w:b w:val="1"/>
          <w:bCs w:val="1"/>
          <w:u w:val="single" w:color="auto"/>
          <w:color w:val="FF0000"/>
          <w:strike w:val="1"/>
        </w:rPr>
        <w:t>Schedule 2.01</w:t>
      </w:r>
      <w:r>
        <w:rPr>
          <w:rFonts w:ascii="Arial" w:cs="Arial" w:eastAsia="Arial" w:hAnsi="Arial"/>
          <w:sz w:val="16"/>
          <w:szCs w:val="16"/>
          <w:b w:val="1"/>
          <w:bCs w:val="1"/>
          <w:color w:val="FF0000"/>
          <w:strike w:val="1"/>
        </w:rPr>
        <w:t xml:space="preserve"> shall replace and supersede the then effective </w:t>
      </w:r>
      <w:r>
        <w:rPr>
          <w:rFonts w:ascii="Arial" w:cs="Arial" w:eastAsia="Arial" w:hAnsi="Arial"/>
          <w:sz w:val="16"/>
          <w:szCs w:val="16"/>
          <w:b w:val="1"/>
          <w:bCs w:val="1"/>
          <w:u w:val="single" w:color="auto"/>
          <w:color w:val="FF0000"/>
          <w:strike w:val="1"/>
        </w:rPr>
        <w:t>Schedule 2.01</w:t>
      </w:r>
      <w:r>
        <w:rPr>
          <w:rFonts w:ascii="Arial" w:cs="Arial" w:eastAsia="Arial" w:hAnsi="Arial"/>
          <w:sz w:val="16"/>
          <w:szCs w:val="16"/>
          <w:b w:val="1"/>
          <w:bCs w:val="1"/>
          <w:color w:val="FF0000"/>
          <w:strike w:val="1"/>
        </w:rPr>
        <w:t xml:space="preserve"> in its entirety for all purposes of the Loan Documents.</w:t>
      </w:r>
    </w:p>
    <w:p>
      <w:pPr>
        <w:spacing w:after="0" w:line="165" w:lineRule="exact"/>
        <w:rPr>
          <w:rFonts w:ascii="Arial" w:cs="Arial" w:eastAsia="Arial" w:hAnsi="Arial"/>
          <w:sz w:val="16"/>
          <w:szCs w:val="16"/>
          <w:b w:val="1"/>
          <w:bCs w:val="1"/>
          <w:color w:val="FF0000"/>
          <w:strike w:val="1"/>
        </w:rPr>
      </w:pPr>
    </w:p>
    <w:p>
      <w:pPr>
        <w:jc w:val="both"/>
        <w:ind w:firstLine="1304"/>
        <w:spacing w:after="0" w:line="281" w:lineRule="auto"/>
        <w:tabs>
          <w:tab w:leader="none" w:pos="1564" w:val="left"/>
        </w:tabs>
        <w:numPr>
          <w:ilvl w:val="1"/>
          <w:numId w:val="78"/>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Notwithstanding the foregoing, in connection with any Retranching, (i) all unused Performance LC Commitments, if any, will be retranched as Revolving Credit Commitments first before any LC Exposure in respect of outstanding Performance Letters of Credit is retranched under the Revolving Credit Commitments and (ii) all LC Exposure in respect of an individual Performance Letter of Credit that is to be retranched under the Revolving Credit Commitments must be retranched in whole and not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-1332230</wp:posOffset>
            </wp:positionV>
            <wp:extent cx="71253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tabs>
          <w:tab w:leader="none" w:pos="202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b w:val="1"/>
          <w:bCs w:val="1"/>
          <w:u w:val="single" w:color="auto"/>
          <w:color w:val="FF0000"/>
          <w:strike w:val="1"/>
        </w:rPr>
        <w:t xml:space="preserve">Specific </w:t>
      </w:r>
      <w:r>
        <w:rPr>
          <w:rFonts w:ascii="Arial" w:cs="Arial" w:eastAsia="Arial" w:hAnsi="Arial"/>
          <w:sz w:val="16"/>
          <w:szCs w:val="16"/>
          <w:u w:val="single" w:color="auto"/>
          <w:color w:val="000000"/>
          <w:strike w:val="1"/>
        </w:rPr>
        <w:t>Incremental</w:t>
      </w:r>
      <w:r>
        <w:rPr>
          <w:rFonts w:ascii="Arial" w:cs="Arial" w:eastAsia="Arial" w:hAnsi="Arial"/>
          <w:sz w:val="16"/>
          <w:szCs w:val="16"/>
          <w:b w:val="1"/>
          <w:bCs w:val="1"/>
          <w:u w:val="single" w:color="auto"/>
          <w:color w:val="FF0000"/>
          <w:strike w:val="1"/>
        </w:rPr>
        <w:t xml:space="preserve"> Commitments</w:t>
      </w:r>
      <w:r>
        <w:rPr>
          <w:rFonts w:ascii="Arial" w:cs="Arial" w:eastAsia="Arial" w:hAnsi="Arial"/>
          <w:sz w:val="16"/>
          <w:szCs w:val="16"/>
          <w:b w:val="1"/>
          <w:bCs w:val="1"/>
          <w:u w:val="single" w:color="auto"/>
          <w:color w:val="0000FF"/>
          <w:strike w:val="1"/>
        </w:rPr>
        <w:t>Increases.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u w:val="single" w:color="auto"/>
          <w:color w:val="0000FF"/>
        </w:rPr>
        <w:t>(a)            Borrowers’ Request</w:t>
      </w:r>
      <w:r>
        <w:rPr>
          <w:rFonts w:ascii="Arial" w:cs="Arial" w:eastAsia="Arial" w:hAnsi="Arial"/>
          <w:sz w:val="16"/>
          <w:szCs w:val="16"/>
          <w:color w:val="000000"/>
        </w:rPr>
        <w:t>. Subject to the terms and conditions set forth herein, the Borrowers may by written notice to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Administrative Agent, </w:t>
      </w:r>
      <w:r>
        <w:rPr>
          <w:rFonts w:ascii="Arial" w:cs="Arial" w:eastAsia="Arial" w:hAnsi="Arial"/>
          <w:sz w:val="16"/>
          <w:szCs w:val="16"/>
          <w:b w:val="1"/>
          <w:bCs w:val="1"/>
          <w:u w:val="single" w:color="auto"/>
          <w:color w:val="0000FF"/>
        </w:rPr>
        <w:t>and, with respect to any Incremental Increase to be provided by an Additional Lender, with the consent of each Issuing</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Bank,</w:t>
      </w:r>
      <w:r>
        <w:rPr>
          <w:rFonts w:ascii="Arial" w:cs="Arial" w:eastAsia="Arial" w:hAnsi="Arial"/>
          <w:sz w:val="16"/>
          <w:szCs w:val="16"/>
          <w:b w:val="1"/>
          <w:bCs w:val="1"/>
          <w:color w:val="0000FF"/>
        </w:rPr>
        <w:t xml:space="preserve"> </w:t>
      </w:r>
      <w:r>
        <w:rPr>
          <w:rFonts w:ascii="Arial" w:cs="Arial" w:eastAsia="Arial" w:hAnsi="Arial"/>
          <w:sz w:val="16"/>
          <w:szCs w:val="16"/>
          <w:color w:val="000000"/>
        </w:rPr>
        <w:t>elect to request at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one or</w:t>
      </w:r>
      <w:r>
        <w:rPr>
          <w:rFonts w:ascii="Arial" w:cs="Arial" w:eastAsia="Arial" w:hAnsi="Arial"/>
          <w:sz w:val="16"/>
          <w:szCs w:val="16"/>
          <w:b w:val="1"/>
          <w:bCs w:val="1"/>
          <w:u w:val="single" w:color="auto"/>
          <w:color w:val="0000FF"/>
        </w:rPr>
        <w:t>any time and from time to time (but not</w:t>
      </w:r>
      <w:r>
        <w:rPr>
          <w:rFonts w:ascii="Arial" w:cs="Arial" w:eastAsia="Arial" w:hAnsi="Arial"/>
          <w:sz w:val="16"/>
          <w:szCs w:val="16"/>
          <w:b w:val="1"/>
          <w:bCs w:val="1"/>
          <w:color w:val="0000FF"/>
        </w:rPr>
        <w:t xml:space="preserve"> </w:t>
      </w:r>
      <w:r>
        <w:rPr>
          <w:rFonts w:ascii="Arial" w:cs="Arial" w:eastAsia="Arial" w:hAnsi="Arial"/>
          <w:sz w:val="16"/>
          <w:szCs w:val="16"/>
          <w:color w:val="000000"/>
        </w:rPr>
        <w:t>more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than three</w:t>
      </w:r>
      <w:r>
        <w:rPr>
          <w:rFonts w:ascii="Arial" w:cs="Arial" w:eastAsia="Arial" w:hAnsi="Arial"/>
          <w:sz w:val="16"/>
          <w:szCs w:val="16"/>
          <w:b w:val="1"/>
          <w:bCs w:val="1"/>
          <w:color w:val="0000FF"/>
        </w:rPr>
        <w:t xml:space="preserve"> </w:t>
      </w:r>
      <w:r>
        <w:rPr>
          <w:rFonts w:ascii="Arial" w:cs="Arial" w:eastAsia="Arial" w:hAnsi="Arial"/>
          <w:sz w:val="16"/>
          <w:szCs w:val="16"/>
          <w:color w:val="000000"/>
        </w:rPr>
        <w:t>times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in any calendar year) on or</w:t>
      </w:r>
      <w:r>
        <w:rPr>
          <w:rFonts w:ascii="Arial" w:cs="Arial" w:eastAsia="Arial" w:hAnsi="Arial"/>
          <w:sz w:val="16"/>
          <w:szCs w:val="16"/>
          <w:b w:val="1"/>
          <w:bCs w:val="1"/>
          <w:color w:val="0000FF"/>
        </w:rPr>
        <w:t xml:space="preserve"> </w:t>
      </w:r>
      <w:r>
        <w:rPr>
          <w:rFonts w:ascii="Arial" w:cs="Arial" w:eastAsia="Arial" w:hAnsi="Arial"/>
          <w:sz w:val="16"/>
          <w:szCs w:val="16"/>
          <w:color w:val="000000"/>
        </w:rPr>
        <w:t>after the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Fourth</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Amendment</w:t>
      </w:r>
      <w:r>
        <w:rPr>
          <w:rFonts w:ascii="Arial" w:cs="Arial" w:eastAsia="Arial" w:hAnsi="Arial"/>
          <w:sz w:val="16"/>
          <w:szCs w:val="16"/>
          <w:b w:val="1"/>
          <w:bCs w:val="1"/>
          <w:color w:val="0000FF"/>
        </w:rPr>
        <w:t xml:space="preserve"> </w:t>
      </w:r>
      <w:r>
        <w:rPr>
          <w:rFonts w:ascii="Arial" w:cs="Arial" w:eastAsia="Arial" w:hAnsi="Arial"/>
          <w:sz w:val="16"/>
          <w:szCs w:val="16"/>
          <w:color w:val="000000"/>
        </w:rPr>
        <w:t>Effective Date but prior to the Maturity Date an increase to</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(a)</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aggregate Performance LC Commitments</w:t>
      </w:r>
      <w:r>
        <w:rPr>
          <w:rFonts w:ascii="Arial" w:cs="Arial" w:eastAsia="Arial" w:hAnsi="Arial"/>
          <w:sz w:val="16"/>
          <w:szCs w:val="16"/>
          <w:b w:val="1"/>
          <w:bCs w:val="1"/>
          <w:color w:val="FF0000"/>
          <w:strike w:val="1"/>
        </w:rPr>
        <w:t>, (b)</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and/or</w:t>
      </w:r>
      <w:r>
        <w:rPr>
          <w:rFonts w:ascii="Arial" w:cs="Arial" w:eastAsia="Arial" w:hAnsi="Arial"/>
          <w:sz w:val="16"/>
          <w:szCs w:val="16"/>
          <w:b w:val="1"/>
          <w:bCs w:val="1"/>
          <w:color w:val="0000FF"/>
        </w:rPr>
        <w:t xml:space="preserve"> </w:t>
      </w:r>
      <w:r>
        <w:rPr>
          <w:rFonts w:ascii="Arial" w:cs="Arial" w:eastAsia="Arial" w:hAnsi="Arial"/>
          <w:sz w:val="16"/>
          <w:szCs w:val="16"/>
          <w:color w:val="000000"/>
        </w:rPr>
        <w:t>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aggregate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Revolving Credit Commitments </w:t>
      </w:r>
      <w:r>
        <w:rPr>
          <w:rFonts w:ascii="Arial" w:cs="Arial" w:eastAsia="Arial" w:hAnsi="Arial"/>
          <w:sz w:val="16"/>
          <w:szCs w:val="16"/>
          <w:b w:val="1"/>
          <w:bCs w:val="1"/>
          <w:color w:val="FF0000"/>
          <w:strike w:val="1"/>
        </w:rPr>
        <w:t>and</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c) the Financial LC-Specific Commitment (any</w:t>
      </w:r>
      <w:r>
        <w:rPr>
          <w:rFonts w:ascii="Arial" w:cs="Arial" w:eastAsia="Arial" w:hAnsi="Arial"/>
          <w:sz w:val="16"/>
          <w:szCs w:val="16"/>
          <w:b w:val="1"/>
          <w:bCs w:val="1"/>
          <w:u w:val="single" w:color="auto"/>
          <w:color w:val="0000FF"/>
        </w:rPr>
        <w:t>each</w:t>
      </w:r>
      <w:r>
        <w:rPr>
          <w:rFonts w:ascii="Arial" w:cs="Arial" w:eastAsia="Arial" w:hAnsi="Arial"/>
          <w:sz w:val="16"/>
          <w:szCs w:val="16"/>
          <w:color w:val="000000"/>
        </w:rPr>
        <w:t xml:space="preserve"> such increase, </w:t>
      </w:r>
      <w:r>
        <w:rPr>
          <w:rFonts w:ascii="Arial" w:cs="Arial" w:eastAsia="Arial" w:hAnsi="Arial"/>
          <w:sz w:val="16"/>
          <w:szCs w:val="16"/>
          <w:b w:val="1"/>
          <w:bCs w:val="1"/>
          <w:color w:val="FF0000"/>
          <w:strike w:val="1"/>
        </w:rPr>
        <w:t>a</w:t>
      </w:r>
      <w:r>
        <w:rPr>
          <w:rFonts w:ascii="Arial" w:cs="Arial" w:eastAsia="Arial" w:hAnsi="Arial"/>
          <w:sz w:val="16"/>
          <w:szCs w:val="16"/>
          <w:b w:val="1"/>
          <w:bCs w:val="1"/>
          <w:u w:val="single" w:color="auto"/>
          <w:color w:val="0000FF"/>
        </w:rPr>
        <w:t>an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Specific</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Incremental</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Commitment</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u w:val="single" w:color="auto"/>
          <w:color w:val="FF0000"/>
        </w:rPr>
        <w:t>Increase</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FF0000"/>
        </w:rPr>
        <w:t>provided</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that the amounts of all such Specific Incremental Commitment Increases (other than any Specific Incremental Increase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 xml:space="preserve">provided in order to give effect to any reduction and reallocation under </w:t>
      </w:r>
      <w:r>
        <w:rPr>
          <w:rFonts w:ascii="Arial" w:cs="Arial" w:eastAsia="Arial" w:hAnsi="Arial"/>
          <w:sz w:val="16"/>
          <w:szCs w:val="16"/>
          <w:b w:val="1"/>
          <w:bCs w:val="1"/>
          <w:u w:val="single" w:color="auto"/>
          <w:color w:val="FF0000"/>
          <w:strike w:val="1"/>
        </w:rPr>
        <w:t>Section 3.02(c)</w:t>
      </w:r>
      <w:r>
        <w:rPr>
          <w:rFonts w:ascii="Arial" w:cs="Arial" w:eastAsia="Arial" w:hAnsi="Arial"/>
          <w:sz w:val="16"/>
          <w:szCs w:val="16"/>
          <w:b w:val="1"/>
          <w:bCs w:val="1"/>
          <w:color w:val="FF0000"/>
          <w:strike w:val="1"/>
        </w:rPr>
        <w:t>) shall not in any event exceed (but may, in each case, be less than) (i) $30,000,000 in the aggregate and (ii) (A) with respect to</w:t>
      </w:r>
      <w:r>
        <w:rPr>
          <w:rFonts w:ascii="Arial" w:cs="Arial" w:eastAsia="Arial" w:hAnsi="Arial"/>
          <w:sz w:val="16"/>
          <w:szCs w:val="16"/>
          <w:b w:val="1"/>
          <w:bCs w:val="1"/>
          <w:u w:val="single" w:color="auto"/>
          <w:color w:val="0000FF"/>
          <w:strike w:val="1"/>
        </w:rPr>
        <w:t>Increase”; each additional commitment provided in respect of the Performance</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LC Commitments pursuant to such Incremental Increase, an “Incremental Performance LC Commitment”; and each additional commitment provided in respect of the Revolving Credit Commitments, an “Incremental Revolving Credit Commitment”); provided that (i) the aggregate amount of all Incremental Increases provided on or after the Fourth Amendment Effective Date under this Agreement shall not exceed $200,000,000 (such amount, the “Incremental Increase Cap”); (ii)</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the aggregate</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amount of Incremental</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Performance LC Commitments</w:t>
      </w:r>
      <w:r>
        <w:rPr>
          <w:rFonts w:ascii="Arial" w:cs="Arial" w:eastAsia="Arial" w:hAnsi="Arial"/>
          <w:sz w:val="16"/>
          <w:szCs w:val="16"/>
          <w:b w:val="1"/>
          <w:bCs w:val="1"/>
          <w:color w:val="FF0000"/>
          <w:strike w:val="1"/>
        </w:rPr>
        <w:t>,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1024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jc w:val="both"/>
        <w:ind w:firstLine="8"/>
        <w:spacing w:after="0" w:line="281" w:lineRule="auto"/>
        <w:tabs>
          <w:tab w:leader="none" w:pos="285" w:val="left"/>
        </w:tabs>
        <w:numPr>
          <w:ilvl w:val="0"/>
          <w:numId w:val="79"/>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 xml:space="preserve">with respect to the aggregate </w:t>
      </w:r>
      <w:r>
        <w:rPr>
          <w:rFonts w:ascii="Arial" w:cs="Arial" w:eastAsia="Arial" w:hAnsi="Arial"/>
          <w:sz w:val="16"/>
          <w:szCs w:val="16"/>
          <w:b w:val="1"/>
          <w:bCs w:val="1"/>
          <w:u w:val="single" w:color="auto"/>
          <w:color w:val="0000FF"/>
          <w:strike w:val="1"/>
        </w:rPr>
        <w:t>that may be requested to be provided on the Fourth Amendment Effective Date shall not exceed $50,000,000; and</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(iii) no Incremental</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Revolving Credit Commitments</w:t>
      </w:r>
      <w:r>
        <w:rPr>
          <w:rFonts w:ascii="Arial" w:cs="Arial" w:eastAsia="Arial" w:hAnsi="Arial"/>
          <w:sz w:val="16"/>
          <w:szCs w:val="16"/>
          <w:b w:val="1"/>
          <w:bCs w:val="1"/>
          <w:color w:val="FF0000"/>
          <w:strike w:val="1"/>
        </w:rPr>
        <w:t>, $12,500,000 and (C) with respect to the Financial LC-Specific Commitment, $7,500,000 (such</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amounts, collectively, the “</w:t>
      </w:r>
      <w:r>
        <w:rPr>
          <w:rFonts w:ascii="Arial" w:cs="Arial" w:eastAsia="Arial" w:hAnsi="Arial"/>
          <w:sz w:val="16"/>
          <w:szCs w:val="16"/>
          <w:b w:val="1"/>
          <w:bCs w:val="1"/>
          <w:u w:val="single" w:color="auto"/>
          <w:color w:val="FF0000"/>
          <w:strike w:val="1"/>
        </w:rPr>
        <w:t>Specific Incremental Commitment Cap</w:t>
      </w:r>
      <w:r>
        <w:rPr>
          <w:rFonts w:ascii="Arial" w:cs="Arial" w:eastAsia="Arial" w:hAnsi="Arial"/>
          <w:sz w:val="16"/>
          <w:szCs w:val="16"/>
          <w:b w:val="1"/>
          <w:bCs w:val="1"/>
          <w:color w:val="FF0000"/>
          <w:strike w:val="1"/>
        </w:rPr>
        <w:t xml:space="preserve">”). Such </w:t>
      </w:r>
      <w:r>
        <w:rPr>
          <w:rFonts w:ascii="Arial" w:cs="Arial" w:eastAsia="Arial" w:hAnsi="Arial"/>
          <w:sz w:val="16"/>
          <w:szCs w:val="16"/>
          <w:b w:val="1"/>
          <w:bCs w:val="1"/>
          <w:u w:val="single" w:color="auto"/>
          <w:color w:val="0000FF"/>
          <w:strike w:val="1"/>
        </w:rPr>
        <w:t>shall be made available to the Borrowers until the aggregate</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outstanding principal amount of the Senior Secured Notes or any Permitted Refinancing Indebtedness in respect thereof (other than such Permitted Refinancing Indebtedness that is unsecured) is less than or equal to $200,000,000. Each such</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notice shall specify (</w:t>
      </w:r>
      <w:r>
        <w:rPr>
          <w:rFonts w:ascii="Arial" w:cs="Arial" w:eastAsia="Arial" w:hAnsi="Arial"/>
          <w:sz w:val="16"/>
          <w:szCs w:val="16"/>
          <w:b w:val="1"/>
          <w:bCs w:val="1"/>
          <w:color w:val="FF0000"/>
          <w:strike w:val="1"/>
        </w:rPr>
        <w:t>i</w:t>
      </w:r>
      <w:r>
        <w:rPr>
          <w:rFonts w:ascii="Arial" w:cs="Arial" w:eastAsia="Arial" w:hAnsi="Arial"/>
          <w:sz w:val="16"/>
          <w:szCs w:val="16"/>
          <w:b w:val="1"/>
          <w:bCs w:val="1"/>
          <w:u w:val="single" w:color="auto"/>
          <w:color w:val="0000FF"/>
          <w:strike w:val="1"/>
        </w:rPr>
        <w:t>A</w:t>
      </w:r>
      <w:r>
        <w:rPr>
          <w:rFonts w:ascii="Arial" w:cs="Arial" w:eastAsia="Arial" w:hAnsi="Arial"/>
          <w:sz w:val="16"/>
          <w:szCs w:val="16"/>
          <w:color w:val="000000"/>
          <w:strike w:val="1"/>
        </w:rPr>
        <w:t>) the date on which the</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Borrowers propose that </w:t>
      </w:r>
      <w:r>
        <w:rPr>
          <w:rFonts w:ascii="Arial" w:cs="Arial" w:eastAsia="Arial" w:hAnsi="Arial"/>
          <w:sz w:val="16"/>
          <w:szCs w:val="16"/>
          <w:b w:val="1"/>
          <w:bCs w:val="1"/>
          <w:color w:val="FF0000"/>
          <w:strike w:val="1"/>
        </w:rPr>
        <w:t>such Specific</w:t>
      </w:r>
      <w:r>
        <w:rPr>
          <w:rFonts w:ascii="Arial" w:cs="Arial" w:eastAsia="Arial" w:hAnsi="Arial"/>
          <w:sz w:val="16"/>
          <w:szCs w:val="16"/>
          <w:b w:val="1"/>
          <w:bCs w:val="1"/>
          <w:u w:val="single" w:color="auto"/>
          <w:color w:val="0000FF"/>
          <w:strike w:val="1"/>
        </w:rPr>
        <w:t>the applicable</w:t>
      </w:r>
      <w:r>
        <w:rPr>
          <w:rFonts w:ascii="Arial" w:cs="Arial" w:eastAsia="Arial" w:hAnsi="Arial"/>
          <w:sz w:val="16"/>
          <w:szCs w:val="16"/>
          <w:color w:val="000000"/>
          <w:strike w:val="1"/>
        </w:rPr>
        <w:t xml:space="preserve"> Incremental </w:t>
      </w:r>
      <w:r>
        <w:rPr>
          <w:rFonts w:ascii="Arial" w:cs="Arial" w:eastAsia="Arial" w:hAnsi="Arial"/>
          <w:sz w:val="16"/>
          <w:szCs w:val="16"/>
          <w:b w:val="1"/>
          <w:bCs w:val="1"/>
          <w:color w:val="FF0000"/>
          <w:strike w:val="1"/>
        </w:rPr>
        <w:t>Commitment</w:t>
      </w:r>
      <w:r>
        <w:rPr>
          <w:rFonts w:ascii="Arial" w:cs="Arial" w:eastAsia="Arial" w:hAnsi="Arial"/>
          <w:sz w:val="16"/>
          <w:szCs w:val="16"/>
          <w:color w:val="000000"/>
          <w:strike w:val="1"/>
        </w:rPr>
        <w:t xml:space="preserve"> Increase shall be effective, which shall be a date not less than </w:t>
      </w:r>
      <w:r>
        <w:rPr>
          <w:rFonts w:ascii="Arial" w:cs="Arial" w:eastAsia="Arial" w:hAnsi="Arial"/>
          <w:sz w:val="16"/>
          <w:szCs w:val="16"/>
          <w:b w:val="1"/>
          <w:bCs w:val="1"/>
          <w:color w:val="FF0000"/>
          <w:strike w:val="1"/>
        </w:rPr>
        <w:t>fifteen</w:t>
      </w:r>
      <w:r>
        <w:rPr>
          <w:rFonts w:ascii="Arial" w:cs="Arial" w:eastAsia="Arial" w:hAnsi="Arial"/>
          <w:sz w:val="16"/>
          <w:szCs w:val="16"/>
          <w:b w:val="1"/>
          <w:bCs w:val="1"/>
          <w:u w:val="single" w:color="auto"/>
          <w:color w:val="0000FF"/>
          <w:strike w:val="1"/>
        </w:rPr>
        <w:t>ten</w:t>
      </w:r>
      <w:r>
        <w:rPr>
          <w:rFonts w:ascii="Arial" w:cs="Arial" w:eastAsia="Arial" w:hAnsi="Arial"/>
          <w:sz w:val="16"/>
          <w:szCs w:val="16"/>
          <w:color w:val="000000"/>
          <w:strike w:val="1"/>
        </w:rPr>
        <w:t xml:space="preserve"> (</w:t>
      </w:r>
      <w:r>
        <w:rPr>
          <w:rFonts w:ascii="Arial" w:cs="Arial" w:eastAsia="Arial" w:hAnsi="Arial"/>
          <w:sz w:val="16"/>
          <w:szCs w:val="16"/>
          <w:b w:val="1"/>
          <w:bCs w:val="1"/>
          <w:color w:val="FF0000"/>
          <w:strike w:val="1"/>
        </w:rPr>
        <w:t>15</w:t>
      </w:r>
      <w:r>
        <w:rPr>
          <w:rFonts w:ascii="Arial" w:cs="Arial" w:eastAsia="Arial" w:hAnsi="Arial"/>
          <w:sz w:val="16"/>
          <w:szCs w:val="16"/>
          <w:b w:val="1"/>
          <w:bCs w:val="1"/>
          <w:u w:val="single" w:color="auto"/>
          <w:color w:val="0000FF"/>
          <w:strike w:val="1"/>
        </w:rPr>
        <w:t>10</w:t>
      </w:r>
      <w:r>
        <w:rPr>
          <w:rFonts w:ascii="Arial" w:cs="Arial" w:eastAsia="Arial" w:hAnsi="Arial"/>
          <w:sz w:val="16"/>
          <w:szCs w:val="16"/>
          <w:color w:val="000000"/>
          <w:strike w:val="1"/>
        </w:rPr>
        <w:t>) Business Days (or such shorter period as may be agreed by the Administrative Agent) after the date on which such notice is delivered to the Administrative Agent and (</w:t>
      </w:r>
      <w:r>
        <w:rPr>
          <w:rFonts w:ascii="Arial" w:cs="Arial" w:eastAsia="Arial" w:hAnsi="Arial"/>
          <w:sz w:val="16"/>
          <w:szCs w:val="16"/>
          <w:b w:val="1"/>
          <w:bCs w:val="1"/>
          <w:color w:val="FF0000"/>
          <w:strike w:val="1"/>
        </w:rPr>
        <w:t>ii</w:t>
      </w:r>
      <w:r>
        <w:rPr>
          <w:rFonts w:ascii="Arial" w:cs="Arial" w:eastAsia="Arial" w:hAnsi="Arial"/>
          <w:sz w:val="16"/>
          <w:szCs w:val="16"/>
          <w:b w:val="1"/>
          <w:bCs w:val="1"/>
          <w:u w:val="single" w:color="auto"/>
          <w:color w:val="0000FF"/>
          <w:strike w:val="1"/>
        </w:rPr>
        <w:t>B</w:t>
      </w:r>
      <w:r>
        <w:rPr>
          <w:rFonts w:ascii="Arial" w:cs="Arial" w:eastAsia="Arial" w:hAnsi="Arial"/>
          <w:sz w:val="16"/>
          <w:szCs w:val="16"/>
          <w:color w:val="000000"/>
          <w:strike w:val="1"/>
        </w:rPr>
        <w:t xml:space="preserve">) the identity of each Person to whom the Borrowers propose any portion of such </w:t>
      </w:r>
      <w:r>
        <w:rPr>
          <w:rFonts w:ascii="Arial" w:cs="Arial" w:eastAsia="Arial" w:hAnsi="Arial"/>
          <w:sz w:val="16"/>
          <w:szCs w:val="16"/>
          <w:b w:val="1"/>
          <w:bCs w:val="1"/>
          <w:color w:val="FF0000"/>
          <w:strike w:val="1"/>
        </w:rPr>
        <w:t>Specific</w:t>
      </w:r>
      <w:r>
        <w:rPr>
          <w:rFonts w:ascii="Arial" w:cs="Arial" w:eastAsia="Arial" w:hAnsi="Arial"/>
          <w:sz w:val="16"/>
          <w:szCs w:val="16"/>
          <w:color w:val="000000"/>
          <w:strike w:val="1"/>
        </w:rPr>
        <w:t xml:space="preserve"> Incremental </w:t>
      </w:r>
      <w:r>
        <w:rPr>
          <w:rFonts w:ascii="Arial" w:cs="Arial" w:eastAsia="Arial" w:hAnsi="Arial"/>
          <w:sz w:val="16"/>
          <w:szCs w:val="16"/>
          <w:b w:val="1"/>
          <w:bCs w:val="1"/>
          <w:color w:val="FF0000"/>
          <w:strike w:val="1"/>
        </w:rPr>
        <w:t>Commitment</w:t>
      </w:r>
      <w:r>
        <w:rPr>
          <w:rFonts w:ascii="Arial" w:cs="Arial" w:eastAsia="Arial" w:hAnsi="Arial"/>
          <w:sz w:val="16"/>
          <w:szCs w:val="16"/>
          <w:color w:val="000000"/>
          <w:strike w:val="1"/>
        </w:rPr>
        <w:t xml:space="preserve"> Increase be allocated and the </w:t>
      </w:r>
      <w:r>
        <w:rPr>
          <w:rFonts w:ascii="Arial" w:cs="Arial" w:eastAsia="Arial" w:hAnsi="Arial"/>
          <w:sz w:val="16"/>
          <w:szCs w:val="16"/>
          <w:b w:val="1"/>
          <w:bCs w:val="1"/>
          <w:color w:val="FF0000"/>
          <w:strike w:val="1"/>
        </w:rPr>
        <w:t>amounts of such allocations in accordance with the terms hereof;</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color w:val="000000"/>
          <w:strike w:val="1"/>
        </w:rPr>
        <w:t xml:space="preserve"> </w:t>
      </w:r>
      <w:r>
        <w:rPr>
          <w:rFonts w:ascii="Arial" w:cs="Arial" w:eastAsia="Arial" w:hAnsi="Arial"/>
          <w:sz w:val="16"/>
          <w:szCs w:val="16"/>
          <w:b w:val="1"/>
          <w:bCs w:val="1"/>
          <w:color w:val="FF0000"/>
          <w:strike w:val="1"/>
        </w:rPr>
        <w:t>that each such Person shall (A)</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amount of</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the corresponding Incremental Performance LC Commitment and/or Incremental Revolving Credit Commitment of such Person; provided that</w:t>
      </w:r>
    </w:p>
    <w:p>
      <w:pPr>
        <w:spacing w:after="0" w:line="5" w:lineRule="exact"/>
        <w:rPr>
          <w:rFonts w:ascii="Arial" w:cs="Arial" w:eastAsia="Arial" w:hAnsi="Arial"/>
          <w:sz w:val="16"/>
          <w:szCs w:val="16"/>
          <w:b w:val="1"/>
          <w:bCs w:val="1"/>
          <w:color w:val="FF0000"/>
          <w:strike w:val="1"/>
        </w:rPr>
      </w:pPr>
    </w:p>
    <w:p>
      <w:pPr>
        <w:spacing w:after="0"/>
        <w:rPr>
          <w:rFonts w:ascii="Arial" w:cs="Arial" w:eastAsia="Arial" w:hAnsi="Arial"/>
          <w:sz w:val="16"/>
          <w:szCs w:val="16"/>
          <w:b w:val="1"/>
          <w:bCs w:val="1"/>
          <w:color w:val="FF0000"/>
          <w:strike w:val="1"/>
        </w:rPr>
      </w:pPr>
      <w:r>
        <w:rPr>
          <w:rFonts w:ascii="Arial" w:cs="Arial" w:eastAsia="Arial" w:hAnsi="Arial"/>
          <w:sz w:val="17"/>
          <w:szCs w:val="17"/>
          <w:b w:val="1"/>
          <w:bCs w:val="1"/>
          <w:u w:val="single" w:color="auto"/>
          <w:color w:val="0000FF"/>
        </w:rPr>
        <w:t xml:space="preserve">(1) any existing Lender approached to provide an Incremental </w:t>
      </w:r>
      <w:r>
        <w:rPr>
          <w:rFonts w:ascii="Arial" w:cs="Arial" w:eastAsia="Arial" w:hAnsi="Arial"/>
          <w:sz w:val="17"/>
          <w:szCs w:val="17"/>
          <w:i w:val="1"/>
          <w:iCs w:val="1"/>
          <w:u w:val="single" w:color="auto"/>
          <w:color w:val="008000"/>
        </w:rPr>
        <w:t>Increase may elect or decline, in its sole discretion, to provide</w:t>
      </w:r>
      <w:r>
        <w:rPr>
          <w:rFonts w:ascii="Arial" w:cs="Arial" w:eastAsia="Arial" w:hAnsi="Arial"/>
          <w:sz w:val="17"/>
          <w:szCs w:val="17"/>
          <w:b w:val="1"/>
          <w:bCs w:val="1"/>
          <w:u w:val="single" w:color="auto"/>
          <w:color w:val="0000FF"/>
        </w:rPr>
        <w:t xml:space="preserve"> such Incremental</w:t>
      </w:r>
    </w:p>
    <w:p>
      <w:pPr>
        <w:spacing w:after="0" w:line="20" w:lineRule="exact"/>
        <w:rPr>
          <w:rFonts w:ascii="Arial" w:cs="Arial" w:eastAsia="Arial" w:hAnsi="Arial"/>
          <w:sz w:val="16"/>
          <w:szCs w:val="16"/>
          <w:b w:val="1"/>
          <w:bCs w:val="1"/>
          <w:color w:val="FF0000"/>
          <w:strike w:val="1"/>
        </w:rPr>
      </w:pPr>
    </w:p>
    <w:p>
      <w:pPr>
        <w:jc w:val="both"/>
        <w:spacing w:after="0" w:line="284" w:lineRule="auto"/>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0000FF"/>
        </w:rPr>
        <w:t xml:space="preserve">Increase (any existing Lender electing to provide an Incremental Increase, an “Increasing Lender”), (2) any Person approached to provide an Incremental Increase that is not already a Lender shall </w:t>
      </w:r>
      <w:r>
        <w:rPr>
          <w:rFonts w:ascii="Arial" w:cs="Arial" w:eastAsia="Arial" w:hAnsi="Arial"/>
          <w:sz w:val="16"/>
          <w:szCs w:val="16"/>
          <w:u w:val="single" w:color="auto"/>
          <w:color w:val="000000"/>
        </w:rPr>
        <w:t>meet the requirements to be an assignee under Section 12.05(b) (</w:t>
      </w:r>
      <w:r>
        <w:rPr>
          <w:rFonts w:ascii="Arial" w:cs="Arial" w:eastAsia="Arial" w:hAnsi="Arial"/>
          <w:sz w:val="16"/>
          <w:szCs w:val="16"/>
          <w:b w:val="1"/>
          <w:bCs w:val="1"/>
          <w:u w:val="single" w:color="auto"/>
          <w:color w:val="FF0000"/>
          <w:strike w:val="1"/>
        </w:rPr>
        <w:t>except that no consent of the</w:t>
      </w:r>
      <w:r>
        <w:rPr>
          <w:rFonts w:ascii="Arial" w:cs="Arial" w:eastAsia="Arial" w:hAnsi="Arial"/>
          <w:sz w:val="16"/>
          <w:szCs w:val="16"/>
          <w:b w:val="1"/>
          <w:bCs w:val="1"/>
          <w:u w:val="single" w:color="auto"/>
          <w:color w:val="0000FF"/>
        </w:rPr>
        <w:t xml:space="preserve"> </w:t>
      </w:r>
      <w:r>
        <w:rPr>
          <w:rFonts w:ascii="Arial" w:cs="Arial" w:eastAsia="Arial" w:hAnsi="Arial"/>
          <w:sz w:val="16"/>
          <w:szCs w:val="16"/>
          <w:b w:val="1"/>
          <w:bCs w:val="1"/>
          <w:u w:val="single" w:color="auto"/>
          <w:color w:val="FF0000"/>
          <w:strike w:val="1"/>
        </w:rPr>
        <w:t>Administrative Agent or any Issuing Bank shall</w:t>
      </w:r>
      <w:r>
        <w:rPr>
          <w:rFonts w:ascii="Arial" w:cs="Arial" w:eastAsia="Arial" w:hAnsi="Arial"/>
          <w:sz w:val="16"/>
          <w:szCs w:val="16"/>
          <w:b w:val="1"/>
          <w:bCs w:val="1"/>
          <w:u w:val="single" w:color="auto"/>
          <w:color w:val="0000FF"/>
        </w:rPr>
        <w:t>subject to such consents, if any, as may</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be required</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FF0000"/>
          <w:strike w:val="1"/>
        </w:rPr>
        <w:t>pursuant to</w:t>
      </w:r>
      <w:r>
        <w:rPr>
          <w:rFonts w:ascii="Arial" w:cs="Arial" w:eastAsia="Arial" w:hAnsi="Arial"/>
          <w:sz w:val="16"/>
          <w:szCs w:val="16"/>
          <w:b w:val="1"/>
          <w:bCs w:val="1"/>
          <w:u w:val="single" w:color="auto"/>
          <w:color w:val="0000FF"/>
        </w:rPr>
        <w:t>under</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Section 12.05(b)</w:t>
      </w:r>
      <w:r>
        <w:rPr>
          <w:rFonts w:ascii="Arial" w:cs="Arial" w:eastAsia="Arial" w:hAnsi="Arial"/>
          <w:sz w:val="16"/>
          <w:szCs w:val="16"/>
          <w:b w:val="1"/>
          <w:bCs w:val="1"/>
          <w:color w:val="FF0000"/>
        </w:rPr>
        <w:t xml:space="preserve"> with respect </w:t>
      </w:r>
      <w:r>
        <w:rPr>
          <w:rFonts w:ascii="Arial" w:cs="Arial" w:eastAsia="Arial" w:hAnsi="Arial"/>
          <w:sz w:val="16"/>
          <w:szCs w:val="16"/>
          <w:b w:val="1"/>
          <w:bCs w:val="1"/>
          <w:color w:val="FF0000"/>
          <w:strike w:val="1"/>
        </w:rPr>
        <w:t>to the Preapproved Specific Additional Lender) and (B)</w:t>
      </w:r>
      <w:r>
        <w:rPr>
          <w:rFonts w:ascii="Arial" w:cs="Arial" w:eastAsia="Arial" w:hAnsi="Arial"/>
          <w:sz w:val="16"/>
          <w:szCs w:val="16"/>
          <w:b w:val="1"/>
          <w:bCs w:val="1"/>
          <w:u w:val="single" w:color="auto"/>
          <w:color w:val="0000FF"/>
        </w:rPr>
        <w:t>) and shall</w:t>
      </w:r>
      <w:r>
        <w:rPr>
          <w:rFonts w:ascii="Arial" w:cs="Arial" w:eastAsia="Arial" w:hAnsi="Arial"/>
          <w:sz w:val="16"/>
          <w:szCs w:val="16"/>
          <w:b w:val="1"/>
          <w:bCs w:val="1"/>
          <w:color w:val="FF0000"/>
        </w:rPr>
        <w:t xml:space="preserve"> </w:t>
      </w:r>
      <w:r>
        <w:rPr>
          <w:rFonts w:ascii="Arial" w:cs="Arial" w:eastAsia="Arial" w:hAnsi="Arial"/>
          <w:sz w:val="16"/>
          <w:szCs w:val="16"/>
          <w:color w:val="000000"/>
        </w:rPr>
        <w:t>deliver</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and, as applicable, execute</w:t>
      </w:r>
      <w:r>
        <w:rPr>
          <w:rFonts w:ascii="Arial" w:cs="Arial" w:eastAsia="Arial" w:hAnsi="Arial"/>
          <w:sz w:val="16"/>
          <w:szCs w:val="16"/>
          <w:b w:val="1"/>
          <w:bCs w:val="1"/>
          <w:color w:val="FF0000"/>
        </w:rPr>
        <w:t xml:space="preserve"> </w:t>
      </w:r>
      <w:r>
        <w:rPr>
          <w:rFonts w:ascii="Arial" w:cs="Arial" w:eastAsia="Arial" w:hAnsi="Arial"/>
          <w:sz w:val="16"/>
          <w:szCs w:val="16"/>
          <w:color w:val="000000"/>
        </w:rPr>
        <w:t>all applicable forms and documents required by</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clauses (D)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(E)</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(H)</w:t>
      </w:r>
      <w:r>
        <w:rPr>
          <w:rFonts w:ascii="Arial" w:cs="Arial" w:eastAsia="Arial" w:hAnsi="Arial"/>
          <w:sz w:val="16"/>
          <w:szCs w:val="16"/>
          <w:color w:val="000000"/>
        </w:rPr>
        <w:t xml:space="preserve"> of </w:t>
      </w:r>
      <w:r>
        <w:rPr>
          <w:rFonts w:ascii="Arial" w:cs="Arial" w:eastAsia="Arial" w:hAnsi="Arial"/>
          <w:sz w:val="16"/>
          <w:szCs w:val="16"/>
          <w:u w:val="single" w:color="auto"/>
          <w:color w:val="000000"/>
        </w:rPr>
        <w:t>Section 12.05(b)(ii)</w:t>
      </w:r>
      <w:r>
        <w:rPr>
          <w:rFonts w:ascii="Arial" w:cs="Arial" w:eastAsia="Arial" w:hAnsi="Arial"/>
          <w:sz w:val="16"/>
          <w:szCs w:val="16"/>
          <w:color w:val="000000"/>
        </w:rPr>
        <w:t xml:space="preserve"> </w:t>
      </w:r>
      <w:r>
        <w:rPr>
          <w:rFonts w:ascii="Arial" w:cs="Arial" w:eastAsia="Arial" w:hAnsi="Arial"/>
          <w:sz w:val="16"/>
          <w:szCs w:val="16"/>
          <w:b w:val="1"/>
          <w:bCs w:val="1"/>
          <w:color w:val="FF0000"/>
        </w:rPr>
        <w:t>and an</w:t>
      </w:r>
      <w:r>
        <w:rPr>
          <w:rFonts w:ascii="Arial" w:cs="Arial" w:eastAsia="Arial" w:hAnsi="Arial"/>
          <w:sz w:val="16"/>
          <w:szCs w:val="16"/>
          <w:color w:val="000000"/>
        </w:rPr>
        <w:t xml:space="preserve"> </w:t>
      </w:r>
      <w:r>
        <w:rPr>
          <w:rFonts w:ascii="Arial" w:cs="Arial" w:eastAsia="Arial" w:hAnsi="Arial"/>
          <w:sz w:val="16"/>
          <w:szCs w:val="16"/>
          <w:i w:val="1"/>
          <w:iCs w:val="1"/>
          <w:u w:val="single" w:color="auto"/>
          <w:color w:val="008000"/>
        </w:rPr>
        <w:t>(any such Person agreeing to provide all or any portion of an Incremental</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Increase that is not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already a Lender, an “</w:t>
      </w:r>
      <w:r>
        <w:rPr>
          <w:rFonts w:ascii="Arial" w:cs="Arial" w:eastAsia="Arial" w:hAnsi="Arial"/>
          <w:sz w:val="16"/>
          <w:szCs w:val="16"/>
          <w:u w:val="single" w:color="auto"/>
          <w:color w:val="000000"/>
        </w:rPr>
        <w:t>Additional Lender</w:t>
      </w:r>
      <w:r>
        <w:rPr>
          <w:rFonts w:ascii="Arial" w:cs="Arial" w:eastAsia="Arial" w:hAnsi="Arial"/>
          <w:sz w:val="16"/>
          <w:szCs w:val="16"/>
          <w:b w:val="1"/>
          <w:bCs w:val="1"/>
          <w:u w:val="single" w:color="auto"/>
          <w:color w:val="0000FF"/>
        </w:rPr>
        <w:t xml:space="preserve"> </w:t>
      </w:r>
      <w:r>
        <w:rPr>
          <w:rFonts w:ascii="Arial" w:cs="Arial" w:eastAsia="Arial" w:hAnsi="Arial"/>
          <w:sz w:val="16"/>
          <w:szCs w:val="16"/>
          <w:b w:val="1"/>
          <w:bCs w:val="1"/>
          <w:color w:val="FF0000"/>
          <w:strike w:val="1"/>
        </w:rPr>
        <w:t>Supplement or, if applicable,</w:t>
      </w:r>
      <w:r>
        <w:rPr>
          <w:rFonts w:ascii="Arial" w:cs="Arial" w:eastAsia="Arial" w:hAnsi="Arial"/>
          <w:sz w:val="16"/>
          <w:szCs w:val="16"/>
          <w:b w:val="1"/>
          <w:bCs w:val="1"/>
          <w:u w:val="single" w:color="auto"/>
          <w:color w:val="0000FF"/>
        </w:rPr>
        <w:t>”), (3) if any Increasing Lender is providing an Incremental Increase, then the Borrowers and such Increasing Lender shall execute</w:t>
      </w:r>
      <w:r>
        <w:rPr>
          <w:rFonts w:ascii="Arial" w:cs="Arial" w:eastAsia="Arial" w:hAnsi="Arial"/>
          <w:sz w:val="16"/>
          <w:szCs w:val="16"/>
          <w:b w:val="1"/>
          <w:bCs w:val="1"/>
          <w:color w:val="0000FF"/>
        </w:rPr>
        <w:t xml:space="preserve"> </w:t>
      </w:r>
      <w:r>
        <w:rPr>
          <w:rFonts w:ascii="Arial" w:cs="Arial" w:eastAsia="Arial" w:hAnsi="Arial"/>
          <w:sz w:val="16"/>
          <w:szCs w:val="16"/>
          <w:color w:val="000000"/>
        </w:rPr>
        <w:t>an Increasing Lender Supplement</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(each such Person, a “</w:t>
      </w:r>
      <w:r>
        <w:rPr>
          <w:rFonts w:ascii="Arial" w:cs="Arial" w:eastAsia="Arial" w:hAnsi="Arial"/>
          <w:sz w:val="16"/>
          <w:szCs w:val="16"/>
          <w:b w:val="1"/>
          <w:bCs w:val="1"/>
          <w:u w:val="single" w:color="auto"/>
          <w:color w:val="FF0000"/>
          <w:strike w:val="1"/>
        </w:rPr>
        <w:t>Specific</w:t>
      </w:r>
      <w:r>
        <w:rPr>
          <w:rFonts w:ascii="Arial" w:cs="Arial" w:eastAsia="Arial" w:hAnsi="Arial"/>
          <w:sz w:val="16"/>
          <w:szCs w:val="16"/>
          <w:b w:val="1"/>
          <w:bCs w:val="1"/>
          <w:u w:val="single" w:color="auto"/>
          <w:color w:val="0000FF"/>
        </w:rPr>
        <w:t>, and (D) if any</w:t>
      </w:r>
      <w:r>
        <w:rPr>
          <w:rFonts w:ascii="Arial" w:cs="Arial" w:eastAsia="Arial" w:hAnsi="Arial"/>
          <w:sz w:val="16"/>
          <w:szCs w:val="16"/>
          <w:b w:val="1"/>
          <w:bCs w:val="1"/>
          <w:color w:val="0000FF"/>
        </w:rPr>
        <w:t xml:space="preserve"> </w:t>
      </w:r>
      <w:r>
        <w:rPr>
          <w:rFonts w:ascii="Arial" w:cs="Arial" w:eastAsia="Arial" w:hAnsi="Arial"/>
          <w:sz w:val="16"/>
          <w:szCs w:val="16"/>
          <w:color w:val="000000"/>
        </w:rPr>
        <w:t>Additional</w:t>
      </w:r>
      <w:r>
        <w:rPr>
          <w:rFonts w:ascii="Arial" w:cs="Arial" w:eastAsia="Arial" w:hAnsi="Arial"/>
          <w:sz w:val="16"/>
          <w:szCs w:val="16"/>
          <w:b w:val="1"/>
          <w:bCs w:val="1"/>
          <w:color w:val="0000FF"/>
        </w:rPr>
        <w:t xml:space="preserve"> </w:t>
      </w:r>
      <w:r>
        <w:rPr>
          <w:rFonts w:ascii="Arial" w:cs="Arial" w:eastAsia="Arial" w:hAnsi="Arial"/>
          <w:sz w:val="16"/>
          <w:szCs w:val="16"/>
          <w:color w:val="000000"/>
        </w:rPr>
        <w:t>Lender</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provided further</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that any existing Lender approached to provide all of or any portion of a Specific Incremental Commitment</w:t>
      </w:r>
      <w:r>
        <w:rPr>
          <w:rFonts w:ascii="Arial" w:cs="Arial" w:eastAsia="Arial" w:hAnsi="Arial"/>
          <w:sz w:val="16"/>
          <w:szCs w:val="16"/>
          <w:color w:val="000000"/>
        </w:rPr>
        <w:t xml:space="preserve"> </w:t>
      </w:r>
      <w:r>
        <w:rPr>
          <w:rFonts w:ascii="Arial" w:cs="Arial" w:eastAsia="Arial" w:hAnsi="Arial"/>
          <w:sz w:val="16"/>
          <w:szCs w:val="16"/>
          <w:i w:val="1"/>
          <w:iCs w:val="1"/>
          <w:color w:val="008000"/>
          <w:strike w:val="1"/>
        </w:rPr>
        <w:t>Increase</w:t>
      </w:r>
      <w:r>
        <w:rPr>
          <w:rFonts w:ascii="Arial" w:cs="Arial" w:eastAsia="Arial" w:hAnsi="Arial"/>
          <w:sz w:val="16"/>
          <w:szCs w:val="16"/>
          <w:color w:val="000000"/>
        </w:rPr>
        <w:t xml:space="preserve"> </w:t>
      </w:r>
      <w:r>
        <w:rPr>
          <w:rFonts w:ascii="Arial" w:cs="Arial" w:eastAsia="Arial" w:hAnsi="Arial"/>
          <w:sz w:val="16"/>
          <w:szCs w:val="16"/>
          <w:i w:val="1"/>
          <w:iCs w:val="1"/>
          <w:color w:val="008000"/>
          <w:strike w:val="1"/>
        </w:rPr>
        <w:t xml:space="preserve">may elect or decline, in its sole discretion, to provide </w:t>
      </w:r>
      <w:r>
        <w:rPr>
          <w:rFonts w:ascii="Arial" w:cs="Arial" w:eastAsia="Arial" w:hAnsi="Arial"/>
          <w:sz w:val="16"/>
          <w:szCs w:val="16"/>
          <w:b w:val="1"/>
          <w:bCs w:val="1"/>
          <w:color w:val="FF0000"/>
          <w:strike w:val="1"/>
        </w:rPr>
        <w:t>all or any portion of such Specific Incremental Commitment Increase. Each Specific</w:t>
      </w:r>
      <w:r>
        <w:rPr>
          <w:rFonts w:ascii="Arial" w:cs="Arial" w:eastAsia="Arial" w:hAnsi="Arial"/>
          <w:sz w:val="16"/>
          <w:szCs w:val="16"/>
          <w:i w:val="1"/>
          <w:iCs w:val="1"/>
          <w:color w:val="008000"/>
          <w:strike w:val="1"/>
        </w:rPr>
        <w:t xml:space="preserve"> </w:t>
      </w:r>
      <w:r>
        <w:rPr>
          <w:rFonts w:ascii="Arial" w:cs="Arial" w:eastAsia="Arial" w:hAnsi="Arial"/>
          <w:sz w:val="16"/>
          <w:szCs w:val="16"/>
          <w:b w:val="1"/>
          <w:bCs w:val="1"/>
          <w:u w:val="single" w:color="auto"/>
          <w:color w:val="0000FF"/>
          <w:strike w:val="1"/>
        </w:rPr>
        <w:t>is</w:t>
      </w:r>
      <w:r>
        <w:rPr>
          <w:rFonts w:ascii="Arial" w:cs="Arial" w:eastAsia="Arial" w:hAnsi="Arial"/>
          <w:sz w:val="16"/>
          <w:szCs w:val="16"/>
          <w:i w:val="1"/>
          <w:iCs w:val="1"/>
          <w:color w:val="008000"/>
          <w:strike w:val="1"/>
        </w:rPr>
        <w:t xml:space="preserve"> </w:t>
      </w:r>
      <w:r>
        <w:rPr>
          <w:rFonts w:ascii="Arial" w:cs="Arial" w:eastAsia="Arial" w:hAnsi="Arial"/>
          <w:sz w:val="16"/>
          <w:szCs w:val="16"/>
          <w:b w:val="1"/>
          <w:bCs w:val="1"/>
          <w:u w:val="single" w:color="auto"/>
          <w:color w:val="0000FF"/>
          <w:strike w:val="1"/>
        </w:rPr>
        <w:t>providing an Incremental Increase</w:t>
      </w:r>
      <w:r>
        <w:rPr>
          <w:rFonts w:ascii="Arial" w:cs="Arial" w:eastAsia="Arial" w:hAnsi="Arial"/>
          <w:sz w:val="16"/>
          <w:szCs w:val="16"/>
          <w:i w:val="1"/>
          <w:iCs w:val="1"/>
          <w:u w:val="single" w:color="auto"/>
          <w:color w:val="008000"/>
          <w:strike w:val="1"/>
        </w:rPr>
        <w:t>, then the Borrowers and such Additional Lender shall execute an Additional Lender Supplement. Each</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Incremental</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 xml:space="preserve">Commitment </w:t>
      </w:r>
      <w:r>
        <w:rPr>
          <w:rFonts w:ascii="Arial" w:cs="Arial" w:eastAsia="Arial" w:hAnsi="Arial"/>
          <w:sz w:val="16"/>
          <w:szCs w:val="16"/>
          <w:color w:val="000000"/>
          <w:strike w:val="1"/>
        </w:rPr>
        <w:t>Increase shall be in an aggregate amount of $5,000,000 or any whole multiple of $1,000,000 in excess thereof (</w:t>
      </w:r>
      <w:r>
        <w:rPr>
          <w:rFonts w:ascii="Arial" w:cs="Arial" w:eastAsia="Arial" w:hAnsi="Arial"/>
          <w:sz w:val="16"/>
          <w:szCs w:val="16"/>
          <w:u w:val="single" w:color="auto"/>
          <w:color w:val="000000"/>
          <w:strike w:val="1"/>
        </w:rPr>
        <w:t>provided</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that the amount of</w:t>
      </w:r>
      <w:r>
        <w:rPr>
          <w:rFonts w:ascii="Arial" w:cs="Arial" w:eastAsia="Arial" w:hAnsi="Arial"/>
          <w:sz w:val="16"/>
          <w:szCs w:val="16"/>
          <w:b w:val="1"/>
          <w:bCs w:val="1"/>
          <w:color w:val="FF0000"/>
          <w:strike w:val="1"/>
        </w:rPr>
        <w:t xml:space="preserve"> a Specific</w:t>
      </w:r>
      <w:r>
        <w:rPr>
          <w:rFonts w:ascii="Arial" w:cs="Arial" w:eastAsia="Arial" w:hAnsi="Arial"/>
          <w:sz w:val="16"/>
          <w:szCs w:val="16"/>
          <w:b w:val="1"/>
          <w:bCs w:val="1"/>
          <w:u w:val="single" w:color="auto"/>
          <w:color w:val="0000FF"/>
          <w:strike w:val="1"/>
        </w:rPr>
        <w:t>an</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Incremental</w:t>
      </w:r>
      <w:r>
        <w:rPr>
          <w:rFonts w:ascii="Arial" w:cs="Arial" w:eastAsia="Arial" w:hAnsi="Arial"/>
          <w:sz w:val="16"/>
          <w:szCs w:val="16"/>
          <w:b w:val="1"/>
          <w:bCs w:val="1"/>
          <w:color w:val="FF0000"/>
          <w:strike w:val="1"/>
        </w:rPr>
        <w:t xml:space="preserve"> Commitment </w:t>
      </w:r>
      <w:r>
        <w:rPr>
          <w:rFonts w:ascii="Arial" w:cs="Arial" w:eastAsia="Arial" w:hAnsi="Arial"/>
          <w:sz w:val="16"/>
          <w:szCs w:val="16"/>
          <w:color w:val="000000"/>
          <w:strike w:val="1"/>
        </w:rPr>
        <w:t>Increase may be less than $5,000,000 if such amount represents all remaining availability under the</w:t>
      </w:r>
      <w:r>
        <w:rPr>
          <w:rFonts w:ascii="Arial" w:cs="Arial" w:eastAsia="Arial" w:hAnsi="Arial"/>
          <w:sz w:val="16"/>
          <w:szCs w:val="16"/>
          <w:b w:val="1"/>
          <w:bCs w:val="1"/>
          <w:color w:val="FF0000"/>
          <w:strike w:val="1"/>
        </w:rPr>
        <w:t xml:space="preserve"> Specific </w:t>
      </w:r>
      <w:r>
        <w:rPr>
          <w:rFonts w:ascii="Arial" w:cs="Arial" w:eastAsia="Arial" w:hAnsi="Arial"/>
          <w:sz w:val="16"/>
          <w:szCs w:val="16"/>
          <w:color w:val="000000"/>
          <w:strike w:val="1"/>
        </w:rPr>
        <w:t xml:space="preserve">Incremental </w:t>
      </w:r>
      <w:r>
        <w:rPr>
          <w:rFonts w:ascii="Arial" w:cs="Arial" w:eastAsia="Arial" w:hAnsi="Arial"/>
          <w:sz w:val="16"/>
          <w:szCs w:val="16"/>
          <w:b w:val="1"/>
          <w:bCs w:val="1"/>
          <w:color w:val="FF0000"/>
          <w:strike w:val="1"/>
        </w:rPr>
        <w:t>Commitment Cap). It is understood and agreed that no amount of the Specific Incremental Commitment Cap shall remain on and</w:t>
      </w:r>
      <w:r>
        <w:rPr>
          <w:rFonts w:ascii="Arial" w:cs="Arial" w:eastAsia="Arial" w:hAnsi="Arial"/>
          <w:sz w:val="16"/>
          <w:szCs w:val="16"/>
          <w:color w:val="000000"/>
          <w:strike w:val="1"/>
        </w:rPr>
        <w:t xml:space="preserve"> </w:t>
      </w:r>
      <w:r>
        <w:rPr>
          <w:rFonts w:ascii="Arial" w:cs="Arial" w:eastAsia="Arial" w:hAnsi="Arial"/>
          <w:sz w:val="16"/>
          <w:szCs w:val="16"/>
          <w:b w:val="1"/>
          <w:bCs w:val="1"/>
          <w:color w:val="FF0000"/>
          <w:strike w:val="1"/>
        </w:rPr>
        <w:t xml:space="preserve">after the First Amendment Effective Date after giving effect to the First Amendment. </w:t>
      </w:r>
      <w:r>
        <w:rPr>
          <w:rFonts w:ascii="Arial" w:cs="Arial" w:eastAsia="Arial" w:hAnsi="Arial"/>
          <w:sz w:val="16"/>
          <w:szCs w:val="16"/>
          <w:b w:val="1"/>
          <w:bCs w:val="1"/>
          <w:u w:val="single" w:color="auto"/>
          <w:color w:val="0000FF"/>
          <w:strike w:val="1"/>
        </w:rPr>
        <w:t>Increase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6492875</wp:posOffset>
            </wp:positionH>
            <wp:positionV relativeFrom="paragraph">
              <wp:posOffset>-1600835</wp:posOffset>
            </wp:positionV>
            <wp:extent cx="6369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-1326515</wp:posOffset>
            </wp:positionV>
            <wp:extent cx="390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1296"/>
        <w:spacing w:after="0" w:line="261" w:lineRule="auto"/>
        <w:rPr>
          <w:sz w:val="20"/>
          <w:szCs w:val="20"/>
          <w:color w:val="auto"/>
        </w:rPr>
      </w:pPr>
      <w:r>
        <w:rPr>
          <w:rFonts w:ascii="Arial" w:cs="Arial" w:eastAsia="Arial" w:hAnsi="Arial"/>
          <w:sz w:val="18"/>
          <w:szCs w:val="18"/>
          <w:b w:val="1"/>
          <w:bCs w:val="1"/>
          <w:u w:val="single" w:color="auto"/>
          <w:color w:val="0000FF"/>
        </w:rPr>
        <w:t>(b)           </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Conditions</w:t>
      </w:r>
      <w:r>
        <w:rPr>
          <w:rFonts w:ascii="Arial" w:cs="Arial" w:eastAsia="Arial" w:hAnsi="Arial"/>
          <w:sz w:val="18"/>
          <w:szCs w:val="18"/>
          <w:color w:val="000000"/>
        </w:rPr>
        <w:t>. Each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Specific Incremental</w:t>
      </w:r>
      <w:r>
        <w:rPr>
          <w:rFonts w:ascii="Arial" w:cs="Arial" w:eastAsia="Arial" w:hAnsi="Arial"/>
          <w:sz w:val="18"/>
          <w:szCs w:val="18"/>
          <w:b w:val="1"/>
          <w:bCs w:val="1"/>
          <w:u w:val="single" w:color="auto"/>
          <w:color w:val="0000FF"/>
        </w:rPr>
        <w:t>Performance LC Commitment Increase or Revolving Credit</w:t>
      </w:r>
      <w:r>
        <w:rPr>
          <w:rFonts w:ascii="Arial" w:cs="Arial" w:eastAsia="Arial" w:hAnsi="Arial"/>
          <w:sz w:val="18"/>
          <w:szCs w:val="18"/>
          <w:b w:val="1"/>
          <w:bCs w:val="1"/>
          <w:color w:val="0000FF"/>
        </w:rPr>
        <w:t xml:space="preserve"> </w:t>
      </w:r>
      <w:r>
        <w:rPr>
          <w:rFonts w:ascii="Arial" w:cs="Arial" w:eastAsia="Arial" w:hAnsi="Arial"/>
          <w:sz w:val="18"/>
          <w:szCs w:val="18"/>
          <w:color w:val="000000"/>
        </w:rPr>
        <w:t>Commitment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Increase shall become effective on the proposed effective date set forth in the Borrowers’ request for </w:t>
      </w:r>
      <w:r>
        <w:rPr>
          <w:rFonts w:ascii="Arial" w:cs="Arial" w:eastAsia="Arial" w:hAnsi="Arial"/>
          <w:sz w:val="18"/>
          <w:szCs w:val="18"/>
          <w:b w:val="1"/>
          <w:bCs w:val="1"/>
          <w:color w:val="FF0000"/>
          <w:strike w:val="1"/>
        </w:rPr>
        <w:t>such Specific</w:t>
      </w:r>
      <w:r>
        <w:rPr>
          <w:rFonts w:ascii="Arial" w:cs="Arial" w:eastAsia="Arial" w:hAnsi="Arial"/>
          <w:sz w:val="18"/>
          <w:szCs w:val="18"/>
          <w:b w:val="1"/>
          <w:bCs w:val="1"/>
          <w:u w:val="single" w:color="auto"/>
          <w:color w:val="0000FF"/>
        </w:rPr>
        <w:t>an</w:t>
      </w:r>
      <w:r>
        <w:rPr>
          <w:rFonts w:ascii="Arial" w:cs="Arial" w:eastAsia="Arial" w:hAnsi="Arial"/>
          <w:sz w:val="18"/>
          <w:szCs w:val="18"/>
          <w:color w:val="000000"/>
        </w:rPr>
        <w:t xml:space="preserve"> Incremental </w:t>
      </w:r>
      <w:r>
        <w:rPr>
          <w:rFonts w:ascii="Arial" w:cs="Arial" w:eastAsia="Arial" w:hAnsi="Arial"/>
          <w:sz w:val="18"/>
          <w:szCs w:val="18"/>
          <w:b w:val="1"/>
          <w:bCs w:val="1"/>
          <w:color w:val="FF0000"/>
          <w:strike w:val="1"/>
        </w:rPr>
        <w:t>Commitment</w:t>
      </w:r>
      <w:r>
        <w:rPr>
          <w:rFonts w:ascii="Arial" w:cs="Arial" w:eastAsia="Arial" w:hAnsi="Arial"/>
          <w:sz w:val="18"/>
          <w:szCs w:val="18"/>
          <w:color w:val="000000"/>
        </w:rPr>
        <w:t xml:space="preserve"> Increase or such later date as the Administrative Agent and the Borrowers agree (the “</w:t>
      </w:r>
      <w:r>
        <w:rPr>
          <w:rFonts w:ascii="Arial" w:cs="Arial" w:eastAsia="Arial" w:hAnsi="Arial"/>
          <w:sz w:val="18"/>
          <w:szCs w:val="18"/>
          <w:b w:val="1"/>
          <w:bCs w:val="1"/>
          <w:u w:val="single" w:color="auto"/>
          <w:color w:val="FF0000"/>
          <w:strike w:val="1"/>
        </w:rPr>
        <w:t>Specific Lender</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Increase Effective Date</w:t>
      </w:r>
      <w:r>
        <w:rPr>
          <w:rFonts w:ascii="Arial" w:cs="Arial" w:eastAsia="Arial" w:hAnsi="Arial"/>
          <w:sz w:val="18"/>
          <w:szCs w:val="18"/>
          <w:color w:val="000000"/>
        </w:rPr>
        <w:t>”), which in any event shall be on or after the date on which the Administrative Agent shall have received: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Arial" w:cs="Arial" w:eastAsia="Arial" w:hAnsi="Arial"/>
          <w:sz w:val="18"/>
          <w:szCs w:val="18"/>
          <w:color w:val="auto"/>
        </w:rPr>
        <w:t xml:space="preserve">(i)            an Additional Lender Supplement </w:t>
      </w:r>
      <w:r>
        <w:rPr>
          <w:rFonts w:ascii="Arial" w:cs="Arial" w:eastAsia="Arial" w:hAnsi="Arial"/>
          <w:sz w:val="18"/>
          <w:szCs w:val="18"/>
          <w:b w:val="1"/>
          <w:bCs w:val="1"/>
          <w:color w:val="FF0000"/>
          <w:strike w:val="1"/>
        </w:rPr>
        <w:t>or, if applicable,</w:t>
      </w:r>
      <w:r>
        <w:rPr>
          <w:rFonts w:ascii="Arial" w:cs="Arial" w:eastAsia="Arial" w:hAnsi="Arial"/>
          <w:sz w:val="18"/>
          <w:szCs w:val="18"/>
          <w:b w:val="1"/>
          <w:bCs w:val="1"/>
          <w:u w:val="single" w:color="auto"/>
          <w:color w:val="0000FF"/>
        </w:rPr>
        <w:t>for each Additional Lender participating in such Incremental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Increase and</w:t>
      </w:r>
      <w:r>
        <w:rPr>
          <w:rFonts w:ascii="Arial" w:cs="Arial" w:eastAsia="Arial" w:hAnsi="Arial"/>
          <w:sz w:val="18"/>
          <w:szCs w:val="18"/>
          <w:b w:val="1"/>
          <w:bCs w:val="1"/>
          <w:color w:val="0000FF"/>
        </w:rPr>
        <w:t xml:space="preserve"> </w:t>
      </w:r>
      <w:r>
        <w:rPr>
          <w:rFonts w:ascii="Arial" w:cs="Arial" w:eastAsia="Arial" w:hAnsi="Arial"/>
          <w:sz w:val="18"/>
          <w:szCs w:val="18"/>
          <w:color w:val="000000"/>
        </w:rPr>
        <w:t>an Increasing Lender Supplement for each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Specific Additional</w:t>
      </w:r>
      <w:r>
        <w:rPr>
          <w:rFonts w:ascii="Arial" w:cs="Arial" w:eastAsia="Arial" w:hAnsi="Arial"/>
          <w:sz w:val="18"/>
          <w:szCs w:val="18"/>
          <w:b w:val="1"/>
          <w:bCs w:val="1"/>
          <w:u w:val="single" w:color="auto"/>
          <w:color w:val="0000FF"/>
        </w:rPr>
        <w:t>Increasing</w:t>
      </w:r>
      <w:r>
        <w:rPr>
          <w:rFonts w:ascii="Arial" w:cs="Arial" w:eastAsia="Arial" w:hAnsi="Arial"/>
          <w:sz w:val="18"/>
          <w:szCs w:val="18"/>
          <w:b w:val="1"/>
          <w:bCs w:val="1"/>
          <w:color w:val="0000FF"/>
        </w:rPr>
        <w:t xml:space="preserve"> </w:t>
      </w:r>
      <w:r>
        <w:rPr>
          <w:rFonts w:ascii="Arial" w:cs="Arial" w:eastAsia="Arial" w:hAnsi="Arial"/>
          <w:sz w:val="18"/>
          <w:szCs w:val="18"/>
          <w:color w:val="000000"/>
        </w:rPr>
        <w:t>Lender participating in such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Specific</w:t>
      </w:r>
      <w:r>
        <w:rPr>
          <w:rFonts w:ascii="Arial" w:cs="Arial" w:eastAsia="Arial" w:hAnsi="Arial"/>
          <w:sz w:val="18"/>
          <w:szCs w:val="18"/>
          <w:b w:val="1"/>
          <w:bCs w:val="1"/>
          <w:color w:val="0000FF"/>
        </w:rPr>
        <w:t xml:space="preserve"> </w:t>
      </w:r>
      <w:r>
        <w:rPr>
          <w:rFonts w:ascii="Arial" w:cs="Arial" w:eastAsia="Arial" w:hAnsi="Arial"/>
          <w:sz w:val="18"/>
          <w:szCs w:val="18"/>
          <w:color w:val="000000"/>
        </w:rPr>
        <w:t>Incremental</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Commitment</w:t>
      </w:r>
      <w:r>
        <w:rPr>
          <w:rFonts w:ascii="Arial" w:cs="Arial" w:eastAsia="Arial" w:hAnsi="Arial"/>
          <w:sz w:val="18"/>
          <w:szCs w:val="18"/>
          <w:b w:val="1"/>
          <w:bCs w:val="1"/>
          <w:color w:val="FF0000"/>
        </w:rPr>
        <w:t xml:space="preserve"> </w:t>
      </w:r>
      <w:r>
        <w:rPr>
          <w:rFonts w:ascii="Arial" w:cs="Arial" w:eastAsia="Arial" w:hAnsi="Arial"/>
          <w:sz w:val="18"/>
          <w:szCs w:val="18"/>
          <w:color w:val="000000"/>
        </w:rPr>
        <w:t>Increase,</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in each case</w:t>
      </w:r>
      <w:r>
        <w:rPr>
          <w:rFonts w:ascii="Arial" w:cs="Arial" w:eastAsia="Arial" w:hAnsi="Arial"/>
          <w:sz w:val="18"/>
          <w:szCs w:val="18"/>
          <w:b w:val="1"/>
          <w:bCs w:val="1"/>
          <w:color w:val="FF0000"/>
        </w:rPr>
        <w:t xml:space="preserve"> </w:t>
      </w:r>
      <w:r>
        <w:rPr>
          <w:rFonts w:ascii="Arial" w:cs="Arial" w:eastAsia="Arial" w:hAnsi="Arial"/>
          <w:sz w:val="18"/>
          <w:szCs w:val="18"/>
          <w:color w:val="000000"/>
        </w:rPr>
        <w:t>duly executed by all parties thereto;</w:t>
      </w:r>
    </w:p>
    <w:p>
      <w:pPr>
        <w:spacing w:after="0" w:line="176" w:lineRule="exact"/>
        <w:rPr>
          <w:sz w:val="20"/>
          <w:szCs w:val="20"/>
          <w:color w:val="auto"/>
        </w:rPr>
      </w:pPr>
    </w:p>
    <w:p>
      <w:pPr>
        <w:jc w:val="both"/>
        <w:ind w:left="660" w:firstLine="1296"/>
        <w:spacing w:after="0" w:line="298" w:lineRule="auto"/>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b w:val="1"/>
          <w:bCs w:val="1"/>
          <w:color w:val="FF0000"/>
          <w:strike w:val="1"/>
        </w:rPr>
        <w:t>if any Specific Additional Lender participating in such Specific Incremental Commitment Increase is the</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Preapproved Specific Additional Lender or otherwise reasonably requests, a Canadian Borrower Joinder evidencing the accession of the applicable new Borrower to this Agreement in accordance with the terms set forth therein;</w:t>
      </w:r>
      <w:r>
        <w:rPr>
          <w:rFonts w:ascii="Arial" w:cs="Arial" w:eastAsia="Arial" w:hAnsi="Arial"/>
          <w:sz w:val="16"/>
          <w:szCs w:val="16"/>
          <w:i w:val="1"/>
          <w:iCs w:val="1"/>
          <w:u w:val="single" w:color="auto"/>
          <w:color w:val="008000"/>
          <w:strike w:val="1"/>
        </w:rPr>
        <w:t>such documents and opinions consistent with</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u w:val="single" w:color="auto"/>
          <w:color w:val="008000"/>
          <w:strike w:val="1"/>
        </w:rPr>
        <w:t xml:space="preserve">those delivered on the Effective Date as to the organizational power and authority of the Borrowers to request Letters of Credit and other extensions of credit hereunder after giving effect to such </w:t>
      </w:r>
      <w:r>
        <w:rPr>
          <w:rFonts w:ascii="Arial" w:cs="Arial" w:eastAsia="Arial" w:hAnsi="Arial"/>
          <w:sz w:val="16"/>
          <w:szCs w:val="16"/>
          <w:b w:val="1"/>
          <w:bCs w:val="1"/>
          <w:u w:val="single" w:color="auto"/>
          <w:color w:val="0000FF"/>
          <w:strike w:val="1"/>
        </w:rPr>
        <w:t>Incremental Increase as the Administrative Agent may reasonably request;</w:t>
      </w:r>
    </w:p>
    <w:p>
      <w:pPr>
        <w:spacing w:after="0" w:line="154" w:lineRule="exact"/>
        <w:rPr>
          <w:sz w:val="20"/>
          <w:szCs w:val="20"/>
          <w:color w:val="auto"/>
        </w:rPr>
      </w:pPr>
    </w:p>
    <w:p>
      <w:pPr>
        <w:jc w:val="both"/>
        <w:ind w:left="660" w:firstLine="1292"/>
        <w:spacing w:after="0" w:line="287" w:lineRule="auto"/>
        <w:tabs>
          <w:tab w:leader="none" w:pos="2299" w:val="left"/>
        </w:tabs>
        <w:numPr>
          <w:ilvl w:val="0"/>
          <w:numId w:val="80"/>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 xml:space="preserve">the new Borrower party to the joinder described in the preceding clause (ii) (if any) shall have provided to the Administrative Agent and the Lenders, if requested at least seven (7) Business Days prior to such Specific Lender Increase Effective Date, the documentation and other information requested by the Administrative Agent or any Lender </w:t>
      </w:r>
      <w:r>
        <w:rPr>
          <w:rFonts w:ascii="Arial" w:cs="Arial" w:eastAsia="Arial" w:hAnsi="Arial"/>
          <w:sz w:val="16"/>
          <w:szCs w:val="16"/>
          <w:i w:val="1"/>
          <w:iCs w:val="1"/>
          <w:color w:val="008000"/>
          <w:strike w:val="1"/>
        </w:rPr>
        <w:t>in order to comply with requirements of the</w:t>
      </w:r>
      <w:r>
        <w:rPr>
          <w:rFonts w:ascii="Arial" w:cs="Arial" w:eastAsia="Arial" w:hAnsi="Arial"/>
          <w:sz w:val="16"/>
          <w:szCs w:val="16"/>
          <w:b w:val="1"/>
          <w:bCs w:val="1"/>
          <w:color w:val="FF0000"/>
          <w:strike w:val="1"/>
        </w:rPr>
        <w:t xml:space="preserve"> </w:t>
      </w:r>
      <w:r>
        <w:rPr>
          <w:rFonts w:ascii="Arial" w:cs="Arial" w:eastAsia="Arial" w:hAnsi="Arial"/>
          <w:sz w:val="16"/>
          <w:szCs w:val="16"/>
          <w:i w:val="1"/>
          <w:iCs w:val="1"/>
          <w:color w:val="008000"/>
          <w:strike w:val="1"/>
        </w:rPr>
        <w:t>PATRIOT Act and applicable “know your customer” and anti-money laundering rules and regulations</w:t>
      </w:r>
      <w:r>
        <w:rPr>
          <w:rFonts w:ascii="Arial" w:cs="Arial" w:eastAsia="Arial" w:hAnsi="Arial"/>
          <w:sz w:val="16"/>
          <w:szCs w:val="16"/>
          <w:b w:val="1"/>
          <w:bCs w:val="1"/>
          <w:color w:val="FF0000"/>
          <w:strike w:val="1"/>
        </w:rPr>
        <w:t>, including a Beneficial Ownership</w:t>
      </w:r>
    </w:p>
    <w:p>
      <w:pPr>
        <w:spacing w:after="0" w:line="2" w:lineRule="exact"/>
        <w:rPr>
          <w:rFonts w:ascii="Arial" w:cs="Arial" w:eastAsia="Arial" w:hAnsi="Arial"/>
          <w:sz w:val="16"/>
          <w:szCs w:val="16"/>
          <w:b w:val="1"/>
          <w:bCs w:val="1"/>
          <w:color w:val="FF0000"/>
          <w:strike w:val="1"/>
        </w:rPr>
      </w:pPr>
    </w:p>
    <w:p>
      <w:pPr>
        <w:jc w:val="both"/>
        <w:ind w:left="660"/>
        <w:spacing w:after="0" w:line="255" w:lineRule="auto"/>
        <w:rPr>
          <w:rFonts w:ascii="Arial" w:cs="Arial" w:eastAsia="Arial" w:hAnsi="Arial"/>
          <w:sz w:val="16"/>
          <w:szCs w:val="16"/>
          <w:b w:val="1"/>
          <w:bCs w:val="1"/>
          <w:color w:val="FF0000"/>
          <w:strike w:val="1"/>
        </w:rPr>
      </w:pPr>
      <w:r>
        <w:rPr>
          <w:rFonts w:ascii="Arial" w:cs="Arial" w:eastAsia="Arial" w:hAnsi="Arial"/>
          <w:sz w:val="18"/>
          <w:szCs w:val="18"/>
          <w:b w:val="1"/>
          <w:bCs w:val="1"/>
          <w:color w:val="FF0000"/>
          <w:strike w:val="1"/>
        </w:rPr>
        <w:t>Certification in relation to it (or a certification that such Borrower qualifies for an express exclusion from the “legal entity customer” definition under the Beneficial Ownership Regulations), at least five (5) Business Days prior to such Specific Lender Increase Effective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left="660" w:firstLine="1296"/>
        <w:spacing w:after="0" w:line="266" w:lineRule="auto"/>
        <w:rPr>
          <w:sz w:val="20"/>
          <w:szCs w:val="20"/>
          <w:color w:val="auto"/>
        </w:rPr>
      </w:pPr>
      <w:r>
        <w:rPr>
          <w:rFonts w:ascii="Arial" w:cs="Arial" w:eastAsia="Arial" w:hAnsi="Arial"/>
          <w:sz w:val="18"/>
          <w:szCs w:val="18"/>
          <w:b w:val="1"/>
          <w:bCs w:val="1"/>
          <w:u w:val="single" w:color="auto"/>
          <w:color w:val="0000FF"/>
        </w:rPr>
        <w:t xml:space="preserve">(iii)            </w:t>
      </w:r>
      <w:r>
        <w:rPr>
          <w:rFonts w:ascii="Arial" w:cs="Arial" w:eastAsia="Arial" w:hAnsi="Arial"/>
          <w:sz w:val="18"/>
          <w:szCs w:val="18"/>
          <w:i w:val="1"/>
          <w:iCs w:val="1"/>
          <w:u w:val="single" w:color="auto"/>
          <w:color w:val="008000"/>
        </w:rPr>
        <w:t>such evidence of appropriate corporate or other organizational authorization on the part of the Borrowers, Parent and</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8000"/>
        </w:rPr>
        <w:t xml:space="preserve">the other Obligors (of the type consistent with those delivered on the Effective Date) with respect to such </w:t>
      </w:r>
      <w:r>
        <w:rPr>
          <w:rFonts w:ascii="Arial" w:cs="Arial" w:eastAsia="Arial" w:hAnsi="Arial"/>
          <w:sz w:val="18"/>
          <w:szCs w:val="18"/>
          <w:b w:val="1"/>
          <w:bCs w:val="1"/>
          <w:u w:val="single" w:color="auto"/>
          <w:color w:val="0000FF"/>
        </w:rPr>
        <w:t>Incremental Increase as the</w:t>
      </w:r>
      <w:r>
        <w:rPr>
          <w:rFonts w:ascii="Arial" w:cs="Arial" w:eastAsia="Arial" w:hAnsi="Arial"/>
          <w:sz w:val="18"/>
          <w:szCs w:val="18"/>
          <w:i w:val="1"/>
          <w:iCs w:val="1"/>
          <w:u w:val="single" w:color="auto"/>
          <w:color w:val="008000"/>
        </w:rPr>
        <w:t xml:space="preserve"> </w:t>
      </w:r>
      <w:r>
        <w:rPr>
          <w:rFonts w:ascii="Arial" w:cs="Arial" w:eastAsia="Arial" w:hAnsi="Arial"/>
          <w:sz w:val="18"/>
          <w:szCs w:val="18"/>
          <w:b w:val="1"/>
          <w:bCs w:val="1"/>
          <w:u w:val="single" w:color="auto"/>
          <w:color w:val="0000FF"/>
        </w:rPr>
        <w:t>Administrative Agent may reasonably request;</w:t>
      </w:r>
    </w:p>
    <w:p>
      <w:pPr>
        <w:spacing w:after="0" w:line="180"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 xml:space="preserve">(iv)            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w:t>
      </w:r>
      <w:r>
        <w:rPr>
          <w:rFonts w:ascii="Arial" w:cs="Arial" w:eastAsia="Arial" w:hAnsi="Arial"/>
          <w:sz w:val="18"/>
          <w:szCs w:val="18"/>
          <w:b w:val="1"/>
          <w:bCs w:val="1"/>
          <w:color w:val="FF0000"/>
          <w:strike w:val="1"/>
        </w:rPr>
        <w:t>Specific</w:t>
      </w:r>
      <w:r>
        <w:rPr>
          <w:rFonts w:ascii="Arial" w:cs="Arial" w:eastAsia="Arial" w:hAnsi="Arial"/>
          <w:sz w:val="18"/>
          <w:szCs w:val="18"/>
          <w:color w:val="auto"/>
        </w:rPr>
        <w:t xml:space="preserve"> Incremental </w:t>
      </w:r>
      <w:r>
        <w:rPr>
          <w:rFonts w:ascii="Arial" w:cs="Arial" w:eastAsia="Arial" w:hAnsi="Arial"/>
          <w:sz w:val="18"/>
          <w:szCs w:val="18"/>
          <w:b w:val="1"/>
          <w:bCs w:val="1"/>
          <w:color w:val="FF0000"/>
          <w:strike w:val="1"/>
        </w:rPr>
        <w:t>Commitment</w:t>
      </w:r>
      <w:r>
        <w:rPr>
          <w:rFonts w:ascii="Arial" w:cs="Arial" w:eastAsia="Arial" w:hAnsi="Arial"/>
          <w:sz w:val="18"/>
          <w:szCs w:val="18"/>
          <w:color w:val="auto"/>
        </w:rPr>
        <w:t xml:space="preserve"> Increase</w:t>
      </w:r>
      <w:r>
        <w:rPr>
          <w:rFonts w:ascii="Arial" w:cs="Arial" w:eastAsia="Arial" w:hAnsi="Arial"/>
          <w:sz w:val="18"/>
          <w:szCs w:val="18"/>
          <w:b w:val="1"/>
          <w:bCs w:val="1"/>
          <w:color w:val="FF0000"/>
          <w:strike w:val="1"/>
        </w:rPr>
        <w:t>, including, if applicable, the Canadian Borrower Joinder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as the Administrative Agent may reasonably request</w:t>
      </w:r>
      <w:r>
        <w:rPr>
          <w:rFonts w:ascii="Arial" w:cs="Arial" w:eastAsia="Arial" w:hAnsi="Arial"/>
          <w:sz w:val="18"/>
          <w:szCs w:val="18"/>
          <w:color w:val="000000"/>
        </w:rPr>
        <w:t>;</w:t>
      </w:r>
    </w:p>
    <w:p>
      <w:pPr>
        <w:spacing w:after="0" w:line="183" w:lineRule="exact"/>
        <w:rPr>
          <w:sz w:val="20"/>
          <w:szCs w:val="20"/>
          <w:color w:val="auto"/>
        </w:rPr>
      </w:pPr>
    </w:p>
    <w:p>
      <w:pPr>
        <w:jc w:val="both"/>
        <w:ind w:left="660" w:firstLine="1292"/>
        <w:spacing w:after="0" w:line="266" w:lineRule="auto"/>
        <w:tabs>
          <w:tab w:leader="none" w:pos="2228" w:val="left"/>
        </w:tabs>
        <w:numPr>
          <w:ilvl w:val="0"/>
          <w:numId w:val="81"/>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such evidence of appropriate corporate or other organizational authorization on the part of the Borrowers, Parent and the other Obligors (of the type consistent with those delivered on the Effective Date) with respect to such Specific Incremental Commitment Increase as the Administrative Agent may reasonably request; and</w:t>
      </w:r>
    </w:p>
    <w:p>
      <w:pPr>
        <w:spacing w:after="0" w:line="176" w:lineRule="exact"/>
        <w:rPr>
          <w:sz w:val="20"/>
          <w:szCs w:val="20"/>
          <w:color w:val="auto"/>
        </w:rPr>
      </w:pPr>
    </w:p>
    <w:p>
      <w:pPr>
        <w:ind w:left="1960"/>
        <w:spacing w:after="0"/>
        <w:rPr>
          <w:sz w:val="20"/>
          <w:szCs w:val="20"/>
          <w:color w:val="auto"/>
        </w:rPr>
      </w:pPr>
      <w:r>
        <w:rPr>
          <w:rFonts w:ascii="Arial" w:cs="Arial" w:eastAsia="Arial" w:hAnsi="Arial"/>
          <w:sz w:val="16"/>
          <w:szCs w:val="16"/>
          <w:b w:val="1"/>
          <w:bCs w:val="1"/>
          <w:u w:val="single" w:color="auto"/>
          <w:color w:val="0000FF"/>
        </w:rPr>
        <w:t>(v)           </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(vi)</w:t>
      </w:r>
      <w:r>
        <w:rPr>
          <w:rFonts w:ascii="Arial" w:cs="Arial" w:eastAsia="Arial" w:hAnsi="Arial"/>
          <w:sz w:val="16"/>
          <w:szCs w:val="16"/>
          <w:b w:val="1"/>
          <w:bCs w:val="1"/>
          <w:color w:val="0000FF"/>
        </w:rPr>
        <w:t xml:space="preserve"> </w:t>
      </w:r>
      <w:r>
        <w:rPr>
          <w:rFonts w:ascii="Arial" w:cs="Arial" w:eastAsia="Arial" w:hAnsi="Arial"/>
          <w:sz w:val="16"/>
          <w:szCs w:val="16"/>
          <w:color w:val="000000"/>
        </w:rPr>
        <w:t>a certificate of a Responsible Officer of Parent, dated such</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Specific Lender</w:t>
      </w:r>
      <w:r>
        <w:rPr>
          <w:rFonts w:ascii="Arial" w:cs="Arial" w:eastAsia="Arial" w:hAnsi="Arial"/>
          <w:sz w:val="16"/>
          <w:szCs w:val="16"/>
          <w:b w:val="1"/>
          <w:bCs w:val="1"/>
          <w:color w:val="0000FF"/>
        </w:rPr>
        <w:t xml:space="preserve"> </w:t>
      </w:r>
      <w:r>
        <w:rPr>
          <w:rFonts w:ascii="Arial" w:cs="Arial" w:eastAsia="Arial" w:hAnsi="Arial"/>
          <w:sz w:val="16"/>
          <w:szCs w:val="16"/>
          <w:color w:val="000000"/>
        </w:rPr>
        <w:t>Increase Effective Date, certifying that</w:t>
      </w:r>
    </w:p>
    <w:p>
      <w:pPr>
        <w:spacing w:after="0" w:line="50" w:lineRule="exact"/>
        <w:rPr>
          <w:sz w:val="20"/>
          <w:szCs w:val="20"/>
          <w:color w:val="auto"/>
        </w:rPr>
      </w:pPr>
    </w:p>
    <w:p>
      <w:pPr>
        <w:jc w:val="both"/>
        <w:ind w:left="660" w:hanging="4"/>
        <w:spacing w:after="0" w:line="268" w:lineRule="auto"/>
        <w:tabs>
          <w:tab w:leader="none" w:pos="972"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VII</w:t>
      </w:r>
      <w:r>
        <w:rPr>
          <w:rFonts w:ascii="Arial" w:cs="Arial" w:eastAsia="Arial" w:hAnsi="Arial"/>
          <w:sz w:val="17"/>
          <w:szCs w:val="17"/>
          <w:b w:val="1"/>
          <w:bCs w:val="1"/>
          <w:u w:val="single" w:color="auto"/>
          <w:color w:val="0000FF"/>
        </w:rPr>
        <w:t>VI</w:t>
      </w:r>
      <w:r>
        <w:rPr>
          <w:rFonts w:ascii="Arial" w:cs="Arial" w:eastAsia="Arial" w:hAnsi="Arial"/>
          <w:sz w:val="17"/>
          <w:szCs w:val="17"/>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w:t>
      </w:r>
      <w:r>
        <w:rPr>
          <w:rFonts w:ascii="Arial" w:cs="Arial" w:eastAsia="Arial" w:hAnsi="Arial"/>
          <w:sz w:val="17"/>
          <w:szCs w:val="17"/>
          <w:b w:val="1"/>
          <w:bCs w:val="1"/>
          <w:color w:val="FF0000"/>
          <w:strike w:val="1"/>
        </w:rPr>
        <w:t>Specific Lender</w:t>
      </w:r>
      <w:r>
        <w:rPr>
          <w:rFonts w:ascii="Arial" w:cs="Arial" w:eastAsia="Arial" w:hAnsi="Arial"/>
          <w:sz w:val="17"/>
          <w:szCs w:val="17"/>
          <w:color w:val="auto"/>
        </w:rPr>
        <w:t xml:space="preserve">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w:t>
      </w:r>
      <w:r>
        <w:rPr>
          <w:rFonts w:ascii="Arial" w:cs="Arial" w:eastAsia="Arial" w:hAnsi="Arial"/>
          <w:sz w:val="17"/>
          <w:szCs w:val="17"/>
          <w:b w:val="1"/>
          <w:bCs w:val="1"/>
          <w:color w:val="FF0000"/>
          <w:strike w:val="1"/>
        </w:rPr>
        <w:t>Specific Lender</w:t>
      </w:r>
      <w:r>
        <w:rPr>
          <w:rFonts w:ascii="Arial" w:cs="Arial" w:eastAsia="Arial" w:hAnsi="Arial"/>
          <w:sz w:val="17"/>
          <w:szCs w:val="17"/>
          <w:color w:val="auto"/>
        </w:rPr>
        <w:t xml:space="preserve"> Increase Effective Date both immediately before and after giving effect to such </w:t>
      </w:r>
      <w:r>
        <w:rPr>
          <w:rFonts w:ascii="Arial" w:cs="Arial" w:eastAsia="Arial" w:hAnsi="Arial"/>
          <w:sz w:val="17"/>
          <w:szCs w:val="17"/>
          <w:b w:val="1"/>
          <w:bCs w:val="1"/>
          <w:color w:val="FF0000"/>
          <w:strike w:val="1"/>
        </w:rPr>
        <w:t>Specific</w:t>
      </w:r>
      <w:r>
        <w:rPr>
          <w:rFonts w:ascii="Arial" w:cs="Arial" w:eastAsia="Arial" w:hAnsi="Arial"/>
          <w:sz w:val="17"/>
          <w:szCs w:val="17"/>
          <w:color w:val="auto"/>
        </w:rPr>
        <w:t xml:space="preserve"> Incremental </w:t>
      </w:r>
      <w:r>
        <w:rPr>
          <w:rFonts w:ascii="Arial" w:cs="Arial" w:eastAsia="Arial" w:hAnsi="Arial"/>
          <w:sz w:val="17"/>
          <w:szCs w:val="17"/>
          <w:b w:val="1"/>
          <w:bCs w:val="1"/>
          <w:color w:val="FF0000"/>
          <w:strike w:val="1"/>
        </w:rPr>
        <w:t>Commitment</w:t>
      </w:r>
      <w:r>
        <w:rPr>
          <w:rFonts w:ascii="Arial" w:cs="Arial" w:eastAsia="Arial" w:hAnsi="Arial"/>
          <w:sz w:val="17"/>
          <w:szCs w:val="17"/>
          <w:color w:val="auto"/>
        </w:rPr>
        <w:t xml:space="preserve"> Increase</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 and</w:t>
      </w:r>
    </w:p>
    <w:p>
      <w:pPr>
        <w:spacing w:after="0" w:line="179" w:lineRule="exact"/>
        <w:rPr>
          <w:rFonts w:ascii="Arial" w:cs="Arial" w:eastAsia="Arial" w:hAnsi="Arial"/>
          <w:sz w:val="17"/>
          <w:szCs w:val="17"/>
          <w:color w:val="auto"/>
        </w:rPr>
      </w:pPr>
    </w:p>
    <w:p>
      <w:pPr>
        <w:jc w:val="both"/>
        <w:ind w:firstLine="1304"/>
        <w:spacing w:after="0" w:line="289" w:lineRule="auto"/>
        <w:tabs>
          <w:tab w:leader="none" w:pos="1561" w:val="left"/>
        </w:tabs>
        <w:numPr>
          <w:ilvl w:val="1"/>
          <w:numId w:val="82"/>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 xml:space="preserve">Upon the occurrence of a Specific Lender Increase Effective Date, the Administrative Agent shall deliver an updated </w:t>
      </w:r>
      <w:r>
        <w:rPr>
          <w:rFonts w:ascii="Arial" w:cs="Arial" w:eastAsia="Arial" w:hAnsi="Arial"/>
          <w:sz w:val="17"/>
          <w:szCs w:val="17"/>
          <w:b w:val="1"/>
          <w:bCs w:val="1"/>
          <w:u w:val="single" w:color="auto"/>
          <w:color w:val="FF0000"/>
          <w:strike w:val="1"/>
        </w:rPr>
        <w:t>Schedule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FF0000"/>
          <w:strike w:val="1"/>
        </w:rPr>
        <w:t xml:space="preserve">2.01 </w:t>
      </w:r>
      <w:r>
        <w:rPr>
          <w:rFonts w:ascii="Arial" w:cs="Arial" w:eastAsia="Arial" w:hAnsi="Arial"/>
          <w:sz w:val="17"/>
          <w:szCs w:val="17"/>
          <w:b w:val="1"/>
          <w:bCs w:val="1"/>
          <w:color w:val="FF0000"/>
          <w:strike w:val="1"/>
        </w:rPr>
        <w:t>to the Borrowers and the Lenders reflecting the applicable Specific Incremental Commitment Increase, which updated</w:t>
      </w:r>
      <w:r>
        <w:rPr>
          <w:rFonts w:ascii="Arial" w:cs="Arial" w:eastAsia="Arial" w:hAnsi="Arial"/>
          <w:sz w:val="17"/>
          <w:szCs w:val="17"/>
          <w:b w:val="1"/>
          <w:bCs w:val="1"/>
          <w:u w:val="single" w:color="auto"/>
          <w:color w:val="FF0000"/>
          <w:strike w:val="1"/>
        </w:rPr>
        <w:t xml:space="preserve"> Schedule 2.01 </w:t>
      </w:r>
      <w:r>
        <w:rPr>
          <w:rFonts w:ascii="Arial" w:cs="Arial" w:eastAsia="Arial" w:hAnsi="Arial"/>
          <w:sz w:val="17"/>
          <w:szCs w:val="17"/>
          <w:b w:val="1"/>
          <w:bCs w:val="1"/>
          <w:color w:val="FF0000"/>
          <w:strike w:val="1"/>
        </w:rPr>
        <w:t>shall</w:t>
      </w:r>
      <w:r>
        <w:rPr>
          <w:rFonts w:ascii="Arial" w:cs="Arial" w:eastAsia="Arial" w:hAnsi="Arial"/>
          <w:sz w:val="17"/>
          <w:szCs w:val="17"/>
          <w:b w:val="1"/>
          <w:bCs w:val="1"/>
          <w:u w:val="single" w:color="auto"/>
          <w:color w:val="FF0000"/>
          <w:strike w:val="1"/>
        </w:rPr>
        <w:t xml:space="preserve"> </w:t>
      </w:r>
      <w:r>
        <w:rPr>
          <w:rFonts w:ascii="Arial" w:cs="Arial" w:eastAsia="Arial" w:hAnsi="Arial"/>
          <w:sz w:val="17"/>
          <w:szCs w:val="17"/>
          <w:b w:val="1"/>
          <w:bCs w:val="1"/>
          <w:color w:val="FF0000"/>
          <w:strike w:val="1"/>
        </w:rPr>
        <w:t xml:space="preserve">replace and supersede the then effective </w:t>
      </w:r>
      <w:r>
        <w:rPr>
          <w:rFonts w:ascii="Arial" w:cs="Arial" w:eastAsia="Arial" w:hAnsi="Arial"/>
          <w:sz w:val="17"/>
          <w:szCs w:val="17"/>
          <w:b w:val="1"/>
          <w:bCs w:val="1"/>
          <w:u w:val="single" w:color="auto"/>
          <w:color w:val="FF0000"/>
          <w:strike w:val="1"/>
        </w:rPr>
        <w:t>Schedule 2.01</w:t>
      </w:r>
      <w:r>
        <w:rPr>
          <w:rFonts w:ascii="Arial" w:cs="Arial" w:eastAsia="Arial" w:hAnsi="Arial"/>
          <w:sz w:val="17"/>
          <w:szCs w:val="17"/>
          <w:b w:val="1"/>
          <w:bCs w:val="1"/>
          <w:color w:val="FF0000"/>
          <w:strike w:val="1"/>
        </w:rPr>
        <w:t xml:space="preserve"> in its entirety for all purposes of the Loan Documents.</w:t>
      </w:r>
    </w:p>
    <w:p>
      <w:pPr>
        <w:spacing w:after="0" w:line="158" w:lineRule="exact"/>
        <w:rPr>
          <w:sz w:val="20"/>
          <w:szCs w:val="20"/>
          <w:color w:val="auto"/>
        </w:rPr>
      </w:pPr>
    </w:p>
    <w:p>
      <w:pPr>
        <w:jc w:val="both"/>
        <w:ind w:left="660" w:firstLine="1296"/>
        <w:spacing w:after="0" w:line="266" w:lineRule="auto"/>
        <w:rPr>
          <w:sz w:val="20"/>
          <w:szCs w:val="20"/>
          <w:color w:val="auto"/>
        </w:rPr>
      </w:pPr>
      <w:r>
        <w:rPr>
          <w:rFonts w:ascii="Arial" w:cs="Arial" w:eastAsia="Arial" w:hAnsi="Arial"/>
          <w:sz w:val="18"/>
          <w:szCs w:val="18"/>
          <w:b w:val="1"/>
          <w:bCs w:val="1"/>
          <w:u w:val="single" w:color="auto"/>
          <w:color w:val="0000FF"/>
        </w:rPr>
        <w:t xml:space="preserve">(vi)            </w:t>
      </w:r>
      <w:r>
        <w:rPr>
          <w:rFonts w:ascii="Arial" w:cs="Arial" w:eastAsia="Arial" w:hAnsi="Arial"/>
          <w:sz w:val="18"/>
          <w:szCs w:val="18"/>
          <w:i w:val="1"/>
          <w:iCs w:val="1"/>
          <w:u w:val="single" w:color="auto"/>
          <w:color w:val="008000"/>
        </w:rPr>
        <w:t>other customary closing certificates and documentation (similar to the documentation required to be delivered on the</w:t>
      </w:r>
      <w:r>
        <w:rPr>
          <w:rFonts w:ascii="Arial" w:cs="Arial" w:eastAsia="Arial" w:hAnsi="Arial"/>
          <w:sz w:val="18"/>
          <w:szCs w:val="18"/>
          <w:b w:val="1"/>
          <w:bCs w:val="1"/>
          <w:u w:val="single" w:color="auto"/>
          <w:color w:val="0000FF"/>
        </w:rPr>
        <w:t xml:space="preserve"> </w:t>
      </w:r>
      <w:r>
        <w:rPr>
          <w:rFonts w:ascii="Arial" w:cs="Arial" w:eastAsia="Arial" w:hAnsi="Arial"/>
          <w:sz w:val="18"/>
          <w:szCs w:val="18"/>
          <w:i w:val="1"/>
          <w:iCs w:val="1"/>
          <w:u w:val="single" w:color="auto"/>
          <w:color w:val="008000"/>
        </w:rPr>
        <w:t xml:space="preserve">Effective Date under Section 6.01, to the extent applicable) relating to such </w:t>
      </w:r>
      <w:r>
        <w:rPr>
          <w:rFonts w:ascii="Arial" w:cs="Arial" w:eastAsia="Arial" w:hAnsi="Arial"/>
          <w:sz w:val="18"/>
          <w:szCs w:val="18"/>
          <w:b w:val="1"/>
          <w:bCs w:val="1"/>
          <w:u w:val="single" w:color="auto"/>
          <w:color w:val="0000FF"/>
        </w:rPr>
        <w:t>Incremental Increase as the Administrative Agent may reasonably</w:t>
      </w:r>
      <w:r>
        <w:rPr>
          <w:rFonts w:ascii="Arial" w:cs="Arial" w:eastAsia="Arial" w:hAnsi="Arial"/>
          <w:sz w:val="18"/>
          <w:szCs w:val="18"/>
          <w:i w:val="1"/>
          <w:iCs w:val="1"/>
          <w:u w:val="single" w:color="auto"/>
          <w:color w:val="008000"/>
        </w:rPr>
        <w:t xml:space="preserve"> </w:t>
      </w:r>
      <w:r>
        <w:rPr>
          <w:rFonts w:ascii="Arial" w:cs="Arial" w:eastAsia="Arial" w:hAnsi="Arial"/>
          <w:sz w:val="18"/>
          <w:szCs w:val="18"/>
          <w:b w:val="1"/>
          <w:bCs w:val="1"/>
          <w:u w:val="single" w:color="auto"/>
          <w:color w:val="0000FF"/>
        </w:rPr>
        <w:t>request.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1296"/>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Equal and Ratable Benefit</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0000FF"/>
        </w:rPr>
        <w:t>Incremental Performance LC Commitments and the Incremental Revolving Credit</w:t>
      </w:r>
      <w:r>
        <w:rPr>
          <w:rFonts w:ascii="Arial" w:cs="Arial" w:eastAsia="Arial" w:hAnsi="Arial"/>
          <w:sz w:val="18"/>
          <w:szCs w:val="18"/>
          <w:color w:val="auto"/>
        </w:rPr>
        <w:t xml:space="preserve"> Commitments established pursuant to this paragraph shall constitute </w:t>
      </w:r>
      <w:r>
        <w:rPr>
          <w:rFonts w:ascii="Arial" w:cs="Arial" w:eastAsia="Arial" w:hAnsi="Arial"/>
          <w:sz w:val="18"/>
          <w:szCs w:val="18"/>
          <w:b w:val="1"/>
          <w:bCs w:val="1"/>
          <w:u w:val="single" w:color="auto"/>
          <w:color w:val="0000FF"/>
        </w:rPr>
        <w:t>Performance LC</w:t>
      </w:r>
      <w:r>
        <w:rPr>
          <w:rFonts w:ascii="Arial" w:cs="Arial" w:eastAsia="Arial" w:hAnsi="Arial"/>
          <w:sz w:val="18"/>
          <w:szCs w:val="18"/>
          <w:color w:val="auto"/>
        </w:rPr>
        <w:t xml:space="preserve"> Commitments </w:t>
      </w:r>
      <w:r>
        <w:rPr>
          <w:rFonts w:ascii="Arial" w:cs="Arial" w:eastAsia="Arial" w:hAnsi="Arial"/>
          <w:sz w:val="18"/>
          <w:szCs w:val="18"/>
          <w:b w:val="1"/>
          <w:bCs w:val="1"/>
          <w:u w:val="single" w:color="auto"/>
          <w:color w:val="0000FF"/>
        </w:rPr>
        <w:t>and Revolving Credit Commitments, respectively,</w:t>
      </w:r>
      <w:r>
        <w:rPr>
          <w:rFonts w:ascii="Arial" w:cs="Arial" w:eastAsia="Arial" w:hAnsi="Arial"/>
          <w:sz w:val="18"/>
          <w:szCs w:val="18"/>
          <w:color w:val="auto"/>
        </w:rPr>
        <w:t xml:space="preserve"> under, and shall be entitled to all the benefits afforded by, this Agreement and the other Loan Documents, and shall, without limiting the foregoing, benefit equally and ratably from the Guaranty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TAXES</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(a)            (i) Except as otherwise expressly provided herein and except with respect to principal of and interest on Loans denominated in an Alternative Currency or any amounts payable in an Alternative Currency, each Borrower shall make each payment required to be made by it hereunder (whether of principal, interest, fees or reimbursement of LC Disbursements, or of amounts payable under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or otherwise) in Dollars prior to 12:00 p.m., New York City time, on the date when due, and (ii) all payments with respect to principal and interest on Loans denominated in an Alternative Currency or any amounts payable in an Alternative Currency shall be made in such Alternative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office designated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payments to be made directly to an Issuing Bank as expressly provided herein shall be made directly to such Issuing Bank, as applicable, and</w:t>
      </w:r>
    </w:p>
    <w:p>
      <w:pPr>
        <w:spacing w:after="0" w:line="6" w:lineRule="exact"/>
        <w:rPr>
          <w:sz w:val="20"/>
          <w:szCs w:val="20"/>
          <w:color w:val="auto"/>
        </w:rPr>
      </w:pPr>
    </w:p>
    <w:p>
      <w:pPr>
        <w:jc w:val="both"/>
        <w:ind w:firstLine="8"/>
        <w:spacing w:after="0" w:line="285" w:lineRule="auto"/>
        <w:tabs>
          <w:tab w:leader="none" w:pos="2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payments pursuant to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12.04</w:t>
      </w:r>
      <w:r>
        <w:rPr>
          <w:rFonts w:ascii="Arial" w:cs="Arial" w:eastAsia="Arial" w:hAnsi="Arial"/>
          <w:sz w:val="16"/>
          <w:szCs w:val="16"/>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If, for any reason, the applicable Borrower is prohibited by any applicable law from making any required payment hereunder in an Alternative Currency, such Borrower shall make such payment in Dollars in the Dollar Equivalent of the Alternative Currency payment amount,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Loan or Letter of Credit denominated in an Alternative Currency that is not repaid to the Issuing Banks, the Administrative Agent or the Lenders, as the case may be, in the original currency. Without limiting the generality of the foregoing, the Administrative Agent may require that any payments due under this Agreement be made in the United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296"/>
        <w:spacing w:after="0" w:line="257" w:lineRule="auto"/>
        <w:rPr>
          <w:sz w:val="20"/>
          <w:szCs w:val="20"/>
          <w:color w:val="auto"/>
        </w:rPr>
      </w:pPr>
      <w:r>
        <w:rPr>
          <w:rFonts w:ascii="Arial" w:cs="Arial" w:eastAsia="Arial" w:hAnsi="Arial"/>
          <w:sz w:val="18"/>
          <w:szCs w:val="18"/>
          <w:color w:val="auto"/>
        </w:rPr>
        <w:t xml:space="preserve">(b)            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(c)            If any Lender shall, by exercising any right of set-off or counterclaim or otherwise, obtain payment in respect of any Obligation or participations in LC Disbursements resulting in such Lender receiving payment of a greater proportion of the aggregate amount of its Loans and participations in LC Disbursements and accrued interest or fees thereon (excluding any fees payable to such Lender in its role as an Issuing Bank) than the proportion received by any other Lender, then the Lender receiving such greater proportion shall purchase (for cash at face value) participations in the Loans and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 w:lineRule="exact"/>
        <w:rPr>
          <w:sz w:val="20"/>
          <w:szCs w:val="20"/>
          <w:color w:val="auto"/>
        </w:rPr>
      </w:pPr>
    </w:p>
    <w:p>
      <w:pPr>
        <w:jc w:val="both"/>
        <w:ind w:firstLine="8"/>
        <w:spacing w:after="0" w:line="268" w:lineRule="auto"/>
        <w:tabs>
          <w:tab w:leader="none" w:pos="21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(d)            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1296"/>
        <w:spacing w:after="0" w:line="287" w:lineRule="auto"/>
        <w:rPr>
          <w:sz w:val="20"/>
          <w:szCs w:val="20"/>
          <w:color w:val="auto"/>
        </w:rPr>
      </w:pPr>
      <w:r>
        <w:rPr>
          <w:rFonts w:ascii="Arial" w:cs="Arial" w:eastAsia="Arial" w:hAnsi="Arial"/>
          <w:sz w:val="16"/>
          <w:szCs w:val="16"/>
          <w:color w:val="auto"/>
        </w:rPr>
        <w:t xml:space="preserve">(e)            In connection with any borrowing hereunder, the Administrative Agent may assume that each Lender has made its respective share of such borrowing available on such date in accordance with </w:t>
      </w:r>
      <w:r>
        <w:rPr>
          <w:rFonts w:ascii="Arial" w:cs="Arial" w:eastAsia="Arial" w:hAnsi="Arial"/>
          <w:sz w:val="16"/>
          <w:szCs w:val="16"/>
          <w:u w:val="single" w:color="auto"/>
          <w:color w:val="auto"/>
        </w:rPr>
        <w:t>Sections 2.02(b)</w:t>
      </w:r>
      <w:r>
        <w:rPr>
          <w:rFonts w:ascii="Arial" w:cs="Arial" w:eastAsia="Arial" w:hAnsi="Arial"/>
          <w:sz w:val="16"/>
          <w:szCs w:val="16"/>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in the applicable Currency with interest thereon, for each day from and including the date such amount is made available to such Borrower to but excluding the date of payment to the Administrative Agent, at (i) in the case of a payment to be made by such Lender, the applicable Overnight Rate and (ii)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17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(f)            If any Lender shall fail to make any payment required to be made by it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12.04(a)</w:t>
      </w:r>
      <w:r>
        <w:rPr>
          <w:rFonts w:ascii="Arial" w:cs="Arial" w:eastAsia="Arial" w:hAnsi="Arial"/>
          <w:sz w:val="16"/>
          <w:szCs w:val="16"/>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in any order as determined by the Administrative Agent in its discretion.</w:t>
      </w:r>
    </w:p>
    <w:p>
      <w:pPr>
        <w:spacing w:after="0" w:line="16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(g)            The obligations of the Lenders under this Agreement to make the Loans, to issue or participate in Letters of Credit and to make payments under this Section, </w:t>
      </w:r>
      <w:r>
        <w:rPr>
          <w:rFonts w:ascii="Arial" w:cs="Arial" w:eastAsia="Arial" w:hAnsi="Arial"/>
          <w:sz w:val="16"/>
          <w:szCs w:val="16"/>
          <w:u w:val="single" w:color="auto"/>
          <w:color w:val="auto"/>
        </w:rPr>
        <w:t>Section 5.02(f)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12.04(b)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12.21</w:t>
      </w:r>
      <w:r>
        <w:rPr>
          <w:rFonts w:ascii="Arial" w:cs="Arial" w:eastAsia="Arial" w:hAnsi="Arial"/>
          <w:sz w:val="16"/>
          <w:szCs w:val="16"/>
          <w:color w:val="auto"/>
        </w:rPr>
        <w:t>, as applicable, are several and are not joint or joint and several. The failure of any Lender to make available its Applicable Percentage (Loans) of any Loan requested by a Borrower shall not relieve it or any other Lender of its obligation, if any, hereunder to make its Applicable Percentage (Loans) of such Loan available on the borrowing date, but no Lender shall be responsible for the failure of any other Lender to make its Applicable Percentage (Loans) of such Loan available on the borrowing date.</w:t>
      </w:r>
    </w:p>
    <w:p>
      <w:pPr>
        <w:spacing w:after="0" w:line="16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Taxes/Additional Payments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            Any and all payments by or on account of any obligation of the Borrowers under any Loan Document shall be made free and clear of and without deduction or withholding for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1296"/>
        <w:spacing w:after="0" w:line="270" w:lineRule="auto"/>
        <w:rPr>
          <w:sz w:val="20"/>
          <w:szCs w:val="20"/>
          <w:color w:val="auto"/>
        </w:rPr>
      </w:pPr>
      <w:r>
        <w:rPr>
          <w:rFonts w:ascii="Arial" w:cs="Arial" w:eastAsia="Arial" w:hAnsi="Arial"/>
          <w:sz w:val="17"/>
          <w:szCs w:val="17"/>
          <w:color w:val="auto"/>
        </w:rPr>
        <w:t xml:space="preserve">(b)            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8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(c)            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(d)            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it shall pay over such refund to such Borrower (but only to the extent of indemnity payments made, or additional amounts paid, by such Borrower under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Borrower, upon the request of the Administrative Agent or such Lender, agrees to repay promptly the amount paid over to such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paragraph (d)</w:t>
      </w:r>
      <w:r>
        <w:rPr>
          <w:rFonts w:ascii="Arial" w:cs="Arial" w:eastAsia="Arial" w:hAnsi="Arial"/>
          <w:sz w:val="17"/>
          <w:szCs w:val="17"/>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1296"/>
        <w:spacing w:after="0" w:line="284" w:lineRule="auto"/>
        <w:rPr>
          <w:sz w:val="20"/>
          <w:szCs w:val="20"/>
          <w:color w:val="auto"/>
        </w:rPr>
      </w:pPr>
      <w:r>
        <w:rPr>
          <w:rFonts w:ascii="Arial" w:cs="Arial" w:eastAsia="Arial" w:hAnsi="Arial"/>
          <w:sz w:val="16"/>
          <w:szCs w:val="16"/>
          <w:color w:val="auto"/>
        </w:rPr>
        <w:t xml:space="preserve">(e)            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10.01(i)</w:t>
      </w:r>
      <w:r>
        <w:rPr>
          <w:rFonts w:ascii="Arial" w:cs="Arial" w:eastAsia="Arial" w:hAnsi="Arial"/>
          <w:sz w:val="16"/>
          <w:szCs w:val="16"/>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w:t>
      </w:r>
    </w:p>
    <w:p>
      <w:pPr>
        <w:spacing w:after="0" w:line="4" w:lineRule="exact"/>
        <w:rPr>
          <w:sz w:val="20"/>
          <w:szCs w:val="20"/>
          <w:color w:val="auto"/>
        </w:rPr>
      </w:pPr>
    </w:p>
    <w:p>
      <w:pPr>
        <w:jc w:val="both"/>
        <w:ind w:firstLine="8"/>
        <w:spacing w:after="0" w:line="284" w:lineRule="auto"/>
        <w:tabs>
          <w:tab w:leader="none" w:pos="3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1296"/>
        <w:spacing w:after="0" w:line="289" w:lineRule="auto"/>
        <w:rPr>
          <w:sz w:val="20"/>
          <w:szCs w:val="20"/>
          <w:color w:val="auto"/>
        </w:rPr>
      </w:pPr>
      <w:r>
        <w:rPr>
          <w:rFonts w:ascii="Arial" w:cs="Arial" w:eastAsia="Arial" w:hAnsi="Arial"/>
          <w:sz w:val="16"/>
          <w:szCs w:val="16"/>
          <w:color w:val="auto"/>
        </w:rPr>
        <w:t xml:space="preserve">(f)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6"/>
          <w:szCs w:val="16"/>
          <w:u w:val="single" w:color="auto"/>
          <w:color w:val="auto"/>
        </w:rPr>
        <w:t>Section 12.05(c)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(f)</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(g)            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7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(h)            Notwithstanding any provision of this Agreement to the contrary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w:t>
      </w:r>
    </w:p>
    <w:p>
      <w:pPr>
        <w:spacing w:after="0" w:line="2" w:lineRule="exact"/>
        <w:rPr>
          <w:sz w:val="20"/>
          <w:szCs w:val="20"/>
          <w:color w:val="auto"/>
        </w:rPr>
      </w:pPr>
    </w:p>
    <w:p>
      <w:pPr>
        <w:jc w:val="both"/>
        <w:ind w:firstLine="8"/>
        <w:spacing w:after="0" w:line="287" w:lineRule="auto"/>
        <w:tabs>
          <w:tab w:leader="none" w:pos="269"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breaching the restrictions regarding transfers, assignments, participations, sub-participation and exposure transfers set forth in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Specified Event of Default occurs within 90 days following any such transfer, assignment, participation or sub-participation, the Swiss Obligors shall be required to make such tax gross up, tax indemnity payment or increased interest payment) or </w:t>
      </w:r>
      <w:r>
        <w:rPr>
          <w:rFonts w:ascii="Arial" w:cs="Arial" w:eastAsia="Arial" w:hAnsi="Arial"/>
          <w:sz w:val="16"/>
          <w:szCs w:val="16"/>
          <w:b w:val="1"/>
          <w:bCs w:val="1"/>
          <w:u w:val="single" w:color="auto"/>
          <w:color w:val="0000FF"/>
        </w:rPr>
        <w:t>if such Lender became a Lender as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result of a breach of the restrictions regarding transfers, assignments, participations, sub-participation and set forth in Section 12.05 (provided, however, that if a Specified Event of Default occurs within 90 days following any such transfer, assignment, participation or sub-participation, the Swiss Obligors shall be required to make such tax gross up, tax indemnity payment or increased interest payment) or</w:t>
      </w:r>
      <w:r>
        <w:rPr>
          <w:rFonts w:ascii="Arial" w:cs="Arial" w:eastAsia="Arial" w:hAnsi="Arial"/>
          <w:sz w:val="16"/>
          <w:szCs w:val="16"/>
          <w:b w:val="1"/>
          <w:bCs w:val="1"/>
          <w:color w:val="0000FF"/>
        </w:rPr>
        <w:t xml:space="preserve"> </w:t>
      </w:r>
      <w:r>
        <w:rPr>
          <w:rFonts w:ascii="Arial" w:cs="Arial" w:eastAsia="Arial" w:hAnsi="Arial"/>
          <w:sz w:val="16"/>
          <w:szCs w:val="16"/>
          <w:color w:val="000000"/>
        </w:rPr>
        <w:t>(iii) ceasing to be a Swiss</w:t>
      </w:r>
      <w:r>
        <w:rPr>
          <w:rFonts w:ascii="Arial" w:cs="Arial" w:eastAsia="Arial" w:hAnsi="Arial"/>
          <w:sz w:val="16"/>
          <w:szCs w:val="16"/>
          <w:b w:val="1"/>
          <w:bCs w:val="1"/>
          <w:color w:val="0000FF"/>
        </w:rPr>
        <w:t xml:space="preserve"> </w:t>
      </w:r>
      <w:r>
        <w:rPr>
          <w:rFonts w:ascii="Arial" w:cs="Arial" w:eastAsia="Arial" w:hAnsi="Arial"/>
          <w:sz w:val="16"/>
          <w:szCs w:val="16"/>
          <w:color w:val="000000"/>
        </w:rPr>
        <w:t>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6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(i)            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(ii)            If VAT is or becomes chargeable on any supply made by any Lender or Administrative Agent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Lender or Administrative Agent (the “</w:t>
      </w:r>
      <w:r>
        <w:rPr>
          <w:rFonts w:ascii="Arial" w:cs="Arial" w:eastAsia="Arial" w:hAnsi="Arial"/>
          <w:sz w:val="18"/>
          <w:szCs w:val="18"/>
          <w:u w:val="single" w:color="auto"/>
          <w:color w:val="auto"/>
        </w:rPr>
        <w:t>Supply Recipient</w:t>
      </w:r>
      <w:r>
        <w:rPr>
          <w:rFonts w:ascii="Arial" w:cs="Arial" w:eastAsia="Arial" w:hAnsi="Arial"/>
          <w:sz w:val="18"/>
          <w:szCs w:val="18"/>
          <w:color w:val="auto"/>
        </w:rPr>
        <w:t>”) under a Loan Document, and any party other than the Supply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7" w:lineRule="exact"/>
        <w:rPr>
          <w:sz w:val="20"/>
          <w:szCs w:val="20"/>
          <w:color w:val="auto"/>
        </w:rPr>
      </w:pPr>
    </w:p>
    <w:p>
      <w:pPr>
        <w:jc w:val="both"/>
        <w:ind w:left="640" w:firstLine="1296"/>
        <w:spacing w:after="0" w:line="257"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where the Supplier is the person required to account to the relevant Governmental Authority for the VAT, the</w:t>
      </w:r>
      <w:r>
        <w:rPr>
          <w:rFonts w:ascii="Arial" w:cs="Arial" w:eastAsia="Arial" w:hAnsi="Arial"/>
          <w:sz w:val="18"/>
          <w:szCs w:val="18"/>
          <w:color w:val="010000"/>
        </w:rPr>
        <w:t xml:space="preserve"> </w:t>
      </w:r>
      <w:r>
        <w:rPr>
          <w:rFonts w:ascii="Arial" w:cs="Arial" w:eastAsia="Arial" w:hAnsi="Arial"/>
          <w:sz w:val="18"/>
          <w:szCs w:val="18"/>
          <w:color w:val="000000"/>
        </w:rPr>
        <w:t xml:space="preserve">Relevant Party must also pay to the Supplier (at the same time as paying that amount) an additional amount equal to the amount of VAT; the Supply Recipient must (where this </w:t>
      </w:r>
      <w:r>
        <w:rPr>
          <w:rFonts w:ascii="Arial" w:cs="Arial" w:eastAsia="Arial" w:hAnsi="Arial"/>
          <w:sz w:val="18"/>
          <w:szCs w:val="18"/>
          <w:u w:val="single" w:color="auto"/>
          <w:color w:val="000000"/>
        </w:rPr>
        <w:t>subsection (ii)(A)</w:t>
      </w:r>
      <w:r>
        <w:rPr>
          <w:rFonts w:ascii="Arial" w:cs="Arial" w:eastAsia="Arial" w:hAnsi="Arial"/>
          <w:sz w:val="18"/>
          <w:szCs w:val="18"/>
          <w:color w:val="000000"/>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88" w:lineRule="exact"/>
        <w:rPr>
          <w:sz w:val="20"/>
          <w:szCs w:val="20"/>
          <w:color w:val="auto"/>
        </w:rPr>
      </w:pPr>
    </w:p>
    <w:p>
      <w:pPr>
        <w:jc w:val="both"/>
        <w:ind w:left="640" w:firstLine="1296"/>
        <w:spacing w:after="0" w:line="279"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color w:val="000000"/>
        </w:rPr>
        <w:t>where the Supply Recipient is the person required to account to the relevant Governmental Authority for the</w:t>
      </w:r>
      <w:r>
        <w:rPr>
          <w:rFonts w:ascii="Arial" w:cs="Arial" w:eastAsia="Arial" w:hAnsi="Arial"/>
          <w:sz w:val="17"/>
          <w:szCs w:val="17"/>
          <w:color w:val="010000"/>
        </w:rPr>
        <w:t xml:space="preserve"> </w:t>
      </w:r>
      <w:r>
        <w:rPr>
          <w:rFonts w:ascii="Arial" w:cs="Arial" w:eastAsia="Arial" w:hAnsi="Arial"/>
          <w:sz w:val="17"/>
          <w:szCs w:val="17"/>
          <w:color w:val="000000"/>
        </w:rPr>
        <w:t>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(iii)            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7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(iv)            Any reference in this </w:t>
      </w:r>
      <w:r>
        <w:rPr>
          <w:rFonts w:ascii="Arial" w:cs="Arial" w:eastAsia="Arial" w:hAnsi="Arial"/>
          <w:sz w:val="16"/>
          <w:szCs w:val="16"/>
          <w:u w:val="single" w:color="auto"/>
          <w:color w:val="auto"/>
        </w:rPr>
        <w:t>Section 5.02(i)</w:t>
      </w:r>
      <w:r>
        <w:rPr>
          <w:rFonts w:ascii="Arial" w:cs="Arial" w:eastAsia="Arial" w:hAnsi="Arial"/>
          <w:sz w:val="16"/>
          <w:szCs w:val="16"/>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38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0" w:name="page171"/>
    <w:bookmarkEnd w:id="170"/>
    <w:p>
      <w:pPr>
        <w:jc w:val="both"/>
        <w:ind w:left="660" w:firstLine="1296"/>
        <w:spacing w:after="0" w:line="259" w:lineRule="auto"/>
        <w:rPr>
          <w:sz w:val="20"/>
          <w:szCs w:val="20"/>
          <w:color w:val="auto"/>
        </w:rPr>
      </w:pPr>
      <w:r>
        <w:rPr>
          <w:rFonts w:ascii="Arial" w:cs="Arial" w:eastAsia="Arial" w:hAnsi="Arial"/>
          <w:sz w:val="18"/>
          <w:szCs w:val="18"/>
          <w:color w:val="auto"/>
        </w:rPr>
        <w:t>(v)            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7"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 xml:space="preserve">(vi)            Each party’s obligations under this </w:t>
      </w:r>
      <w:r>
        <w:rPr>
          <w:rFonts w:ascii="Arial" w:cs="Arial" w:eastAsia="Arial" w:hAnsi="Arial"/>
          <w:sz w:val="18"/>
          <w:szCs w:val="18"/>
          <w:u w:val="single" w:color="auto"/>
          <w:color w:val="auto"/>
        </w:rPr>
        <w:t>Section 5.02(i)</w:t>
      </w:r>
      <w:r>
        <w:rPr>
          <w:rFonts w:ascii="Arial" w:cs="Arial" w:eastAsia="Arial" w:hAnsi="Arial"/>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8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            If any Lender requests compensation under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5.02</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9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(b)            If (i) any Lender requests compensation under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(including for Taxes under </w:t>
      </w:r>
      <w:r>
        <w:rPr>
          <w:rFonts w:ascii="Arial" w:cs="Arial" w:eastAsia="Arial" w:hAnsi="Arial"/>
          <w:sz w:val="17"/>
          <w:szCs w:val="17"/>
          <w:u w:val="single" w:color="auto"/>
          <w:color w:val="auto"/>
        </w:rPr>
        <w:t>Section 4.08(a)(iii)</w:t>
      </w:r>
      <w:r>
        <w:rPr>
          <w:rFonts w:ascii="Arial" w:cs="Arial" w:eastAsia="Arial" w:hAnsi="Arial"/>
          <w:sz w:val="17"/>
          <w:szCs w:val="17"/>
          <w:color w:val="auto"/>
        </w:rPr>
        <w:t xml:space="preserve">) or (ii) a Borrower is required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7"/>
          <w:szCs w:val="17"/>
          <w:u w:val="single" w:color="auto"/>
          <w:color w:val="auto"/>
        </w:rPr>
        <w:t>Section 12.05</w:t>
      </w:r>
      <w:r>
        <w:rPr>
          <w:rFonts w:ascii="Arial" w:cs="Arial" w:eastAsia="Arial" w:hAnsi="Arial"/>
          <w:sz w:val="17"/>
          <w:szCs w:val="17"/>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amount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if it does not execute and deliver an Assignment and Assumption to the Administrative Agent within one Business Day after having received a written request therefor.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ind w:left="660"/>
        <w:spacing w:after="0"/>
        <w:tabs>
          <w:tab w:leader="none" w:pos="202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Financial Assistance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            If and to the extent a Swiss Obligor becomes liable under this Agreement or any other Loan Document for obligations of any other Obligor (other than the wholly owned direct or indirect subsidiaries of such Swiss Obligor) (the “</w:t>
      </w:r>
      <w:r>
        <w:rPr>
          <w:rFonts w:ascii="Arial" w:cs="Arial" w:eastAsia="Arial" w:hAnsi="Arial"/>
          <w:sz w:val="17"/>
          <w:szCs w:val="17"/>
          <w:u w:val="single" w:color="auto"/>
          <w:color w:val="auto"/>
        </w:rPr>
        <w:t>Restricted Obligations</w:t>
      </w:r>
      <w:r>
        <w:rPr>
          <w:rFonts w:ascii="Arial" w:cs="Arial" w:eastAsia="Arial" w:hAnsi="Arial"/>
          <w:sz w:val="17"/>
          <w:szCs w:val="17"/>
          <w:color w:val="auto"/>
        </w:rPr>
        <w:t>”) and if complying with such obligations would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 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Arial" w:cs="Arial" w:eastAsia="Arial" w:hAnsi="Arial"/>
          <w:sz w:val="17"/>
          <w:szCs w:val="17"/>
          <w:i w:val="1"/>
          <w:iCs w:val="1"/>
          <w:color w:val="auto"/>
        </w:rPr>
        <w:t>frei verfügbares Eigenkapital</w:t>
      </w:r>
      <w:r>
        <w:rPr>
          <w:rFonts w:ascii="Arial" w:cs="Arial" w:eastAsia="Arial" w:hAnsi="Arial"/>
          <w:sz w:val="17"/>
          <w:szCs w:val="17"/>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17"/>
          <w:szCs w:val="17"/>
          <w:u w:val="single" w:color="auto"/>
          <w:color w:val="auto"/>
        </w:rPr>
        <w:t>Freely Disposable Amount</w:t>
      </w:r>
      <w:r>
        <w:rPr>
          <w:rFonts w:ascii="Arial" w:cs="Arial" w:eastAsia="Arial" w:hAnsi="Arial"/>
          <w:sz w:val="17"/>
          <w:szCs w:val="17"/>
          <w:color w:val="auto"/>
        </w:rPr>
        <w:t>”).</w:t>
      </w:r>
    </w:p>
    <w:p>
      <w:pPr>
        <w:spacing w:after="0" w:line="17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(b)            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(c)            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Arial" w:cs="Arial" w:eastAsia="Arial" w:hAnsi="Arial"/>
          <w:sz w:val="16"/>
          <w:szCs w:val="16"/>
          <w:i w:val="1"/>
          <w:iCs w:val="1"/>
          <w:color w:val="auto"/>
        </w:rPr>
        <w:t>nicht betriebsnotwendig</w:t>
      </w:r>
      <w:r>
        <w:rPr>
          <w:rFonts w:ascii="Arial" w:cs="Arial" w:eastAsia="Arial" w:hAnsi="Arial"/>
          <w:sz w:val="16"/>
          <w:szCs w:val="16"/>
          <w:color w:val="auto"/>
        </w:rPr>
        <w:t>) and</w:t>
      </w:r>
    </w:p>
    <w:p>
      <w:pPr>
        <w:spacing w:after="0" w:line="1" w:lineRule="exact"/>
        <w:rPr>
          <w:sz w:val="20"/>
          <w:szCs w:val="20"/>
          <w:color w:val="auto"/>
        </w:rPr>
      </w:pPr>
    </w:p>
    <w:p>
      <w:pPr>
        <w:jc w:val="center"/>
        <w:ind w:left="5420" w:right="760" w:hanging="5412"/>
        <w:spacing w:after="0" w:line="761" w:lineRule="auto"/>
        <w:tabs>
          <w:tab w:leader="none" w:pos="2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reduce its share capital to the minimum allowed under then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steps are permitted under the Loan Documents.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1296"/>
        <w:spacing w:after="0" w:line="284" w:lineRule="auto"/>
        <w:rPr>
          <w:sz w:val="20"/>
          <w:szCs w:val="20"/>
          <w:color w:val="auto"/>
        </w:rPr>
      </w:pPr>
      <w:r>
        <w:rPr>
          <w:rFonts w:ascii="Arial" w:cs="Arial" w:eastAsia="Arial" w:hAnsi="Arial"/>
          <w:sz w:val="16"/>
          <w:szCs w:val="16"/>
          <w:color w:val="auto"/>
        </w:rPr>
        <w:t>(d)            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w:t>
      </w:r>
    </w:p>
    <w:p>
      <w:pPr>
        <w:spacing w:after="0" w:line="2" w:lineRule="exact"/>
        <w:rPr>
          <w:sz w:val="20"/>
          <w:szCs w:val="20"/>
          <w:color w:val="auto"/>
        </w:rPr>
      </w:pPr>
    </w:p>
    <w:p>
      <w:pPr>
        <w:jc w:val="both"/>
        <w:ind w:firstLine="8"/>
        <w:spacing w:after="0" w:line="255" w:lineRule="auto"/>
        <w:tabs>
          <w:tab w:leader="none" w:pos="25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If so required under applicable law (including tax treaties) at the time it is required to make a payment under this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Swiss Obligor:</w:t>
      </w:r>
    </w:p>
    <w:p>
      <w:pPr>
        <w:spacing w:after="0" w:line="211"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4" w:lineRule="exact"/>
        <w:rPr>
          <w:sz w:val="20"/>
          <w:szCs w:val="20"/>
          <w:color w:val="auto"/>
        </w:rPr>
      </w:pPr>
    </w:p>
    <w:p>
      <w:pPr>
        <w:jc w:val="both"/>
        <w:ind w:left="660" w:firstLine="1296"/>
        <w:spacing w:after="0" w:line="279" w:lineRule="auto"/>
        <w:rPr>
          <w:sz w:val="20"/>
          <w:szCs w:val="20"/>
          <w:color w:val="auto"/>
        </w:rPr>
      </w:pPr>
      <w:r>
        <w:rPr>
          <w:rFonts w:ascii="Arial" w:cs="Arial" w:eastAsia="Arial" w:hAnsi="Arial"/>
          <w:sz w:val="17"/>
          <w:szCs w:val="17"/>
          <w:color w:val="auto"/>
        </w:rPr>
        <w:t xml:space="preserve">(ii)            shall deduct the Swiss withholding tax at such rate (being 35% on the date hereof) as in force from time to time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applies for a part of the Swiss withholding tax only; and shall pay within the time allowed any such taxes deducted to the Swiss Federal Tax Administration; and</w:t>
      </w:r>
    </w:p>
    <w:p>
      <w:pPr>
        <w:spacing w:after="0" w:line="171"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(iii)            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            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ind w:left="1960"/>
        <w:spacing w:after="0"/>
        <w:rPr>
          <w:sz w:val="20"/>
          <w:szCs w:val="20"/>
          <w:color w:val="auto"/>
        </w:rPr>
      </w:pPr>
      <w:r>
        <w:rPr>
          <w:rFonts w:ascii="Arial" w:cs="Arial" w:eastAsia="Arial" w:hAnsi="Arial"/>
          <w:sz w:val="18"/>
          <w:szCs w:val="18"/>
          <w:color w:val="auto"/>
        </w:rPr>
        <w:t>(i)            request a refund of the Swiss withholding tax under applicable law (including tax treaties), and</w:t>
      </w:r>
    </w:p>
    <w:p>
      <w:pPr>
        <w:spacing w:after="0" w:line="225"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(ii)            pay to the Administrative Agent upon receipt any amount so refunded.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The Administrative Agent shall co-operate with the Swiss Obligor to secure such refund.</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(h)            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UK Limitation</w:t>
      </w:r>
      <w:r>
        <w:rPr>
          <w:rFonts w:ascii="Arial" w:cs="Arial" w:eastAsia="Arial" w:hAnsi="Arial"/>
          <w:sz w:val="18"/>
          <w:szCs w:val="18"/>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Irish Limitation</w:t>
      </w:r>
      <w:r>
        <w:rPr>
          <w:rFonts w:ascii="Arial" w:cs="Arial" w:eastAsia="Arial" w:hAnsi="Arial"/>
          <w:sz w:val="18"/>
          <w:szCs w:val="18"/>
          <w:color w:val="auto"/>
        </w:rPr>
        <w:t>. Notwithstanding anything to the contrary in this Agreement, the obligations, liabilities and undertakings provided under this Agreement by an Obligor incorporated under the laws of Ireland shall be deemed not to be undertaken or incurred to the extent that same would (a) constitute unlawful financial assistance prohibited by section 82 of the Companies Act 2014 of Ireland (as amended); or (b) constitute a breach of section 239 of the Companies Act 2014 of Ireland (as amended).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Precedent to the Effective Date</w:t>
      </w:r>
      <w:r>
        <w:rPr>
          <w:rFonts w:ascii="Arial" w:cs="Arial" w:eastAsia="Arial" w:hAnsi="Arial"/>
          <w:sz w:val="18"/>
          <w:szCs w:val="18"/>
          <w:color w:val="auto"/>
        </w:rPr>
        <w:t xml:space="preserve">. The obligation of the Lenders to close this Agreement and to make Loans or issue or participate in any Letter of Credit (including any deemed issuance of Existing Letters of Credit), on or, subject to </w:t>
      </w:r>
      <w:r>
        <w:rPr>
          <w:rFonts w:ascii="Arial" w:cs="Arial" w:eastAsia="Arial" w:hAnsi="Arial"/>
          <w:sz w:val="18"/>
          <w:szCs w:val="18"/>
          <w:u w:val="single" w:color="auto"/>
          <w:color w:val="auto"/>
        </w:rPr>
        <w:t>Section 6.02</w:t>
      </w:r>
      <w:r>
        <w:rPr>
          <w:rFonts w:ascii="Arial" w:cs="Arial" w:eastAsia="Arial" w:hAnsi="Arial"/>
          <w:sz w:val="18"/>
          <w:szCs w:val="18"/>
          <w:color w:val="auto"/>
        </w:rPr>
        <w:t>, after the Effective Date for the account of any Borrower is subject to satisfaction of the following conditions: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Administrative Agent shall have received the following, all in form and substance reasonably satisfactory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this Agreement executed by each Person listed on the signature pages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1304"/>
        <w:spacing w:after="0"/>
        <w:rPr>
          <w:sz w:val="20"/>
          <w:szCs w:val="20"/>
          <w:color w:val="auto"/>
        </w:rPr>
      </w:pPr>
      <w:r>
        <w:rPr>
          <w:rFonts w:ascii="Arial" w:cs="Arial" w:eastAsia="Arial" w:hAnsi="Arial"/>
          <w:sz w:val="18"/>
          <w:szCs w:val="18"/>
          <w:color w:val="auto"/>
        </w:rPr>
        <w:t>(ii)            the Affiliate Guaranty executed by each Guarantor existing as of the Effective Date;</w:t>
      </w:r>
    </w:p>
    <w:p>
      <w:pPr>
        <w:spacing w:after="0" w:line="225" w:lineRule="exact"/>
        <w:rPr>
          <w:sz w:val="20"/>
          <w:szCs w:val="20"/>
          <w:color w:val="auto"/>
        </w:rPr>
      </w:pPr>
    </w:p>
    <w:p>
      <w:pPr>
        <w:jc w:val="both"/>
        <w:ind w:left="4" w:right="20" w:firstLine="1296"/>
        <w:spacing w:after="0" w:line="277" w:lineRule="auto"/>
        <w:rPr>
          <w:sz w:val="20"/>
          <w:szCs w:val="20"/>
          <w:color w:val="auto"/>
        </w:rPr>
      </w:pPr>
      <w:r>
        <w:rPr>
          <w:rFonts w:ascii="Arial" w:cs="Arial" w:eastAsia="Arial" w:hAnsi="Arial"/>
          <w:sz w:val="18"/>
          <w:szCs w:val="18"/>
          <w:color w:val="auto"/>
        </w:rPr>
        <w:t>(iii)            a joinder agreement to the Intercreditor Agreement substantially in the form of Exhibit A-1 thereto executed by each Person listed on the signature pages thereof;</w:t>
      </w:r>
    </w:p>
    <w:p>
      <w:pPr>
        <w:spacing w:after="0" w:line="170" w:lineRule="exact"/>
        <w:rPr>
          <w:sz w:val="20"/>
          <w:szCs w:val="20"/>
          <w:color w:val="auto"/>
        </w:rPr>
      </w:pPr>
    </w:p>
    <w:p>
      <w:pPr>
        <w:jc w:val="both"/>
        <w:ind w:left="4" w:firstLine="1296"/>
        <w:spacing w:after="0" w:line="288" w:lineRule="auto"/>
        <w:rPr>
          <w:sz w:val="20"/>
          <w:szCs w:val="20"/>
          <w:color w:val="auto"/>
        </w:rPr>
      </w:pPr>
      <w:r>
        <w:rPr>
          <w:rFonts w:ascii="Arial" w:cs="Arial" w:eastAsia="Arial" w:hAnsi="Arial"/>
          <w:sz w:val="16"/>
          <w:szCs w:val="16"/>
          <w:color w:val="auto"/>
        </w:rPr>
        <w:t>(iv)            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making of such Loan or the issuance (or deemed issuance) of any Letter of Credit, (C) that it and each other Obligor constitute a group of companies for the purposes of section 243 of the Companies Act 2014 of Ireland (as amended), (D) confirming that its entry into the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spacing w:after="0" w:line="168" w:lineRule="exact"/>
        <w:rPr>
          <w:sz w:val="20"/>
          <w:szCs w:val="20"/>
          <w:color w:val="auto"/>
        </w:rPr>
      </w:pPr>
    </w:p>
    <w:p>
      <w:pPr>
        <w:jc w:val="both"/>
        <w:ind w:left="4" w:firstLine="1296"/>
        <w:spacing w:after="0" w:line="285" w:lineRule="auto"/>
        <w:rPr>
          <w:sz w:val="20"/>
          <w:szCs w:val="20"/>
          <w:color w:val="auto"/>
        </w:rPr>
      </w:pPr>
      <w:r>
        <w:rPr>
          <w:rFonts w:ascii="Arial" w:cs="Arial" w:eastAsia="Arial" w:hAnsi="Arial"/>
          <w:sz w:val="16"/>
          <w:szCs w:val="16"/>
          <w:color w:val="auto"/>
        </w:rPr>
        <w:t>(v)            a certificate of the secretary or an assistant secretary or other Responsible Officer of each Obligor (other than any Obligor incorporated in England and Wales) (and in the case of a Luxembourg Obligor, a manager (</w:t>
      </w:r>
      <w:r>
        <w:rPr>
          <w:rFonts w:ascii="Arial" w:cs="Arial" w:eastAsia="Arial" w:hAnsi="Arial"/>
          <w:sz w:val="16"/>
          <w:szCs w:val="16"/>
          <w:i w:val="1"/>
          <w:iCs w:val="1"/>
          <w:color w:val="auto"/>
        </w:rPr>
        <w:t>gérant</w:t>
      </w:r>
      <w:r>
        <w:rPr>
          <w:rFonts w:ascii="Arial" w:cs="Arial" w:eastAsia="Arial" w:hAnsi="Arial"/>
          <w:sz w:val="16"/>
          <w:szCs w:val="16"/>
          <w:color w:val="auto"/>
        </w:rPr>
        <w:t>)), dated the Effective Date and certifying (A) 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w:t>
      </w:r>
    </w:p>
    <w:p>
      <w:pPr>
        <w:spacing w:after="0" w:line="2" w:lineRule="exact"/>
        <w:rPr>
          <w:sz w:val="20"/>
          <w:szCs w:val="20"/>
          <w:color w:val="auto"/>
        </w:rPr>
      </w:pPr>
    </w:p>
    <w:p>
      <w:pPr>
        <w:jc w:val="both"/>
        <w:ind w:left="4" w:hanging="4"/>
        <w:spacing w:after="0" w:line="281" w:lineRule="auto"/>
        <w:tabs>
          <w:tab w:leader="none" w:pos="29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Arial" w:cs="Arial" w:eastAsia="Arial" w:hAnsi="Arial"/>
          <w:sz w:val="16"/>
          <w:szCs w:val="16"/>
          <w:i w:val="1"/>
          <w:iCs w:val="1"/>
          <w:color w:val="auto"/>
        </w:rPr>
        <w:t>faillite</w:t>
      </w:r>
      <w:r>
        <w:rPr>
          <w:rFonts w:ascii="Arial" w:cs="Arial" w:eastAsia="Arial" w:hAnsi="Arial"/>
          <w:sz w:val="16"/>
          <w:szCs w:val="16"/>
          <w:color w:val="auto"/>
        </w:rPr>
        <w:t>), compulsory liquidation (</w:t>
      </w:r>
      <w:r>
        <w:rPr>
          <w:rFonts w:ascii="Arial" w:cs="Arial" w:eastAsia="Arial" w:hAnsi="Arial"/>
          <w:sz w:val="16"/>
          <w:szCs w:val="16"/>
          <w:i w:val="1"/>
          <w:iCs w:val="1"/>
          <w:color w:val="auto"/>
        </w:rPr>
        <w:t>liquidation judiciaire</w:t>
      </w:r>
      <w:r>
        <w:rPr>
          <w:rFonts w:ascii="Arial" w:cs="Arial" w:eastAsia="Arial" w:hAnsi="Arial"/>
          <w:sz w:val="16"/>
          <w:szCs w:val="16"/>
          <w:color w:val="auto"/>
        </w:rPr>
        <w:t>), voluntary liquidation (</w:t>
      </w:r>
      <w:r>
        <w:rPr>
          <w:rFonts w:ascii="Arial" w:cs="Arial" w:eastAsia="Arial" w:hAnsi="Arial"/>
          <w:sz w:val="16"/>
          <w:szCs w:val="16"/>
          <w:i w:val="1"/>
          <w:iCs w:val="1"/>
          <w:color w:val="auto"/>
        </w:rPr>
        <w:t>liquidation volontaire</w:t>
      </w:r>
      <w:r>
        <w:rPr>
          <w:rFonts w:ascii="Arial" w:cs="Arial" w:eastAsia="Arial" w:hAnsi="Arial"/>
          <w:sz w:val="16"/>
          <w:szCs w:val="16"/>
          <w:color w:val="auto"/>
        </w:rPr>
        <w:t>), winding-up, moratorium, composition with creditors (</w:t>
      </w:r>
      <w:r>
        <w:rPr>
          <w:rFonts w:ascii="Arial" w:cs="Arial" w:eastAsia="Arial" w:hAnsi="Arial"/>
          <w:sz w:val="16"/>
          <w:szCs w:val="16"/>
          <w:i w:val="1"/>
          <w:iCs w:val="1"/>
          <w:color w:val="auto"/>
        </w:rPr>
        <w:t>gestion contrôlé</w:t>
      </w:r>
      <w:r>
        <w:rPr>
          <w:rFonts w:ascii="Arial" w:cs="Arial" w:eastAsia="Arial" w:hAnsi="Arial"/>
          <w:sz w:val="16"/>
          <w:szCs w:val="16"/>
          <w:color w:val="auto"/>
        </w:rPr>
        <w:t>), suspension of payments (</w:t>
      </w:r>
      <w:r>
        <w:rPr>
          <w:rFonts w:ascii="Arial" w:cs="Arial" w:eastAsia="Arial" w:hAnsi="Arial"/>
          <w:sz w:val="16"/>
          <w:szCs w:val="16"/>
          <w:i w:val="1"/>
          <w:iCs w:val="1"/>
          <w:color w:val="auto"/>
        </w:rPr>
        <w:t>sursis de paiement</w:t>
      </w:r>
      <w:r>
        <w:rPr>
          <w:rFonts w:ascii="Arial" w:cs="Arial" w:eastAsia="Arial" w:hAnsi="Arial"/>
          <w:sz w:val="16"/>
          <w:szCs w:val="16"/>
          <w:color w:val="auto"/>
        </w:rPr>
        <w:t>), voluntary arrangement with creditors (</w:t>
      </w:r>
      <w:r>
        <w:rPr>
          <w:rFonts w:ascii="Arial" w:cs="Arial" w:eastAsia="Arial" w:hAnsi="Arial"/>
          <w:sz w:val="16"/>
          <w:szCs w:val="16"/>
          <w:i w:val="1"/>
          <w:iCs w:val="1"/>
          <w:color w:val="auto"/>
        </w:rPr>
        <w:t>concordate préventif de la faillite</w:t>
      </w:r>
      <w:r>
        <w:rPr>
          <w:rFonts w:ascii="Arial" w:cs="Arial" w:eastAsia="Arial" w:hAnsi="Arial"/>
          <w:sz w:val="16"/>
          <w:szCs w:val="16"/>
          <w:color w:val="auto"/>
        </w:rPr>
        <w:t>),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w:t>
      </w:r>
    </w:p>
    <w:p>
      <w:pPr>
        <w:spacing w:after="0" w:line="7" w:lineRule="exact"/>
        <w:rPr>
          <w:rFonts w:ascii="Arial" w:cs="Arial" w:eastAsia="Arial" w:hAnsi="Arial"/>
          <w:sz w:val="16"/>
          <w:szCs w:val="16"/>
          <w:color w:val="auto"/>
        </w:rPr>
      </w:pPr>
    </w:p>
    <w:p>
      <w:pPr>
        <w:jc w:val="both"/>
        <w:ind w:left="4" w:hanging="4"/>
        <w:spacing w:after="0" w:line="253" w:lineRule="auto"/>
        <w:tabs>
          <w:tab w:leader="none" w:pos="28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Arial" w:cs="Arial" w:eastAsia="Arial" w:hAnsi="Arial"/>
          <w:sz w:val="18"/>
          <w:szCs w:val="18"/>
          <w:u w:val="single" w:color="auto"/>
          <w:color w:val="auto"/>
        </w:rPr>
        <w:t>Section 6.01(a)(i)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6.01(a)(xi)</w:t>
      </w:r>
      <w:r>
        <w:rPr>
          <w:rFonts w:ascii="Arial" w:cs="Arial" w:eastAsia="Arial" w:hAnsi="Arial"/>
          <w:sz w:val="18"/>
          <w:szCs w:val="18"/>
          <w:color w:val="auto"/>
        </w:rPr>
        <w:t xml:space="preserve"> is correct, complete and in full force and effect as at a date no earlier than the date of this Agreement;</w:t>
      </w:r>
    </w:p>
    <w:p>
      <w:pPr>
        <w:spacing w:after="0" w:line="200" w:lineRule="exact"/>
        <w:rPr>
          <w:sz w:val="20"/>
          <w:szCs w:val="20"/>
          <w:color w:val="auto"/>
        </w:rPr>
      </w:pPr>
    </w:p>
    <w:p>
      <w:pPr>
        <w:spacing w:after="0" w:line="209"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5" w:name="page176"/>
    <w:bookmarkEnd w:id="175"/>
    <w:p>
      <w:pPr>
        <w:jc w:val="both"/>
        <w:ind w:left="4" w:firstLine="1296"/>
        <w:spacing w:after="0" w:line="268" w:lineRule="auto"/>
        <w:rPr>
          <w:sz w:val="20"/>
          <w:szCs w:val="20"/>
          <w:color w:val="auto"/>
        </w:rPr>
      </w:pPr>
      <w:r>
        <w:rPr>
          <w:rFonts w:ascii="Arial" w:cs="Arial" w:eastAsia="Arial" w:hAnsi="Arial"/>
          <w:sz w:val="17"/>
          <w:szCs w:val="17"/>
          <w:color w:val="auto"/>
        </w:rPr>
        <w:t xml:space="preserve">(vi)            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Arial" w:cs="Arial" w:eastAsia="Arial" w:hAnsi="Arial"/>
          <w:sz w:val="17"/>
          <w:szCs w:val="17"/>
          <w:u w:val="single" w:color="auto"/>
          <w:color w:val="auto"/>
        </w:rPr>
        <w:t>paragraph (vi)</w:t>
      </w:r>
      <w:r>
        <w:rPr>
          <w:rFonts w:ascii="Arial" w:cs="Arial" w:eastAsia="Arial" w:hAnsi="Arial"/>
          <w:sz w:val="17"/>
          <w:szCs w:val="17"/>
          <w:color w:val="auto"/>
        </w:rPr>
        <w:t xml:space="preserve"> is correct, complete and (to the extent executed) in full force and effect and has not been amended or superseded as at a date no earlier than the Effective Date;</w:t>
      </w:r>
    </w:p>
    <w:p>
      <w:pPr>
        <w:spacing w:after="0" w:line="184" w:lineRule="exact"/>
        <w:rPr>
          <w:sz w:val="20"/>
          <w:szCs w:val="20"/>
          <w:color w:val="auto"/>
        </w:rPr>
      </w:pPr>
    </w:p>
    <w:p>
      <w:pPr>
        <w:jc w:val="both"/>
        <w:ind w:left="4" w:firstLine="1296"/>
        <w:spacing w:after="0" w:line="284" w:lineRule="auto"/>
        <w:rPr>
          <w:sz w:val="20"/>
          <w:szCs w:val="20"/>
          <w:color w:val="auto"/>
        </w:rPr>
      </w:pPr>
      <w:r>
        <w:rPr>
          <w:rFonts w:ascii="Arial" w:cs="Arial" w:eastAsia="Arial" w:hAnsi="Arial"/>
          <w:sz w:val="16"/>
          <w:szCs w:val="16"/>
          <w:color w:val="auto"/>
        </w:rPr>
        <w:t>(vii)            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certain of the Obligors, (C) Baker McKenzie Switzerland (GVA) SA, in Geneva, special Swiss counsel to certain of the Obligors, (D) Matheson LLP, special Irish counsel to certain of the Obligors, (E) Dentons Canada LLP, special British Columbia, Alberta and Ontario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certain of the Obligors, (J) Norton Rose Fulbright, special Australian counsel to the Administrative Agent, (K) BAHR, special Norwegian counsel to the Administrative Agent,</w:t>
      </w:r>
    </w:p>
    <w:p>
      <w:pPr>
        <w:spacing w:after="0" w:line="1" w:lineRule="exact"/>
        <w:rPr>
          <w:sz w:val="20"/>
          <w:szCs w:val="20"/>
          <w:color w:val="auto"/>
        </w:rPr>
      </w:pPr>
    </w:p>
    <w:p>
      <w:pPr>
        <w:jc w:val="both"/>
        <w:ind w:left="4" w:hanging="4"/>
        <w:spacing w:after="0" w:line="292" w:lineRule="auto"/>
        <w:tabs>
          <w:tab w:leader="none" w:pos="29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Baker &amp; McKenzie Amsterdam N.V., special Dutch counsel to certain of the Obligors, (M) Holland &amp; Hart LLP, special Nevada counsel to certain of the Obligors, (N) Baker McKenzie, Rechtsanwaltsgesellschaft mbH von Rechtsanwälten und Steuerberatern, special German counsel to certain of the Obligors, (O) Arias, Fábrega &amp; Fábrega, special Panamanian counsel to certain of the Obligors, (P) Baker &amp; McKenzie Abogados, S.C., special Mexican counsel to certain of the Obligors, (Q) Brons &amp; Salas, special Argentine counsel to certain of the Obligors, and (R) Veirano, special Brazilian counsel to certain of the Obligors, in each case, given upon the express instruction of the applicable Obligor(s), as applicable;</w:t>
      </w:r>
    </w:p>
    <w:p>
      <w:pPr>
        <w:spacing w:after="0" w:line="378"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6" w:name="page177"/>
    <w:bookmarkEnd w:id="176"/>
    <w:p>
      <w:pPr>
        <w:jc w:val="both"/>
        <w:ind w:firstLine="1296"/>
        <w:spacing w:after="0" w:line="342" w:lineRule="auto"/>
        <w:rPr>
          <w:sz w:val="20"/>
          <w:szCs w:val="20"/>
          <w:color w:val="auto"/>
        </w:rPr>
      </w:pPr>
      <w:r>
        <w:rPr>
          <w:rFonts w:ascii="Arial" w:cs="Arial" w:eastAsia="Arial" w:hAnsi="Arial"/>
          <w:sz w:val="16"/>
          <w:szCs w:val="16"/>
          <w:color w:val="auto"/>
        </w:rPr>
        <w:t>(viii)            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12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(ix)            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6"/>
          <w:szCs w:val="16"/>
          <w:i w:val="1"/>
          <w:iCs w:val="1"/>
          <w:color w:val="auto"/>
        </w:rPr>
        <w:t>siège statutaire</w:t>
      </w:r>
      <w:r>
        <w:rPr>
          <w:rFonts w:ascii="Arial" w:cs="Arial" w:eastAsia="Arial" w:hAnsi="Arial"/>
          <w:sz w:val="16"/>
          <w:szCs w:val="16"/>
          <w:color w:val="auto"/>
        </w:rPr>
        <w:t xml:space="preserve">) in Luxembourg and it does not have an “establishment” (as that term is used in article 2(10) of the European Insolvency Regulation) in any other jurisdiction), (C) to the extent not covered by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Arial" w:cs="Arial" w:eastAsia="Arial" w:hAnsi="Arial"/>
          <w:sz w:val="16"/>
          <w:szCs w:val="16"/>
          <w:i w:val="1"/>
          <w:iCs w:val="1"/>
          <w:color w:val="auto"/>
        </w:rPr>
        <w:t>Registre de Commerce et des Sociétés</w:t>
      </w:r>
      <w:r>
        <w:rPr>
          <w:rFonts w:ascii="Arial" w:cs="Arial" w:eastAsia="Arial" w:hAnsi="Arial"/>
          <w:sz w:val="16"/>
          <w:szCs w:val="16"/>
          <w:color w:val="auto"/>
        </w:rPr>
        <w:t>) in Luxembourg (the “</w:t>
      </w:r>
      <w:r>
        <w:rPr>
          <w:rFonts w:ascii="Arial" w:cs="Arial" w:eastAsia="Arial" w:hAnsi="Arial"/>
          <w:sz w:val="16"/>
          <w:szCs w:val="16"/>
          <w:u w:val="single" w:color="auto"/>
          <w:color w:val="auto"/>
        </w:rPr>
        <w:t>RCS</w:t>
      </w:r>
      <w:r>
        <w:rPr>
          <w:rFonts w:ascii="Arial" w:cs="Arial" w:eastAsia="Arial" w:hAnsi="Arial"/>
          <w:sz w:val="16"/>
          <w:szCs w:val="16"/>
          <w:color w:val="auto"/>
        </w:rPr>
        <w:t>”) as at a date no earlier than the Effective Date and an up-to-date, true and complete electronic excerpt of the RCS as at a date no earlier than the Effective Date;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an Irish law agency assignment agreement in respect of any Irish law security documents;</w:t>
      </w: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7" w:name="page178"/>
    <w:bookmarkEnd w:id="177"/>
    <w:p>
      <w:pPr>
        <w:ind w:left="1300"/>
        <w:spacing w:after="0"/>
        <w:rPr>
          <w:sz w:val="20"/>
          <w:szCs w:val="20"/>
          <w:color w:val="auto"/>
        </w:rPr>
      </w:pPr>
      <w:r>
        <w:rPr>
          <w:rFonts w:ascii="Arial" w:cs="Arial" w:eastAsia="Arial" w:hAnsi="Arial"/>
          <w:sz w:val="18"/>
          <w:szCs w:val="18"/>
          <w:color w:val="auto"/>
        </w:rPr>
        <w:t>(xi)            an Irish law deed of confirmation in respect of any Irish law security documents;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(xii)            the U.S. Security Agreement, dated as of the Effective Date, executed by each Obligor listed on the signature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pages 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(xiii)            [reserved];</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(xiv)            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(xv)            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(xvi)            [reserved];</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(xvii)            a certificate of a director of Weatherford Australia Pty Limited, dated the Effective Date and confirming that (A) the resolutions referred to in </w:t>
      </w:r>
      <w:r>
        <w:rPr>
          <w:rFonts w:ascii="Arial" w:cs="Arial" w:eastAsia="Arial" w:hAnsi="Arial"/>
          <w:sz w:val="16"/>
          <w:szCs w:val="16"/>
          <w:u w:val="single" w:color="auto"/>
          <w:color w:val="auto"/>
        </w:rPr>
        <w:t>Section 6.01(a)(v)</w:t>
      </w:r>
      <w:r>
        <w:rPr>
          <w:rFonts w:ascii="Arial" w:cs="Arial" w:eastAsia="Arial" w:hAnsi="Arial"/>
          <w:sz w:val="16"/>
          <w:szCs w:val="16"/>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6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(xviii)            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8" w:name="page179"/>
    <w:bookmarkEnd w:id="178"/>
    <w:p>
      <w:pPr>
        <w:ind w:left="1960"/>
        <w:spacing w:after="0"/>
        <w:rPr>
          <w:sz w:val="20"/>
          <w:szCs w:val="20"/>
          <w:color w:val="auto"/>
        </w:rPr>
      </w:pPr>
      <w:r>
        <w:rPr>
          <w:rFonts w:ascii="Arial" w:cs="Arial" w:eastAsia="Arial" w:hAnsi="Arial"/>
          <w:sz w:val="17"/>
          <w:szCs w:val="17"/>
          <w:color w:val="auto"/>
        </w:rPr>
        <w:t>(xix)            to the extent available in the applicable jurisdiction(s) and reasonably requested by the Administrative Agent,</w:t>
      </w:r>
    </w:p>
    <w:p>
      <w:pPr>
        <w:spacing w:after="0" w:line="35" w:lineRule="exact"/>
        <w:rPr>
          <w:sz w:val="20"/>
          <w:szCs w:val="20"/>
          <w:color w:val="auto"/>
        </w:rPr>
      </w:pPr>
    </w:p>
    <w:p>
      <w:pPr>
        <w:jc w:val="both"/>
        <w:ind w:left="660" w:hanging="4"/>
        <w:spacing w:after="0" w:line="253" w:lineRule="auto"/>
        <w:tabs>
          <w:tab w:leader="none" w:pos="9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The Administrative Agent shall have received evidence reasonably satisfactory to it that all material consents of (i) each Governmental Authority and (ii) each other Person, if any,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There shall be no adversary proceeding or litigation seeking to enjoin or prevent the financing or the transactions contemplated under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[Reserved].</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(e)            The Lenders shall have received (i) audited consolidated financial statements of Parent for the Fiscal Years ended December 31, 2020 and December 31, 2021,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2021,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(f)            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or any other Loan Document.</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(g)            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Effective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300"/>
        <w:spacing w:after="0"/>
        <w:rPr>
          <w:sz w:val="20"/>
          <w:szCs w:val="20"/>
          <w:color w:val="auto"/>
        </w:rPr>
      </w:pPr>
      <w:r>
        <w:rPr>
          <w:rFonts w:ascii="Arial" w:cs="Arial" w:eastAsia="Arial" w:hAnsi="Arial"/>
          <w:sz w:val="17"/>
          <w:szCs w:val="17"/>
          <w:color w:val="auto"/>
        </w:rPr>
        <w:t>(h)            Certificates of insurance (other than for any Obligor incorporated in England and Wales) listing the Administrative Agent as</w:t>
      </w:r>
    </w:p>
    <w:p>
      <w:pPr>
        <w:spacing w:after="0" w:line="35"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loss payee for the property casualty insurance policies of the Obligors (other than the UK Obligors), together with loss payable endorsements and</w:t>
      </w:r>
    </w:p>
    <w:p>
      <w:pPr>
        <w:spacing w:after="0" w:line="20" w:lineRule="exact"/>
        <w:rPr>
          <w:rFonts w:ascii="Arial" w:cs="Arial" w:eastAsia="Arial" w:hAnsi="Arial"/>
          <w:sz w:val="17"/>
          <w:szCs w:val="17"/>
          <w:color w:val="auto"/>
        </w:rPr>
      </w:pPr>
    </w:p>
    <w:p>
      <w:pPr>
        <w:ind w:firstLine="8"/>
        <w:spacing w:after="0" w:line="260" w:lineRule="auto"/>
        <w:tabs>
          <w:tab w:leader="none" w:pos="2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additional insured with respect to the liability insurance of the Obligors (other than the UK Obligors), together with additional insured endorsements, shall have been provided.</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Conditions Precedent to All Credit Events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3.01(c)</w:t>
      </w:r>
      <w:r>
        <w:rPr>
          <w:rFonts w:ascii="Arial" w:cs="Arial" w:eastAsia="Arial" w:hAnsi="Arial"/>
          <w:sz w:val="18"/>
          <w:szCs w:val="18"/>
          <w:color w:val="auto"/>
        </w:rPr>
        <w:t>, the obligation of any Lender to make or participate in any Extensions of Credit and/or any Issuing Bank to issue, amend, renew or extend (including deemed issuance) any Letter of Credit on or after the Effective Date is subject to the further conditions precedent that, on the date of the relevant borrowing or issuance, amendment, renewal or extension of such Letter of Credit:</w:t>
      </w:r>
    </w:p>
    <w:p>
      <w:pPr>
        <w:spacing w:after="0" w:line="18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Extension of Credit or issuance, amendment, renewal or extension of such Letter of Credit, except to the extent any such representations and warranties are expressly limited to an earlier date, in which case, on and as of the date of such Extension of Credit or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6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(b)            (i) In the case of a borrowing of Loans, the Administrative Agent shall have received a Notice of Borrowing and (ii) with respect to any Letter of Credit, the Administrative Agent and the applicable Issuing Bank shall have received (A) in the case of an issuance, amendment, renewal or extension of a Letter of Credit, a Letter of Credit Request as required by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by the time and on the Business Day specified in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(B)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6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(c)            After giving effect to such borrowing or the issuance, amendment, renewal or extension of such Letter of Credit, the Total Credit Exposure shall not exceed the Aggregate Commitments</w:t>
      </w:r>
      <w:r>
        <w:rPr>
          <w:rFonts w:ascii="Arial" w:cs="Arial" w:eastAsia="Arial" w:hAnsi="Arial"/>
          <w:sz w:val="16"/>
          <w:szCs w:val="16"/>
          <w:b w:val="1"/>
          <w:bCs w:val="1"/>
          <w:u w:val="single" w:color="auto"/>
          <w:color w:val="0000FF"/>
        </w:rPr>
        <w:t>, the Total LC Exposure with respect to Performance Letters of Credit shall not exceed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total Performance LC Commitments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the Revolving Credit Outstandings shall not exceed</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 $250,000,000 or (ii) following the date that is three</w:t>
      </w:r>
    </w:p>
    <w:p>
      <w:pPr>
        <w:spacing w:after="0" w:line="2" w:lineRule="exact"/>
        <w:rPr>
          <w:sz w:val="20"/>
          <w:szCs w:val="20"/>
          <w:color w:val="auto"/>
        </w:rPr>
      </w:pPr>
    </w:p>
    <w:p>
      <w:pPr>
        <w:ind w:firstLine="8"/>
        <w:spacing w:after="0" w:line="323" w:lineRule="auto"/>
        <w:tabs>
          <w:tab w:leader="none" w:pos="276" w:val="left"/>
        </w:tabs>
        <w:numPr>
          <w:ilvl w:val="0"/>
          <w:numId w:val="94"/>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Business Days after the date on which the Administrative Agent receives notice pursuant to Section 8.01(k) that the aggregate outstanding principal amount of Senior Secured Notes has been reduced to less than or equal to $200,000,000,</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Total Revolving Commitments.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1296"/>
        <w:spacing w:after="0" w:line="263" w:lineRule="auto"/>
        <w:rPr>
          <w:sz w:val="20"/>
          <w:szCs w:val="20"/>
          <w:color w:val="auto"/>
        </w:rPr>
      </w:pPr>
      <w:r>
        <w:rPr>
          <w:rFonts w:ascii="Arial" w:cs="Arial" w:eastAsia="Arial" w:hAnsi="Arial"/>
          <w:sz w:val="18"/>
          <w:szCs w:val="18"/>
          <w:color w:val="auto"/>
        </w:rPr>
        <w:t xml:space="preserve">(d)            To the extent a Defaulting Lender exists at the time of such issuance, amendment, renewal or extension, such Defaulting Lender’s LC Exposure in respect of such Letter of Credit shall be cash collateralized to the extent required by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of this Agreement, or otherwise secured to the reasonable satisfaction of the applicable Issuing Bank.</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(e)            No Default or Event of Default shall have occurred and be continuing or would result from such borrowing or the issuance, amendment, renewal or extension of such Letter of Credit.</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(f)            In the case of any Loan or Letter of Credit to be denominated in an Alternative Currency, the Administrative Agent and/or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the Administrative Agent or such applicable Issuing Bank, would make it impractical for such Loans and/or Letter of Credit to be denominated in the relevant Alternative Currency.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acceptance of the benefits of each Loan and/or Letter of Credit and any amendment, renewal, or extension of any Letter of Credit shall constitute a representation and warranty by each of the Obligors to each of the Lenders that all of the conditions specified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6.02(e)</w:t>
      </w:r>
      <w:r>
        <w:rPr>
          <w:rFonts w:ascii="Arial" w:cs="Arial" w:eastAsia="Arial" w:hAnsi="Arial"/>
          <w:sz w:val="18"/>
          <w:szCs w:val="18"/>
          <w:color w:val="auto"/>
        </w:rPr>
        <w:t xml:space="preserve"> have been satisfied as of that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Arial" w:cs="Arial" w:eastAsia="Arial" w:hAnsi="Arial"/>
          <w:sz w:val="18"/>
          <w:szCs w:val="18"/>
          <w:i w:val="1"/>
          <w:iCs w:val="1"/>
          <w:color w:val="auto"/>
        </w:rPr>
        <w:t>siège statutaire</w:t>
      </w:r>
      <w:r>
        <w:rPr>
          <w:rFonts w:ascii="Arial" w:cs="Arial" w:eastAsia="Arial" w:hAnsi="Arial"/>
          <w:sz w:val="18"/>
          <w:szCs w:val="18"/>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69"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Authorization, Validity, Etc</w:t>
      </w:r>
      <w:r>
        <w:rPr>
          <w:rFonts w:ascii="Arial" w:cs="Arial" w:eastAsia="Arial" w:hAnsi="Arial"/>
          <w:sz w:val="17"/>
          <w:szCs w:val="17"/>
          <w:color w:val="auto"/>
        </w:rPr>
        <w:t>. Each Obligor has the corporate and, as applicable, any other power and authority to execute, deliver and perform its obligations hereunder and under the other Loan Documents to which it is a party and to borrow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the valid and legally binding agreement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rescue process,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Governmental Consents, Etc</w:t>
      </w:r>
      <w:r>
        <w:rPr>
          <w:rFonts w:ascii="Arial" w:cs="Arial" w:eastAsia="Arial" w:hAnsi="Arial"/>
          <w:sz w:val="18"/>
          <w:szCs w:val="18"/>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No Breach or Violation of Law or Agreements</w:t>
      </w:r>
      <w:r>
        <w:rPr>
          <w:rFonts w:ascii="Arial" w:cs="Arial" w:eastAsia="Arial" w:hAnsi="Arial"/>
          <w:sz w:val="17"/>
          <w:szCs w:val="17"/>
          <w:color w:val="auto"/>
        </w:rPr>
        <w:t xml:space="preserve">.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w:t>
      </w:r>
      <w:r>
        <w:rPr>
          <w:rFonts w:ascii="Arial" w:cs="Arial" w:eastAsia="Arial" w:hAnsi="Arial"/>
          <w:sz w:val="17"/>
          <w:szCs w:val="17"/>
          <w:b w:val="1"/>
          <w:bCs w:val="1"/>
          <w:color w:val="FF0000"/>
          <w:strike w:val="1"/>
        </w:rPr>
        <w:t>Exit Senior Notes or the Exit Senior Notes Indenture, the</w:t>
      </w:r>
      <w:r>
        <w:rPr>
          <w:rFonts w:ascii="Arial" w:cs="Arial" w:eastAsia="Arial" w:hAnsi="Arial"/>
          <w:sz w:val="17"/>
          <w:szCs w:val="17"/>
          <w:color w:val="auto"/>
        </w:rPr>
        <w:t xml:space="preserve"> Senior Secured Notes or the Senior Secured Notes Indenture or the Senior Notes or the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that collectively for the Obligors would not have a Material Adverse Effect, or (c) will violate any provision of the organizational documents or by-laws of any Obligor.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7.05</w:t>
      </w:r>
      <w:r>
        <w:rPr>
          <w:rFonts w:ascii="Arial" w:cs="Arial" w:eastAsia="Arial" w:hAnsi="Arial"/>
          <w:sz w:val="18"/>
          <w:szCs w:val="18"/>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2" w:name="page183"/>
    <w:bookmarkEnd w:id="182"/>
    <w:p>
      <w:pPr>
        <w:ind w:left="660"/>
        <w:spacing w:after="0"/>
        <w:tabs>
          <w:tab w:leader="none" w:pos="20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Information; No Material Adverse Change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(a)            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color w:val="auto"/>
        </w:rPr>
        <w:t xml:space="preserve"> Effective Date.</w:t>
      </w:r>
    </w:p>
    <w:p>
      <w:pPr>
        <w:spacing w:after="0" w:line="17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(b)            Parent has heretofore furnished to the Lenders its consolidated balance sheet and statements of income, stockholders equity and cash flows as of and for the Fiscal Years ended December 31, 2020 and December 31, 2021,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6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(c)            As of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all of the information included in the Beneficial Ownership Certification, to the extent required to be delivered, is true and correct</w:t>
      </w:r>
      <w:r>
        <w:rPr>
          <w:rFonts w:ascii="Arial" w:cs="Arial" w:eastAsia="Arial" w:hAnsi="Arial"/>
          <w:sz w:val="18"/>
          <w:szCs w:val="18"/>
          <w:b w:val="1"/>
          <w:bCs w:val="1"/>
          <w:u w:val="single" w:color="auto"/>
          <w:color w:val="0000FF"/>
        </w:rPr>
        <w: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            There has been no material adverse change since December 31, 2021 in the financial condition, business, assets or operations of Parent and its Restricted Subsidiaries, taken as a whole.</w:t>
      </w:r>
    </w:p>
    <w:p>
      <w:pPr>
        <w:spacing w:after="0" w:line="17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Investment Company Act; Margin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Neither any Obligor nor any of its Restricted Subsidiaries is, or is regulated as, an “investment company”, as such term is defined in the Investment Company Act of 1940 (as adopted in the United States), as amended.</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(b)            Neither any Obligor nor any of its Restricted Subsidiaries is engaged principally, or as one of its important activities, in the business of extending credit for the purpose of purchasing or carrying any “margin stock” as defined in Regulation U. No part of the proceeds of any Loans or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ind w:left="660"/>
        <w:spacing w:after="0"/>
        <w:tabs>
          <w:tab w:leader="none" w:pos="202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ERISA; Canadian Defined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            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            No ERISA Event has occurred or is reasonably expected to occur that, when taken together with all other such ERISA Events that are reasonably expected to occur, could reasonably be expected to have a Material Adverse Effect.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None of the assets of the Obligors constitute “plan assets” (within the meaning of the Plan Asset Regulations).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            No Obligor sponsors, administers, participates in or contributes to, or has any liabilities or obligations in respect of, any Canadian Defined Benefit Plan.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6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(b)            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firstLine="1304"/>
        <w:spacing w:after="0" w:line="312" w:lineRule="auto"/>
        <w:tabs>
          <w:tab w:leader="none" w:pos="1574" w:val="left"/>
        </w:tabs>
        <w:numPr>
          <w:ilvl w:val="0"/>
          <w:numId w:val="95"/>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As of the Effective Date, the information included in the Beneficial Ownership Certification (if any such certificate was required to be delivered by any Borrower under the Beneficial Ownership Regulation) is true and correct in all respects.</w:t>
      </w:r>
    </w:p>
    <w:p>
      <w:pPr>
        <w:spacing w:after="0" w:line="14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            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Arial" w:cs="Arial" w:eastAsia="Arial" w:hAnsi="Arial"/>
          <w:sz w:val="18"/>
          <w:szCs w:val="18"/>
          <w:u w:val="single" w:color="auto"/>
          <w:color w:val="auto"/>
        </w:rPr>
        <w:t>Schedule 7.12</w:t>
      </w:r>
      <w:r>
        <w:rPr>
          <w:rFonts w:ascii="Arial" w:cs="Arial" w:eastAsia="Arial" w:hAnsi="Arial"/>
          <w:sz w:val="18"/>
          <w:szCs w:val="18"/>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is a Sanctioned Person. No use of proceeds of any Extension of Credit or any other transaction contemplated by this Agreement will violate any Anti-Corruption Laws or any Sanctions applicable to any party hereto.</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(b)            To the extent that any representation contained in this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made by any Obligor incorporated or organized under the laws of Germany or a resident (</w:t>
      </w:r>
      <w:r>
        <w:rPr>
          <w:rFonts w:ascii="Arial" w:cs="Arial" w:eastAsia="Arial" w:hAnsi="Arial"/>
          <w:sz w:val="18"/>
          <w:szCs w:val="18"/>
          <w:i w:val="1"/>
          <w:iCs w:val="1"/>
          <w:color w:val="auto"/>
        </w:rPr>
        <w:t>Inländer</w:t>
      </w:r>
      <w:r>
        <w:rPr>
          <w:rFonts w:ascii="Arial" w:cs="Arial" w:eastAsia="Arial" w:hAnsi="Arial"/>
          <w:sz w:val="18"/>
          <w:szCs w:val="18"/>
          <w:color w:val="auto"/>
        </w:rPr>
        <w:t>) (within the meaning of section 2 paragraph 15 of the German Foreign Trade Act (</w:t>
      </w:r>
      <w:r>
        <w:rPr>
          <w:rFonts w:ascii="Arial" w:cs="Arial" w:eastAsia="Arial" w:hAnsi="Arial"/>
          <w:sz w:val="18"/>
          <w:szCs w:val="18"/>
          <w:i w:val="1"/>
          <w:iCs w:val="1"/>
          <w:color w:val="auto"/>
        </w:rPr>
        <w:t>Auβenwirtschaftgesetz</w:t>
      </w:r>
      <w:r>
        <w:rPr>
          <w:rFonts w:ascii="Arial" w:cs="Arial" w:eastAsia="Arial" w:hAnsi="Arial"/>
          <w:sz w:val="18"/>
          <w:szCs w:val="18"/>
          <w:color w:val="auto"/>
        </w:rPr>
        <w:t>)) would result in a violation of or conflict with or liability under either EU Regulation (EC) 2271/96 or section 7 of the German Foreign Trade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(in connection with the German Foreign Trade Act (</w:t>
      </w:r>
      <w:r>
        <w:rPr>
          <w:rFonts w:ascii="Arial" w:cs="Arial" w:eastAsia="Arial" w:hAnsi="Arial"/>
          <w:sz w:val="18"/>
          <w:szCs w:val="18"/>
          <w:i w:val="1"/>
          <w:iCs w:val="1"/>
          <w:color w:val="auto"/>
        </w:rPr>
        <w:t>Außenwirtschaftsgesetz</w:t>
      </w:r>
      <w:r>
        <w:rPr>
          <w:rFonts w:ascii="Arial" w:cs="Arial" w:eastAsia="Arial" w:hAnsi="Arial"/>
          <w:sz w:val="18"/>
          <w:szCs w:val="18"/>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(a)            Each of Parent and its Restricted Subsidiaries has good and marketable title to, or valid leasehold interests in, all its real and personal property material to its business, except for (i) Liens permitted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            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 Restrictive Agreements</w:t>
      </w:r>
      <w:r>
        <w:rPr>
          <w:rFonts w:ascii="Arial" w:cs="Arial" w:eastAsia="Arial" w:hAnsi="Arial"/>
          <w:sz w:val="18"/>
          <w:szCs w:val="18"/>
          <w:color w:val="auto"/>
        </w:rPr>
        <w:t xml:space="preserve">. Parent and its Restricted Subsidiaries are not subject to any Restrictive Agreements other than Restrictive Agreements permitted by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Immediately after the consummation of the Transactions to occur on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Parent and its Subsidiaries, taken as a whole, are and will be Solvent.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Insurance</w:t>
      </w:r>
      <w:r>
        <w:rPr>
          <w:rFonts w:ascii="Arial" w:cs="Arial" w:eastAsia="Arial" w:hAnsi="Arial"/>
          <w:sz w:val="18"/>
          <w:szCs w:val="18"/>
          <w:color w:val="auto"/>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Rank of Obligations</w:t>
      </w:r>
      <w:r>
        <w:rPr>
          <w:rFonts w:ascii="Arial" w:cs="Arial" w:eastAsia="Arial" w:hAnsi="Arial"/>
          <w:sz w:val="18"/>
          <w:szCs w:val="18"/>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There are no Liens on any of the assets of Parent or any Restricted Subsidiary other than Liens permitted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Liens that are being released on the Effective Date.</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recordation and notices of security contemplated by the Collateral Documents, in each case, in the appropriate filing offices or to the appropriate recipient), and having priority over all other Liens on the Collateral except in the case of</w:t>
      </w:r>
    </w:p>
    <w:p>
      <w:pPr>
        <w:spacing w:after="0" w:line="5" w:lineRule="exact"/>
        <w:rPr>
          <w:sz w:val="20"/>
          <w:szCs w:val="20"/>
          <w:color w:val="auto"/>
        </w:rPr>
      </w:pPr>
    </w:p>
    <w:p>
      <w:pPr>
        <w:ind w:firstLine="8"/>
        <w:spacing w:after="0" w:line="260" w:lineRule="auto"/>
        <w:tabs>
          <w:tab w:leader="none" w:pos="28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Liens permitted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(b) Liens perfected only by possession (including possession of any certificate of title) to the extent the Administrative Agent has not obtained or does not maintain possession of such Collateral.</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7.20 </w:t>
      </w:r>
      <w:r>
        <w:rPr>
          <w:rFonts w:ascii="Arial" w:cs="Arial" w:eastAsia="Arial" w:hAnsi="Arial"/>
          <w:sz w:val="17"/>
          <w:szCs w:val="17"/>
          <w:u w:val="single" w:color="auto"/>
          <w:color w:val="auto"/>
        </w:rPr>
        <w:t>Capital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6.20</w:t>
      </w:r>
      <w:r>
        <w:rPr>
          <w:rFonts w:ascii="Arial" w:cs="Arial" w:eastAsia="Arial" w:hAnsi="Arial"/>
          <w:sz w:val="17"/>
          <w:szCs w:val="17"/>
          <w:b w:val="1"/>
          <w:bCs w:val="1"/>
          <w:u w:val="single" w:color="auto"/>
          <w:color w:val="0000FF"/>
        </w:rPr>
        <w:t>7.20</w:t>
      </w:r>
      <w:r>
        <w:rPr>
          <w:rFonts w:ascii="Arial" w:cs="Arial" w:eastAsia="Arial" w:hAnsi="Arial"/>
          <w:sz w:val="17"/>
          <w:szCs w:val="17"/>
          <w:u w:val="single" w:color="auto"/>
          <w:color w:val="auto"/>
        </w:rPr>
        <w:t>(a)</w:t>
      </w:r>
      <w:r>
        <w:rPr>
          <w:rFonts w:ascii="Arial" w:cs="Arial" w:eastAsia="Arial" w:hAnsi="Arial"/>
          <w:sz w:val="17"/>
          <w:szCs w:val="17"/>
          <w:color w:val="auto"/>
        </w:rPr>
        <w:t xml:space="preserve"> sets forth a complete and accurate description of the authorized Capital Stock of Parent as of the Effective Date immediately after giving effect to the Transactions to occur on the Effective Date, by class, and, as of the Effective Date immediately after giving effect to the Transactions to occur on the Effective Date, a description of the number of shares of each such class that are issued and outstanding.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6.20</w:t>
      </w:r>
      <w:r>
        <w:rPr>
          <w:rFonts w:ascii="Arial" w:cs="Arial" w:eastAsia="Arial" w:hAnsi="Arial"/>
          <w:sz w:val="17"/>
          <w:szCs w:val="17"/>
          <w:b w:val="1"/>
          <w:bCs w:val="1"/>
          <w:u w:val="single" w:color="auto"/>
          <w:color w:val="0000FF"/>
        </w:rPr>
        <w:t>7.20</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and (ii) the number and the percentage of the outstanding shares of each class of Capital Stock owned directly by the parent (or parents) of each such Obligor. All of the outstanding Capital Stock of each Obligor has been validly issued and is fully paid and non-assessable.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ind w:left="660"/>
        <w:spacing w:after="0"/>
        <w:tabs>
          <w:tab w:leader="none" w:pos="2020" w:val="left"/>
        </w:tabs>
        <w:rPr>
          <w:sz w:val="20"/>
          <w:szCs w:val="20"/>
          <w:color w:val="auto"/>
        </w:rPr>
      </w:pPr>
      <w:r>
        <w:rPr>
          <w:rFonts w:ascii="Arial" w:cs="Arial" w:eastAsia="Arial" w:hAnsi="Arial"/>
          <w:sz w:val="18"/>
          <w:szCs w:val="18"/>
          <w:color w:val="auto"/>
        </w:rPr>
        <w:t>SECTION 7.21</w:t>
      </w:r>
      <w:r>
        <w:rPr>
          <w:sz w:val="20"/>
          <w:szCs w:val="20"/>
          <w:color w:val="auto"/>
        </w:rPr>
        <w:tab/>
      </w:r>
      <w:r>
        <w:rPr>
          <w:rFonts w:ascii="Arial" w:cs="Arial" w:eastAsia="Arial" w:hAnsi="Arial"/>
          <w:sz w:val="16"/>
          <w:szCs w:val="16"/>
          <w:u w:val="single" w:color="auto"/>
          <w:color w:val="auto"/>
        </w:rPr>
        <w:t>Affected Financial Institutions</w:t>
      </w:r>
      <w:r>
        <w:rPr>
          <w:rFonts w:ascii="Arial" w:cs="Arial" w:eastAsia="Arial" w:hAnsi="Arial"/>
          <w:sz w:val="16"/>
          <w:szCs w:val="16"/>
          <w:color w:val="auto"/>
        </w:rPr>
        <w:t>. No Obligor is an Affected Financial Institution.</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7.22</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(a)            Each Swiss Obligor is in compliance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representation if the permitted number of Swiss Non-Qualifying Lenders is exceeded solely by reason of:</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(i)            a failure by one or more Lenders or Participants to comply with their obligations under </w:t>
      </w:r>
      <w:r>
        <w:rPr>
          <w:rFonts w:ascii="Arial" w:cs="Arial" w:eastAsia="Arial" w:hAnsi="Arial"/>
          <w:sz w:val="18"/>
          <w:szCs w:val="18"/>
          <w:u w:val="single" w:color="auto"/>
          <w:color w:val="auto"/>
        </w:rPr>
        <w:t>Section 12.05</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(ii)            a confirmation made by one or more Lenders or Participants to be one single Swiss Non-Qualifying Lender is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incorrect;</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b w:val="1"/>
          <w:bCs w:val="1"/>
          <w:u w:val="single" w:color="auto"/>
          <w:color w:val="0000FF"/>
        </w:rPr>
        <w:t>(iii)            a confirmation made by one or more Lenders or Participants to be a Swiss Qualifying Lender is incorrect:</w:t>
      </w:r>
    </w:p>
    <w:p>
      <w:pPr>
        <w:spacing w:after="0" w:line="237" w:lineRule="exact"/>
        <w:rPr>
          <w:sz w:val="20"/>
          <w:szCs w:val="20"/>
          <w:color w:val="auto"/>
        </w:rPr>
      </w:pPr>
    </w:p>
    <w:p>
      <w:pPr>
        <w:ind w:left="660" w:right="20" w:firstLine="1296"/>
        <w:spacing w:after="0" w:line="312" w:lineRule="auto"/>
        <w:rPr>
          <w:sz w:val="20"/>
          <w:szCs w:val="20"/>
          <w:color w:val="auto"/>
        </w:rPr>
      </w:pPr>
      <w:r>
        <w:rPr>
          <w:rFonts w:ascii="Arial" w:cs="Arial" w:eastAsia="Arial" w:hAnsi="Arial"/>
          <w:sz w:val="17"/>
          <w:szCs w:val="17"/>
          <w:b w:val="1"/>
          <w:bCs w:val="1"/>
          <w:u w:val="single" w:color="auto"/>
          <w:color w:val="0000FF"/>
        </w:rPr>
        <w:t>(iv)           </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(iii)</w:t>
      </w:r>
      <w:r>
        <w:rPr>
          <w:rFonts w:ascii="Arial" w:cs="Arial" w:eastAsia="Arial" w:hAnsi="Arial"/>
          <w:sz w:val="17"/>
          <w:szCs w:val="17"/>
          <w:b w:val="1"/>
          <w:bCs w:val="1"/>
          <w:color w:val="0000FF"/>
        </w:rPr>
        <w:t xml:space="preserve"> </w:t>
      </w:r>
      <w:r>
        <w:rPr>
          <w:rFonts w:ascii="Arial" w:cs="Arial" w:eastAsia="Arial" w:hAnsi="Arial"/>
          <w:sz w:val="17"/>
          <w:szCs w:val="17"/>
          <w:color w:val="000000"/>
        </w:rPr>
        <w:t>one or more Lenders or Participants ceasing to be a Swiss Qualifying Lender (to the extent such Lender or</w:t>
      </w:r>
      <w:r>
        <w:rPr>
          <w:rFonts w:ascii="Arial" w:cs="Arial" w:eastAsia="Arial" w:hAnsi="Arial"/>
          <w:sz w:val="17"/>
          <w:szCs w:val="17"/>
          <w:b w:val="1"/>
          <w:bCs w:val="1"/>
          <w:color w:val="0000FF"/>
        </w:rPr>
        <w:t xml:space="preserve"> </w:t>
      </w:r>
      <w:r>
        <w:rPr>
          <w:rFonts w:ascii="Arial" w:cs="Arial" w:eastAsia="Arial" w:hAnsi="Arial"/>
          <w:sz w:val="17"/>
          <w:szCs w:val="17"/>
          <w:color w:val="000000"/>
        </w:rPr>
        <w:t>Participant is confirmed to be a Swiss Qualifying Lender) as a result of any reason attributable to such Lender or Participant; or</w:t>
      </w:r>
    </w:p>
    <w:p>
      <w:pPr>
        <w:spacing w:after="0" w:line="140" w:lineRule="exact"/>
        <w:rPr>
          <w:sz w:val="20"/>
          <w:szCs w:val="20"/>
          <w:color w:val="auto"/>
        </w:rPr>
      </w:pPr>
    </w:p>
    <w:p>
      <w:pPr>
        <w:ind w:left="660" w:right="20" w:firstLine="1296"/>
        <w:spacing w:after="0" w:line="282" w:lineRule="auto"/>
        <w:rPr>
          <w:sz w:val="20"/>
          <w:szCs w:val="20"/>
          <w:color w:val="auto"/>
        </w:rPr>
      </w:pPr>
      <w:r>
        <w:rPr>
          <w:rFonts w:ascii="Arial" w:cs="Arial" w:eastAsia="Arial" w:hAnsi="Arial"/>
          <w:sz w:val="18"/>
          <w:szCs w:val="18"/>
          <w:b w:val="1"/>
          <w:bCs w:val="1"/>
          <w:u w:val="single" w:color="auto"/>
          <w:color w:val="0000FF"/>
        </w:rPr>
        <w:t>(v)           </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(iv)</w:t>
      </w:r>
      <w:r>
        <w:rPr>
          <w:rFonts w:ascii="Arial" w:cs="Arial" w:eastAsia="Arial" w:hAnsi="Arial"/>
          <w:sz w:val="18"/>
          <w:szCs w:val="18"/>
          <w:b w:val="1"/>
          <w:bCs w:val="1"/>
          <w:color w:val="0000FF"/>
        </w:rPr>
        <w:t xml:space="preserve"> </w:t>
      </w:r>
      <w:r>
        <w:rPr>
          <w:rFonts w:ascii="Arial" w:cs="Arial" w:eastAsia="Arial" w:hAnsi="Arial"/>
          <w:sz w:val="18"/>
          <w:szCs w:val="18"/>
          <w:color w:val="000000"/>
        </w:rPr>
        <w:t>an assignment or participation of any Commitments or LC Exposure under this Agreement to a Swiss Non-Qualifying Lender after the occurrence of an Event of Default.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(b)            For the purposes of this </w:t>
      </w:r>
      <w:r>
        <w:rPr>
          <w:rFonts w:ascii="Arial" w:cs="Arial" w:eastAsia="Arial" w:hAnsi="Arial"/>
          <w:sz w:val="18"/>
          <w:szCs w:val="18"/>
          <w:u w:val="single" w:color="auto"/>
          <w:color w:val="auto"/>
        </w:rPr>
        <w:t>Section 7.22</w:t>
      </w:r>
      <w:r>
        <w:rPr>
          <w:rFonts w:ascii="Arial" w:cs="Arial" w:eastAsia="Arial" w:hAnsi="Arial"/>
          <w:sz w:val="18"/>
          <w:szCs w:val="18"/>
          <w:color w:val="auto"/>
        </w:rPr>
        <w:t>, each Swiss Obligor shall assume that the aggregate number of Lenders or Participants under this Agreement which are Swiss Non-Qualifying Lenders is ten (10).</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Dutch Fiscal Unity</w:t>
      </w:r>
      <w:r>
        <w:rPr>
          <w:rFonts w:ascii="Arial" w:cs="Arial" w:eastAsia="Arial" w:hAnsi="Arial"/>
          <w:sz w:val="18"/>
          <w:szCs w:val="18"/>
          <w:color w:val="auto"/>
        </w:rPr>
        <w:t>. Any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 Obligor forms part consists of Obligors and/or Restricted Subsidiaries only.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Tax Residency</w:t>
      </w:r>
      <w:r>
        <w:rPr>
          <w:rFonts w:ascii="Arial" w:cs="Arial" w:eastAsia="Arial" w:hAnsi="Arial"/>
          <w:sz w:val="18"/>
          <w:szCs w:val="18"/>
          <w:color w:val="auto"/>
        </w:rPr>
        <w:t>. Each Obligor organized under the laws of the Netherlands is resident for tax purposes in the Netherlands only and does not have a permanent establishment or other taxable presence outside the Netherlands, unless with the prior written consent of the Administrative Agent.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Status as a Holding Company</w:t>
      </w:r>
      <w:r>
        <w:rPr>
          <w:rFonts w:ascii="Arial" w:cs="Arial" w:eastAsia="Arial" w:hAnsi="Arial"/>
          <w:sz w:val="18"/>
          <w:szCs w:val="18"/>
          <w:color w:val="auto"/>
        </w:rPr>
        <w:t>. Parent does not have any operating assets or engage in any business other than any customary business of a holding company and ordinary course business operations of Parent in existence prior to the Effective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Each Obligor Party shall furnish or cause to be furnished to the Administrative Agent: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(a)            upon the earlier to occur of (i) five Business Days after being filed with the SEC and (ii) the date that is the deadline to file with the SEC, the quarterly report on Form 10-Q, or its equivalent, of Parent for such Fiscal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Obligor Parties shall be deemed to have furnished said quarterly report on Form 10-Q for purposes of this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(b)            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Obligor Parties shall be deemed to have furnished said annual report on Form 10-K for purposes of this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1296"/>
        <w:spacing w:after="0" w:line="255" w:lineRule="auto"/>
        <w:rPr>
          <w:sz w:val="20"/>
          <w:szCs w:val="20"/>
          <w:color w:val="auto"/>
        </w:rPr>
      </w:pPr>
      <w:r>
        <w:rPr>
          <w:rFonts w:ascii="Arial" w:cs="Arial" w:eastAsia="Arial" w:hAnsi="Arial"/>
          <w:sz w:val="18"/>
          <w:szCs w:val="18"/>
          <w:color w:val="auto"/>
        </w:rPr>
        <w:t>(c)            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promptly, and in any event within five (5) Business Days after:</w:t>
      </w:r>
    </w:p>
    <w:p>
      <w:pPr>
        <w:spacing w:after="0" w:line="225" w:lineRule="exact"/>
        <w:rPr>
          <w:sz w:val="20"/>
          <w:szCs w:val="20"/>
          <w:color w:val="auto"/>
        </w:rPr>
      </w:pPr>
    </w:p>
    <w:p>
      <w:pPr>
        <w:jc w:val="both"/>
        <w:ind w:left="660" w:firstLine="1296"/>
        <w:spacing w:after="0" w:line="271" w:lineRule="auto"/>
        <w:rPr>
          <w:sz w:val="20"/>
          <w:szCs w:val="20"/>
          <w:color w:val="auto"/>
        </w:rPr>
      </w:pPr>
      <w:r>
        <w:rPr>
          <w:rFonts w:ascii="Arial" w:cs="Arial" w:eastAsia="Arial" w:hAnsi="Arial"/>
          <w:sz w:val="17"/>
          <w:szCs w:val="17"/>
          <w:color w:val="auto"/>
        </w:rPr>
        <w:t>(i)            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78"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            any Obligor Party obtains knowledge of the occurrence of any event or condition which constitutes a Default or an Event of Default; or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any Obligor Party obtains knowledge of the occurrence of a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notice of such event, condition, occurrence or development, specifying the nature thereof;</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(e)            within five (5) Business Days after the delivery of the financial statements provided for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8.01(b)</w:t>
      </w:r>
      <w:r>
        <w:rPr>
          <w:rFonts w:ascii="Arial" w:cs="Arial" w:eastAsia="Arial" w:hAnsi="Arial"/>
          <w:sz w:val="18"/>
          <w:szCs w:val="18"/>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promptly, and in any event within 30 days after any Responsible Officer of such Obligor Party obtains knowledge thereof,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            the occurrence or expected occurrence of (A) any ERISA Event with respect to any Plan or any Multiemployer Plan,</w:t>
      </w:r>
    </w:p>
    <w:p>
      <w:pPr>
        <w:spacing w:after="0" w:line="35" w:lineRule="exact"/>
        <w:rPr>
          <w:sz w:val="20"/>
          <w:szCs w:val="20"/>
          <w:color w:val="auto"/>
        </w:rPr>
      </w:pPr>
    </w:p>
    <w:p>
      <w:pPr>
        <w:ind w:left="660" w:hanging="4"/>
        <w:spacing w:after="0" w:line="290" w:lineRule="auto"/>
        <w:tabs>
          <w:tab w:leader="none" w:pos="951"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left="660" w:firstLine="1296"/>
        <w:spacing w:after="0" w:line="257" w:lineRule="auto"/>
        <w:rPr>
          <w:sz w:val="20"/>
          <w:szCs w:val="20"/>
          <w:color w:val="auto"/>
        </w:rPr>
      </w:pPr>
      <w:r>
        <w:rPr>
          <w:rFonts w:ascii="Arial" w:cs="Arial" w:eastAsia="Arial" w:hAnsi="Arial"/>
          <w:sz w:val="18"/>
          <w:szCs w:val="18"/>
          <w:color w:val="auto"/>
        </w:rPr>
        <w:t>(ii)            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            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80" w:lineRule="exact"/>
        <w:rPr>
          <w:sz w:val="20"/>
          <w:szCs w:val="20"/>
          <w:color w:val="auto"/>
        </w:rPr>
      </w:pPr>
    </w:p>
    <w:p>
      <w:pPr>
        <w:jc w:val="both"/>
        <w:ind w:firstLine="1304"/>
        <w:spacing w:after="0" w:line="255" w:lineRule="auto"/>
        <w:tabs>
          <w:tab w:leader="none" w:pos="1595" w:val="left"/>
        </w:tabs>
        <w:numPr>
          <w:ilvl w:val="0"/>
          <w:numId w:val="98"/>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(i) within 30 days after the consummation of any Collateral Transfer resulting in Book Value of Assets of greater than $25,000,000 ceasing to be LC Priority Collateral, (A) written notice of such Collateral Transfer (including the book value of the LC Priority Collateral so transferred), (B) a certificate of a Principal Financial Officer of an Obligor Party, certifying that after giving effect to such Collateral Transfer, the Book Value of Assets with respect to all remaining LC Priority Collateral is no less than $1,000,000,000 and (C) a reasonably detailed calculation demonstrating Parent’s calculation of such Book Value of Assets and (ii) within five Business Days after the delivery of the financial statements provided for in </w:t>
      </w:r>
      <w:r>
        <w:rPr>
          <w:rFonts w:ascii="Arial" w:cs="Arial" w:eastAsia="Arial" w:hAnsi="Arial"/>
          <w:sz w:val="18"/>
          <w:szCs w:val="18"/>
          <w:b w:val="1"/>
          <w:bCs w:val="1"/>
          <w:u w:val="single" w:color="auto"/>
          <w:color w:val="FF0000"/>
          <w:strike w:val="1"/>
        </w:rPr>
        <w:t>Section 8.01(a)</w:t>
      </w:r>
      <w:r>
        <w:rPr>
          <w:rFonts w:ascii="Arial" w:cs="Arial" w:eastAsia="Arial" w:hAnsi="Arial"/>
          <w:sz w:val="18"/>
          <w:szCs w:val="18"/>
          <w:b w:val="1"/>
          <w:bCs w:val="1"/>
          <w:color w:val="FF0000"/>
          <w:strike w:val="1"/>
        </w:rPr>
        <w:t xml:space="preserve"> and </w:t>
      </w:r>
      <w:r>
        <w:rPr>
          <w:rFonts w:ascii="Arial" w:cs="Arial" w:eastAsia="Arial" w:hAnsi="Arial"/>
          <w:sz w:val="18"/>
          <w:szCs w:val="18"/>
          <w:b w:val="1"/>
          <w:bCs w:val="1"/>
          <w:u w:val="single" w:color="auto"/>
          <w:color w:val="FF0000"/>
          <w:strike w:val="1"/>
        </w:rPr>
        <w:t>8.01(b)</w:t>
      </w:r>
      <w:r>
        <w:rPr>
          <w:rFonts w:ascii="Arial" w:cs="Arial" w:eastAsia="Arial" w:hAnsi="Arial"/>
          <w:sz w:val="18"/>
          <w:szCs w:val="18"/>
          <w:b w:val="1"/>
          <w:bCs w:val="1"/>
          <w:color w:val="FF0000"/>
          <w:strike w:val="1"/>
        </w:rPr>
        <w:t>, a calculation of the Book Value of Assets as of the end of the fiscal period covered by such financial statements;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0000FF"/>
        </w:rPr>
        <w:t>(h)            [reserved];</w:t>
      </w:r>
    </w:p>
    <w:p>
      <w:pPr>
        <w:spacing w:after="0" w:line="229"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(i)            promptly, and in any event within five (5) Business Days after, notices of default sent to or from the Obligors in connection with the Senior Secured Notes</w:t>
      </w:r>
      <w:r>
        <w:rPr>
          <w:rFonts w:ascii="Arial" w:cs="Arial" w:eastAsia="Arial" w:hAnsi="Arial"/>
          <w:sz w:val="17"/>
          <w:szCs w:val="17"/>
          <w:b w:val="1"/>
          <w:bCs w:val="1"/>
          <w:color w:val="FF0000"/>
          <w:strike w:val="1"/>
        </w:rPr>
        <w:t>, Exit Senior Notes</w:t>
      </w:r>
      <w:r>
        <w:rPr>
          <w:rFonts w:ascii="Arial" w:cs="Arial" w:eastAsia="Arial" w:hAnsi="Arial"/>
          <w:sz w:val="17"/>
          <w:szCs w:val="17"/>
          <w:color w:val="auto"/>
        </w:rPr>
        <w:t xml:space="preserve"> or Senior Notes or any amendment, supplement or other modification to the Senior Secured Notes Indenture, the </w:t>
      </w:r>
      <w:r>
        <w:rPr>
          <w:rFonts w:ascii="Arial" w:cs="Arial" w:eastAsia="Arial" w:hAnsi="Arial"/>
          <w:sz w:val="17"/>
          <w:szCs w:val="17"/>
          <w:b w:val="1"/>
          <w:bCs w:val="1"/>
          <w:color w:val="FF0000"/>
          <w:strike w:val="1"/>
        </w:rPr>
        <w:t>Exit Senior Notes Indenture, the</w:t>
      </w:r>
      <w:r>
        <w:rPr>
          <w:rFonts w:ascii="Arial" w:cs="Arial" w:eastAsia="Arial" w:hAnsi="Arial"/>
          <w:sz w:val="17"/>
          <w:szCs w:val="17"/>
          <w:color w:val="auto"/>
        </w:rPr>
        <w:t xml:space="preserve"> Senior Notes Indenture or any documents related to any of the foregoing;</w:t>
      </w:r>
    </w:p>
    <w:p>
      <w:pPr>
        <w:spacing w:after="0" w:line="16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(j)            promptly after </w:t>
      </w:r>
      <w:r>
        <w:rPr>
          <w:rFonts w:ascii="Arial" w:cs="Arial" w:eastAsia="Arial" w:hAnsi="Arial"/>
          <w:sz w:val="18"/>
          <w:szCs w:val="18"/>
          <w:b w:val="1"/>
          <w:bCs w:val="1"/>
          <w:color w:val="FF0000"/>
          <w:strike w:val="1"/>
        </w:rPr>
        <w:t>either</w:t>
      </w:r>
      <w:r>
        <w:rPr>
          <w:rFonts w:ascii="Arial" w:cs="Arial" w:eastAsia="Arial" w:hAnsi="Arial"/>
          <w:sz w:val="18"/>
          <w:szCs w:val="18"/>
          <w:color w:val="auto"/>
        </w:rPr>
        <w:t xml:space="preserve"> Moody’s </w:t>
      </w:r>
      <w:r>
        <w:rPr>
          <w:rFonts w:ascii="Arial" w:cs="Arial" w:eastAsia="Arial" w:hAnsi="Arial"/>
          <w:sz w:val="18"/>
          <w:szCs w:val="18"/>
          <w:b w:val="1"/>
          <w:bCs w:val="1"/>
          <w:color w:val="FF0000"/>
          <w:strike w:val="1"/>
        </w:rPr>
        <w:t>or</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S&amp;P </w:t>
      </w:r>
      <w:r>
        <w:rPr>
          <w:rFonts w:ascii="Arial" w:cs="Arial" w:eastAsia="Arial" w:hAnsi="Arial"/>
          <w:sz w:val="18"/>
          <w:szCs w:val="18"/>
          <w:b w:val="1"/>
          <w:bCs w:val="1"/>
          <w:u w:val="single" w:color="auto"/>
          <w:color w:val="0000FF"/>
        </w:rPr>
        <w:t>or Fitch</w:t>
      </w:r>
      <w:r>
        <w:rPr>
          <w:rFonts w:ascii="Arial" w:cs="Arial" w:eastAsia="Arial" w:hAnsi="Arial"/>
          <w:sz w:val="18"/>
          <w:szCs w:val="18"/>
          <w:color w:val="auto"/>
        </w:rPr>
        <w:t xml:space="preserve"> shall have announced a change in its Corporate Rating, written notice of such rating change; </w:t>
      </w:r>
      <w:r>
        <w:rPr>
          <w:rFonts w:ascii="Arial" w:cs="Arial" w:eastAsia="Arial" w:hAnsi="Arial"/>
          <w:sz w:val="18"/>
          <w:szCs w:val="18"/>
          <w:b w:val="1"/>
          <w:bCs w:val="1"/>
          <w:color w:val="FF0000"/>
          <w:strike w:val="1"/>
        </w:rPr>
        <w:t>and</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u w:val="single" w:color="auto"/>
          <w:color w:val="0000FF"/>
        </w:rPr>
        <w:t>(k)            promptly after the aggregate principal amount of the outstanding Senior Secured Notes has been reduced to $200,000,000 or less, notice of same from a Responsible Officer of Parent; and</w:t>
      </w:r>
    </w:p>
    <w:p>
      <w:pPr>
        <w:spacing w:after="0" w:line="16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b w:val="1"/>
          <w:bCs w:val="1"/>
          <w:u w:val="single" w:color="auto"/>
          <w:color w:val="0000FF"/>
        </w:rPr>
        <w:t>(l)           </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(k)</w:t>
      </w:r>
      <w:r>
        <w:rPr>
          <w:rFonts w:ascii="Arial" w:cs="Arial" w:eastAsia="Arial" w:hAnsi="Arial"/>
          <w:sz w:val="17"/>
          <w:szCs w:val="17"/>
          <w:b w:val="1"/>
          <w:bCs w:val="1"/>
          <w:color w:val="0000FF"/>
        </w:rPr>
        <w:t xml:space="preserve"> </w:t>
      </w:r>
      <w:r>
        <w:rPr>
          <w:rFonts w:ascii="Arial" w:cs="Arial" w:eastAsia="Arial" w:hAnsi="Arial"/>
          <w:sz w:val="17"/>
          <w:szCs w:val="17"/>
          <w:color w:val="000000"/>
        </w:rPr>
        <w:t>from time to time and with reasonable promptness, (x) such other information or documents (financial or otherwise) with</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non-public information obtained by any Person pursuant to such request shall be treated as confidential information in accordance with </w:t>
      </w:r>
      <w:r>
        <w:rPr>
          <w:rFonts w:ascii="Arial" w:cs="Arial" w:eastAsia="Arial" w:hAnsi="Arial"/>
          <w:sz w:val="17"/>
          <w:szCs w:val="17"/>
          <w:u w:val="single" w:color="auto"/>
          <w:color w:val="000000"/>
        </w:rPr>
        <w:t>Section 12.06</w:t>
      </w:r>
      <w:r>
        <w:rPr>
          <w:rFonts w:ascii="Arial" w:cs="Arial" w:eastAsia="Arial" w:hAnsi="Arial"/>
          <w:sz w:val="17"/>
          <w:szCs w:val="17"/>
          <w:color w:val="000000"/>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648"/>
        <w:spacing w:after="0" w:line="272"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Books, Records and Inspections</w:t>
      </w:r>
      <w:r>
        <w:rPr>
          <w:rFonts w:ascii="Arial" w:cs="Arial" w:eastAsia="Arial" w:hAnsi="Arial"/>
          <w:sz w:val="17"/>
          <w:szCs w:val="17"/>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7"/>
          <w:szCs w:val="17"/>
          <w:u w:val="single" w:color="auto"/>
          <w:color w:val="auto"/>
        </w:rPr>
        <w:t>Section 12.06</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648"/>
        <w:spacing w:after="0" w:line="287"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w:t>
      </w:r>
    </w:p>
    <w:p>
      <w:pPr>
        <w:spacing w:after="0" w:line="2" w:lineRule="exact"/>
        <w:rPr>
          <w:sz w:val="20"/>
          <w:szCs w:val="20"/>
          <w:color w:val="auto"/>
        </w:rPr>
      </w:pPr>
    </w:p>
    <w:p>
      <w:pPr>
        <w:jc w:val="both"/>
        <w:ind w:firstLine="8"/>
        <w:spacing w:after="0" w:line="255" w:lineRule="auto"/>
        <w:tabs>
          <w:tab w:leader="none" w:pos="2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Except as expressly permitted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7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ERISA Compliance</w:t>
      </w:r>
      <w:r>
        <w:rPr>
          <w:rFonts w:ascii="Arial" w:cs="Arial" w:eastAsia="Arial" w:hAnsi="Arial"/>
          <w:sz w:val="17"/>
          <w:szCs w:val="17"/>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6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(a)            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17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(b)            To the extent that any obligation contained in this </w:t>
      </w:r>
      <w:r>
        <w:rPr>
          <w:rFonts w:ascii="Arial" w:cs="Arial" w:eastAsia="Arial" w:hAnsi="Arial"/>
          <w:sz w:val="17"/>
          <w:szCs w:val="17"/>
          <w:u w:val="single" w:color="auto"/>
          <w:color w:val="auto"/>
        </w:rPr>
        <w:t>Section 8.07</w:t>
      </w:r>
      <w:r>
        <w:rPr>
          <w:rFonts w:ascii="Arial" w:cs="Arial" w:eastAsia="Arial" w:hAnsi="Arial"/>
          <w:sz w:val="17"/>
          <w:szCs w:val="17"/>
          <w:color w:val="auto"/>
        </w:rPr>
        <w:t xml:space="preserve"> made by any Obligor incorporated or organized under the laws of Germany or a resident (</w:t>
      </w:r>
      <w:r>
        <w:rPr>
          <w:rFonts w:ascii="Arial" w:cs="Arial" w:eastAsia="Arial" w:hAnsi="Arial"/>
          <w:sz w:val="17"/>
          <w:szCs w:val="17"/>
          <w:i w:val="1"/>
          <w:iCs w:val="1"/>
          <w:color w:val="auto"/>
        </w:rPr>
        <w:t>Inländer</w:t>
      </w:r>
      <w:r>
        <w:rPr>
          <w:rFonts w:ascii="Arial" w:cs="Arial" w:eastAsia="Arial" w:hAnsi="Arial"/>
          <w:sz w:val="17"/>
          <w:szCs w:val="17"/>
          <w:color w:val="auto"/>
        </w:rPr>
        <w:t>) (within the meaning of section 2 paragraph 15 of the German Foreign Trade Act (</w:t>
      </w:r>
      <w:r>
        <w:rPr>
          <w:rFonts w:ascii="Arial" w:cs="Arial" w:eastAsia="Arial" w:hAnsi="Arial"/>
          <w:sz w:val="17"/>
          <w:szCs w:val="17"/>
          <w:i w:val="1"/>
          <w:iCs w:val="1"/>
          <w:color w:val="auto"/>
        </w:rPr>
        <w:t>Auβenwirtschaftgesetz</w:t>
      </w:r>
      <w:r>
        <w:rPr>
          <w:rFonts w:ascii="Arial" w:cs="Arial" w:eastAsia="Arial" w:hAnsi="Arial"/>
          <w:sz w:val="17"/>
          <w:szCs w:val="17"/>
          <w:color w:val="auto"/>
        </w:rPr>
        <w:t>)) would result in a violation of or conflict with or liability under either EU Regulation (EC) 2271/96 or section 7 of the German Foreign Trade Ordinance (</w:t>
      </w:r>
      <w:r>
        <w:rPr>
          <w:rFonts w:ascii="Arial" w:cs="Arial" w:eastAsia="Arial" w:hAnsi="Arial"/>
          <w:sz w:val="17"/>
          <w:szCs w:val="17"/>
          <w:i w:val="1"/>
          <w:iCs w:val="1"/>
          <w:u w:val="single" w:color="auto"/>
          <w:color w:val="auto"/>
        </w:rPr>
        <w:t>Außenwirtschaftsverordnung</w:t>
      </w:r>
      <w:r>
        <w:rPr>
          <w:rFonts w:ascii="Arial" w:cs="Arial" w:eastAsia="Arial" w:hAnsi="Arial"/>
          <w:sz w:val="17"/>
          <w:szCs w:val="17"/>
          <w:color w:val="auto"/>
        </w:rPr>
        <w:t>) (in connection with the German Foreign Trade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xml:space="preserve"> (AWG)) or any similar anti-boycott statute, such Obligor shall implement procedures to mitigate any such conflict or violation to the reasonable satisfaction of the Required Lenders</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660"/>
        <w:spacing w:after="0"/>
        <w:tabs>
          <w:tab w:leader="none" w:pos="202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Additional Guarantors; Additional Specified Jurisdictions; Additional Cash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(a)            If (i) as of the time of delivery of a Compliance Certificate pursuant to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or any other third party Indebtedness for borrowed money of an Obligor in an aggregate principal amount in excess of $20,000,000, Parent shall (A) with respect to a determination made pursuant to </w:t>
      </w:r>
      <w:r>
        <w:rPr>
          <w:rFonts w:ascii="Arial" w:cs="Arial" w:eastAsia="Arial" w:hAnsi="Arial"/>
          <w:sz w:val="16"/>
          <w:szCs w:val="16"/>
          <w:u w:val="single" w:color="auto"/>
          <w:color w:val="auto"/>
        </w:rPr>
        <w:t>Section 8.08(a)(i)</w:t>
      </w:r>
      <w:r>
        <w:rPr>
          <w:rFonts w:ascii="Arial" w:cs="Arial" w:eastAsia="Arial" w:hAnsi="Arial"/>
          <w:sz w:val="16"/>
          <w:szCs w:val="16"/>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6"/>
          <w:szCs w:val="16"/>
          <w:u w:val="single" w:color="auto"/>
          <w:color w:val="auto"/>
        </w:rPr>
        <w:t>Section 8.08(b)</w:t>
      </w:r>
      <w:r>
        <w:rPr>
          <w:rFonts w:ascii="Arial" w:cs="Arial" w:eastAsia="Arial" w:hAnsi="Arial"/>
          <w:sz w:val="16"/>
          <w:szCs w:val="16"/>
          <w:color w:val="auto"/>
        </w:rPr>
        <w:t xml:space="preserve">, as such time period may be extended by the Administrative Agent in its sole discretion), or (B) with respect to any Guarantee provided pursuant to </w:t>
      </w:r>
      <w:r>
        <w:rPr>
          <w:rFonts w:ascii="Arial" w:cs="Arial" w:eastAsia="Arial" w:hAnsi="Arial"/>
          <w:sz w:val="16"/>
          <w:szCs w:val="16"/>
          <w:u w:val="single" w:color="auto"/>
          <w:color w:val="auto"/>
        </w:rPr>
        <w:t>Section 8.08(a)(ii)</w:t>
      </w:r>
      <w:r>
        <w:rPr>
          <w:rFonts w:ascii="Arial" w:cs="Arial" w:eastAsia="Arial" w:hAnsi="Arial"/>
          <w:sz w:val="16"/>
          <w:szCs w:val="16"/>
          <w:color w:val="auto"/>
        </w:rPr>
        <w:t xml:space="preserve">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(b)            If, in the most recent Compliance Certificate delivered pursuant to </w:t>
      </w:r>
      <w:r>
        <w:rPr>
          <w:rFonts w:ascii="Arial" w:cs="Arial" w:eastAsia="Arial" w:hAnsi="Arial"/>
          <w:sz w:val="17"/>
          <w:szCs w:val="17"/>
          <w:u w:val="single" w:color="auto"/>
          <w:color w:val="auto"/>
        </w:rPr>
        <w:t>Section 8.01(e)</w:t>
      </w:r>
      <w:r>
        <w:rPr>
          <w:rFonts w:ascii="Arial" w:cs="Arial" w:eastAsia="Arial" w:hAnsi="Arial"/>
          <w:sz w:val="17"/>
          <w:szCs w:val="17"/>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(c)            As promptly as possible but in any event within 45 days (or such later date as may be agreed upon by the Administrative Agent) after any Person becomes an Obligor pursuant to </w:t>
      </w:r>
      <w:r>
        <w:rPr>
          <w:rFonts w:ascii="Arial" w:cs="Arial" w:eastAsia="Arial" w:hAnsi="Arial"/>
          <w:sz w:val="16"/>
          <w:szCs w:val="16"/>
          <w:u w:val="single" w:color="auto"/>
          <w:color w:val="auto"/>
        </w:rPr>
        <w:t>Section 8.08(a)</w:t>
      </w:r>
      <w:r>
        <w:rPr>
          <w:rFonts w:ascii="Arial" w:cs="Arial" w:eastAsia="Arial" w:hAnsi="Arial"/>
          <w:sz w:val="16"/>
          <w:szCs w:val="16"/>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w:t>
      </w:r>
    </w:p>
    <w:p>
      <w:pPr>
        <w:spacing w:after="0" w:line="1" w:lineRule="exact"/>
        <w:rPr>
          <w:sz w:val="20"/>
          <w:szCs w:val="20"/>
          <w:color w:val="auto"/>
        </w:rPr>
      </w:pPr>
    </w:p>
    <w:p>
      <w:pPr>
        <w:jc w:val="both"/>
        <w:ind w:firstLine="8"/>
        <w:spacing w:after="0" w:line="288" w:lineRule="auto"/>
        <w:tabs>
          <w:tab w:leader="none" w:pos="27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296"/>
        <w:spacing w:after="0" w:line="286" w:lineRule="auto"/>
        <w:rPr>
          <w:sz w:val="20"/>
          <w:szCs w:val="20"/>
          <w:color w:val="auto"/>
        </w:rPr>
      </w:pPr>
      <w:r>
        <w:rPr>
          <w:rFonts w:ascii="Arial" w:cs="Arial" w:eastAsia="Arial" w:hAnsi="Arial"/>
          <w:sz w:val="16"/>
          <w:szCs w:val="16"/>
          <w:color w:val="auto"/>
        </w:rPr>
        <w:t xml:space="preserve">(d)            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 to the extent not covered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[Reserved].</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(f)            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Arial" w:cs="Arial" w:eastAsia="Arial" w:hAnsi="Arial"/>
          <w:sz w:val="17"/>
          <w:szCs w:val="17"/>
          <w:u w:val="single" w:color="auto"/>
          <w:color w:val="auto"/>
        </w:rPr>
        <w:t>Section 8.08(f)</w:t>
      </w:r>
      <w:r>
        <w:rPr>
          <w:rFonts w:ascii="Arial" w:cs="Arial" w:eastAsia="Arial" w:hAnsi="Arial"/>
          <w:sz w:val="17"/>
          <w:szCs w:val="17"/>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Material Real Property shall be taken as Collateral unless Lenders receive 45 days advance notice and each Lender confirms to the Administrative Agent that it has completed all flood due diligence, received copies of all flood insurance documentation and confirmed flood insurance compliance as required by the Flood Laws or as otherwise reasonably satisfactory to such Lender.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296"/>
        <w:spacing w:after="0" w:line="289" w:lineRule="auto"/>
        <w:rPr>
          <w:sz w:val="20"/>
          <w:szCs w:val="20"/>
          <w:color w:val="auto"/>
        </w:rPr>
      </w:pPr>
      <w:r>
        <w:rPr>
          <w:rFonts w:ascii="Arial" w:cs="Arial" w:eastAsia="Arial" w:hAnsi="Arial"/>
          <w:sz w:val="16"/>
          <w:szCs w:val="16"/>
          <w:color w:val="auto"/>
        </w:rPr>
        <w:t xml:space="preserve">(g)            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(h)            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(i)            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6"/>
          <w:szCs w:val="16"/>
          <w:u w:val="single" w:color="auto"/>
          <w:color w:val="auto"/>
        </w:rPr>
        <w:t>Added Guarantor</w:t>
      </w:r>
      <w:r>
        <w:rPr>
          <w:rFonts w:ascii="Arial" w:cs="Arial" w:eastAsia="Arial" w:hAnsi="Arial"/>
          <w:sz w:val="16"/>
          <w:szCs w:val="16"/>
          <w:color w:val="auto"/>
        </w:rPr>
        <w:t>”). Notwithstanding anything to the contrary herein, no Added Guarantor shall become a party to any Collateral Document except as elected by Parent and consented to by the Administrative Agent.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296"/>
        <w:spacing w:after="0" w:line="283" w:lineRule="auto"/>
        <w:rPr>
          <w:sz w:val="20"/>
          <w:szCs w:val="20"/>
          <w:color w:val="auto"/>
        </w:rPr>
      </w:pPr>
      <w:r>
        <w:rPr>
          <w:rFonts w:ascii="Arial" w:cs="Arial" w:eastAsia="Arial" w:hAnsi="Arial"/>
          <w:sz w:val="16"/>
          <w:szCs w:val="16"/>
          <w:color w:val="auto"/>
        </w:rPr>
        <w:t xml:space="preserve">(j)            Notwithstanding anything to the contrary contained herein (including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w:t>
      </w:r>
      <w:r>
        <w:rPr>
          <w:rFonts w:ascii="Arial" w:cs="Arial" w:eastAsia="Arial" w:hAnsi="Arial"/>
          <w:sz w:val="16"/>
          <w:szCs w:val="16"/>
          <w:b w:val="1"/>
          <w:bCs w:val="1"/>
          <w:color w:val="FF0000"/>
          <w:strike w:val="1"/>
        </w:rPr>
        <w:t>Patriot</w:t>
      </w:r>
      <w:r>
        <w:rPr>
          <w:rFonts w:ascii="Arial" w:cs="Arial" w:eastAsia="Arial" w:hAnsi="Arial"/>
          <w:sz w:val="16"/>
          <w:szCs w:val="16"/>
          <w:b w:val="1"/>
          <w:bCs w:val="1"/>
          <w:u w:val="single" w:color="auto"/>
          <w:color w:val="0000FF"/>
        </w:rPr>
        <w:t>PATRIOT</w:t>
      </w:r>
      <w:r>
        <w:rPr>
          <w:rFonts w:ascii="Arial" w:cs="Arial" w:eastAsia="Arial" w:hAnsi="Arial"/>
          <w:sz w:val="16"/>
          <w:szCs w:val="16"/>
          <w:color w:val="auto"/>
        </w:rPr>
        <w:t xml:space="preserve"> Act searches, OFAC/PEP searches and customary individual background checks for such Surviving Person or Subsidiary, the results of which shall be satisfactory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delays with respect to the delivery, execution or effectiveness of any Loan Document or other deliverable caused by </w:t>
      </w:r>
      <w:r>
        <w:rPr>
          <w:rFonts w:ascii="Arial" w:cs="Arial" w:eastAsia="Arial" w:hAnsi="Arial"/>
          <w:sz w:val="16"/>
          <w:szCs w:val="16"/>
          <w:u w:val="single" w:color="auto"/>
          <w:color w:val="auto"/>
        </w:rPr>
        <w:t>clauses</w:t>
      </w:r>
    </w:p>
    <w:p>
      <w:pPr>
        <w:spacing w:after="0" w:line="5"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shall not constitute a Default or an Event of Default.</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(k)            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(l)            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Arial" w:cs="Arial" w:eastAsia="Arial" w:hAnsi="Arial"/>
          <w:sz w:val="17"/>
          <w:szCs w:val="17"/>
          <w:u w:val="single" w:color="auto"/>
          <w:color w:val="auto"/>
        </w:rPr>
        <w:t>Insurance Act</w:t>
      </w:r>
      <w:r>
        <w:rPr>
          <w:rFonts w:ascii="Arial" w:cs="Arial" w:eastAsia="Arial" w:hAnsi="Arial"/>
          <w:sz w:val="17"/>
          <w:szCs w:val="17"/>
          <w:color w:val="auto"/>
        </w:rPr>
        <w:t>”) and remains in compliance with sections 31A through 31C of the Insurance Act.</w:t>
      </w:r>
    </w:p>
    <w:p>
      <w:pPr>
        <w:spacing w:after="0" w:line="16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Designation of Unrestricted Subsidiaries; Redesignation of Unrestricted Subsidiaries as Restricted Subsidiaries</w:t>
      </w:r>
      <w:r>
        <w:rPr>
          <w:rFonts w:ascii="Arial" w:cs="Arial" w:eastAsia="Arial" w:hAnsi="Arial"/>
          <w:sz w:val="16"/>
          <w:szCs w:val="16"/>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(a)            Unless designated as an Unrestricted Subsidiary pursuant to this </w:t>
      </w:r>
      <w:r>
        <w:rPr>
          <w:rFonts w:ascii="Arial" w:cs="Arial" w:eastAsia="Arial" w:hAnsi="Arial"/>
          <w:sz w:val="18"/>
          <w:szCs w:val="18"/>
          <w:u w:val="single" w:color="auto"/>
          <w:color w:val="auto"/>
        </w:rPr>
        <w:t>Section 8.09</w:t>
      </w:r>
      <w:r>
        <w:rPr>
          <w:rFonts w:ascii="Arial" w:cs="Arial" w:eastAsia="Arial" w:hAnsi="Arial"/>
          <w:sz w:val="18"/>
          <w:szCs w:val="18"/>
          <w:color w:val="auto"/>
        </w:rPr>
        <w:t>, each Subsidiary shall be classified as a Restricted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If Parent designates any Subsidiary as an Unrestricted Subsidiary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Parent may designate, by written notice to the Administrative Agent, any Subsidiary to be an Unrestricted Subsidiary if</w:t>
      </w:r>
    </w:p>
    <w:p>
      <w:pPr>
        <w:spacing w:after="0" w:line="35" w:lineRule="exact"/>
        <w:rPr>
          <w:sz w:val="20"/>
          <w:szCs w:val="20"/>
          <w:color w:val="auto"/>
        </w:rPr>
      </w:pPr>
    </w:p>
    <w:p>
      <w:pPr>
        <w:jc w:val="both"/>
        <w:ind w:firstLine="8"/>
        <w:spacing w:after="0" w:line="268" w:lineRule="auto"/>
        <w:tabs>
          <w:tab w:leader="none" w:pos="2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before and after giving effect to such designation, no Default or Event of Default shall exist, (ii) Parent shall be in pro forma compliance with the Financial Covenants both before and after giving effect to such designation, (iii) the deemed Investment by Parent in such Unrestricted Subsidiary resulting from such designation would be permitted to be made at the time of such designation under </w:t>
      </w:r>
      <w:r>
        <w:rPr>
          <w:rFonts w:ascii="Arial" w:cs="Arial" w:eastAsia="Arial" w:hAnsi="Arial"/>
          <w:sz w:val="17"/>
          <w:szCs w:val="17"/>
          <w:u w:val="single" w:color="auto"/>
          <w:color w:val="auto"/>
        </w:rPr>
        <w:t>Section 9.06</w:t>
      </w:r>
      <w:r>
        <w:rPr>
          <w:rFonts w:ascii="Arial" w:cs="Arial" w:eastAsia="Arial" w:hAnsi="Arial"/>
          <w:sz w:val="17"/>
          <w:szCs w:val="17"/>
          <w:color w:val="auto"/>
        </w:rPr>
        <w:t>, (iv) after giving effect to such designation,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and (v) such Subsidiary otherwise meets the requirements set forth in the definition of “Unrestricted Subsidiary”. Such written notice shall be accompanied by a certificate of a Responsible Officer, certifying as to the matters set forth in the preceding sentence.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1296"/>
        <w:spacing w:after="0" w:line="289" w:lineRule="auto"/>
        <w:rPr>
          <w:sz w:val="20"/>
          <w:szCs w:val="20"/>
          <w:color w:val="auto"/>
        </w:rPr>
      </w:pPr>
      <w:r>
        <w:rPr>
          <w:rFonts w:ascii="Arial" w:cs="Arial" w:eastAsia="Arial" w:hAnsi="Arial"/>
          <w:sz w:val="16"/>
          <w:szCs w:val="16"/>
          <w:color w:val="auto"/>
        </w:rPr>
        <w:t xml:space="preserve">(d)            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6"/>
          <w:szCs w:val="16"/>
          <w:u w:val="single" w:color="auto"/>
          <w:color w:val="auto"/>
        </w:rPr>
        <w:t>Section 9.06</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(e)            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8"/>
          <w:szCs w:val="18"/>
          <w:u w:val="single" w:color="auto"/>
          <w:color w:val="auto"/>
        </w:rPr>
        <w:t>Section 8.09(d)</w:t>
      </w:r>
      <w:r>
        <w:rPr>
          <w:rFonts w:ascii="Arial" w:cs="Arial" w:eastAsia="Arial" w:hAnsi="Arial"/>
          <w:sz w:val="18"/>
          <w:szCs w:val="18"/>
          <w:color w:val="auto"/>
        </w:rPr>
        <w:t xml:space="preserve"> (in addition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any other relevant provisions herein).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            Notwithstanding the foregoing or anything to the contrary contained herein, no Obligor may be an Unrestricted Subsidiary.</w:t>
      </w:r>
    </w:p>
    <w:p>
      <w:pPr>
        <w:spacing w:after="0" w:line="23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Compliance with the Swiss Non-Bank Rules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(a)            Each Swiss Obligor shall comply with the Swiss Non-Bank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Swiss Obligor shall not be in breach of this covenant if the permitted number of Swiss Non-Qualifying Lenders is exceeded solely by reason of:</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(i)            a failure by one or more Lenders or Participants to comply with their obligations under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12.25</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1960"/>
        <w:spacing w:after="0"/>
        <w:rPr>
          <w:sz w:val="20"/>
          <w:szCs w:val="20"/>
          <w:color w:val="auto"/>
        </w:rPr>
      </w:pPr>
      <w:r>
        <w:rPr>
          <w:rFonts w:ascii="Arial" w:cs="Arial" w:eastAsia="Arial" w:hAnsi="Arial"/>
          <w:sz w:val="17"/>
          <w:szCs w:val="17"/>
          <w:color w:val="auto"/>
        </w:rPr>
        <w:t>(ii)            a confirmation made by one or more Lenders or Participants to be one single Swiss Non-Qualifying Lender is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incorrect;</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b w:val="1"/>
          <w:bCs w:val="1"/>
          <w:u w:val="single" w:color="auto"/>
          <w:color w:val="0000FF"/>
        </w:rPr>
        <w:t>(iii)            a confirmation made by one or more Lenders or Participants to be a Swiss Qualifying Lender is incorrect;</w:t>
      </w:r>
    </w:p>
    <w:p>
      <w:pPr>
        <w:spacing w:after="0" w:line="237" w:lineRule="exact"/>
        <w:rPr>
          <w:sz w:val="20"/>
          <w:szCs w:val="20"/>
          <w:color w:val="auto"/>
        </w:rPr>
      </w:pPr>
    </w:p>
    <w:p>
      <w:pPr>
        <w:jc w:val="both"/>
        <w:ind w:left="660" w:firstLine="1296"/>
        <w:spacing w:after="0" w:line="261" w:lineRule="auto"/>
        <w:rPr>
          <w:sz w:val="20"/>
          <w:szCs w:val="20"/>
          <w:color w:val="auto"/>
        </w:rPr>
      </w:pPr>
      <w:r>
        <w:rPr>
          <w:rFonts w:ascii="Arial" w:cs="Arial" w:eastAsia="Arial" w:hAnsi="Arial"/>
          <w:sz w:val="18"/>
          <w:szCs w:val="18"/>
          <w:b w:val="1"/>
          <w:bCs w:val="1"/>
          <w:u w:val="single" w:color="auto"/>
          <w:color w:val="0000FF"/>
        </w:rPr>
        <w:t>(iv)           </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(iii)</w:t>
      </w:r>
      <w:r>
        <w:rPr>
          <w:rFonts w:ascii="Arial" w:cs="Arial" w:eastAsia="Arial" w:hAnsi="Arial"/>
          <w:sz w:val="18"/>
          <w:szCs w:val="18"/>
          <w:b w:val="1"/>
          <w:bCs w:val="1"/>
          <w:color w:val="0000FF"/>
        </w:rPr>
        <w:t xml:space="preserve"> </w:t>
      </w:r>
      <w:r>
        <w:rPr>
          <w:rFonts w:ascii="Arial" w:cs="Arial" w:eastAsia="Arial" w:hAnsi="Arial"/>
          <w:sz w:val="18"/>
          <w:szCs w:val="18"/>
          <w:color w:val="000000"/>
        </w:rPr>
        <w:t>one or more Lenders or Participants ceasing to be a Swiss Qualifying Lender (to the extent such Lender or</w:t>
      </w:r>
      <w:r>
        <w:rPr>
          <w:rFonts w:ascii="Arial" w:cs="Arial" w:eastAsia="Arial" w:hAnsi="Arial"/>
          <w:sz w:val="18"/>
          <w:szCs w:val="18"/>
          <w:b w:val="1"/>
          <w:bCs w:val="1"/>
          <w:color w:val="0000FF"/>
        </w:rPr>
        <w:t xml:space="preserve"> </w:t>
      </w:r>
      <w:r>
        <w:rPr>
          <w:rFonts w:ascii="Arial" w:cs="Arial" w:eastAsia="Arial" w:hAnsi="Arial"/>
          <w:sz w:val="18"/>
          <w:szCs w:val="18"/>
          <w:color w:val="000000"/>
        </w:rPr>
        <w:t>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80" w:lineRule="exact"/>
        <w:rPr>
          <w:sz w:val="20"/>
          <w:szCs w:val="20"/>
          <w:color w:val="auto"/>
        </w:rPr>
      </w:pPr>
    </w:p>
    <w:p>
      <w:pPr>
        <w:jc w:val="both"/>
        <w:ind w:left="660" w:right="20" w:firstLine="1296"/>
        <w:spacing w:after="0" w:line="282" w:lineRule="auto"/>
        <w:rPr>
          <w:sz w:val="20"/>
          <w:szCs w:val="20"/>
          <w:color w:val="auto"/>
        </w:rPr>
      </w:pPr>
      <w:r>
        <w:rPr>
          <w:rFonts w:ascii="Arial" w:cs="Arial" w:eastAsia="Arial" w:hAnsi="Arial"/>
          <w:sz w:val="18"/>
          <w:szCs w:val="18"/>
          <w:b w:val="1"/>
          <w:bCs w:val="1"/>
          <w:u w:val="single" w:color="auto"/>
          <w:color w:val="0000FF"/>
        </w:rPr>
        <w:t>(v)           </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(iv)</w:t>
      </w:r>
      <w:r>
        <w:rPr>
          <w:rFonts w:ascii="Arial" w:cs="Arial" w:eastAsia="Arial" w:hAnsi="Arial"/>
          <w:sz w:val="18"/>
          <w:szCs w:val="18"/>
          <w:b w:val="1"/>
          <w:bCs w:val="1"/>
          <w:color w:val="0000FF"/>
        </w:rPr>
        <w:t xml:space="preserve"> </w:t>
      </w:r>
      <w:r>
        <w:rPr>
          <w:rFonts w:ascii="Arial" w:cs="Arial" w:eastAsia="Arial" w:hAnsi="Arial"/>
          <w:sz w:val="18"/>
          <w:szCs w:val="18"/>
          <w:color w:val="000000"/>
        </w:rPr>
        <w:t>an assignment or participation of any Commitments or LC Exposure under this Agreement to a Swiss Non-Qualifying Lender after the occurrence of an Event of Default.</w:t>
      </w:r>
    </w:p>
    <w:p>
      <w:pPr>
        <w:spacing w:after="0" w:line="16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(b)            For the purposes of this </w:t>
      </w:r>
      <w:r>
        <w:rPr>
          <w:rFonts w:ascii="Arial" w:cs="Arial" w:eastAsia="Arial" w:hAnsi="Arial"/>
          <w:sz w:val="18"/>
          <w:szCs w:val="18"/>
          <w:u w:val="single" w:color="auto"/>
          <w:color w:val="auto"/>
        </w:rPr>
        <w:t>Section 8.10</w:t>
      </w:r>
      <w:r>
        <w:rPr>
          <w:rFonts w:ascii="Arial" w:cs="Arial" w:eastAsia="Arial" w:hAnsi="Arial"/>
          <w:sz w:val="18"/>
          <w:szCs w:val="18"/>
          <w:color w:val="auto"/>
        </w:rPr>
        <w:t>, each Swiss Obligor shall assume that the aggregate number of Lenders and Participants under this Agreement which are Swiss Non-Qualifying Lenders is ten.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Post-Closing Grant and Perfection Requirements Matters</w:t>
      </w:r>
      <w:r>
        <w:rPr>
          <w:rFonts w:ascii="Arial" w:cs="Arial" w:eastAsia="Arial" w:hAnsi="Arial"/>
          <w:sz w:val="18"/>
          <w:szCs w:val="18"/>
          <w:color w:val="auto"/>
        </w:rPr>
        <w:t xml:space="preserve">. Parent shall, and shall cause each Restricted Subsidiary to, satisfy each requirement set forth on </w:t>
      </w:r>
      <w:r>
        <w:rPr>
          <w:rFonts w:ascii="Arial" w:cs="Arial" w:eastAsia="Arial" w:hAnsi="Arial"/>
          <w:sz w:val="18"/>
          <w:szCs w:val="18"/>
          <w:u w:val="single" w:color="auto"/>
          <w:color w:val="auto"/>
        </w:rPr>
        <w:t>Schedule 8.11</w:t>
      </w:r>
      <w:r>
        <w:rPr>
          <w:rFonts w:ascii="Arial" w:cs="Arial" w:eastAsia="Arial" w:hAnsi="Arial"/>
          <w:sz w:val="18"/>
          <w:szCs w:val="18"/>
          <w:color w:val="auto"/>
        </w:rPr>
        <w:t xml:space="preserve"> on or before the applicable date set forth on such Schedule (or such later date as the Administrative Agent may agree in its sole discretion).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Status as a Holding Company</w:t>
      </w:r>
      <w:r>
        <w:rPr>
          <w:rFonts w:ascii="Arial" w:cs="Arial" w:eastAsia="Arial" w:hAnsi="Arial"/>
          <w:sz w:val="18"/>
          <w:szCs w:val="18"/>
          <w:color w:val="auto"/>
        </w:rPr>
        <w:t>. Parent shall not have any operating assets or engage in any business other than any customary business of a holding company and ordinary course business operations of Parent in existence prior to the Effective Date.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Lender Meeting</w:t>
      </w:r>
      <w:r>
        <w:rPr>
          <w:rFonts w:ascii="Arial" w:cs="Arial" w:eastAsia="Arial" w:hAnsi="Arial"/>
          <w:sz w:val="17"/>
          <w:szCs w:val="17"/>
          <w:color w:val="auto"/>
        </w:rPr>
        <w:t xml:space="preserve">.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requirement may be satisfied by public earnings calls for all shareholders that are open to the Administrative Agent and the Lenders.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excepted (except where the failure to so maintain and preserve assets could not reasonably be expected to result in a Material Adverse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b w:val="1"/>
          <w:bCs w:val="1"/>
          <w:u w:val="single" w:color="auto"/>
          <w:color w:val="0000FF"/>
        </w:rPr>
        <w:t>Post-Fourth Amendment Effective Date Covenants. Parent shall, and shall cause each applicable Restricted Subsidiary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to, satisfy each requirement set forth on Schedule 8.15 on or before the applicable date set forth on such Schedule (or such later date as the Administrative Agent may agree in its sole discretion).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Payment in Full, the Obligor Parties covenant and agree that:</w:t>
      </w:r>
    </w:p>
    <w:p>
      <w:pPr>
        <w:spacing w:after="0" w:line="22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Parent shall not, and shall not permit any Restricted Subsidiary to, create, incur, assume or permit to exist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Secured Obligations (other than Standalone Performance LCs);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Indebtedness in respect of Standalone Performance LCs in an aggregate outstanding amount not to exceed $100,000,000 at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Permitted Existing Indebtedness and Permitted Refinancing Indebtedness in respect thereof;</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(d)            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 the aggregate amount of all such loans (by type, not by the borrower) made from and after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color w:val="auto"/>
        </w:rPr>
        <w:t xml:space="preserve"> Effective Date, together with all such loans made from and after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color w:val="auto"/>
        </w:rPr>
        <w:t xml:space="preserve"> Effective Date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(A) the aggregate amount of all such loans (by type, not by the borrower) made from and after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color w:val="auto"/>
        </w:rPr>
        <w:t xml:space="preserve"> Effective Date, together with all such loans made from and after the </w:t>
      </w:r>
      <w:r>
        <w:rPr>
          <w:rFonts w:ascii="Arial" w:cs="Arial" w:eastAsia="Arial" w:hAnsi="Arial"/>
          <w:sz w:val="17"/>
          <w:szCs w:val="17"/>
          <w:b w:val="1"/>
          <w:bCs w:val="1"/>
          <w:u w:val="single" w:color="auto"/>
          <w:color w:val="0000FF"/>
        </w:rPr>
        <w:t>Fourth Amendment</w:t>
      </w:r>
      <w:r>
        <w:rPr>
          <w:rFonts w:ascii="Arial" w:cs="Arial" w:eastAsia="Arial" w:hAnsi="Arial"/>
          <w:sz w:val="17"/>
          <w:szCs w:val="17"/>
          <w:color w:val="auto"/>
        </w:rPr>
        <w:t xml:space="preserve"> Effective Date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does not exceed $55,000,000 outstanding at any one time, and (B) at the time of the making of such loan, no Event of Default has occurred and is continuing or would result therefrom;</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FF0000"/>
          <w:strike w:val="1"/>
        </w:rPr>
        <w:t>(e) [reserved];</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u w:val="single" w:color="auto"/>
          <w:color w:val="0000FF"/>
        </w:rPr>
        <w:t xml:space="preserve">(e)            any Permitted Convertible Indebtedness and any Guarantee by the Parent and/or any Restricted Subsidiary of any such Permitted Convertible Indebtedness; provided that (i) as a condition to incurring any such Indebtedness, (A) no Default or Event of Default shall have occurred and be continuing at the time of and immediately after giving pro forma effect to the incurrence of such Indebtedness and (B) after giving pro forma effect to the incurrence of such Indebtedness, the Consolidated Net </w:t>
      </w:r>
      <w:r>
        <w:rPr>
          <w:rFonts w:ascii="Arial" w:cs="Arial" w:eastAsia="Arial" w:hAnsi="Arial"/>
          <w:sz w:val="17"/>
          <w:szCs w:val="17"/>
          <w:i w:val="1"/>
          <w:iCs w:val="1"/>
          <w:u w:val="single" w:color="auto"/>
          <w:color w:val="008000"/>
        </w:rPr>
        <w:t>Leverage Ratio (calculated as of the last day of the most recently</w:t>
      </w:r>
      <w:r>
        <w:rPr>
          <w:rFonts w:ascii="Arial" w:cs="Arial" w:eastAsia="Arial" w:hAnsi="Arial"/>
          <w:sz w:val="17"/>
          <w:szCs w:val="17"/>
          <w:b w:val="1"/>
          <w:bCs w:val="1"/>
          <w:u w:val="single" w:color="auto"/>
          <w:color w:val="0000FF"/>
        </w:rPr>
        <w:t xml:space="preserve"> </w:t>
      </w:r>
      <w:r>
        <w:rPr>
          <w:rFonts w:ascii="Arial" w:cs="Arial" w:eastAsia="Arial" w:hAnsi="Arial"/>
          <w:sz w:val="17"/>
          <w:szCs w:val="17"/>
          <w:i w:val="1"/>
          <w:iCs w:val="1"/>
          <w:u w:val="single" w:color="auto"/>
          <w:color w:val="008000"/>
        </w:rPr>
        <w:t xml:space="preserve">ended period for which financial statements are available </w:t>
      </w:r>
      <w:r>
        <w:rPr>
          <w:rFonts w:ascii="Arial" w:cs="Arial" w:eastAsia="Arial" w:hAnsi="Arial"/>
          <w:sz w:val="17"/>
          <w:szCs w:val="17"/>
          <w:b w:val="1"/>
          <w:bCs w:val="1"/>
          <w:u w:val="single" w:color="auto"/>
          <w:color w:val="0000FF"/>
        </w:rPr>
        <w:t>as if such Indebtedness had been incurred on the last day of such period) would not exceed</w:t>
      </w:r>
      <w:r>
        <w:rPr>
          <w:rFonts w:ascii="Arial" w:cs="Arial" w:eastAsia="Arial" w:hAnsi="Arial"/>
          <w:sz w:val="17"/>
          <w:szCs w:val="17"/>
          <w:i w:val="1"/>
          <w:iCs w:val="1"/>
          <w:u w:val="single" w:color="auto"/>
          <w:color w:val="008000"/>
        </w:rPr>
        <w:t xml:space="preserve"> </w:t>
      </w:r>
      <w:r>
        <w:rPr>
          <w:rFonts w:ascii="Arial" w:cs="Arial" w:eastAsia="Arial" w:hAnsi="Arial"/>
          <w:sz w:val="17"/>
          <w:szCs w:val="17"/>
          <w:b w:val="1"/>
          <w:bCs w:val="1"/>
          <w:u w:val="single" w:color="auto"/>
          <w:color w:val="0000FF"/>
        </w:rPr>
        <w:t>0.25 to 1.00 less than the covenant level then in effect under Section 9.09(c), and (ii) as of the date of incurrence, such Indebtedness shall have a stated maturity date no sooner than 91 days after the Maturity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1296"/>
        <w:spacing w:after="0" w:line="277" w:lineRule="auto"/>
        <w:rPr>
          <w:sz w:val="20"/>
          <w:szCs w:val="20"/>
          <w:color w:val="auto"/>
        </w:rPr>
      </w:pPr>
      <w:r>
        <w:rPr>
          <w:rFonts w:ascii="Arial" w:cs="Arial" w:eastAsia="Arial" w:hAnsi="Arial"/>
          <w:sz w:val="18"/>
          <w:szCs w:val="18"/>
          <w:color w:val="auto"/>
        </w:rPr>
        <w:t>(f)            unsecured guarantees with respect to the Indebtedness of any Obligor or one of their Restricted Subsidiaries, to the extent that the Person that is obligated under such guaranty could have incurred such underlying Indebtedness;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(g)            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Indebtedness does not at any time exceed $200,000,000;</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(h)            Unsecured Specified Senior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as a condition to incurring any such Specified Senior Indebtedness,</w:t>
      </w:r>
    </w:p>
    <w:p>
      <w:pPr>
        <w:spacing w:after="0" w:line="46" w:lineRule="exact"/>
        <w:rPr>
          <w:sz w:val="20"/>
          <w:szCs w:val="20"/>
          <w:color w:val="auto"/>
        </w:rPr>
      </w:pPr>
    </w:p>
    <w:p>
      <w:pPr>
        <w:jc w:val="both"/>
        <w:ind w:firstLine="8"/>
        <w:spacing w:after="0" w:line="270" w:lineRule="auto"/>
        <w:tabs>
          <w:tab w:leader="none" w:pos="3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 Default or Event of Default shall have occurred and be continuing at the time of and immediately after giving pro forma effect to the incurrence of such Indebtedness, (B) the aggregate principal amount of all Indebtedness incurred pursuant to this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would not exceed $200,000,000 at any time, and (C) after giving pro forma effect to the incurrence of such Indebtedness, the </w:t>
      </w:r>
      <w:r>
        <w:rPr>
          <w:rFonts w:ascii="Arial" w:cs="Arial" w:eastAsia="Arial" w:hAnsi="Arial"/>
          <w:sz w:val="17"/>
          <w:szCs w:val="17"/>
          <w:b w:val="1"/>
          <w:bCs w:val="1"/>
          <w:u w:val="single" w:color="auto"/>
          <w:color w:val="0000FF"/>
        </w:rPr>
        <w:t>Consolidated Net</w:t>
      </w:r>
      <w:r>
        <w:rPr>
          <w:rFonts w:ascii="Arial" w:cs="Arial" w:eastAsia="Arial" w:hAnsi="Arial"/>
          <w:sz w:val="17"/>
          <w:szCs w:val="17"/>
          <w:color w:val="auto"/>
        </w:rPr>
        <w:t xml:space="preserv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Arial" w:cs="Arial" w:eastAsia="Arial" w:hAnsi="Arial"/>
          <w:sz w:val="17"/>
          <w:szCs w:val="17"/>
          <w:u w:val="single" w:color="auto"/>
          <w:color w:val="auto"/>
        </w:rPr>
        <w:t>Section 9.09(c)</w:t>
      </w:r>
      <w:r>
        <w:rPr>
          <w:rFonts w:ascii="Arial" w:cs="Arial" w:eastAsia="Arial" w:hAnsi="Arial"/>
          <w:sz w:val="17"/>
          <w:szCs w:val="17"/>
          <w:color w:val="auto"/>
        </w:rPr>
        <w:t>, and (ii) as of the date of incurrence, such Indebtedness shall have a stated maturity date no sooner than 91 days after the Maturity Date;</w:t>
      </w:r>
    </w:p>
    <w:p>
      <w:pPr>
        <w:spacing w:after="0" w:line="17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(i)            unsecured Indebtedness incurred by an Obligor or Restricted Subsidiary, including pursuant to the Senior Notes Indenture and, in each case, Permitted Refinancing Indebtedness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w:t>
      </w:r>
      <w:r>
        <w:rPr>
          <w:rFonts w:ascii="Arial" w:cs="Arial" w:eastAsia="Arial" w:hAnsi="Arial"/>
          <w:sz w:val="17"/>
          <w:szCs w:val="17"/>
          <w:b w:val="1"/>
          <w:bCs w:val="1"/>
          <w:u w:val="single" w:color="auto"/>
          <w:color w:val="0000FF"/>
        </w:rPr>
        <w:t>Consolidated Net</w:t>
      </w:r>
      <w:r>
        <w:rPr>
          <w:rFonts w:ascii="Arial" w:cs="Arial" w:eastAsia="Arial" w:hAnsi="Arial"/>
          <w:sz w:val="17"/>
          <w:szCs w:val="17"/>
          <w:b w:val="1"/>
          <w:bCs w:val="1"/>
          <w:color w:val="0000FF"/>
        </w:rPr>
        <w:t xml:space="preserve"> </w:t>
      </w:r>
      <w:r>
        <w:rPr>
          <w:rFonts w:ascii="Arial" w:cs="Arial" w:eastAsia="Arial" w:hAnsi="Arial"/>
          <w:sz w:val="17"/>
          <w:szCs w:val="17"/>
          <w:color w:val="000000"/>
        </w:rPr>
        <w:t>Leverage Ratio (calculated as of the last day of the most recently ended period for which financial statements are available as if such</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Indebtedness had been incurred on the last day of such period) would not exceed 0.25 to 1.00 less than the covenant level then in effect under </w:t>
      </w:r>
      <w:r>
        <w:rPr>
          <w:rFonts w:ascii="Arial" w:cs="Arial" w:eastAsia="Arial" w:hAnsi="Arial"/>
          <w:sz w:val="17"/>
          <w:szCs w:val="17"/>
          <w:u w:val="single" w:color="auto"/>
          <w:color w:val="000000"/>
        </w:rPr>
        <w:t>Section 9.09(c)</w:t>
      </w:r>
      <w:r>
        <w:rPr>
          <w:rFonts w:ascii="Arial" w:cs="Arial" w:eastAsia="Arial" w:hAnsi="Arial"/>
          <w:sz w:val="17"/>
          <w:szCs w:val="17"/>
          <w:color w:val="000000"/>
        </w:rPr>
        <w:t xml:space="preserve"> and (iii) except with respect to Indebtedness in an aggregate amount not to exceed $45,000,000 at any time, as of the date of incurrence, such Indebtedness shall have a stated maturity date no sooner than 91 days after the Maturity Date;</w:t>
      </w:r>
    </w:p>
    <w:p>
      <w:pPr>
        <w:spacing w:after="0" w:line="17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(j)            unsecured Subordinated Indebtedness of any Obligor (other than Subordinated Indebtedness consisting of Guarantees by any Obligor of Indebtedness incurred pursuant to </w:t>
      </w:r>
      <w:r>
        <w:rPr>
          <w:rFonts w:ascii="Arial" w:cs="Arial" w:eastAsia="Arial" w:hAnsi="Arial"/>
          <w:sz w:val="17"/>
          <w:szCs w:val="17"/>
          <w:u w:val="single" w:color="auto"/>
          <w:color w:val="auto"/>
        </w:rPr>
        <w:t>Section 9.01(c)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(k)            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18"/>
          <w:szCs w:val="18"/>
          <w:u w:val="single" w:color="auto"/>
          <w:color w:val="auto"/>
        </w:rPr>
        <w:t>Section 9.01(k)</w:t>
      </w:r>
      <w:r>
        <w:rPr>
          <w:rFonts w:ascii="Arial" w:cs="Arial" w:eastAsia="Arial" w:hAnsi="Arial"/>
          <w:sz w:val="18"/>
          <w:szCs w:val="18"/>
          <w:color w:val="auto"/>
        </w:rPr>
        <w:t xml:space="preserve"> shall not at any time exceed $</w:t>
      </w:r>
      <w:r>
        <w:rPr>
          <w:rFonts w:ascii="Arial" w:cs="Arial" w:eastAsia="Arial" w:hAnsi="Arial"/>
          <w:sz w:val="18"/>
          <w:szCs w:val="18"/>
          <w:b w:val="1"/>
          <w:bCs w:val="1"/>
          <w:color w:val="FF0000"/>
          <w:strike w:val="1"/>
        </w:rPr>
        <w:t>175,000,000</w:t>
      </w:r>
      <w:r>
        <w:rPr>
          <w:rFonts w:ascii="Arial" w:cs="Arial" w:eastAsia="Arial" w:hAnsi="Arial"/>
          <w:sz w:val="18"/>
          <w:szCs w:val="18"/>
          <w:b w:val="1"/>
          <w:bCs w:val="1"/>
          <w:u w:val="single" w:color="auto"/>
          <w:color w:val="0000FF"/>
        </w:rPr>
        <w:t>200,000,000</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right="20" w:firstLine="1296"/>
        <w:spacing w:after="0" w:line="277" w:lineRule="auto"/>
        <w:rPr>
          <w:sz w:val="20"/>
          <w:szCs w:val="20"/>
          <w:color w:val="auto"/>
        </w:rPr>
      </w:pPr>
      <w:r>
        <w:rPr>
          <w:rFonts w:ascii="Arial" w:cs="Arial" w:eastAsia="Arial" w:hAnsi="Arial"/>
          <w:sz w:val="18"/>
          <w:szCs w:val="18"/>
          <w:color w:val="auto"/>
        </w:rPr>
        <w:t>(l)            Indebtedness incurred to finance insurance premiums of any Restricted Subsidiary in the ordinary course of business in an aggregate principal amount not to exceed the amount of such insurance premiums;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(m)            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(n)            other Indebtedness in an aggregate principal amount at any time outstanding pursuant to this </w:t>
      </w:r>
      <w:r>
        <w:rPr>
          <w:rFonts w:ascii="Arial" w:cs="Arial" w:eastAsia="Arial" w:hAnsi="Arial"/>
          <w:sz w:val="18"/>
          <w:szCs w:val="18"/>
          <w:u w:val="single" w:color="auto"/>
          <w:color w:val="auto"/>
        </w:rPr>
        <w:t>Section 9.01(n)</w:t>
      </w:r>
      <w:r>
        <w:rPr>
          <w:rFonts w:ascii="Arial" w:cs="Arial" w:eastAsia="Arial" w:hAnsi="Arial"/>
          <w:sz w:val="18"/>
          <w:szCs w:val="18"/>
          <w:color w:val="auto"/>
        </w:rPr>
        <w:t xml:space="preserve"> not in excess of $</w:t>
      </w:r>
      <w:r>
        <w:rPr>
          <w:rFonts w:ascii="Arial" w:cs="Arial" w:eastAsia="Arial" w:hAnsi="Arial"/>
          <w:sz w:val="18"/>
          <w:szCs w:val="18"/>
          <w:b w:val="1"/>
          <w:bCs w:val="1"/>
          <w:color w:val="FF0000"/>
          <w:strike w:val="1"/>
        </w:rPr>
        <w:t>15,000,000</w:t>
      </w:r>
      <w:r>
        <w:rPr>
          <w:rFonts w:ascii="Arial" w:cs="Arial" w:eastAsia="Arial" w:hAnsi="Arial"/>
          <w:sz w:val="18"/>
          <w:szCs w:val="18"/>
          <w:b w:val="1"/>
          <w:bCs w:val="1"/>
          <w:u w:val="single" w:color="auto"/>
          <w:color w:val="0000FF"/>
        </w:rPr>
        <w:t>25,000,000</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(o)            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4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(p)            Indebtedness of any Obligor in the form of bonds, including pursuant to the Senior Secured Notes Indenture and, in each case, Permitted Refinancing Indebtedness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as in effect at such time, (iii) as of the date of incurrence, such Indebtedness shall not provide for any payment of principal or any scheduled or mandatory prepayments or redemptions on any date sooner than 91 days after the Maturity Date as in effect at such time (other than any change of control offer, customary offers or prepayments for bonds or customary acceleration rights after an event of default),</w:t>
      </w:r>
    </w:p>
    <w:p>
      <w:pPr>
        <w:spacing w:after="0" w:line="4" w:lineRule="exact"/>
        <w:rPr>
          <w:sz w:val="20"/>
          <w:szCs w:val="20"/>
          <w:color w:val="auto"/>
        </w:rPr>
      </w:pPr>
    </w:p>
    <w:p>
      <w:pPr>
        <w:jc w:val="both"/>
        <w:ind w:firstLine="8"/>
        <w:spacing w:after="0" w:line="253"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any secured Indebtedness incurred pursuant to this </w:t>
      </w:r>
      <w:r>
        <w:rPr>
          <w:rFonts w:ascii="Arial" w:cs="Arial" w:eastAsia="Arial" w:hAnsi="Arial"/>
          <w:sz w:val="18"/>
          <w:szCs w:val="18"/>
          <w:u w:val="single" w:color="auto"/>
          <w:color w:val="auto"/>
        </w:rPr>
        <w:t>Section 9.01(p)</w:t>
      </w:r>
      <w:r>
        <w:rPr>
          <w:rFonts w:ascii="Arial" w:cs="Arial" w:eastAsia="Arial" w:hAnsi="Arial"/>
          <w:sz w:val="18"/>
          <w:szCs w:val="18"/>
          <w:color w:val="auto"/>
        </w:rPr>
        <w:t xml:space="preserve"> may only be secured by a lien on the Collateral pursuant to an intercreditor agreement in form and substance reasonably satisfactory to the Administrative Agent (it being understood that the Intercreditor Agreement described in clause (a) of the definition of “Intercreditor Agreement” is reasonably satisfactory to the Administrative Agent), and (v) the aggregate principal amount of all Indebtedness incurred pursuant to this </w:t>
      </w:r>
      <w:r>
        <w:rPr>
          <w:rFonts w:ascii="Arial" w:cs="Arial" w:eastAsia="Arial" w:hAnsi="Arial"/>
          <w:sz w:val="18"/>
          <w:szCs w:val="18"/>
          <w:u w:val="single" w:color="auto"/>
          <w:color w:val="auto"/>
        </w:rPr>
        <w:t>Section 9.01(p)</w:t>
      </w:r>
      <w:r>
        <w:rPr>
          <w:rFonts w:ascii="Arial" w:cs="Arial" w:eastAsia="Arial" w:hAnsi="Arial"/>
          <w:sz w:val="18"/>
          <w:szCs w:val="18"/>
          <w:color w:val="auto"/>
        </w:rPr>
        <w:t>, including any outstanding notes issued pursuant to the Senior Secured Notes Indenture, would not exceed $</w:t>
      </w:r>
      <w:r>
        <w:rPr>
          <w:rFonts w:ascii="Arial" w:cs="Arial" w:eastAsia="Arial" w:hAnsi="Arial"/>
          <w:sz w:val="18"/>
          <w:szCs w:val="18"/>
          <w:b w:val="1"/>
          <w:bCs w:val="1"/>
          <w:color w:val="FF0000"/>
          <w:strike w:val="1"/>
        </w:rPr>
        <w:t>600,000,000</w:t>
      </w:r>
      <w:r>
        <w:rPr>
          <w:rFonts w:ascii="Arial" w:cs="Arial" w:eastAsia="Arial" w:hAnsi="Arial"/>
          <w:sz w:val="18"/>
          <w:szCs w:val="18"/>
          <w:b w:val="1"/>
          <w:bCs w:val="1"/>
          <w:u w:val="single" w:color="auto"/>
          <w:color w:val="0000FF"/>
        </w:rPr>
        <w:t>250,000,000</w:t>
      </w:r>
      <w:r>
        <w:rPr>
          <w:rFonts w:ascii="Arial" w:cs="Arial" w:eastAsia="Arial" w:hAnsi="Arial"/>
          <w:sz w:val="18"/>
          <w:szCs w:val="18"/>
          <w:color w:val="auto"/>
        </w:rPr>
        <w:t xml:space="preserve"> at any time;</w:t>
      </w:r>
    </w:p>
    <w:p>
      <w:pPr>
        <w:spacing w:after="0" w:line="1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(q)            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w:t>
      </w:r>
    </w:p>
    <w:p>
      <w:pPr>
        <w:spacing w:after="0" w:line="2" w:lineRule="exact"/>
        <w:rPr>
          <w:sz w:val="20"/>
          <w:szCs w:val="20"/>
          <w:color w:val="auto"/>
        </w:rPr>
      </w:pPr>
    </w:p>
    <w:p>
      <w:pPr>
        <w:ind w:firstLine="8"/>
        <w:spacing w:after="0" w:line="260" w:lineRule="auto"/>
        <w:tabs>
          <w:tab w:leader="none" w:pos="2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1300"/>
        <w:spacing w:after="0"/>
        <w:rPr>
          <w:sz w:val="20"/>
          <w:szCs w:val="20"/>
          <w:color w:val="auto"/>
        </w:rPr>
      </w:pPr>
      <w:r>
        <w:rPr>
          <w:rFonts w:ascii="Arial" w:cs="Arial" w:eastAsia="Arial" w:hAnsi="Arial"/>
          <w:sz w:val="18"/>
          <w:szCs w:val="18"/>
          <w:color w:val="auto"/>
        </w:rPr>
        <w:t>(r)            Indebtedness in the form of Permitted Intercompany Treasury Management Transactions;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            Indebtedness in the form of Permitted Intercompany Specified Transactions, so long as at the time of incurrence, no Default or Event of Default then exists or would arise as a result of the applicable transaction;</w:t>
      </w:r>
    </w:p>
    <w:p>
      <w:pPr>
        <w:spacing w:after="0" w:line="17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(t)            secured Indebtedness incurred by an Obligor or Restricted Subsidiary in an aggregate amount not to exceed $100,000,000 and Permitted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w:t>
      </w:r>
      <w:r>
        <w:rPr>
          <w:rFonts w:ascii="Arial" w:cs="Arial" w:eastAsia="Arial" w:hAnsi="Arial"/>
          <w:sz w:val="16"/>
          <w:szCs w:val="16"/>
          <w:b w:val="1"/>
          <w:bCs w:val="1"/>
          <w:u w:val="single" w:color="auto"/>
          <w:color w:val="0000FF"/>
        </w:rPr>
        <w:t>Consolidated Net</w:t>
      </w:r>
      <w:r>
        <w:rPr>
          <w:rFonts w:ascii="Arial" w:cs="Arial" w:eastAsia="Arial" w:hAnsi="Arial"/>
          <w:sz w:val="16"/>
          <w:szCs w:val="16"/>
          <w:b w:val="1"/>
          <w:bCs w:val="1"/>
          <w:color w:val="0000FF"/>
        </w:rPr>
        <w:t xml:space="preserve"> </w:t>
      </w:r>
      <w:r>
        <w:rPr>
          <w:rFonts w:ascii="Arial" w:cs="Arial" w:eastAsia="Arial" w:hAnsi="Arial"/>
          <w:sz w:val="16"/>
          <w:szCs w:val="16"/>
          <w:color w:val="000000"/>
        </w:rPr>
        <w:t>Leverage Ratio (calculated as of the last day of the most recently ended period for which financial statements are available as if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Indebtedness had been incurred on the last day of such period) would not exceed 0.25 to 1.00 less than the covenant level then in effect under </w:t>
      </w:r>
      <w:r>
        <w:rPr>
          <w:rFonts w:ascii="Arial" w:cs="Arial" w:eastAsia="Arial" w:hAnsi="Arial"/>
          <w:sz w:val="16"/>
          <w:szCs w:val="16"/>
          <w:u w:val="single" w:color="auto"/>
          <w:color w:val="000000"/>
        </w:rPr>
        <w:t>Section 9.09(c)</w:t>
      </w:r>
      <w:r>
        <w:rPr>
          <w:rFonts w:ascii="Arial" w:cs="Arial" w:eastAsia="Arial" w:hAnsi="Arial"/>
          <w:sz w:val="16"/>
          <w:szCs w:val="16"/>
          <w:color w:val="000000"/>
        </w:rPr>
        <w:t>, (iii) as of the date of incurrence, such Indebtedness shall have a stated maturity date no sooner than 91 days after the Maturity Date and</w:t>
      </w:r>
    </w:p>
    <w:p>
      <w:pPr>
        <w:spacing w:after="0" w:line="4" w:lineRule="exact"/>
        <w:rPr>
          <w:sz w:val="20"/>
          <w:szCs w:val="20"/>
          <w:color w:val="auto"/>
        </w:rPr>
      </w:pPr>
    </w:p>
    <w:p>
      <w:pPr>
        <w:ind w:left="1300" w:right="2380" w:hanging="1292"/>
        <w:spacing w:after="0" w:line="492" w:lineRule="auto"/>
        <w:tabs>
          <w:tab w:leader="none" w:pos="3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securing any Indebtedness incurred pursuant to this </w:t>
      </w:r>
      <w:r>
        <w:rPr>
          <w:rFonts w:ascii="Arial" w:cs="Arial" w:eastAsia="Arial" w:hAnsi="Arial"/>
          <w:sz w:val="18"/>
          <w:szCs w:val="18"/>
          <w:u w:val="single" w:color="auto"/>
          <w:color w:val="auto"/>
        </w:rPr>
        <w:t>Section 9.01(t)</w:t>
      </w:r>
      <w:r>
        <w:rPr>
          <w:rFonts w:ascii="Arial" w:cs="Arial" w:eastAsia="Arial" w:hAnsi="Arial"/>
          <w:sz w:val="18"/>
          <w:szCs w:val="18"/>
          <w:color w:val="auto"/>
        </w:rPr>
        <w:t xml:space="preserve"> shall not encumber any of the Collateral; and (u)            Indebtedness in connection with Supply Chain Transactions.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7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(a)            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and, in the case of a Person that is an Unrestricted Subsidiary immediately prior to such merger, consolidation or amalgamation, </w:t>
      </w:r>
      <w:r>
        <w:rPr>
          <w:rFonts w:ascii="Arial" w:cs="Arial" w:eastAsia="Arial" w:hAnsi="Arial"/>
          <w:sz w:val="16"/>
          <w:szCs w:val="16"/>
          <w:u w:val="single" w:color="auto"/>
          <w:color w:val="auto"/>
        </w:rPr>
        <w:t>Section 8.09</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296"/>
        <w:spacing w:after="0" w:line="268" w:lineRule="auto"/>
        <w:rPr>
          <w:sz w:val="20"/>
          <w:szCs w:val="20"/>
          <w:color w:val="auto"/>
        </w:rPr>
      </w:pPr>
      <w:r>
        <w:rPr>
          <w:rFonts w:ascii="Arial" w:cs="Arial" w:eastAsia="Arial" w:hAnsi="Arial"/>
          <w:sz w:val="17"/>
          <w:szCs w:val="17"/>
          <w:color w:val="auto"/>
        </w:rPr>
        <w:t xml:space="preserve">(b)            Notwithstanding the foregoing provisions,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shall not prohibit any Redomestication;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a Redomestication of Parent of the type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w:t>
      </w:r>
      <w:r>
        <w:rPr>
          <w:rFonts w:ascii="Arial" w:cs="Arial" w:eastAsia="Arial" w:hAnsi="Arial"/>
          <w:sz w:val="17"/>
          <w:szCs w:val="17"/>
          <w:b w:val="1"/>
          <w:bCs w:val="1"/>
          <w:color w:val="FF0000"/>
          <w:strike w:val="1"/>
        </w:rPr>
        <w:t>Patriot</w:t>
      </w:r>
      <w:r>
        <w:rPr>
          <w:rFonts w:ascii="Arial" w:cs="Arial" w:eastAsia="Arial" w:hAnsi="Arial"/>
          <w:sz w:val="17"/>
          <w:szCs w:val="17"/>
          <w:b w:val="1"/>
          <w:bCs w:val="1"/>
          <w:u w:val="single" w:color="auto"/>
          <w:color w:val="0000FF"/>
        </w:rPr>
        <w:t>PATRIOT</w:t>
      </w:r>
      <w:r>
        <w:rPr>
          <w:rFonts w:ascii="Arial" w:cs="Arial" w:eastAsia="Arial" w:hAnsi="Arial"/>
          <w:sz w:val="17"/>
          <w:szCs w:val="17"/>
          <w:color w:val="auto"/>
        </w:rPr>
        <w:t xml:space="preserve">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(c)            Parent shall not, and shall not permit any Restricted Subsidiary to, wind up, liquidate or dissolve;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Arial" w:cs="Arial" w:eastAsia="Arial" w:hAnsi="Arial"/>
          <w:sz w:val="17"/>
          <w:szCs w:val="17"/>
          <w:u w:val="single" w:color="auto"/>
          <w:color w:val="auto"/>
        </w:rPr>
        <w:t>Section 8.08(d)</w:t>
      </w:r>
      <w:r>
        <w:rPr>
          <w:rFonts w:ascii="Arial" w:cs="Arial" w:eastAsia="Arial" w:hAnsi="Arial"/>
          <w:sz w:val="17"/>
          <w:szCs w:val="17"/>
          <w:color w:val="auto"/>
        </w:rPr>
        <w:t>) and (4) such other documentation as the Administrative Agent may reasonably request.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Material Change in Business</w:t>
      </w:r>
      <w:r>
        <w:rPr>
          <w:rFonts w:ascii="Arial" w:cs="Arial" w:eastAsia="Arial" w:hAnsi="Arial"/>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2021, and any business reasonably related, ancillary or complementary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7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Liens</w:t>
      </w:r>
      <w:r>
        <w:rPr>
          <w:rFonts w:ascii="Arial" w:cs="Arial" w:eastAsia="Arial" w:hAnsi="Arial"/>
          <w:sz w:val="18"/>
          <w:szCs w:val="18"/>
          <w:color w:val="auto"/>
        </w:rPr>
        <w:t>. Parent shall not, and shall not permit any Restricted Subsidiary to, create, incur, assume or permit to exist any Lien on any property or asset now owned or hereafter acquired by it, except: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(a)            Liens created pursuant to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in respect of Standalone Performance LCs secured by such Liens shall not at any time exceed $100,000,000;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Permitted Liens;</w:t>
      </w:r>
    </w:p>
    <w:p>
      <w:pPr>
        <w:spacing w:after="0" w:line="2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(d)            any Lien on any property or asset of Parent or any Restricted Subsidiary existing on the </w:t>
      </w:r>
      <w:r>
        <w:rPr>
          <w:rFonts w:ascii="Arial" w:cs="Arial" w:eastAsia="Arial" w:hAnsi="Arial"/>
          <w:sz w:val="18"/>
          <w:szCs w:val="18"/>
          <w:b w:val="1"/>
          <w:bCs w:val="1"/>
          <w:color w:val="FF0000"/>
          <w:strike w:val="1"/>
        </w:rPr>
        <w:t>date hereof</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Effective Date</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set forth in</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Schedule 9.04</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 (i) such Lien shall not apply to any other property or asset of Parent or any 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Subsidiary and (ii) such Lien shall secure only those obligations that it secures on the </w:t>
      </w:r>
      <w:r>
        <w:rPr>
          <w:rFonts w:ascii="Arial" w:cs="Arial" w:eastAsia="Arial" w:hAnsi="Arial"/>
          <w:sz w:val="18"/>
          <w:szCs w:val="18"/>
          <w:b w:val="1"/>
          <w:bCs w:val="1"/>
          <w:color w:val="FF0000"/>
          <w:strike w:val="1"/>
        </w:rPr>
        <w:t>date hereof</w:t>
      </w:r>
      <w:r>
        <w:rPr>
          <w:rFonts w:ascii="Arial" w:cs="Arial" w:eastAsia="Arial" w:hAnsi="Arial"/>
          <w:sz w:val="18"/>
          <w:szCs w:val="18"/>
          <w:b w:val="1"/>
          <w:bCs w:val="1"/>
          <w:u w:val="single" w:color="auto"/>
          <w:color w:val="0000FF"/>
        </w:rPr>
        <w:t>Fourth Amendment Effective Date</w:t>
      </w:r>
      <w:r>
        <w:rPr>
          <w:rFonts w:ascii="Arial" w:cs="Arial" w:eastAsia="Arial" w:hAnsi="Arial"/>
          <w:sz w:val="18"/>
          <w:szCs w:val="18"/>
          <w:color w:val="000000"/>
        </w:rPr>
        <w:t xml:space="preserve"> and Permitted Refinancing Indebtedness in respect thereof;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precautionary Liens on Receivables and Receivables Related Security arising in connection with Permitted Factoring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(f)            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pro forma effect to the application of such Lien, Parent would be in compliance with the covenants set forth in </w:t>
      </w:r>
      <w:r>
        <w:rPr>
          <w:rFonts w:ascii="Arial" w:cs="Arial" w:eastAsia="Arial" w:hAnsi="Arial"/>
          <w:sz w:val="16"/>
          <w:szCs w:val="16"/>
          <w:u w:val="single" w:color="auto"/>
          <w:color w:val="auto"/>
        </w:rPr>
        <w:t>Section 9.09</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(g)            Liens in accordance with, and securing Indebtedness permitted by, </w:t>
      </w:r>
      <w:r>
        <w:rPr>
          <w:rFonts w:ascii="Arial" w:cs="Arial" w:eastAsia="Arial" w:hAnsi="Arial"/>
          <w:sz w:val="18"/>
          <w:szCs w:val="18"/>
          <w:u w:val="single" w:color="auto"/>
          <w:color w:val="auto"/>
        </w:rPr>
        <w:t>Section 9.01(p)</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(h)            Liens on assets so long as the aggregate principal amount of the Indebtedness and other obligations secured by such Liens does not at any time exceed $</w:t>
      </w:r>
      <w:r>
        <w:rPr>
          <w:rFonts w:ascii="Arial" w:cs="Arial" w:eastAsia="Arial" w:hAnsi="Arial"/>
          <w:sz w:val="18"/>
          <w:szCs w:val="18"/>
          <w:b w:val="1"/>
          <w:bCs w:val="1"/>
          <w:color w:val="FF0000"/>
          <w:strike w:val="1"/>
        </w:rPr>
        <w:t>20,000,000</w:t>
      </w:r>
      <w:r>
        <w:rPr>
          <w:rFonts w:ascii="Arial" w:cs="Arial" w:eastAsia="Arial" w:hAnsi="Arial"/>
          <w:sz w:val="18"/>
          <w:szCs w:val="18"/>
          <w:b w:val="1"/>
          <w:bCs w:val="1"/>
          <w:u w:val="single" w:color="auto"/>
          <w:color w:val="0000FF"/>
        </w:rPr>
        <w:t>30,000,000</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            Liens in accordance with, and securing Indebtedness permitted by, </w:t>
      </w:r>
      <w:r>
        <w:rPr>
          <w:rFonts w:ascii="Arial" w:cs="Arial" w:eastAsia="Arial" w:hAnsi="Arial"/>
          <w:sz w:val="18"/>
          <w:szCs w:val="18"/>
          <w:u w:val="single" w:color="auto"/>
          <w:color w:val="auto"/>
        </w:rPr>
        <w:t>Section 9.01(t</w:t>
      </w:r>
      <w:r>
        <w:rPr>
          <w:rFonts w:ascii="Arial" w:cs="Arial" w:eastAsia="Arial" w:hAnsi="Arial"/>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Liens in connection with Supply Chain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Asset Dispositions</w:t>
      </w:r>
      <w:r>
        <w:rPr>
          <w:rFonts w:ascii="Arial" w:cs="Arial" w:eastAsia="Arial" w:hAnsi="Arial"/>
          <w:sz w:val="18"/>
          <w:szCs w:val="18"/>
          <w:color w:val="auto"/>
        </w:rPr>
        <w:t>. Parent shall not, and shall not permit any Restricted Subsidiary to, Dispose of any assets to any Person, except that: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any Obligor may Dispose of assets to any Obligor that is a Wholly-Owned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any Restricted Subsidiary that is not an Obligor may Dispose of assets to any Obligor or any Restricted Subsidiary;</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(c)            any Obligor may Dispose of assets to any other Obligor that is not a Wholly-Owned Subsidiary and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value of all assets Disposed of in reliance on this </w:t>
      </w:r>
      <w:r>
        <w:rPr>
          <w:rFonts w:ascii="Arial" w:cs="Arial" w:eastAsia="Arial" w:hAnsi="Arial"/>
          <w:sz w:val="16"/>
          <w:szCs w:val="16"/>
          <w:u w:val="single" w:color="auto"/>
          <w:color w:val="auto"/>
        </w:rPr>
        <w:t>Section 9.05(c)</w:t>
      </w:r>
      <w:r>
        <w:rPr>
          <w:rFonts w:ascii="Arial" w:cs="Arial" w:eastAsia="Arial" w:hAnsi="Arial"/>
          <w:sz w:val="16"/>
          <w:szCs w:val="16"/>
          <w:color w:val="auto"/>
        </w:rPr>
        <w:t xml:space="preserve"> (net of the value of any such assets subsequently transferred to any Obligor by an Obligor that is not a Wholly-Owned Subsidiary) since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auto"/>
        </w:rPr>
        <w:t xml:space="preserve"> Effective Date shall not exceed (i) $25,000,000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up to an additional $25,000,000 so long as, at the time of such Disposition, no Default or Event of Default shall have occurred and be continuing;</w:t>
      </w:r>
    </w:p>
    <w:p>
      <w:pPr>
        <w:spacing w:after="0" w:line="15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(d)            any Specified Disposition shall be permitted;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fair market value of all property Disposed of pursuant to this </w:t>
      </w:r>
      <w:r>
        <w:rPr>
          <w:rFonts w:ascii="Arial" w:cs="Arial" w:eastAsia="Arial" w:hAnsi="Arial"/>
          <w:sz w:val="18"/>
          <w:szCs w:val="18"/>
          <w:u w:val="single" w:color="auto"/>
          <w:color w:val="auto"/>
        </w:rPr>
        <w:t>Section 9.05(d)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since the Fourth Amendment Effective Date</w:t>
      </w:r>
      <w:r>
        <w:rPr>
          <w:rFonts w:ascii="Arial" w:cs="Arial" w:eastAsia="Arial" w:hAnsi="Arial"/>
          <w:sz w:val="18"/>
          <w:szCs w:val="18"/>
          <w:color w:val="auto"/>
        </w:rPr>
        <w:t xml:space="preserve"> does not exceed $15,000,000;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Parent and its Restricted Subsidiaries may Dispose of inventory or obsolete or worn-out property in the ordinary course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(f)            Parent and its Restricted Subsidiaries may make Investments permitted by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and Restricted Payments permitted by </w:t>
      </w:r>
      <w:r>
        <w:rPr>
          <w:rFonts w:ascii="Arial" w:cs="Arial" w:eastAsia="Arial" w:hAnsi="Arial"/>
          <w:sz w:val="18"/>
          <w:szCs w:val="18"/>
          <w:u w:val="single" w:color="auto"/>
          <w:color w:val="auto"/>
        </w:rPr>
        <w:t>Section 9.08</w:t>
      </w:r>
      <w:r>
        <w:rPr>
          <w:rFonts w:ascii="Arial" w:cs="Arial" w:eastAsia="Arial" w:hAnsi="Arial"/>
          <w:sz w:val="18"/>
          <w:szCs w:val="18"/>
          <w:color w:val="auto"/>
        </w:rPr>
        <w:t>, in each case to the extent constituting Dispositions;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(g)            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(h)            any Disposition of assets resulting from a casualty event or condemnation proceeding, expropriation or other involuntary taking by a Governmental Authority shall be permitted;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            Parent and its Restricted Subsidiaries may grant in the ordinary course of business any license of Intellectual Property that does not interfere in any material respect with the business of Parent or any of its Restricted Subsidiaries;</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(j)            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Responsible Officer of Parent, and if requested by the Administrative Agent (acting reasonably), Parent shall deliver a certificate of a Responsible Officer of Parent certifying as to the foregoing), and (iv) after giving pro forma effect to such Disposition, Parent and its Restricted Subsidiaries would be in compliance with the covenants set forth in </w:t>
      </w:r>
      <w:r>
        <w:rPr>
          <w:rFonts w:ascii="Arial" w:cs="Arial" w:eastAsia="Arial" w:hAnsi="Arial"/>
          <w:sz w:val="16"/>
          <w:szCs w:val="16"/>
          <w:u w:val="single" w:color="auto"/>
          <w:color w:val="auto"/>
        </w:rPr>
        <w:t>Section 9.09</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right="20" w:firstLine="1296"/>
        <w:spacing w:after="0" w:line="277" w:lineRule="auto"/>
        <w:rPr>
          <w:sz w:val="20"/>
          <w:szCs w:val="20"/>
          <w:color w:val="auto"/>
        </w:rPr>
      </w:pPr>
      <w:r>
        <w:rPr>
          <w:rFonts w:ascii="Arial" w:cs="Arial" w:eastAsia="Arial" w:hAnsi="Arial"/>
          <w:sz w:val="18"/>
          <w:szCs w:val="18"/>
          <w:color w:val="auto"/>
        </w:rPr>
        <w:t xml:space="preserve">(k)            Dispositions of surplus property in the ordinary course of business shall be permitted so long as the aggregate fair market value of all such surplus property Disposed of pursuant to this </w:t>
      </w:r>
      <w:r>
        <w:rPr>
          <w:rFonts w:ascii="Arial" w:cs="Arial" w:eastAsia="Arial" w:hAnsi="Arial"/>
          <w:sz w:val="18"/>
          <w:szCs w:val="18"/>
          <w:u w:val="single" w:color="auto"/>
          <w:color w:val="auto"/>
        </w:rPr>
        <w:t>Section 9.05(k)</w:t>
      </w:r>
      <w:r>
        <w:rPr>
          <w:rFonts w:ascii="Arial" w:cs="Arial" w:eastAsia="Arial" w:hAnsi="Arial"/>
          <w:sz w:val="18"/>
          <w:szCs w:val="18"/>
          <w:color w:val="auto"/>
        </w:rPr>
        <w:t xml:space="preserve"> does not exceed $25,000,000 during any Fiscal Year;</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(l)            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leases of real or personal property in the ordinary course of business shall be permitted;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            Permitted Intercompany Treasury Management Transactions shall be permitted;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            Dispositions constituting Permitted Intercompany Specified Transactions shall be permitted, so long as at the time of such Disposition, no Default or Event of Default then exists or would arise as a result of the applicable transaction;</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(p)            Parent and its Restricted Subsidiaries may Dispose of any personal or real property with a fair market value not in excess of $</w:t>
      </w:r>
      <w:r>
        <w:rPr>
          <w:rFonts w:ascii="Arial" w:cs="Arial" w:eastAsia="Arial" w:hAnsi="Arial"/>
          <w:sz w:val="18"/>
          <w:szCs w:val="18"/>
          <w:b w:val="1"/>
          <w:bCs w:val="1"/>
          <w:color w:val="FF0000"/>
          <w:strike w:val="1"/>
        </w:rPr>
        <w:t>5,000,000</w:t>
      </w:r>
      <w:r>
        <w:rPr>
          <w:rFonts w:ascii="Arial" w:cs="Arial" w:eastAsia="Arial" w:hAnsi="Arial"/>
          <w:sz w:val="18"/>
          <w:szCs w:val="18"/>
          <w:b w:val="1"/>
          <w:bCs w:val="1"/>
          <w:u w:val="single" w:color="auto"/>
          <w:color w:val="0000FF"/>
        </w:rPr>
        <w:t>10,000,000</w:t>
      </w:r>
      <w:r>
        <w:rPr>
          <w:rFonts w:ascii="Arial" w:cs="Arial" w:eastAsia="Arial" w:hAnsi="Arial"/>
          <w:sz w:val="18"/>
          <w:szCs w:val="18"/>
          <w:color w:val="auto"/>
        </w:rPr>
        <w:t xml:space="preserve"> in any Fiscal Year</w:t>
      </w:r>
      <w:r>
        <w:rPr>
          <w:rFonts w:ascii="Arial" w:cs="Arial" w:eastAsia="Arial" w:hAnsi="Arial"/>
          <w:sz w:val="18"/>
          <w:szCs w:val="18"/>
          <w:b w:val="1"/>
          <w:bCs w:val="1"/>
          <w:color w:val="FF0000"/>
          <w:strike w:val="1"/>
        </w:rPr>
        <w:t>; and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(q)            other Dispositions shall be permitted so long as (i) the aggregate fair market value of all assets Disposed of in reliance on this Section 9.05(q) since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shall not exceed $</w:t>
      </w:r>
      <w:r>
        <w:rPr>
          <w:rFonts w:ascii="Arial" w:cs="Arial" w:eastAsia="Arial" w:hAnsi="Arial"/>
          <w:sz w:val="18"/>
          <w:szCs w:val="18"/>
          <w:b w:val="1"/>
          <w:bCs w:val="1"/>
          <w:color w:val="FF0000"/>
          <w:strike w:val="1"/>
        </w:rPr>
        <w:t>35,000,000</w:t>
      </w:r>
      <w:r>
        <w:rPr>
          <w:rFonts w:ascii="Arial" w:cs="Arial" w:eastAsia="Arial" w:hAnsi="Arial"/>
          <w:sz w:val="18"/>
          <w:szCs w:val="18"/>
          <w:b w:val="1"/>
          <w:bCs w:val="1"/>
          <w:u w:val="single" w:color="auto"/>
          <w:color w:val="0000FF"/>
        </w:rPr>
        <w:t>40,000,000</w:t>
      </w:r>
      <w:r>
        <w:rPr>
          <w:rFonts w:ascii="Arial" w:cs="Arial" w:eastAsia="Arial" w:hAnsi="Arial"/>
          <w:sz w:val="18"/>
          <w:szCs w:val="18"/>
          <w:color w:val="auto"/>
        </w:rPr>
        <w:t xml:space="preserve"> and (ii) no Default or Event of Default shall have occurred and be continuing</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 and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0000FF"/>
        </w:rPr>
        <w:t>(r)            any Dispositions resulting from the termination or unwind of a Permitted Bond Hedge Transaction.</w:t>
      </w:r>
    </w:p>
    <w:p>
      <w:pPr>
        <w:spacing w:after="0" w:line="22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Parent shall not, and shall not permit any Restricted Subsidiary to, make any Investments in any Person, except: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Cash Equivalents;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Permitted Acquisitions;</w:t>
      </w:r>
    </w:p>
    <w:p>
      <w:pPr>
        <w:spacing w:after="0" w:line="22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(c)            (i) Investments in Subsidiaries in existence on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and (ii) other Investments in existence on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and described on </w:t>
      </w:r>
      <w:r>
        <w:rPr>
          <w:rFonts w:ascii="Arial" w:cs="Arial" w:eastAsia="Arial" w:hAnsi="Arial"/>
          <w:sz w:val="18"/>
          <w:szCs w:val="18"/>
          <w:u w:val="single" w:color="auto"/>
          <w:color w:val="auto"/>
        </w:rPr>
        <w:t>Schedule 9.06</w:t>
      </w:r>
      <w:r>
        <w:rPr>
          <w:rFonts w:ascii="Arial" w:cs="Arial" w:eastAsia="Arial" w:hAnsi="Arial"/>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left="1300"/>
        <w:spacing w:after="0"/>
        <w:rPr>
          <w:sz w:val="20"/>
          <w:szCs w:val="20"/>
          <w:color w:val="auto"/>
        </w:rPr>
      </w:pPr>
      <w:r>
        <w:rPr>
          <w:rFonts w:ascii="Arial" w:cs="Arial" w:eastAsia="Arial" w:hAnsi="Arial"/>
          <w:sz w:val="18"/>
          <w:szCs w:val="18"/>
          <w:color w:val="auto"/>
        </w:rPr>
        <w:t>(d)            Investments by any Obligor in any other Obligor that is a Wholly-Owned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Investments by any Restricted Subsidiary that is not an Obligor in any Obligor or any Restricted Subsidiary;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(i) Investments in Unrestricted Subsidiaries, and (ii) Investments by any Obligor in any Obligor that is not a Wholly-Owned Subsidiary and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Investments made pursuant to this </w:t>
      </w:r>
      <w:r>
        <w:rPr>
          <w:rFonts w:ascii="Arial" w:cs="Arial" w:eastAsia="Arial" w:hAnsi="Arial"/>
          <w:sz w:val="18"/>
          <w:szCs w:val="18"/>
          <w:u w:val="single" w:color="auto"/>
          <w:color w:val="auto"/>
        </w:rPr>
        <w:t>Section 9.06(f)</w:t>
      </w:r>
      <w:r>
        <w:rPr>
          <w:rFonts w:ascii="Arial" w:cs="Arial" w:eastAsia="Arial" w:hAnsi="Arial"/>
          <w:sz w:val="18"/>
          <w:szCs w:val="18"/>
          <w:color w:val="auto"/>
        </w:rPr>
        <w:t xml:space="preserve"> shall not exceed $25,000,000 at any time outstanding;</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(g)            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(h)            Investments by any Obligor or Restricted Subsidiary in overnight time deposits in Argentina;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Investments shall not exceed $50,000,000 at any time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            subject to the limitations set forth in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this Section, Guarantees permitted by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(j)            Investments received in consideration for a Disposition permitted by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(k)            loans or advances to directors, officers and employees of any Restricted Subsidiary for expenses or other payments incident to such Person’s employment or association with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such advances and loans shall not exceed $2,500,000 at any time outstanding;</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            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(m)            Investments consisting of Swap Agreements permitted under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(n)            additional Investments</w:t>
      </w:r>
      <w:r>
        <w:rPr>
          <w:rFonts w:ascii="Arial" w:cs="Arial" w:eastAsia="Arial" w:hAnsi="Arial"/>
          <w:sz w:val="17"/>
          <w:szCs w:val="17"/>
          <w:b w:val="1"/>
          <w:bCs w:val="1"/>
          <w:color w:val="FF0000"/>
          <w:strike w:val="1"/>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that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(i) in an unlimited amount so long as,</w:t>
      </w:r>
      <w:r>
        <w:rPr>
          <w:rFonts w:ascii="Arial" w:cs="Arial" w:eastAsia="Arial" w:hAnsi="Arial"/>
          <w:sz w:val="17"/>
          <w:szCs w:val="17"/>
          <w:color w:val="auto"/>
        </w:rPr>
        <w:t xml:space="preserve"> at the time thereof and immediately after giving effect thereto, (</w:t>
      </w:r>
      <w:r>
        <w:rPr>
          <w:rFonts w:ascii="Arial" w:cs="Arial" w:eastAsia="Arial" w:hAnsi="Arial"/>
          <w:sz w:val="17"/>
          <w:szCs w:val="17"/>
          <w:b w:val="1"/>
          <w:bCs w:val="1"/>
          <w:color w:val="FF0000"/>
          <w:strike w:val="1"/>
        </w:rPr>
        <w:t>i)</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8000"/>
        </w:rPr>
        <w:t>no Default or Event of Default shall have occurred and be continuing</w:t>
      </w:r>
      <w:r>
        <w:rPr>
          <w:rFonts w:ascii="Arial" w:cs="Arial" w:eastAsia="Arial" w:hAnsi="Arial"/>
          <w:sz w:val="17"/>
          <w:szCs w:val="17"/>
          <w:b w:val="1"/>
          <w:bCs w:val="1"/>
          <w:u w:val="single" w:color="auto"/>
          <w:color w:val="0000FF"/>
        </w:rPr>
        <w:t>, (B) the Consolidated Net Leverage Ratio (calculated on 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 xml:space="preserve">pro forma basis </w:t>
      </w:r>
      <w:r>
        <w:rPr>
          <w:rFonts w:ascii="Arial" w:cs="Arial" w:eastAsia="Arial" w:hAnsi="Arial"/>
          <w:sz w:val="17"/>
          <w:szCs w:val="17"/>
          <w:i w:val="1"/>
          <w:iCs w:val="1"/>
          <w:u w:val="single" w:color="auto"/>
          <w:color w:val="008000"/>
        </w:rPr>
        <w:t>as of the last day of the most recently ended period for which financial statements are available</w:t>
      </w:r>
      <w:r>
        <w:rPr>
          <w:rFonts w:ascii="Arial" w:cs="Arial" w:eastAsia="Arial" w:hAnsi="Arial"/>
          <w:sz w:val="17"/>
          <w:szCs w:val="17"/>
          <w:b w:val="1"/>
          <w:bCs w:val="1"/>
          <w:u w:val="single" w:color="auto"/>
          <w:color w:val="0000FF"/>
        </w:rPr>
        <w:t xml:space="preserve"> as if such Investment had been made on the first day of such period) shall not exceed 2.00 to 1.00 and (C) the Aggregate Liquidity is at least $400,000,000; and (ii) otherwise, so long as at the time thereof and immediately after giving effect thereto, no Default or Event of Default shall have occurred and be continuing,</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aggregate</w:t>
      </w:r>
      <w:r>
        <w:rPr>
          <w:rFonts w:ascii="Arial" w:cs="Arial" w:eastAsia="Arial" w:hAnsi="Arial"/>
          <w:sz w:val="17"/>
          <w:szCs w:val="17"/>
          <w:b w:val="1"/>
          <w:bCs w:val="1"/>
          <w:color w:val="0000FF"/>
        </w:rPr>
        <w:t xml:space="preserve"> </w:t>
      </w:r>
      <w:r>
        <w:rPr>
          <w:rFonts w:ascii="Arial" w:cs="Arial" w:eastAsia="Arial" w:hAnsi="Arial"/>
          <w:sz w:val="17"/>
          <w:szCs w:val="17"/>
          <w:color w:val="000000"/>
        </w:rPr>
        <w:t>outstanding amount of such Investments made pursuant to this Section 9.06(n)</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xml:space="preserve"> shall not exceed $200,000,000 at any time outstanding </w:t>
      </w:r>
      <w:r>
        <w:rPr>
          <w:rFonts w:ascii="Arial" w:cs="Arial" w:eastAsia="Arial" w:hAnsi="Arial"/>
          <w:sz w:val="17"/>
          <w:szCs w:val="17"/>
          <w:b w:val="1"/>
          <w:bCs w:val="1"/>
          <w:color w:val="FF0000"/>
          <w:strike w:val="1"/>
        </w:rPr>
        <w:t>and</w:t>
      </w:r>
      <w:r>
        <w:rPr>
          <w:rFonts w:ascii="Arial" w:cs="Arial" w:eastAsia="Arial" w:hAnsi="Arial"/>
          <w:sz w:val="17"/>
          <w:szCs w:val="17"/>
          <w:color w:val="000000"/>
        </w:rPr>
        <w:t xml:space="preserve"> </w:t>
      </w:r>
      <w:r>
        <w:rPr>
          <w:rFonts w:ascii="Arial" w:cs="Arial" w:eastAsia="Arial" w:hAnsi="Arial"/>
          <w:sz w:val="17"/>
          <w:szCs w:val="17"/>
          <w:i w:val="1"/>
          <w:iCs w:val="1"/>
          <w:color w:val="008000"/>
          <w:strike w:val="1"/>
        </w:rPr>
        <w:t>(ii) no</w:t>
      </w:r>
      <w:r>
        <w:rPr>
          <w:rFonts w:ascii="Arial" w:cs="Arial" w:eastAsia="Arial" w:hAnsi="Arial"/>
          <w:sz w:val="17"/>
          <w:szCs w:val="17"/>
          <w:color w:val="000000"/>
        </w:rPr>
        <w:t xml:space="preserve"> </w:t>
      </w:r>
      <w:r>
        <w:rPr>
          <w:rFonts w:ascii="Arial" w:cs="Arial" w:eastAsia="Arial" w:hAnsi="Arial"/>
          <w:sz w:val="17"/>
          <w:szCs w:val="17"/>
          <w:i w:val="1"/>
          <w:iCs w:val="1"/>
          <w:color w:val="008000"/>
          <w:strike w:val="1"/>
        </w:rPr>
        <w:t>Default or Event of Default shall have occurred and be continuing;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1300"/>
        <w:spacing w:after="0"/>
        <w:rPr>
          <w:sz w:val="20"/>
          <w:szCs w:val="20"/>
          <w:color w:val="auto"/>
        </w:rPr>
      </w:pPr>
      <w:r>
        <w:rPr>
          <w:rFonts w:ascii="Arial" w:cs="Arial" w:eastAsia="Arial" w:hAnsi="Arial"/>
          <w:sz w:val="18"/>
          <w:szCs w:val="18"/>
          <w:color w:val="auto"/>
        </w:rPr>
        <w:t>(o)            Investments constituting Permitted Intercompany Treasury Management Transactions;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            Investments constituting Permitted Intercompany Specified Transactions, so long as at the time of such Investment, no Default or Event of Default then exists or would arise as a result of the applicable transaction;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(q)            Investments constituting Specified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w:t>
      </w:r>
      <w:r>
        <w:rPr>
          <w:rFonts w:ascii="Arial" w:cs="Arial" w:eastAsia="Arial" w:hAnsi="Arial"/>
          <w:sz w:val="18"/>
          <w:szCs w:val="18"/>
          <w:u w:val="single" w:color="auto"/>
          <w:color w:val="auto"/>
        </w:rPr>
        <w:t>Section 9.06(q)</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after the Fourth Amendment Effective Date</w:t>
      </w:r>
      <w:r>
        <w:rPr>
          <w:rFonts w:ascii="Arial" w:cs="Arial" w:eastAsia="Arial" w:hAnsi="Arial"/>
          <w:sz w:val="18"/>
          <w:szCs w:val="18"/>
          <w:color w:val="auto"/>
        </w:rPr>
        <w:t xml:space="preserve"> shall not exceed $55,000,000 at any time outstanding;</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(r)            Investments in business units, Capital Stock and other assets Disposed of in accordance with </w:t>
      </w:r>
      <w:r>
        <w:rPr>
          <w:rFonts w:ascii="Arial" w:cs="Arial" w:eastAsia="Arial" w:hAnsi="Arial"/>
          <w:sz w:val="16"/>
          <w:szCs w:val="16"/>
          <w:u w:val="single" w:color="auto"/>
          <w:color w:val="auto"/>
        </w:rPr>
        <w:t>Section 9.05(q)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Investments made pursuant to this </w:t>
      </w:r>
      <w:r>
        <w:rPr>
          <w:rFonts w:ascii="Arial" w:cs="Arial" w:eastAsia="Arial" w:hAnsi="Arial"/>
          <w:sz w:val="16"/>
          <w:szCs w:val="16"/>
          <w:u w:val="single" w:color="auto"/>
          <w:color w:val="auto"/>
        </w:rPr>
        <w:t>Section 9.06(r)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after the Fourth Amendment Effective Date</w:t>
      </w:r>
      <w:r>
        <w:rPr>
          <w:rFonts w:ascii="Arial" w:cs="Arial" w:eastAsia="Arial" w:hAnsi="Arial"/>
          <w:sz w:val="16"/>
          <w:szCs w:val="16"/>
          <w:color w:val="auto"/>
        </w:rPr>
        <w:t xml:space="preserve"> shall not exceed $35,000,000;</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            Investments constituting Permitted ESG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w:t>
      </w:r>
      <w:r>
        <w:rPr>
          <w:rFonts w:ascii="Arial" w:cs="Arial" w:eastAsia="Arial" w:hAnsi="Arial"/>
          <w:sz w:val="18"/>
          <w:szCs w:val="18"/>
          <w:u w:val="single" w:color="auto"/>
          <w:color w:val="auto"/>
        </w:rPr>
        <w:t>Section 9.06(s)</w:t>
      </w:r>
      <w:r>
        <w:rPr>
          <w:rFonts w:ascii="Arial" w:cs="Arial" w:eastAsia="Arial" w:hAnsi="Arial"/>
          <w:sz w:val="18"/>
          <w:szCs w:val="18"/>
          <w:color w:val="auto"/>
        </w:rPr>
        <w:t xml:space="preserve"> shall not exceed $50,000,000 at any time outstanding; and</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            Investments (other than Hostile Acquisitions) by Parent or any Restricted Subsidiary made with Capital Stock (other than Disqualified Capital Stock) of, or from issuances of Capital Stock (other than Disqualified Capital Stock) by,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at the time of and immediately after giving effect thereto, (i) no Default or Event of Default has occurred and is continuing or would result therefrom and (ii) Parent and its Restricted Subsidiaries are in compliance with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(b) all actions required to be taken under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with respect to any Subsidiary acquired or newly formed under this Section 9.06(t) (if any) shall have been taken or will be taken within the time periods set forth therein and (c) if any such acquisition involves a merger, consolidation or amalgamation of Parent or a Restricted Subsidiary with any other Person, such acquisition is permitted under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purposes of determining the amount of any Investment, such amount shall be deemed to be the amount of the Investment when made, purchased or acquired (without </w:t>
      </w:r>
      <w:r>
        <w:rPr>
          <w:rFonts w:ascii="Arial" w:cs="Arial" w:eastAsia="Arial" w:hAnsi="Arial"/>
          <w:sz w:val="18"/>
          <w:szCs w:val="18"/>
          <w:b w:val="1"/>
          <w:bCs w:val="1"/>
          <w:color w:val="FF0000"/>
          <w:strike w:val="1"/>
        </w:rPr>
        <w:t>adjustement</w:t>
      </w:r>
      <w:r>
        <w:rPr>
          <w:rFonts w:ascii="Arial" w:cs="Arial" w:eastAsia="Arial" w:hAnsi="Arial"/>
          <w:sz w:val="18"/>
          <w:szCs w:val="18"/>
          <w:b w:val="1"/>
          <w:bCs w:val="1"/>
          <w:u w:val="single" w:color="auto"/>
          <w:color w:val="0000FF"/>
        </w:rPr>
        <w:t>adjustment</w:t>
      </w:r>
      <w:r>
        <w:rPr>
          <w:rFonts w:ascii="Arial" w:cs="Arial" w:eastAsia="Arial" w:hAnsi="Arial"/>
          <w:sz w:val="18"/>
          <w:szCs w:val="18"/>
          <w:color w:val="auto"/>
        </w:rPr>
        <w:t xml:space="preserve"> for subsequent increases or decreases in the value of such Investment) to the extent such Investment remains outstanding at the time of such determination.</w:t>
      </w:r>
    </w:p>
    <w:p>
      <w:pPr>
        <w:spacing w:after="0" w:line="18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Swap Agreements</w:t>
      </w:r>
      <w:r>
        <w:rPr>
          <w:rFonts w:ascii="Arial" w:cs="Arial" w:eastAsia="Arial" w:hAnsi="Arial"/>
          <w:sz w:val="16"/>
          <w:szCs w:val="16"/>
          <w:color w:val="auto"/>
        </w:rPr>
        <w:t>. Parent shall not, and shall not permit any Restricted Subsidiary to, enter into any Swap Agreement, except</w:t>
      </w:r>
    </w:p>
    <w:p>
      <w:pPr>
        <w:spacing w:after="0" w:line="23" w:lineRule="exact"/>
        <w:rPr>
          <w:sz w:val="20"/>
          <w:szCs w:val="20"/>
          <w:color w:val="auto"/>
        </w:rPr>
      </w:pPr>
    </w:p>
    <w:p>
      <w:pPr>
        <w:jc w:val="both"/>
        <w:ind w:firstLine="8"/>
        <w:spacing w:after="0" w:line="281" w:lineRule="auto"/>
        <w:tabs>
          <w:tab w:leader="none" w:pos="24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w:t>
      </w:r>
      <w:r>
        <w:rPr>
          <w:rFonts w:ascii="Arial" w:cs="Arial" w:eastAsia="Arial" w:hAnsi="Arial"/>
          <w:sz w:val="16"/>
          <w:szCs w:val="16"/>
          <w:b w:val="1"/>
          <w:bCs w:val="1"/>
          <w:color w:val="FF0000"/>
          <w:strike w:val="1"/>
        </w:rPr>
        <w:t>and</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(d) Swap Agreements related to Supply Chain Transactions</w:t>
      </w:r>
      <w:r>
        <w:rPr>
          <w:rFonts w:ascii="Arial" w:cs="Arial" w:eastAsia="Arial" w:hAnsi="Arial"/>
          <w:sz w:val="16"/>
          <w:szCs w:val="16"/>
          <w:b w:val="1"/>
          <w:bCs w:val="1"/>
          <w:u w:val="single" w:color="auto"/>
          <w:color w:val="0000FF"/>
        </w:rPr>
        <w:t>,</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8"/>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Permitted Bond Hedge Transaction and (f) any Permitted Warrant Transaction</w:t>
      </w:r>
      <w:r>
        <w:rPr>
          <w:rFonts w:ascii="Arial" w:cs="Arial" w:eastAsia="Arial" w:hAnsi="Arial"/>
          <w:sz w:val="18"/>
          <w:szCs w:val="18"/>
          <w:color w:val="000000"/>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firstLine="648"/>
        <w:spacing w:after="0" w:line="27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Parent shall not, and shall not permit any Restricted Subsidiary to, declare or make, or agree to pay or make, directly or indirectly, any Restricted Payment, except: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Parent may declare and pay dividends on its Capital Stock payable solely in additional Capital Stock (other than Disqualified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(b)            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4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(c)            (i)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Parent and its Restricted Subsidiaries may make any prepayments under this Agreement in accordance with the terms hereof;</w:t>
      </w:r>
    </w:p>
    <w:p>
      <w:pPr>
        <w:spacing w:after="0" w:line="24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(e)            so long as no Default or Event of Default has occurred and is continuing at the time thereof or immediately after giving effect thereto, Parent and its Restricted Subsidiaries may (a) Redeem any Senior Secured Notes, </w:t>
      </w:r>
      <w:r>
        <w:rPr>
          <w:rFonts w:ascii="Arial" w:cs="Arial" w:eastAsia="Arial" w:hAnsi="Arial"/>
          <w:sz w:val="17"/>
          <w:szCs w:val="17"/>
          <w:b w:val="1"/>
          <w:bCs w:val="1"/>
          <w:color w:val="FF0000"/>
          <w:strike w:val="1"/>
        </w:rPr>
        <w:t>Exit</w:t>
      </w:r>
      <w:r>
        <w:rPr>
          <w:rFonts w:ascii="Arial" w:cs="Arial" w:eastAsia="Arial" w:hAnsi="Arial"/>
          <w:sz w:val="17"/>
          <w:szCs w:val="17"/>
          <w:color w:val="auto"/>
        </w:rPr>
        <w:t xml:space="preserve"> Senior Notes, </w:t>
      </w:r>
      <w:r>
        <w:rPr>
          <w:rFonts w:ascii="Arial" w:cs="Arial" w:eastAsia="Arial" w:hAnsi="Arial"/>
          <w:sz w:val="17"/>
          <w:szCs w:val="17"/>
          <w:b w:val="1"/>
          <w:bCs w:val="1"/>
          <w:color w:val="FF0000"/>
          <w:strike w:val="1"/>
        </w:rPr>
        <w:t>Senior Notes</w:t>
      </w:r>
      <w:r>
        <w:rPr>
          <w:rFonts w:ascii="Arial" w:cs="Arial" w:eastAsia="Arial" w:hAnsi="Arial"/>
          <w:sz w:val="17"/>
          <w:szCs w:val="17"/>
          <w:b w:val="1"/>
          <w:bCs w:val="1"/>
          <w:u w:val="single" w:color="auto"/>
          <w:color w:val="0000FF"/>
        </w:rPr>
        <w:t>Permitted Convertible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Indebtedness</w:t>
      </w:r>
      <w:r>
        <w:rPr>
          <w:rFonts w:ascii="Arial" w:cs="Arial" w:eastAsia="Arial" w:hAnsi="Arial"/>
          <w:sz w:val="17"/>
          <w:szCs w:val="17"/>
          <w:b w:val="1"/>
          <w:bCs w:val="1"/>
          <w:color w:val="0000FF"/>
        </w:rPr>
        <w:t xml:space="preserve"> </w:t>
      </w:r>
      <w:r>
        <w:rPr>
          <w:rFonts w:ascii="Arial" w:cs="Arial" w:eastAsia="Arial" w:hAnsi="Arial"/>
          <w:sz w:val="17"/>
          <w:szCs w:val="17"/>
          <w:color w:val="000000"/>
        </w:rPr>
        <w:t>or other senior notes and make additional Restricted Payments in the amount of accrued and unpaid interest, premiums and reasonable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expenses in respect of any such Redemptions, in each case, (i) with the proceeds of (A) Permitted Refinancing Indebtedness or (B) Indebtedness incurred under </w:t>
      </w:r>
      <w:r>
        <w:rPr>
          <w:rFonts w:ascii="Arial" w:cs="Arial" w:eastAsia="Arial" w:hAnsi="Arial"/>
          <w:sz w:val="17"/>
          <w:szCs w:val="17"/>
          <w:u w:val="single" w:color="auto"/>
          <w:color w:val="000000"/>
        </w:rPr>
        <w:t>Section 9.01(</w:t>
      </w:r>
      <w:r>
        <w:rPr>
          <w:rFonts w:ascii="Arial" w:cs="Arial" w:eastAsia="Arial" w:hAnsi="Arial"/>
          <w:sz w:val="17"/>
          <w:szCs w:val="17"/>
          <w:b w:val="1"/>
          <w:bCs w:val="1"/>
          <w:u w:val="single" w:color="auto"/>
          <w:color w:val="0000FF"/>
        </w:rPr>
        <w:t>e), (</w:t>
      </w:r>
      <w:r>
        <w:rPr>
          <w:rFonts w:ascii="Arial" w:cs="Arial" w:eastAsia="Arial" w:hAnsi="Arial"/>
          <w:sz w:val="17"/>
          <w:szCs w:val="17"/>
          <w:u w:val="single" w:color="auto"/>
          <w:color w:val="000000"/>
        </w:rPr>
        <w:t>h)</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(j)</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(t)</w:t>
      </w:r>
      <w:r>
        <w:rPr>
          <w:rFonts w:ascii="Arial" w:cs="Arial" w:eastAsia="Arial" w:hAnsi="Arial"/>
          <w:sz w:val="17"/>
          <w:szCs w:val="17"/>
          <w:color w:val="000000"/>
        </w:rPr>
        <w:t>, (ii) with the net proceeds of any substantially concurrent issuance (other than to a Subsidiary) of additional Capital Stock of Parent (other than Disqualified Capital Stock) so long as such net proceeds are further contributed to the Obligor consummating such redemption and (iii) in the principal amount of such senior notes that have been converted into or exchanged for Capital Stock of Parent (other than Disqualified Capital Stock) and (b) make additional Restricted Payments in the amount of accrued and unpaid interest, premiums and reasonable expenses in respect of any such Redemptions, so long as in the case of this clause (b), (i) no Loan proceeds are used for such Restricted Payments and (ii) at the time thereof and immediately after giving effect thereto, the Aggregate Liquidity is at least $350,000,000;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firstLine="1296"/>
        <w:spacing w:after="0" w:line="255" w:lineRule="auto"/>
        <w:rPr>
          <w:sz w:val="20"/>
          <w:szCs w:val="20"/>
          <w:color w:val="auto"/>
        </w:rPr>
      </w:pPr>
      <w:r>
        <w:rPr>
          <w:rFonts w:ascii="Arial" w:cs="Arial" w:eastAsia="Arial" w:hAnsi="Arial"/>
          <w:sz w:val="18"/>
          <w:szCs w:val="18"/>
          <w:color w:val="auto"/>
        </w:rPr>
        <w:t xml:space="preserve">(f)            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any case, that the aggregate cash consideration paid for all such redemptions, repurchases or other acquisitions or retirements shall not exceed $10,000,000 during any calendar year;</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(g)            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Parent and each Restricted Subsidiary may make payments of cash in lieu of issuing fractional Capital Stock;</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            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18"/>
          <w:szCs w:val="18"/>
          <w:u w:val="single" w:color="auto"/>
          <w:color w:val="auto"/>
        </w:rPr>
        <w:t>Sections 9.02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9.05</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(j)            Restricted Payments constituting Permitted Intercompany Specified Transactions, so long as at the time of such Restricted Payment no Default or Event of Default then exists or would arise as a result of the applicable transaction;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Restricted Payments constituting Permitted Intercompany Treasury Management Transactions;</w:t>
      </w:r>
    </w:p>
    <w:p>
      <w:pPr>
        <w:spacing w:after="0" w:line="22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(l)            Parent and its Restricted Subsidiaries may make </w:t>
      </w:r>
      <w:r>
        <w:rPr>
          <w:rFonts w:ascii="Arial" w:cs="Arial" w:eastAsia="Arial" w:hAnsi="Arial"/>
          <w:sz w:val="18"/>
          <w:szCs w:val="18"/>
          <w:b w:val="1"/>
          <w:bCs w:val="1"/>
          <w:color w:val="FF0000"/>
          <w:strike w:val="1"/>
        </w:rPr>
        <w:t>other Restricted Payments described in clause (c) of the definition</w:t>
      </w:r>
      <w:r>
        <w:rPr>
          <w:rFonts w:ascii="Arial" w:cs="Arial" w:eastAsia="Arial" w:hAnsi="Arial"/>
          <w:sz w:val="18"/>
          <w:szCs w:val="18"/>
          <w:b w:val="1"/>
          <w:bCs w:val="1"/>
          <w:u w:val="single" w:color="auto"/>
          <w:color w:val="0000FF"/>
        </w:rPr>
        <w:t>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voluntary Redemption of any Indebtedness prior to the stated maturity</w:t>
      </w:r>
      <w:r>
        <w:rPr>
          <w:rFonts w:ascii="Arial" w:cs="Arial" w:eastAsia="Arial" w:hAnsi="Arial"/>
          <w:sz w:val="18"/>
          <w:szCs w:val="18"/>
          <w:b w:val="1"/>
          <w:bCs w:val="1"/>
          <w:color w:val="0000FF"/>
        </w:rPr>
        <w:t xml:space="preserve"> </w:t>
      </w:r>
      <w:r>
        <w:rPr>
          <w:rFonts w:ascii="Arial" w:cs="Arial" w:eastAsia="Arial" w:hAnsi="Arial"/>
          <w:sz w:val="18"/>
          <w:szCs w:val="18"/>
          <w:color w:val="000000"/>
        </w:rPr>
        <w:t>thereof, it being understood that no equity or dividend payments or other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distributions in respect of Capital Stock may be made pursuant to this </w:t>
      </w:r>
      <w:r>
        <w:rPr>
          <w:rFonts w:ascii="Arial" w:cs="Arial" w:eastAsia="Arial" w:hAnsi="Arial"/>
          <w:sz w:val="18"/>
          <w:szCs w:val="18"/>
          <w:u w:val="single" w:color="auto"/>
          <w:color w:val="000000"/>
        </w:rPr>
        <w:t>Section 9.08(l)</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at the time thereof and immediately after giving effect thereto, (i) the </w:t>
      </w:r>
      <w:r>
        <w:rPr>
          <w:rFonts w:ascii="Arial" w:cs="Arial" w:eastAsia="Arial" w:hAnsi="Arial"/>
          <w:sz w:val="18"/>
          <w:szCs w:val="18"/>
          <w:b w:val="1"/>
          <w:bCs w:val="1"/>
          <w:u w:val="single" w:color="auto"/>
          <w:color w:val="0000FF"/>
        </w:rPr>
        <w:t>Consolidated Net</w:t>
      </w:r>
      <w:r>
        <w:rPr>
          <w:rFonts w:ascii="Arial" w:cs="Arial" w:eastAsia="Arial" w:hAnsi="Arial"/>
          <w:sz w:val="18"/>
          <w:szCs w:val="18"/>
          <w:color w:val="000000"/>
        </w:rPr>
        <w:t xml:space="preserve"> Leverage Ratio (calculated both (x) as of the last day of the most recently ended period for which financial statements are available and (y) as of the last day of the most recently ended period for which financial statements are available as if such Restricted Payment had been made on the last day of such period) shall not exceed 2.50 to 1.00, (ii) no Default or Event of Default shall have occurred and be continuing and (iii) the Aggregate Liquidity is at least $300,000,000;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1296"/>
        <w:spacing w:after="0" w:line="296" w:lineRule="auto"/>
        <w:rPr>
          <w:sz w:val="20"/>
          <w:szCs w:val="20"/>
          <w:color w:val="auto"/>
        </w:rPr>
      </w:pPr>
      <w:r>
        <w:rPr>
          <w:rFonts w:ascii="Arial" w:cs="Arial" w:eastAsia="Arial" w:hAnsi="Arial"/>
          <w:sz w:val="16"/>
          <w:szCs w:val="16"/>
          <w:color w:val="auto"/>
        </w:rPr>
        <w:t xml:space="preserve">(m)            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w:t>
      </w:r>
      <w:r>
        <w:rPr>
          <w:rFonts w:ascii="Arial" w:cs="Arial" w:eastAsia="Arial" w:hAnsi="Arial"/>
          <w:sz w:val="16"/>
          <w:szCs w:val="16"/>
          <w:b w:val="1"/>
          <w:bCs w:val="1"/>
          <w:color w:val="FF0000"/>
          <w:strike w:val="1"/>
        </w:rPr>
        <w:t>and</w:t>
      </w:r>
    </w:p>
    <w:p>
      <w:pPr>
        <w:spacing w:after="0" w:line="161"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(n)            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w:t>
      </w:r>
    </w:p>
    <w:p>
      <w:pPr>
        <w:spacing w:after="0" w:line="1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u w:val="single" w:color="auto"/>
          <w:color w:val="0000FF"/>
        </w:rPr>
        <w:t xml:space="preserve">(o)            Parent and/or its Restricted Subsidiaries may make other Restricted Payments on or on account of its Capital Stock so long as, at the time thereof and immediately after giving effect thereto, (i) the Consolidated Net Leverage Ratio (calculated on a pro forma basis as of the last day of the most recently ended period for which financial statements are available as if such Restricted Payment had been made on the first day of such period) shall not exceed 2.00 to 1.00, </w:t>
      </w:r>
      <w:r>
        <w:rPr>
          <w:rFonts w:ascii="Arial" w:cs="Arial" w:eastAsia="Arial" w:hAnsi="Arial"/>
          <w:sz w:val="18"/>
          <w:szCs w:val="18"/>
          <w:i w:val="1"/>
          <w:iCs w:val="1"/>
          <w:u w:val="single" w:color="auto"/>
          <w:color w:val="008000"/>
        </w:rPr>
        <w:t>(ii) no Default or Event of Default shall have occurred and be continuing</w:t>
      </w:r>
      <w:r>
        <w:rPr>
          <w:rFonts w:ascii="Arial" w:cs="Arial" w:eastAsia="Arial" w:hAnsi="Arial"/>
          <w:sz w:val="18"/>
          <w:szCs w:val="18"/>
          <w:b w:val="1"/>
          <w:bCs w:val="1"/>
          <w:u w:val="single" w:color="auto"/>
          <w:color w:val="0000FF"/>
        </w:rPr>
        <w:t xml:space="preserve"> and (iii) the Aggregate Liquidity is at least $400,000,000;</w:t>
      </w:r>
    </w:p>
    <w:p>
      <w:pPr>
        <w:spacing w:after="0" w:line="183"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u w:val="single" w:color="auto"/>
          <w:color w:val="0000FF"/>
        </w:rPr>
        <w:t>(p)            Parent and its Restricted Subsidiaries may make the payment of any dividend or distribution within 60 days after the date of declaration thereof, if at the date of declaration such payment would have complied with the provisions of this Agreement;</w:t>
      </w:r>
    </w:p>
    <w:p>
      <w:pPr>
        <w:spacing w:after="0" w:line="14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u w:val="single" w:color="auto"/>
          <w:color w:val="0000FF"/>
        </w:rPr>
        <w:t>(q)            the Parent and/or any Restricted Subsidiary may make (i) any payments of cash interest on any Permitted Convertible Indebtedness, (ii) any payments of cash due upon required repurchase of any Permitted Convertible Indebtedness, (iii) any payments of cash due upon conversion or exchange of any Permitted Convertible Indebtedness up to the aggregate principal amount of such Permitted Convertible Indebtedness, (iv) any payments of cash in lieu of fractional ordinary shares of the Parent due upon conversion or exchange of any Permitted Convertible Indebtedness and/or (v) any deliveries of ordinary shares of the Parent due upon conversion or exchange of any Permitted Convertible Indebtedness, in each case, pursuant to the terms of any Permitted Convertible Indebtedness or any Guarantee thereof;</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u w:val="single" w:color="auto"/>
          <w:color w:val="0000FF"/>
        </w:rPr>
        <w:t>(r)            the Parent and/or any Restricted Subsidiary may pay the premium in respect of, and otherwise perform its obligations under, any Permitted Bond Hedge Transaction; and</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u w:val="single" w:color="auto"/>
          <w:color w:val="0000FF"/>
        </w:rPr>
        <w:t>(s)            the Parent may make any payments and/or deliveries required by the terms of, and otherwise perform its obligations under, any Permitted Warrant Transaction (including, without limitation, making payments and/or deliveries due upon exercise and settlement or termination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left="660"/>
        <w:spacing w:after="0"/>
        <w:tabs>
          <w:tab w:leader="none" w:pos="20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Minimum Liquidity</w:t>
      </w:r>
      <w:r>
        <w:rPr>
          <w:rFonts w:ascii="Arial" w:cs="Arial" w:eastAsia="Arial" w:hAnsi="Arial"/>
          <w:sz w:val="18"/>
          <w:szCs w:val="18"/>
          <w:color w:val="auto"/>
        </w:rPr>
        <w:t>. Parent shall not, at any time, permit Aggregate Liquidity to be less than $250,000,000.</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Minimum Interest Coverage</w:t>
      </w:r>
      <w:r>
        <w:rPr>
          <w:rFonts w:ascii="Arial" w:cs="Arial" w:eastAsia="Arial" w:hAnsi="Arial"/>
          <w:sz w:val="17"/>
          <w:szCs w:val="17"/>
          <w:color w:val="auto"/>
        </w:rPr>
        <w:t>. Parent shall not permit the Interest Coverage Ratio as of the last day of any Fiscal Quarter to be less than (i) for the Testing Period ending September 30, 2022, 2.00 to 1.00 and (ii) for any Testing Period ending thereafter, 2.50 to 1.00.</w:t>
      </w:r>
    </w:p>
    <w:p>
      <w:pPr>
        <w:spacing w:after="0" w:line="14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Maximum Leverage</w:t>
      </w:r>
      <w:r>
        <w:rPr>
          <w:rFonts w:ascii="Arial" w:cs="Arial" w:eastAsia="Arial" w:hAnsi="Arial"/>
          <w:sz w:val="18"/>
          <w:szCs w:val="18"/>
          <w:color w:val="auto"/>
        </w:rPr>
        <w:t xml:space="preserve">. Commencing with the Fiscal Quarter ending September 30, 2022, Parent shall not permit the </w:t>
      </w:r>
      <w:r>
        <w:rPr>
          <w:rFonts w:ascii="Arial" w:cs="Arial" w:eastAsia="Arial" w:hAnsi="Arial"/>
          <w:sz w:val="18"/>
          <w:szCs w:val="18"/>
          <w:b w:val="1"/>
          <w:bCs w:val="1"/>
          <w:u w:val="single" w:color="auto"/>
          <w:color w:val="0000FF"/>
        </w:rPr>
        <w:t>Consolidated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Net</w:t>
      </w:r>
      <w:r>
        <w:rPr>
          <w:rFonts w:ascii="Arial" w:cs="Arial" w:eastAsia="Arial" w:hAnsi="Arial"/>
          <w:sz w:val="18"/>
          <w:szCs w:val="18"/>
          <w:b w:val="1"/>
          <w:bCs w:val="1"/>
          <w:color w:val="0000FF"/>
        </w:rPr>
        <w:t xml:space="preserve"> </w:t>
      </w:r>
      <w:r>
        <w:rPr>
          <w:rFonts w:ascii="Arial" w:cs="Arial" w:eastAsia="Arial" w:hAnsi="Arial"/>
          <w:sz w:val="18"/>
          <w:szCs w:val="18"/>
          <w:color w:val="000000"/>
        </w:rPr>
        <w:t>Leverage Ratio as of the last day of any Fiscal Quarter to exceed (i) for any Testing Period ending prior to June 30, 2023, 4.00 to 1.00 and (ii) for any</w:t>
      </w:r>
      <w:r>
        <w:rPr>
          <w:rFonts w:ascii="Arial" w:cs="Arial" w:eastAsia="Arial" w:hAnsi="Arial"/>
          <w:sz w:val="18"/>
          <w:szCs w:val="18"/>
          <w:b w:val="1"/>
          <w:bCs w:val="1"/>
          <w:color w:val="0000FF"/>
        </w:rPr>
        <w:t xml:space="preserve"> </w:t>
      </w:r>
      <w:r>
        <w:rPr>
          <w:rFonts w:ascii="Arial" w:cs="Arial" w:eastAsia="Arial" w:hAnsi="Arial"/>
          <w:sz w:val="18"/>
          <w:szCs w:val="18"/>
          <w:color w:val="000000"/>
        </w:rPr>
        <w:t>Testing Period ending on or after June 30, 2023, 3.50 to 1.00.</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u w:val="single" w:color="auto"/>
          <w:color w:val="0000FF"/>
        </w:rPr>
        <w:t>(d)            Maximum Secured Leverage. Commencing with the Fiscal Quarter ending December 31, 2023, Parent shall not permit the Consolidated Secured Net Leverage Ratio as of the last day of any Fiscal Quarter to exceed 1.50 to 1.00.</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Limitation on Transactions with Affiliates</w:t>
      </w:r>
      <w:r>
        <w:rPr>
          <w:rFonts w:ascii="Arial" w:cs="Arial" w:eastAsia="Arial" w:hAnsi="Arial"/>
          <w:sz w:val="16"/>
          <w:szCs w:val="16"/>
          <w:color w:val="auto"/>
        </w:rPr>
        <w:t xml:space="preserve">.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6"/>
          <w:szCs w:val="16"/>
          <w:u w:val="single" w:color="auto"/>
          <w:color w:val="auto"/>
        </w:rPr>
        <w:t>Section 9.06</w:t>
      </w:r>
      <w:r>
        <w:rPr>
          <w:rFonts w:ascii="Arial" w:cs="Arial" w:eastAsia="Arial" w:hAnsi="Arial"/>
          <w:sz w:val="16"/>
          <w:szCs w:val="16"/>
          <w:color w:val="auto"/>
        </w:rPr>
        <w:t>; (ii) the payment of reasonable and customary regular fees to directors of an Obligor or a Restricted Subsidiary of such Obligor who are not employees of such Obligor;</w:t>
      </w:r>
    </w:p>
    <w:p>
      <w:pPr>
        <w:spacing w:after="0" w:line="1" w:lineRule="exact"/>
        <w:rPr>
          <w:sz w:val="20"/>
          <w:szCs w:val="20"/>
          <w:color w:val="auto"/>
        </w:rPr>
      </w:pPr>
    </w:p>
    <w:p>
      <w:pPr>
        <w:jc w:val="both"/>
        <w:ind w:firstLine="8"/>
        <w:spacing w:after="0" w:line="281" w:lineRule="auto"/>
        <w:tabs>
          <w:tab w:leader="none" w:pos="32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w:t>
      </w:r>
    </w:p>
    <w:p>
      <w:pPr>
        <w:spacing w:after="0" w:line="1" w:lineRule="exact"/>
        <w:rPr>
          <w:rFonts w:ascii="Arial" w:cs="Arial" w:eastAsia="Arial" w:hAnsi="Arial"/>
          <w:sz w:val="16"/>
          <w:szCs w:val="16"/>
          <w:color w:val="auto"/>
        </w:rPr>
      </w:pPr>
    </w:p>
    <w:p>
      <w:pPr>
        <w:jc w:val="both"/>
        <w:ind w:firstLine="8"/>
        <w:spacing w:after="0" w:line="302" w:lineRule="auto"/>
        <w:tabs>
          <w:tab w:leader="none" w:pos="34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1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Parent shall not, and shall not permit any Restricted Subsidiary to, directly or indirectly, enter into, incur, create or permit to exist any Restrictive Agreement, except for:</w:t>
      </w:r>
    </w:p>
    <w:p>
      <w:pPr>
        <w:spacing w:after="0" w:line="166"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(a)            limitations or restrictions contained in any Loan Document, the Senior Secured Notes Indenture</w:t>
      </w:r>
      <w:r>
        <w:rPr>
          <w:rFonts w:ascii="Arial" w:cs="Arial" w:eastAsia="Arial" w:hAnsi="Arial"/>
          <w:sz w:val="18"/>
          <w:szCs w:val="18"/>
          <w:b w:val="1"/>
          <w:bCs w:val="1"/>
          <w:color w:val="FF0000"/>
          <w:strike w:val="1"/>
        </w:rPr>
        <w:t>, the Exit Senior Notes</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Indenture</w:t>
      </w:r>
      <w:r>
        <w:rPr>
          <w:rFonts w:ascii="Arial" w:cs="Arial" w:eastAsia="Arial" w:hAnsi="Arial"/>
          <w:sz w:val="18"/>
          <w:szCs w:val="18"/>
          <w:b w:val="1"/>
          <w:bCs w:val="1"/>
          <w:color w:val="FF0000"/>
        </w:rPr>
        <w:t xml:space="preserve"> </w:t>
      </w:r>
      <w:r>
        <w:rPr>
          <w:rFonts w:ascii="Arial" w:cs="Arial" w:eastAsia="Arial" w:hAnsi="Arial"/>
          <w:sz w:val="18"/>
          <w:szCs w:val="18"/>
          <w:color w:val="000000"/>
        </w:rPr>
        <w:t>or the Senior Notes Indenture;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limitations or restrictions existing under or by reason of any Requirement of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311" w:lineRule="auto"/>
        <w:rPr>
          <w:sz w:val="20"/>
          <w:szCs w:val="20"/>
          <w:color w:val="auto"/>
        </w:rPr>
      </w:pPr>
      <w:r>
        <w:rPr>
          <w:rFonts w:ascii="Arial" w:cs="Arial" w:eastAsia="Arial" w:hAnsi="Arial"/>
          <w:sz w:val="16"/>
          <w:szCs w:val="16"/>
          <w:color w:val="auto"/>
        </w:rPr>
        <w:t xml:space="preserve">(c)            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apply only to the Restricted Subsidiary that is, or assets that are, the subject of such Disposition and such Disposition is permitted hereunder;</w:t>
      </w:r>
    </w:p>
    <w:p>
      <w:pPr>
        <w:spacing w:after="0" w:line="14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(d)            limitations or restrictions contained in contracts and agreements outstanding on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and renewals, extensions, refinancings or replacements thereof identified on </w:t>
      </w:r>
      <w:r>
        <w:rPr>
          <w:rFonts w:ascii="Arial" w:cs="Arial" w:eastAsia="Arial" w:hAnsi="Arial"/>
          <w:sz w:val="18"/>
          <w:szCs w:val="18"/>
          <w:u w:val="single" w:color="auto"/>
          <w:color w:val="auto"/>
        </w:rPr>
        <w:t>Schedule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restrictions set forth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(e)            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(f)            (i) the definition of “Restrictive Agreements” shall not apply to restrictions or conditions imposed by any agreement relating to secured Indebtedness permitted by this Agreement or Liens permitted under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(g)            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customary restrictions and conditions contained in Permitted Factoring Transaction Documents; and</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(i)            limitations or restrictions contained in the definitive documentation for any Indebtedness permitted under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limitations and restrictions, taken as a whole, are not materially more restrictive than those set forth in this Agreement.</w:t>
      </w:r>
    </w:p>
    <w:p>
      <w:pPr>
        <w:spacing w:after="0" w:line="14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(a)            Parent and the Borrowers shall not, and Parent shall not permit any of its other Subsidiaries to, arrange for any Extension of Credit for any purpose other than general corporate purposes of Parent and its Restricted Subsidiaries (to the extent otherwise permitted hereunder).</w:t>
      </w:r>
    </w:p>
    <w:p>
      <w:pPr>
        <w:spacing w:after="0" w:line="14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(b)            Parent shall not, nor shall it permit any of its Subsidiaries to, use any Letter of Credit or the proceeds of any of the Loans or Letter of Credit under this Agreement directly or indirectly for the purpose of buying or carrying any “margin stock” within the meaning of Regulation U (herein called “</w:t>
      </w:r>
      <w:r>
        <w:rPr>
          <w:rFonts w:ascii="Arial" w:cs="Arial" w:eastAsia="Arial" w:hAnsi="Arial"/>
          <w:sz w:val="16"/>
          <w:szCs w:val="16"/>
          <w:u w:val="single" w:color="auto"/>
          <w:color w:val="auto"/>
        </w:rPr>
        <w:t>margin stock</w:t>
      </w:r>
      <w:r>
        <w:rPr>
          <w:rFonts w:ascii="Arial" w:cs="Arial" w:eastAsia="Arial" w:hAnsi="Arial"/>
          <w:sz w:val="16"/>
          <w:szCs w:val="16"/>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296"/>
        <w:spacing w:after="0" w:line="273" w:lineRule="auto"/>
        <w:rPr>
          <w:sz w:val="20"/>
          <w:szCs w:val="20"/>
          <w:color w:val="auto"/>
        </w:rPr>
      </w:pPr>
      <w:r>
        <w:rPr>
          <w:rFonts w:ascii="Arial" w:cs="Arial" w:eastAsia="Arial" w:hAnsi="Arial"/>
          <w:sz w:val="17"/>
          <w:szCs w:val="17"/>
          <w:color w:val="auto"/>
        </w:rPr>
        <w:t>(c)            No Borrower will request any Extension of Credit, and Parent shall not use or otherwise make available, and shall procure that its Subsidiaries and its or their respective directors, officers, employees and agents shall not use or otherwise make available,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7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Changes to Fiscal Year</w:t>
      </w:r>
      <w:r>
        <w:rPr>
          <w:rFonts w:ascii="Arial" w:cs="Arial" w:eastAsia="Arial" w:hAnsi="Arial"/>
          <w:sz w:val="16"/>
          <w:szCs w:val="16"/>
          <w:color w:val="auto"/>
        </w:rPr>
        <w:t>. Parent will not change its Fiscal Year from the basis in effect on the Effective Date.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Amendments to Documents Governing Certain Indebtedness</w:t>
      </w:r>
      <w:r>
        <w:rPr>
          <w:rFonts w:ascii="Arial" w:cs="Arial" w:eastAsia="Arial" w:hAnsi="Arial"/>
          <w:sz w:val="18"/>
          <w:szCs w:val="18"/>
          <w:color w:val="auto"/>
        </w:rPr>
        <w:t xml:space="preserve">. Parent shall not, and shall not permit any Restricted Subsidiary to, amend or otherwise modify any of the documentation governing (a) (i) the Senior Secured Notes or any Permitted Refinancing Indebtedness in respect thereof, (ii) any </w:t>
      </w:r>
      <w:r>
        <w:rPr>
          <w:rFonts w:ascii="Arial" w:cs="Arial" w:eastAsia="Arial" w:hAnsi="Arial"/>
          <w:sz w:val="18"/>
          <w:szCs w:val="18"/>
          <w:b w:val="1"/>
          <w:bCs w:val="1"/>
          <w:color w:val="FF0000"/>
          <w:strike w:val="1"/>
        </w:rPr>
        <w:t>Exit Senior Notes or Permitted Refinancing Indebtedness in respect thereof, (iii) any</w:t>
      </w:r>
      <w:r>
        <w:rPr>
          <w:rFonts w:ascii="Arial" w:cs="Arial" w:eastAsia="Arial" w:hAnsi="Arial"/>
          <w:sz w:val="18"/>
          <w:szCs w:val="18"/>
          <w:color w:val="auto"/>
        </w:rPr>
        <w:t xml:space="preserve"> Senior Notes or Permitted Refinancing Indebtedness in respect thereof or (</w:t>
      </w:r>
      <w:r>
        <w:rPr>
          <w:rFonts w:ascii="Arial" w:cs="Arial" w:eastAsia="Arial" w:hAnsi="Arial"/>
          <w:sz w:val="18"/>
          <w:szCs w:val="18"/>
          <w:b w:val="1"/>
          <w:bCs w:val="1"/>
          <w:color w:val="FF0000"/>
          <w:strike w:val="1"/>
        </w:rPr>
        <w:t>iv</w:t>
      </w:r>
      <w:r>
        <w:rPr>
          <w:rFonts w:ascii="Arial" w:cs="Arial" w:eastAsia="Arial" w:hAnsi="Arial"/>
          <w:sz w:val="18"/>
          <w:szCs w:val="18"/>
          <w:b w:val="1"/>
          <w:bCs w:val="1"/>
          <w:u w:val="single" w:color="auto"/>
          <w:color w:val="0000FF"/>
        </w:rPr>
        <w:t>iii</w:t>
      </w:r>
      <w:r>
        <w:rPr>
          <w:rFonts w:ascii="Arial" w:cs="Arial" w:eastAsia="Arial" w:hAnsi="Arial"/>
          <w:sz w:val="18"/>
          <w:szCs w:val="18"/>
          <w:color w:val="auto"/>
        </w:rPr>
        <w:t xml:space="preserve">) any Permitted Refinancing Indebtedness in respect thereof, in each case to the extent that any such amendment or other modification, taken as a whole, would be materially adverse to the Lenders, (b) except as permitted by </w:t>
      </w:r>
      <w:r>
        <w:rPr>
          <w:rFonts w:ascii="Arial" w:cs="Arial" w:eastAsia="Arial" w:hAnsi="Arial"/>
          <w:sz w:val="18"/>
          <w:szCs w:val="18"/>
          <w:u w:val="single" w:color="auto"/>
          <w:color w:val="auto"/>
        </w:rPr>
        <w:t>Section 9.01(i)(iii)</w:t>
      </w:r>
      <w:r>
        <w:rPr>
          <w:rFonts w:ascii="Arial" w:cs="Arial" w:eastAsia="Arial" w:hAnsi="Arial"/>
          <w:sz w:val="18"/>
          <w:szCs w:val="18"/>
          <w:color w:val="auto"/>
        </w:rPr>
        <w:t xml:space="preserve">, any unsecured Indebtedness incurred pursuant to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to reduce the stated maturity of any such Indebtedness to be sooner than 91 days after the Maturity Date or (c) any Subordinated Indebtedness incurred pursuant to </w:t>
      </w:r>
      <w:r>
        <w:rPr>
          <w:rFonts w:ascii="Arial" w:cs="Arial" w:eastAsia="Arial" w:hAnsi="Arial"/>
          <w:sz w:val="18"/>
          <w:szCs w:val="18"/>
          <w:u w:val="single" w:color="auto"/>
          <w:color w:val="auto"/>
        </w:rPr>
        <w:t>Section 9.01(j)</w:t>
      </w:r>
      <w:r>
        <w:rPr>
          <w:rFonts w:ascii="Arial" w:cs="Arial" w:eastAsia="Arial" w:hAnsi="Arial"/>
          <w:sz w:val="18"/>
          <w:szCs w:val="18"/>
          <w:color w:val="auto"/>
        </w:rPr>
        <w:t xml:space="preserve"> to amend or otherwise modify the subordination terms of such Indebtedness in a manner adverse to the Lenders.</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Limitation on Equity Issuances</w:t>
      </w:r>
      <w:r>
        <w:rPr>
          <w:rFonts w:ascii="Arial" w:cs="Arial" w:eastAsia="Arial" w:hAnsi="Arial"/>
          <w:sz w:val="17"/>
          <w:szCs w:val="17"/>
          <w:color w:val="auto"/>
        </w:rPr>
        <w:t xml:space="preserve">. Parent will not issue or sell any of its Capital Stock, except for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the issuance or sale of Qualified Capital Stock</w:t>
      </w:r>
      <w:r>
        <w:rPr>
          <w:rFonts w:ascii="Arial" w:cs="Arial" w:eastAsia="Arial" w:hAnsi="Arial"/>
          <w:sz w:val="17"/>
          <w:szCs w:val="17"/>
          <w:b w:val="1"/>
          <w:bCs w:val="1"/>
          <w:u w:val="single" w:color="auto"/>
          <w:color w:val="0000FF"/>
        </w:rPr>
        <w:t>, (b) the issuance of any Permitted Convertible Indebtedness and (c) the sale of any Permitted Warrant Transaction</w:t>
      </w:r>
      <w:r>
        <w:rPr>
          <w:rFonts w:ascii="Arial" w:cs="Arial" w:eastAsia="Arial" w:hAnsi="Arial"/>
          <w:sz w:val="17"/>
          <w:szCs w:val="17"/>
          <w:color w:val="auto"/>
        </w:rPr>
        <w:t>.</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FF0000"/>
          <w:strike w:val="1"/>
        </w:rPr>
        <w:t xml:space="preserve">SECTION 9.16 </w:t>
      </w:r>
      <w:r>
        <w:rPr>
          <w:rFonts w:ascii="Arial" w:cs="Arial" w:eastAsia="Arial" w:hAnsi="Arial"/>
          <w:sz w:val="18"/>
          <w:szCs w:val="18"/>
          <w:b w:val="1"/>
          <w:bCs w:val="1"/>
          <w:u w:val="single" w:color="auto"/>
          <w:color w:val="FF0000"/>
          <w:strike w:val="1"/>
        </w:rPr>
        <w:t>Book Value of Assets</w:t>
      </w:r>
      <w:r>
        <w:rPr>
          <w:rFonts w:ascii="Arial" w:cs="Arial" w:eastAsia="Arial" w:hAnsi="Arial"/>
          <w:sz w:val="18"/>
          <w:szCs w:val="18"/>
          <w:b w:val="1"/>
          <w:bCs w:val="1"/>
          <w:color w:val="FF0000"/>
          <w:strike w:val="1"/>
        </w:rPr>
        <w:t xml:space="preserve">. Notwithstanding the foregoing provisions of this </w:t>
      </w:r>
      <w:r>
        <w:rPr>
          <w:rFonts w:ascii="Arial" w:cs="Arial" w:eastAsia="Arial" w:hAnsi="Arial"/>
          <w:sz w:val="18"/>
          <w:szCs w:val="18"/>
          <w:b w:val="1"/>
          <w:bCs w:val="1"/>
          <w:u w:val="single" w:color="auto"/>
          <w:color w:val="FF0000"/>
          <w:strike w:val="1"/>
        </w:rPr>
        <w:t>Article IX</w:t>
      </w:r>
      <w:r>
        <w:rPr>
          <w:rFonts w:ascii="Arial" w:cs="Arial" w:eastAsia="Arial" w:hAnsi="Arial"/>
          <w:sz w:val="18"/>
          <w:szCs w:val="18"/>
          <w:b w:val="1"/>
          <w:bCs w:val="1"/>
          <w:color w:val="FF0000"/>
          <w:strike w:val="1"/>
        </w:rPr>
        <w:t xml:space="preserve">, Parent shall not, and shall not 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w:t>
      </w:r>
      <w:r>
        <w:rPr>
          <w:rFonts w:ascii="Arial" w:cs="Arial" w:eastAsia="Arial" w:hAnsi="Arial"/>
          <w:sz w:val="18"/>
          <w:szCs w:val="18"/>
          <w:b w:val="1"/>
          <w:bCs w:val="1"/>
          <w:u w:val="single" w:color="auto"/>
          <w:color w:val="FF0000"/>
          <w:strike w:val="1"/>
        </w:rPr>
        <w:t>Section 8.09</w:t>
      </w:r>
      <w:r>
        <w:rPr>
          <w:rFonts w:ascii="Arial" w:cs="Arial" w:eastAsia="Arial" w:hAnsi="Arial"/>
          <w:sz w:val="18"/>
          <w:szCs w:val="18"/>
          <w:b w:val="1"/>
          <w:bCs w:val="1"/>
          <w:color w:val="FF0000"/>
          <w:strike w:val="1"/>
        </w:rPr>
        <w:t xml:space="preserve">, or any of the transactions contemplated by </w:t>
      </w:r>
      <w:r>
        <w:rPr>
          <w:rFonts w:ascii="Arial" w:cs="Arial" w:eastAsia="Arial" w:hAnsi="Arial"/>
          <w:sz w:val="18"/>
          <w:szCs w:val="18"/>
          <w:b w:val="1"/>
          <w:bCs w:val="1"/>
          <w:u w:val="single" w:color="auto"/>
          <w:color w:val="FF0000"/>
          <w:strike w:val="1"/>
        </w:rPr>
        <w:t>Section 9.01(d)(iv)</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9.01(d)(v)</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9.02(c)(ii)</w:t>
      </w:r>
      <w:r>
        <w:rPr>
          <w:rFonts w:ascii="Arial" w:cs="Arial" w:eastAsia="Arial" w:hAnsi="Arial"/>
          <w:sz w:val="18"/>
          <w:szCs w:val="18"/>
          <w:b w:val="1"/>
          <w:bCs w:val="1"/>
          <w:color w:val="FF0000"/>
          <w:strike w:val="1"/>
        </w:rPr>
        <w:t xml:space="preserve"> (other than in the case of any winding up, liquidation or dissolution of a Restricted Subsidiary all of the Capital Stock of which is directly owned by one or more Obligors), </w:t>
      </w:r>
      <w:r>
        <w:rPr>
          <w:rFonts w:ascii="Arial" w:cs="Arial" w:eastAsia="Arial" w:hAnsi="Arial"/>
          <w:sz w:val="18"/>
          <w:szCs w:val="18"/>
          <w:b w:val="1"/>
          <w:bCs w:val="1"/>
          <w:u w:val="single" w:color="auto"/>
          <w:color w:val="FF0000"/>
          <w:strike w:val="1"/>
        </w:rPr>
        <w:t>9.02(c)(ii)</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9.05(j)</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9.05(n)</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9.06(t)</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9.08(c)(ii)</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9.08(e)</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9.08(l)</w:t>
      </w:r>
      <w:r>
        <w:rPr>
          <w:rFonts w:ascii="Arial" w:cs="Arial" w:eastAsia="Arial" w:hAnsi="Arial"/>
          <w:sz w:val="18"/>
          <w:szCs w:val="18"/>
          <w:b w:val="1"/>
          <w:bCs w:val="1"/>
          <w:color w:val="FF0000"/>
          <w:strike w:val="1"/>
        </w:rPr>
        <w:t xml:space="preserve"> or </w:t>
      </w:r>
      <w:r>
        <w:rPr>
          <w:rFonts w:ascii="Arial" w:cs="Arial" w:eastAsia="Arial" w:hAnsi="Arial"/>
          <w:sz w:val="18"/>
          <w:szCs w:val="18"/>
          <w:b w:val="1"/>
          <w:bCs w:val="1"/>
          <w:u w:val="single" w:color="auto"/>
          <w:color w:val="FF0000"/>
          <w:strike w:val="1"/>
        </w:rPr>
        <w:t>9.08(m)</w:t>
      </w:r>
      <w:r>
        <w:rPr>
          <w:rFonts w:ascii="Arial" w:cs="Arial" w:eastAsia="Arial" w:hAnsi="Arial"/>
          <w:sz w:val="18"/>
          <w:szCs w:val="18"/>
          <w:b w:val="1"/>
          <w:bCs w:val="1"/>
          <w:color w:val="FF0000"/>
          <w:strike w:val="1"/>
        </w:rPr>
        <w:t xml:space="preserve"> if, after giving effect thereto, the Book Value of Assets would be less than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278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27875" cy="889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1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Events of Default and Remedies</w:t>
      </w:r>
      <w:r>
        <w:rPr>
          <w:rFonts w:ascii="Arial" w:cs="Arial" w:eastAsia="Arial" w:hAnsi="Arial"/>
          <w:sz w:val="16"/>
          <w:szCs w:val="16"/>
          <w:color w:val="auto"/>
        </w:rPr>
        <w:t>. If any of the following events (“</w:t>
      </w:r>
      <w:r>
        <w:rPr>
          <w:rFonts w:ascii="Arial" w:cs="Arial" w:eastAsia="Arial" w:hAnsi="Arial"/>
          <w:sz w:val="16"/>
          <w:szCs w:val="16"/>
          <w:u w:val="single" w:color="auto"/>
          <w:color w:val="auto"/>
        </w:rPr>
        <w:t>Events of Default</w:t>
      </w:r>
      <w:r>
        <w:rPr>
          <w:rFonts w:ascii="Arial" w:cs="Arial" w:eastAsia="Arial" w:hAnsi="Arial"/>
          <w:sz w:val="16"/>
          <w:szCs w:val="16"/>
          <w:color w:val="auto"/>
        </w:rPr>
        <w:t>”) shall occur and be continuing: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(a)            (i) A Borrower shall default in any payment of principal of any Loan or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Arial" w:cs="Arial" w:eastAsia="Arial" w:hAnsi="Arial"/>
          <w:sz w:val="16"/>
          <w:szCs w:val="16"/>
          <w:u w:val="single" w:color="auto"/>
          <w:color w:val="auto"/>
        </w:rPr>
        <w:t>Section 3.01(k)</w:t>
      </w:r>
      <w:r>
        <w:rPr>
          <w:rFonts w:ascii="Arial" w:cs="Arial" w:eastAsia="Arial" w:hAnsi="Arial"/>
          <w:sz w:val="16"/>
          <w:szCs w:val="16"/>
          <w:color w:val="auto"/>
        </w:rPr>
        <w:t xml:space="preserve"> </w:t>
      </w:r>
      <w:r>
        <w:rPr>
          <w:rFonts w:ascii="Arial" w:cs="Arial" w:eastAsia="Arial" w:hAnsi="Arial"/>
          <w:sz w:val="16"/>
          <w:szCs w:val="16"/>
          <w:b w:val="1"/>
          <w:bCs w:val="1"/>
          <w:color w:val="0000FF"/>
        </w:rPr>
        <w:t>or Section 3.01(q) (subject to the proviso set forth therein)</w:t>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29940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99402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-6350</wp:posOffset>
            </wp:positionV>
            <wp:extent cx="29940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994025" cy="8255"/>
                    </a:xfrm>
                    <a:prstGeom prst="rect">
                      <a:avLst/>
                    </a:prstGeom>
                    <a:noFill/>
                  </pic:spPr>
                </pic:pic>
              </a:graphicData>
            </a:graphic>
          </wp:anchor>
        </w:drawing>
      </w:r>
    </w:p>
    <w:p>
      <w:pPr>
        <w:jc w:val="both"/>
        <w:ind w:firstLine="8"/>
        <w:spacing w:after="0" w:line="255" w:lineRule="auto"/>
        <w:tabs>
          <w:tab w:leader="none" w:pos="2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any interest on any Obligation, any fee or any other amount (other than an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payable hereunder or any other Loan Document shall not be paid within five (5) Business Days following the date on which the payment of such interest, fee or other amount is due; or</w:t>
      </w:r>
    </w:p>
    <w:p>
      <w:pPr>
        <w:spacing w:after="0" w:line="19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            any representation or warranty made or, for purposes of </w:t>
      </w:r>
      <w:r>
        <w:rPr>
          <w:rFonts w:ascii="Arial" w:cs="Arial" w:eastAsia="Arial" w:hAnsi="Arial"/>
          <w:sz w:val="18"/>
          <w:szCs w:val="18"/>
          <w:u w:val="single" w:color="auto"/>
          <w:color w:val="auto"/>
        </w:rPr>
        <w:t>Article VI</w:t>
      </w:r>
      <w:r>
        <w:rPr>
          <w:rFonts w:ascii="Arial" w:cs="Arial" w:eastAsia="Arial" w:hAnsi="Arial"/>
          <w:sz w:val="18"/>
          <w:szCs w:val="18"/>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(c)            any Obligor shall fail to (i) perform or observe any covenant, condition or agreement contained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(with respect to the existence of any Obligor) or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(ii) fail to give any notice required by </w:t>
      </w:r>
      <w:r>
        <w:rPr>
          <w:rFonts w:ascii="Arial" w:cs="Arial" w:eastAsia="Arial" w:hAnsi="Arial"/>
          <w:sz w:val="18"/>
          <w:szCs w:val="18"/>
          <w:u w:val="single" w:color="auto"/>
          <w:color w:val="auto"/>
        </w:rPr>
        <w:t>Section 8.01(d)(ii)</w:t>
      </w:r>
      <w:r>
        <w:rPr>
          <w:rFonts w:ascii="Arial" w:cs="Arial" w:eastAsia="Arial" w:hAnsi="Arial"/>
          <w:sz w:val="18"/>
          <w:szCs w:val="18"/>
          <w:color w:val="auto"/>
        </w:rPr>
        <w:t>; or</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(d)            (i) any Obligor shall fail to give any notice required by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8.01(d)(ii)</w:t>
      </w:r>
      <w:r>
        <w:rPr>
          <w:rFonts w:ascii="Arial" w:cs="Arial" w:eastAsia="Arial" w:hAnsi="Arial"/>
          <w:sz w:val="16"/>
          <w:szCs w:val="16"/>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(other than with respect to the existence of any Obligor),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8.14</w:t>
      </w:r>
      <w:r>
        <w:rPr>
          <w:rFonts w:ascii="Arial" w:cs="Arial" w:eastAsia="Arial" w:hAnsi="Arial"/>
          <w:sz w:val="16"/>
          <w:szCs w:val="16"/>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1296"/>
        <w:spacing w:after="0" w:line="301" w:lineRule="auto"/>
        <w:rPr>
          <w:sz w:val="20"/>
          <w:szCs w:val="20"/>
          <w:color w:val="auto"/>
        </w:rPr>
      </w:pPr>
      <w:r>
        <w:rPr>
          <w:rFonts w:ascii="Arial" w:cs="Arial" w:eastAsia="Arial" w:hAnsi="Arial"/>
          <w:sz w:val="16"/>
          <w:szCs w:val="16"/>
          <w:color w:val="auto"/>
        </w:rPr>
        <w:t xml:space="preserve">(e)            Parent or any Obligor shall fail to perform or observe any other term, covenant or agreement contained in this Agreement (other than those specified in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10.01(d)</w:t>
      </w:r>
      <w:r>
        <w:rPr>
          <w:rFonts w:ascii="Arial" w:cs="Arial" w:eastAsia="Arial" w:hAnsi="Arial"/>
          <w:sz w:val="16"/>
          <w:szCs w:val="16"/>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5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(f)            (i)(A) any Obligor or its Restricted Subsidiary shall fail to make any payment (whether of principal, interest or otherwise and regardless of amount) in respect of any Material Indebtedness, when and as the same shall become due and payable, after giving effect to any grace period with respect thereto or (B) there is an event of default with respect to any Material Indebtedness and such default results in a right by the holder of such Material Indebtedness, irrespective of whether exercised, to accelerate the maturity of such Obligor’s or its Restricted Subsidiary’s obligations thereunder, or (ii) an event of default under (A) the Senior Secured Notes Indenture</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or</w:t>
      </w:r>
      <w:r>
        <w:rPr>
          <w:rFonts w:ascii="Arial" w:cs="Arial" w:eastAsia="Arial" w:hAnsi="Arial"/>
          <w:sz w:val="16"/>
          <w:szCs w:val="16"/>
          <w:color w:val="auto"/>
        </w:rPr>
        <w:t xml:space="preserve"> (B</w:t>
      </w:r>
      <w:r>
        <w:rPr>
          <w:rFonts w:ascii="Arial" w:cs="Arial" w:eastAsia="Arial" w:hAnsi="Arial"/>
          <w:sz w:val="16"/>
          <w:szCs w:val="16"/>
          <w:b w:val="1"/>
          <w:bCs w:val="1"/>
          <w:color w:val="FF0000"/>
          <w:strike w:val="1"/>
        </w:rPr>
        <w:t>) the Exit Senior Notes Indenture or (C</w:t>
      </w:r>
      <w:r>
        <w:rPr>
          <w:rFonts w:ascii="Arial" w:cs="Arial" w:eastAsia="Arial" w:hAnsi="Arial"/>
          <w:sz w:val="16"/>
          <w:szCs w:val="16"/>
          <w:color w:val="auto"/>
        </w:rPr>
        <w:t>) the Senior Notes Indenture; or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            [reserved];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an Insolvency Proceeding is commenced by an Obligor or any of its Material Subsidiaries; or</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(j)            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a Material Subsidiary, or (e) an order for relief shall have been issued or entered therein; or</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(k)            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judgment or order provides for any Obligor or any Restricted Subsidiary to make periodic payments over time, no Event of Default shall arise under this </w:t>
      </w:r>
      <w:r>
        <w:rPr>
          <w:rFonts w:ascii="Arial" w:cs="Arial" w:eastAsia="Arial" w:hAnsi="Arial"/>
          <w:sz w:val="17"/>
          <w:szCs w:val="17"/>
          <w:u w:val="single" w:color="auto"/>
          <w:color w:val="auto"/>
        </w:rPr>
        <w:t>clause (k)</w:t>
      </w:r>
      <w:r>
        <w:rPr>
          <w:rFonts w:ascii="Arial" w:cs="Arial" w:eastAsia="Arial" w:hAnsi="Arial"/>
          <w:sz w:val="17"/>
          <w:szCs w:val="17"/>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1296"/>
        <w:spacing w:after="0" w:line="275" w:lineRule="auto"/>
        <w:rPr>
          <w:sz w:val="20"/>
          <w:szCs w:val="20"/>
          <w:color w:val="auto"/>
        </w:rPr>
      </w:pPr>
      <w:r>
        <w:rPr>
          <w:rFonts w:ascii="Arial" w:cs="Arial" w:eastAsia="Arial" w:hAnsi="Arial"/>
          <w:sz w:val="17"/>
          <w:szCs w:val="17"/>
          <w:color w:val="auto"/>
        </w:rPr>
        <w:t>(l)            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7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(m)            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(n)            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1296"/>
        <w:spacing w:after="0" w:line="311" w:lineRule="auto"/>
        <w:rPr>
          <w:sz w:val="20"/>
          <w:szCs w:val="20"/>
          <w:color w:val="auto"/>
        </w:rPr>
      </w:pPr>
      <w:r>
        <w:rPr>
          <w:rFonts w:ascii="Arial" w:cs="Arial" w:eastAsia="Arial" w:hAnsi="Arial"/>
          <w:sz w:val="16"/>
          <w:szCs w:val="16"/>
          <w:color w:val="auto"/>
        </w:rPr>
        <w:t>(o)            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4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(p)            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            a Change of Control shall occur, whether directly or indirectly;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then, and in every such event (other than an event with respect to any Obligor described in </w:t>
      </w:r>
      <w:r>
        <w:rPr>
          <w:rFonts w:ascii="Arial" w:cs="Arial" w:eastAsia="Arial" w:hAnsi="Arial"/>
          <w:sz w:val="18"/>
          <w:szCs w:val="18"/>
          <w:u w:val="single" w:color="auto"/>
          <w:color w:val="auto"/>
        </w:rPr>
        <w:t>Section 10.01(i)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10.01(j)</w:t>
      </w:r>
      <w:r>
        <w:rPr>
          <w:rFonts w:ascii="Arial" w:cs="Arial" w:eastAsia="Arial" w:hAnsi="Arial"/>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Arial" w:cs="Arial" w:eastAsia="Arial" w:hAnsi="Arial"/>
          <w:sz w:val="18"/>
          <w:szCs w:val="18"/>
          <w:color w:val="auto"/>
        </w:rPr>
        <w:t xml:space="preserve">(i)            terminate the Commitments and the </w:t>
      </w:r>
      <w:r>
        <w:rPr>
          <w:rFonts w:ascii="Arial" w:cs="Arial" w:eastAsia="Arial" w:hAnsi="Arial"/>
          <w:sz w:val="18"/>
          <w:szCs w:val="18"/>
          <w:b w:val="1"/>
          <w:bCs w:val="1"/>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color w:val="auto"/>
        </w:rPr>
        <w:t xml:space="preserve"> Commitments, and thereupon the Commitments and the </w:t>
      </w:r>
      <w:r>
        <w:rPr>
          <w:rFonts w:ascii="Arial" w:cs="Arial" w:eastAsia="Arial" w:hAnsi="Arial"/>
          <w:sz w:val="18"/>
          <w:szCs w:val="18"/>
          <w:b w:val="1"/>
          <w:bCs w:val="1"/>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color w:val="auto"/>
        </w:rPr>
        <w:t xml:space="preserve"> Commitments shall terminate immediately, and terminate all obligations of the Lenders to make Loans and each Issuing Bank to issue, amend or extend any Letter of Credit;</w:t>
      </w:r>
    </w:p>
    <w:p>
      <w:pPr>
        <w:spacing w:after="0" w:line="180" w:lineRule="exact"/>
        <w:rPr>
          <w:sz w:val="20"/>
          <w:szCs w:val="20"/>
          <w:color w:val="auto"/>
        </w:rPr>
      </w:pPr>
    </w:p>
    <w:p>
      <w:pPr>
        <w:jc w:val="both"/>
        <w:ind w:left="660" w:firstLine="1296"/>
        <w:spacing w:after="0" w:line="301" w:lineRule="auto"/>
        <w:rPr>
          <w:sz w:val="20"/>
          <w:szCs w:val="20"/>
          <w:color w:val="auto"/>
        </w:rPr>
      </w:pPr>
      <w:r>
        <w:rPr>
          <w:rFonts w:ascii="Arial" w:cs="Arial" w:eastAsia="Arial" w:hAnsi="Arial"/>
          <w:sz w:val="16"/>
          <w:szCs w:val="16"/>
          <w:color w:val="auto"/>
        </w:rPr>
        <w:t>(ii)            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57" w:lineRule="exact"/>
        <w:rPr>
          <w:sz w:val="20"/>
          <w:szCs w:val="20"/>
          <w:color w:val="auto"/>
        </w:rPr>
      </w:pPr>
    </w:p>
    <w:p>
      <w:pPr>
        <w:jc w:val="both"/>
        <w:ind w:left="660" w:right="20" w:firstLine="1296"/>
        <w:spacing w:after="0" w:line="286" w:lineRule="auto"/>
        <w:rPr>
          <w:sz w:val="20"/>
          <w:szCs w:val="20"/>
          <w:color w:val="auto"/>
        </w:rPr>
      </w:pPr>
      <w:r>
        <w:rPr>
          <w:rFonts w:ascii="Arial" w:cs="Arial" w:eastAsia="Arial" w:hAnsi="Arial"/>
          <w:sz w:val="17"/>
          <w:szCs w:val="17"/>
          <w:color w:val="auto"/>
        </w:rPr>
        <w:t xml:space="preserve">(iii)            require the Borrowers deposit in the LC Collateral Account an additional amount in immediately available funds in cash equal to (a) 103% of the Total LC Exposure in respect of Letters of Credit denominated in Dollars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105% of the Dollar Equivalent Total LC Exposure in respect of Letters of Credit denominated in Alternative Currencies in accordance with </w:t>
      </w:r>
      <w:r>
        <w:rPr>
          <w:rFonts w:ascii="Arial" w:cs="Arial" w:eastAsia="Arial" w:hAnsi="Arial"/>
          <w:sz w:val="17"/>
          <w:szCs w:val="17"/>
          <w:u w:val="single" w:color="auto"/>
          <w:color w:val="auto"/>
        </w:rPr>
        <w:t>Section 3.01(k)</w:t>
      </w:r>
      <w:r>
        <w:rPr>
          <w:rFonts w:ascii="Arial" w:cs="Arial" w:eastAsia="Arial" w:hAnsi="Arial"/>
          <w:sz w:val="17"/>
          <w:szCs w:val="17"/>
          <w:color w:val="auto"/>
        </w:rPr>
        <w:t>.</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And in case of any event with respect to any Obligor described in </w:t>
      </w:r>
      <w:r>
        <w:rPr>
          <w:rFonts w:ascii="Arial" w:cs="Arial" w:eastAsia="Arial" w:hAnsi="Arial"/>
          <w:sz w:val="16"/>
          <w:szCs w:val="16"/>
          <w:u w:val="single" w:color="auto"/>
          <w:color w:val="auto"/>
        </w:rPr>
        <w:t>Section 10.01(i)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10.01(j)</w:t>
      </w:r>
      <w:r>
        <w:rPr>
          <w:rFonts w:ascii="Arial" w:cs="Arial" w:eastAsia="Arial" w:hAnsi="Arial"/>
          <w:sz w:val="16"/>
          <w:szCs w:val="16"/>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spacing w:after="0" w:line="284" w:lineRule="auto"/>
        <w:rPr>
          <w:sz w:val="20"/>
          <w:szCs w:val="20"/>
          <w:color w:val="auto"/>
        </w:rPr>
      </w:pPr>
      <w:r>
        <w:rPr>
          <w:rFonts w:ascii="Arial" w:cs="Arial" w:eastAsia="Arial" w:hAnsi="Arial"/>
          <w:sz w:val="16"/>
          <w:szCs w:val="16"/>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Arial" w:cs="Arial" w:eastAsia="Arial" w:hAnsi="Arial"/>
          <w:sz w:val="17"/>
          <w:szCs w:val="17"/>
          <w:u w:val="single" w:color="auto"/>
          <w:color w:val="auto"/>
        </w:rPr>
        <w:t>Section 5.01(f)</w:t>
      </w:r>
      <w:r>
        <w:rPr>
          <w:rFonts w:ascii="Arial" w:cs="Arial" w:eastAsia="Arial" w:hAnsi="Arial"/>
          <w:sz w:val="17"/>
          <w:szCs w:val="17"/>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Arial" w:cs="Arial" w:eastAsia="Arial" w:hAnsi="Arial"/>
          <w:sz w:val="17"/>
          <w:szCs w:val="17"/>
          <w:u w:val="single" w:color="auto"/>
          <w:color w:val="auto"/>
        </w:rPr>
        <w:t>Section 5.01(c)</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Application of Moneys During Continuation of Event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(a)            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w:t>
      </w:r>
      <w:r>
        <w:rPr>
          <w:rFonts w:ascii="Arial" w:cs="Arial" w:eastAsia="Arial" w:hAnsi="Arial"/>
          <w:sz w:val="16"/>
          <w:szCs w:val="16"/>
          <w:b w:val="1"/>
          <w:bCs w:val="1"/>
          <w:u w:val="single" w:color="auto"/>
          <w:color w:val="0000FF"/>
        </w:rPr>
        <w:t>and subject to Sections 3.01(k), 3.01(q) and 4.11</w:t>
      </w:r>
      <w:r>
        <w:rPr>
          <w:rFonts w:ascii="Arial" w:cs="Arial" w:eastAsia="Arial" w:hAnsi="Arial"/>
          <w:sz w:val="16"/>
          <w:szCs w:val="16"/>
          <w:color w:val="auto"/>
        </w:rPr>
        <w:t>, be distributed by the Administrative Agent and the LC Australian Collateral Agent (as applicable) on the dates selected by the Administrative Agent and the LC Australian Collateral Agent (as applicable) as follows:</w:t>
      </w:r>
    </w:p>
    <w:p>
      <w:pPr>
        <w:spacing w:after="0" w:line="157"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the unreimbursed expenses of the Administrative Agent and the LC Australian Collateral Agent (as applicable) to be reimbursed under the Loan Documents, or pursuant to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and to any unpaid fees owing under the Loan Documents by the Obligors to the Administrative Agent and the LC Australian Collateral Agent (as applicable) including under </w:t>
      </w:r>
      <w:r>
        <w:rPr>
          <w:rFonts w:ascii="Arial" w:cs="Arial" w:eastAsia="Arial" w:hAnsi="Arial"/>
          <w:sz w:val="17"/>
          <w:szCs w:val="17"/>
          <w:u w:val="single" w:color="auto"/>
          <w:color w:val="auto"/>
        </w:rPr>
        <w:t>Section 12.04</w:t>
      </w:r>
      <w:r>
        <w:rPr>
          <w:rFonts w:ascii="Arial" w:cs="Arial" w:eastAsia="Arial" w:hAnsi="Arial"/>
          <w:sz w:val="17"/>
          <w:szCs w:val="17"/>
          <w:color w:val="auto"/>
        </w:rPr>
        <w: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of the unreimbursed expenses for which any Lender is to be reimbursed pursuant to </w:t>
      </w:r>
      <w:r>
        <w:rPr>
          <w:rFonts w:ascii="Arial" w:cs="Arial" w:eastAsia="Arial" w:hAnsi="Arial"/>
          <w:sz w:val="18"/>
          <w:szCs w:val="18"/>
          <w:u w:val="single" w:color="auto"/>
          <w:color w:val="auto"/>
        </w:rPr>
        <w:t>Section 12.03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ratable payment of all accrued and unpaid interest and fees on the Total Credit Exposure;</w:t>
      </w:r>
    </w:p>
    <w:p>
      <w:pPr>
        <w:spacing w:after="0" w:line="225"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ratably, to the payment of the portion of the Secured Obligations constituting unpaid principal of the Loans and unreimbursed LC Disbursements, to secure the repayment and discharge of the outstanding amount of all Total LC Exposure in accordance with </w:t>
      </w:r>
      <w:r>
        <w:rPr>
          <w:rFonts w:ascii="Arial" w:cs="Arial" w:eastAsia="Arial" w:hAnsi="Arial"/>
          <w:sz w:val="17"/>
          <w:szCs w:val="17"/>
          <w:u w:val="single" w:color="auto"/>
          <w:color w:val="auto"/>
        </w:rPr>
        <w:t>Section 3.01(k)</w:t>
      </w:r>
      <w:r>
        <w:rPr>
          <w:rFonts w:ascii="Arial" w:cs="Arial" w:eastAsia="Arial" w:hAnsi="Arial"/>
          <w:sz w:val="17"/>
          <w:szCs w:val="17"/>
          <w:color w:val="auto"/>
        </w:rPr>
        <w:t xml:space="preserve"> and to the payment of the portion of the Secured Obligations constituting Banking Services Obligations, Swap Obligations and obligations in respect of Standalone Performance LCs, until all such principal, LC Exposure, Banking Services Obligations, Swap Obligations and obligations in respect of Standalone Performance LCs shall have been paid in full;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ind w:left="130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ratable payment of all other Secured Obligations, until all Secured Obligations shall have been paid in full; and</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to payment to the Obligors, or their respective successors or assigns, or as a court of competent jurisdiction may direct, of any surplus then remaining from such proceeds.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The term “unpaid” as used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mean all relevant Secured Obligations outstanding as of any such distribution date as to which prior distributions have not been made, after giving effect to any adjustments which are made pursuant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which the Administrative Agent shall have been notified.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ADMINISTRATIVE AGENT</w:t>
      </w:r>
    </w:p>
    <w:p>
      <w:pPr>
        <w:spacing w:after="0" w:line="21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Authorization and Action</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(a)            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Each of the Lenders hereby irrevocably authorizes and appoints the Administrative Agent and Wilmington Trust, National Association as their agents (</w:t>
      </w:r>
      <w:r>
        <w:rPr>
          <w:rFonts w:ascii="Arial" w:cs="Arial" w:eastAsia="Arial" w:hAnsi="Arial"/>
          <w:sz w:val="17"/>
          <w:szCs w:val="17"/>
          <w:i w:val="1"/>
          <w:iCs w:val="1"/>
          <w:color w:val="auto"/>
        </w:rPr>
        <w:t>comisionistas</w:t>
      </w:r>
      <w:r>
        <w:rPr>
          <w:rFonts w:ascii="Arial" w:cs="Arial" w:eastAsia="Arial" w:hAnsi="Arial"/>
          <w:sz w:val="17"/>
          <w:szCs w:val="17"/>
          <w:color w:val="auto"/>
        </w:rPr>
        <w:t>) in accordance with Articles 273 and 274 of the Mexican Commerce Code (</w:t>
      </w:r>
      <w:r>
        <w:rPr>
          <w:rFonts w:ascii="Arial" w:cs="Arial" w:eastAsia="Arial" w:hAnsi="Arial"/>
          <w:sz w:val="17"/>
          <w:szCs w:val="17"/>
          <w:i w:val="1"/>
          <w:iCs w:val="1"/>
          <w:color w:val="auto"/>
        </w:rPr>
        <w:t>Código</w:t>
      </w:r>
      <w:r>
        <w:rPr>
          <w:rFonts w:ascii="Arial" w:cs="Arial" w:eastAsia="Arial" w:hAnsi="Arial"/>
          <w:sz w:val="17"/>
          <w:szCs w:val="17"/>
          <w:color w:val="auto"/>
        </w:rPr>
        <w:t xml:space="preserve"> </w:t>
      </w:r>
      <w:r>
        <w:rPr>
          <w:rFonts w:ascii="Arial" w:cs="Arial" w:eastAsia="Arial" w:hAnsi="Arial"/>
          <w:sz w:val="17"/>
          <w:szCs w:val="17"/>
          <w:i w:val="1"/>
          <w:iCs w:val="1"/>
          <w:color w:val="auto"/>
        </w:rPr>
        <w:t>de Comercio</w:t>
      </w:r>
      <w:r>
        <w:rPr>
          <w:rFonts w:ascii="Arial" w:cs="Arial" w:eastAsia="Arial" w:hAnsi="Arial"/>
          <w:sz w:val="17"/>
          <w:szCs w:val="17"/>
          <w:color w:val="auto"/>
        </w:rPr>
        <w:t>). The provisions of this Article are solely for the benefit of the Administrative Agent and the Lenders, and neither the Borrowers nor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1296"/>
        <w:spacing w:after="0" w:line="259" w:lineRule="auto"/>
        <w:rPr>
          <w:sz w:val="20"/>
          <w:szCs w:val="20"/>
          <w:color w:val="auto"/>
        </w:rPr>
      </w:pPr>
      <w:r>
        <w:rPr>
          <w:rFonts w:ascii="Arial" w:cs="Arial" w:eastAsia="Arial" w:hAnsi="Arial"/>
          <w:sz w:val="18"/>
          <w:szCs w:val="18"/>
          <w:color w:val="auto"/>
        </w:rPr>
        <w:t>(b)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            In relation to Collateral which is subject to a Swiss Security Document, the Administrative Agent has caused the Foreign Collateral Agent to, subject to and in accordance with the provisions of the Intercreditor Agreement:</w:t>
      </w:r>
    </w:p>
    <w:p>
      <w:pPr>
        <w:spacing w:after="0" w:line="170"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            hold and administer any non-accessory Collateral (</w:t>
      </w:r>
      <w:r>
        <w:rPr>
          <w:rFonts w:ascii="Arial" w:cs="Arial" w:eastAsia="Arial" w:hAnsi="Arial"/>
          <w:sz w:val="18"/>
          <w:szCs w:val="18"/>
          <w:i w:val="1"/>
          <w:iCs w:val="1"/>
          <w:color w:val="auto"/>
        </w:rPr>
        <w:t>nicht-akzessorische Sicherheit</w:t>
      </w:r>
      <w:r>
        <w:rPr>
          <w:rFonts w:ascii="Arial" w:cs="Arial" w:eastAsia="Arial" w:hAnsi="Arial"/>
          <w:sz w:val="18"/>
          <w:szCs w:val="18"/>
          <w:color w:val="auto"/>
        </w:rPr>
        <w:t>) governed by Swiss law as fiduciary (</w:t>
      </w:r>
      <w:r>
        <w:rPr>
          <w:rFonts w:ascii="Arial" w:cs="Arial" w:eastAsia="Arial" w:hAnsi="Arial"/>
          <w:sz w:val="18"/>
          <w:szCs w:val="18"/>
          <w:i w:val="1"/>
          <w:iCs w:val="1"/>
          <w:color w:val="auto"/>
        </w:rPr>
        <w:t>treuhänderisch</w:t>
      </w:r>
      <w:r>
        <w:rPr>
          <w:rFonts w:ascii="Arial" w:cs="Arial" w:eastAsia="Arial" w:hAnsi="Arial"/>
          <w:sz w:val="18"/>
          <w:szCs w:val="18"/>
          <w:color w:val="auto"/>
        </w:rPr>
        <w:t>) in its own name but for the benefit of the Secured Parties; and</w:t>
      </w:r>
    </w:p>
    <w:p>
      <w:pPr>
        <w:spacing w:after="0" w:line="170"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            hold and administer any accessory Collateral (</w:t>
      </w:r>
      <w:r>
        <w:rPr>
          <w:rFonts w:ascii="Arial" w:cs="Arial" w:eastAsia="Arial" w:hAnsi="Arial"/>
          <w:sz w:val="18"/>
          <w:szCs w:val="18"/>
          <w:i w:val="1"/>
          <w:iCs w:val="1"/>
          <w:color w:val="auto"/>
        </w:rPr>
        <w:t>akzessorische Sicherheit</w:t>
      </w:r>
      <w:r>
        <w:rPr>
          <w:rFonts w:ascii="Arial" w:cs="Arial" w:eastAsia="Arial" w:hAnsi="Arial"/>
          <w:sz w:val="18"/>
          <w:szCs w:val="18"/>
          <w:color w:val="auto"/>
        </w:rPr>
        <w:t>) governed by Swiss law as direct representative (</w:t>
      </w:r>
      <w:r>
        <w:rPr>
          <w:rFonts w:ascii="Arial" w:cs="Arial" w:eastAsia="Arial" w:hAnsi="Arial"/>
          <w:sz w:val="18"/>
          <w:szCs w:val="18"/>
          <w:i w:val="1"/>
          <w:iCs w:val="1"/>
          <w:color w:val="auto"/>
        </w:rPr>
        <w:t>direkter Stellvertrete</w:t>
      </w:r>
      <w:r>
        <w:rPr>
          <w:rFonts w:ascii="Arial" w:cs="Arial" w:eastAsia="Arial" w:hAnsi="Arial"/>
          <w:sz w:val="18"/>
          <w:szCs w:val="18"/>
          <w:color w:val="auto"/>
        </w:rPr>
        <w:t>r) in the name and on behalf of the Secured Parties.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Each Secured Party has appointed and hereby appoints the Foreign Collateral Agent as its direct representative (</w:t>
      </w:r>
      <w:r>
        <w:rPr>
          <w:rFonts w:ascii="Arial" w:cs="Arial" w:eastAsia="Arial" w:hAnsi="Arial"/>
          <w:sz w:val="17"/>
          <w:szCs w:val="17"/>
          <w:i w:val="1"/>
          <w:iCs w:val="1"/>
          <w:color w:val="auto"/>
        </w:rPr>
        <w:t>direkter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Stellvertreter</w:t>
      </w:r>
      <w:r>
        <w:rPr>
          <w:rFonts w:ascii="Arial" w:cs="Arial" w:eastAsia="Arial" w:hAnsi="Arial"/>
          <w:sz w:val="18"/>
          <w:szCs w:val="18"/>
          <w:color w:val="auto"/>
        </w:rPr>
        <w:t>) authorizing the Foreign Collateral Agent (whether or not by or through employees or agents) to:</w:t>
      </w:r>
    </w:p>
    <w:p>
      <w:pPr>
        <w:spacing w:after="0" w:line="211" w:lineRule="exact"/>
        <w:rPr>
          <w:sz w:val="20"/>
          <w:szCs w:val="20"/>
          <w:color w:val="auto"/>
        </w:rPr>
      </w:pPr>
    </w:p>
    <w:p>
      <w:pPr>
        <w:jc w:val="both"/>
        <w:ind w:left="660" w:right="20" w:firstLine="1296"/>
        <w:spacing w:after="0" w:line="342" w:lineRule="auto"/>
        <w:rPr>
          <w:sz w:val="20"/>
          <w:szCs w:val="20"/>
          <w:color w:val="auto"/>
        </w:rPr>
      </w:pPr>
      <w:r>
        <w:rPr>
          <w:rFonts w:ascii="Arial" w:cs="Arial" w:eastAsia="Arial" w:hAnsi="Arial"/>
          <w:sz w:val="16"/>
          <w:szCs w:val="16"/>
          <w:color w:val="auto"/>
        </w:rPr>
        <w:t>(i)            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12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            take such action on its behalf as may from time to time be authorized under or in accordance with the relevant Swiss Security Documents; and</w:t>
      </w:r>
    </w:p>
    <w:p>
      <w:pPr>
        <w:spacing w:after="0" w:line="170" w:lineRule="exact"/>
        <w:rPr>
          <w:sz w:val="20"/>
          <w:szCs w:val="20"/>
          <w:color w:val="auto"/>
        </w:rPr>
      </w:pPr>
    </w:p>
    <w:p>
      <w:pPr>
        <w:jc w:val="both"/>
        <w:ind w:left="660" w:firstLine="1296"/>
        <w:spacing w:after="0" w:line="275" w:lineRule="auto"/>
        <w:rPr>
          <w:sz w:val="20"/>
          <w:szCs w:val="20"/>
          <w:color w:val="auto"/>
        </w:rPr>
      </w:pPr>
      <w:r>
        <w:rPr>
          <w:rFonts w:ascii="Arial" w:cs="Arial" w:eastAsia="Arial" w:hAnsi="Arial"/>
          <w:sz w:val="17"/>
          <w:szCs w:val="17"/>
          <w:color w:val="auto"/>
        </w:rPr>
        <w:t>(iii)            accept, enter into and execute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any amendments, confirmations and/or alterations to any Swiss Security Document which creates a pledge or any other accessory security right (</w:t>
      </w:r>
      <w:r>
        <w:rPr>
          <w:rFonts w:ascii="Arial" w:cs="Arial" w:eastAsia="Arial" w:hAnsi="Arial"/>
          <w:sz w:val="17"/>
          <w:szCs w:val="17"/>
          <w:i w:val="1"/>
          <w:iCs w:val="1"/>
          <w:color w:val="auto"/>
        </w:rPr>
        <w:t>akzessorische Sicherheit</w:t>
      </w:r>
      <w:r>
        <w:rPr>
          <w:rFonts w:ascii="Arial" w:cs="Arial" w:eastAsia="Arial" w:hAnsi="Arial"/>
          <w:sz w:val="17"/>
          <w:szCs w:val="17"/>
          <w:color w:val="auto"/>
        </w:rPr>
        <w:t>) including the release or confirmation of release of such Collateral, all subject to the provisions of the Intercreditor Agreement.</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Liability of Agents</w:t>
      </w:r>
      <w:r>
        <w:rPr>
          <w:rFonts w:ascii="Arial" w:cs="Arial" w:eastAsia="Arial" w:hAnsi="Arial"/>
          <w:sz w:val="17"/>
          <w:szCs w:val="17"/>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elsewhere herein, other than those conditions requiring delivery of items expressly required to be delivered to the Administrative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648"/>
        <w:spacing w:after="0" w:line="273"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Reliance by Agents</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provide a copy of any notice of Default or Event of Default provided to the Borrowers under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to each sub-agent.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ind w:left="660"/>
        <w:spacing w:after="0"/>
        <w:tabs>
          <w:tab w:leader="none" w:pos="210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            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(b)            In addition, in the event that (i) the Person serving as the Administrative Agent is a Defaulting Lender, (ii) such Person has been replaced in its capacity as a Lender pursuant to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and (iii) if such Person is an Issuing Bank, (A) the </w:t>
      </w:r>
      <w:r>
        <w:rPr>
          <w:rFonts w:ascii="Arial" w:cs="Arial" w:eastAsia="Arial" w:hAnsi="Arial"/>
          <w:sz w:val="18"/>
          <w:szCs w:val="18"/>
          <w:b w:val="1"/>
          <w:bCs w:val="1"/>
          <w:color w:val="FF0000"/>
          <w:strike w:val="1"/>
        </w:rPr>
        <w:t>LC</w:t>
      </w:r>
      <w:r>
        <w:rPr>
          <w:rFonts w:ascii="Arial" w:cs="Arial" w:eastAsia="Arial" w:hAnsi="Arial"/>
          <w:sz w:val="18"/>
          <w:szCs w:val="18"/>
          <w:b w:val="1"/>
          <w:bCs w:val="1"/>
          <w:u w:val="single" w:color="auto"/>
          <w:color w:val="0000FF"/>
        </w:rPr>
        <w:t>Fronting</w:t>
      </w:r>
      <w:r>
        <w:rPr>
          <w:rFonts w:ascii="Arial" w:cs="Arial" w:eastAsia="Arial" w:hAnsi="Arial"/>
          <w:sz w:val="18"/>
          <w:szCs w:val="18"/>
          <w:color w:val="auto"/>
        </w:rPr>
        <w:t xml:space="preserve"> Commitment of such Person, as an Issuing Bank, has been terminated pursuant to </w:t>
      </w:r>
      <w:r>
        <w:rPr>
          <w:rFonts w:ascii="Arial" w:cs="Arial" w:eastAsia="Arial" w:hAnsi="Arial"/>
          <w:sz w:val="18"/>
          <w:szCs w:val="18"/>
          <w:u w:val="single" w:color="auto"/>
          <w:color w:val="auto"/>
        </w:rPr>
        <w:t>Section 3.01(j)</w:t>
      </w:r>
      <w:r>
        <w:rPr>
          <w:rFonts w:ascii="Arial" w:cs="Arial" w:eastAsia="Arial" w:hAnsi="Arial"/>
          <w:sz w:val="18"/>
          <w:szCs w:val="18"/>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successor Administrative Agent selected by the Required Lenders, in consultation with the Borrowers, shall be appointed concurrently with such removal.</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(c)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Arial" w:cs="Arial" w:eastAsia="Arial" w:hAnsi="Arial"/>
          <w:sz w:val="18"/>
          <w:szCs w:val="18"/>
          <w:u w:val="single" w:color="auto"/>
          <w:color w:val="auto"/>
        </w:rPr>
        <w:t>Sections 12.03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Credit Decision</w:t>
      </w:r>
      <w:r>
        <w:rPr>
          <w:rFonts w:ascii="Arial" w:cs="Arial" w:eastAsia="Arial" w:hAnsi="Arial"/>
          <w:sz w:val="17"/>
          <w:szCs w:val="17"/>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ind w:left="660"/>
        <w:spacing w:after="0"/>
        <w:tabs>
          <w:tab w:leader="none" w:pos="210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No Joint Venture</w:t>
      </w:r>
      <w:r>
        <w:rPr>
          <w:rFonts w:ascii="Arial" w:cs="Arial" w:eastAsia="Arial" w:hAnsi="Arial"/>
          <w:sz w:val="18"/>
          <w:szCs w:val="18"/>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u w:val="single" w:color="auto"/>
          <w:color w:val="auto"/>
        </w:rPr>
        <w:t>Secured Party</w:t>
      </w:r>
      <w:r>
        <w:rPr>
          <w:rFonts w:ascii="Arial" w:cs="Arial" w:eastAsia="Arial" w:hAnsi="Arial"/>
          <w:sz w:val="16"/>
          <w:szCs w:val="16"/>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Collateral Documents governed by the laws of Australia, the Administrative Agent need not act in its own name or for the benefit of the Secured Parties nor as representative of the Secured Parties but may rather act through a sub-agent appointed by the Administrative Agent in accordance with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jurisdiction in which the Administrative Agent is not able under applicable law or regulations to perform any of its duties as Administrative Agent or exercise its rights or powers as Administrative Agent under any Loan Document, the Administrative Agent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to release any Lien granted to or held by the Administrative Agent or, as applicable, any such sub-agent upon any Collateral (i) as described in </w:t>
      </w:r>
      <w:r>
        <w:rPr>
          <w:rFonts w:ascii="Arial" w:cs="Arial" w:eastAsia="Arial" w:hAnsi="Arial"/>
          <w:sz w:val="16"/>
          <w:szCs w:val="16"/>
          <w:u w:val="single" w:color="auto"/>
          <w:color w:val="auto"/>
        </w:rPr>
        <w:t>Section 12.01(c)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12.23</w:t>
      </w:r>
      <w:r>
        <w:rPr>
          <w:rFonts w:ascii="Arial" w:cs="Arial" w:eastAsia="Arial" w:hAnsi="Arial"/>
          <w:sz w:val="16"/>
          <w:szCs w:val="16"/>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648"/>
        <w:spacing w:after="0" w:line="25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with respect to any Obligor under any federal, state or foreign bankruptcy, insolvency, receivership, administration, examinership, rescue process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(a)            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Arial" w:cs="Arial" w:eastAsia="Arial" w:hAnsi="Arial"/>
          <w:sz w:val="18"/>
          <w:szCs w:val="18"/>
          <w:u w:val="single" w:color="auto"/>
          <w:color w:val="auto"/>
        </w:rPr>
        <w:t>Sections 4.08</w:t>
      </w:r>
      <w:r>
        <w:rPr>
          <w:rFonts w:ascii="Arial" w:cs="Arial" w:eastAsia="Arial" w:hAnsi="Arial"/>
          <w:sz w:val="18"/>
          <w:szCs w:val="18"/>
          <w:color w:val="auto"/>
        </w:rPr>
        <w:t xml:space="preserve">, </w:t>
      </w:r>
      <w:r>
        <w:rPr>
          <w:rFonts w:ascii="Arial" w:cs="Arial" w:eastAsia="Arial" w:hAnsi="Arial"/>
          <w:sz w:val="18"/>
          <w:szCs w:val="18"/>
          <w:u w:val="single" w:color="auto"/>
          <w:color w:val="auto"/>
        </w:rPr>
        <w:t>4.09</w:t>
      </w:r>
      <w:r>
        <w:rPr>
          <w:rFonts w:ascii="Arial" w:cs="Arial" w:eastAsia="Arial" w:hAnsi="Arial"/>
          <w:sz w:val="18"/>
          <w:szCs w:val="18"/>
          <w:color w:val="auto"/>
        </w:rPr>
        <w:t xml:space="preserve">,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12.04</w:t>
      </w:r>
      <w:r>
        <w:rPr>
          <w:rFonts w:ascii="Arial" w:cs="Arial" w:eastAsia="Arial" w:hAnsi="Arial"/>
          <w:sz w:val="18"/>
          <w:szCs w:val="18"/>
          <w:color w:val="auto"/>
        </w:rPr>
        <w:t>) allowed in such judicial proceeding;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to collect and receive any monies or other property payable or deliverable on any such claims and to distribute the same;</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and any custodian, receiver, assignee, trustee, administrator, examiner, process adviser,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Sections 12‎.03 and </w:t>
      </w:r>
      <w:r>
        <w:rPr>
          <w:rFonts w:ascii="Arial" w:cs="Arial" w:eastAsia="Arial" w:hAnsi="Arial"/>
          <w:sz w:val="16"/>
          <w:szCs w:val="16"/>
          <w:u w:val="single" w:color="auto"/>
          <w:color w:val="auto"/>
        </w:rPr>
        <w:t>12.04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-53340</wp:posOffset>
            </wp:positionV>
            <wp:extent cx="6724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firstLine="648"/>
        <w:spacing w:after="0" w:line="269"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Foreign Collateral Matters</w:t>
      </w:r>
      <w:r>
        <w:rPr>
          <w:rFonts w:ascii="Arial" w:cs="Arial" w:eastAsia="Arial" w:hAnsi="Arial"/>
          <w:sz w:val="17"/>
          <w:szCs w:val="17"/>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7"/>
          <w:szCs w:val="17"/>
          <w:u w:val="single" w:color="auto"/>
          <w:color w:val="auto"/>
        </w:rPr>
        <w:t>Hypothecary Representative</w:t>
      </w:r>
      <w:r>
        <w:rPr>
          <w:rFonts w:ascii="Arial" w:cs="Arial" w:eastAsia="Arial" w:hAnsi="Arial"/>
          <w:sz w:val="17"/>
          <w:szCs w:val="17"/>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In the event of the resignation of the Administrative Agent (which shall include its resignation as the Hypothecary Representative)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appointment of a successor Administrative Agent, such successor Administrative Agent shall also act as the Hypothecary Representative, as contemplated above.</w:t>
      </w:r>
    </w:p>
    <w:p>
      <w:pPr>
        <w:spacing w:after="0" w:line="17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            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Scottish Appointment Matters.</w:t>
      </w:r>
    </w:p>
    <w:p>
      <w:pPr>
        <w:spacing w:after="0" w:line="225" w:lineRule="exact"/>
        <w:rPr>
          <w:sz w:val="20"/>
          <w:szCs w:val="20"/>
          <w:color w:val="auto"/>
        </w:rPr>
      </w:pPr>
    </w:p>
    <w:p>
      <w:pPr>
        <w:jc w:val="both"/>
        <w:ind w:left="660" w:firstLine="1296"/>
        <w:spacing w:after="0" w:line="290" w:lineRule="auto"/>
        <w:rPr>
          <w:sz w:val="20"/>
          <w:szCs w:val="20"/>
          <w:color w:val="auto"/>
        </w:rPr>
      </w:pPr>
      <w:r>
        <w:rPr>
          <w:rFonts w:ascii="Arial" w:cs="Arial" w:eastAsia="Arial" w:hAnsi="Arial"/>
          <w:sz w:val="16"/>
          <w:szCs w:val="16"/>
          <w:color w:val="auto"/>
        </w:rPr>
        <w:t xml:space="preserve">(i)            The Administrative Agent confirms and declares that it holds and shall hold in trust for the Secured Parties, on the terms contained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left="660" w:firstLine="1296"/>
        <w:spacing w:after="0" w:line="272" w:lineRule="auto"/>
        <w:rPr>
          <w:sz w:val="20"/>
          <w:szCs w:val="20"/>
          <w:color w:val="auto"/>
        </w:rPr>
      </w:pPr>
      <w:r>
        <w:rPr>
          <w:rFonts w:ascii="Arial" w:cs="Arial" w:eastAsia="Arial" w:hAnsi="Arial"/>
          <w:sz w:val="17"/>
          <w:szCs w:val="17"/>
          <w:color w:val="auto"/>
        </w:rPr>
        <w:t xml:space="preserve">(ii)            Without prejudice to the other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7" w:lineRule="exact"/>
        <w:rPr>
          <w:sz w:val="20"/>
          <w:szCs w:val="20"/>
          <w:color w:val="auto"/>
        </w:rPr>
      </w:pPr>
    </w:p>
    <w:p>
      <w:pPr>
        <w:ind w:firstLine="1304"/>
        <w:spacing w:after="0" w:line="277" w:lineRule="auto"/>
        <w:tabs>
          <w:tab w:leader="none" w:pos="2098" w:val="left"/>
        </w:tabs>
        <w:numPr>
          <w:ilvl w:val="0"/>
          <w:numId w:val="111"/>
        </w:numPr>
        <w:rPr>
          <w:rFonts w:ascii="Arial" w:cs="Arial" w:eastAsia="Arial" w:hAnsi="Arial"/>
          <w:sz w:val="18"/>
          <w:szCs w:val="18"/>
          <w:color w:val="0000FF"/>
        </w:rPr>
      </w:pPr>
      <w:r>
        <w:rPr>
          <w:rFonts w:ascii="Arial" w:cs="Arial" w:eastAsia="Arial" w:hAnsi="Arial"/>
          <w:sz w:val="18"/>
          <w:szCs w:val="18"/>
          <w:color w:val="0000FF"/>
        </w:rPr>
        <w:t xml:space="preserve">The Administrative Agent declares that it shall hold all Liens on Collateral governed by English law on trust for each of the </w:t>
      </w:r>
      <w:r>
        <w:rPr>
          <w:rFonts w:ascii="Arial" w:cs="Arial" w:eastAsia="Arial" w:hAnsi="Arial"/>
          <w:sz w:val="18"/>
          <w:szCs w:val="18"/>
          <w:u w:val="single" w:color="auto"/>
          <w:color w:val="0000FF"/>
        </w:rPr>
        <w:t>Lenders on the terms contained in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-165100</wp:posOffset>
            </wp:positionV>
            <wp:extent cx="63061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0618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-182245</wp:posOffset>
            </wp:positionV>
            <wp:extent cx="63061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06185" cy="8890"/>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7"/>
          <w:szCs w:val="17"/>
          <w:u w:val="single" w:color="auto"/>
          <w:color w:val="auto"/>
        </w:rPr>
        <w:t>Credit Bid</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(a)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1296"/>
        <w:spacing w:after="0" w:line="257" w:lineRule="auto"/>
        <w:rPr>
          <w:sz w:val="20"/>
          <w:szCs w:val="20"/>
          <w:color w:val="auto"/>
        </w:rPr>
      </w:pPr>
      <w:r>
        <w:rPr>
          <w:rFonts w:ascii="Arial" w:cs="Arial" w:eastAsia="Arial" w:hAnsi="Arial"/>
          <w:sz w:val="18"/>
          <w:szCs w:val="18"/>
          <w:color w:val="auto"/>
        </w:rPr>
        <w:t xml:space="preserve">(b)            Without limiting the authority granted to the Administrative Agent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each Lender (including each Person that becomes a Lender hereunder pursuant to </w:t>
      </w:r>
      <w:r>
        <w:rPr>
          <w:rFonts w:ascii="Arial" w:cs="Arial" w:eastAsia="Arial" w:hAnsi="Arial"/>
          <w:sz w:val="18"/>
          <w:szCs w:val="18"/>
          <w:u w:val="single" w:color="auto"/>
          <w:color w:val="auto"/>
        </w:rPr>
        <w:t>Section 12.05</w:t>
      </w:r>
      <w:r>
        <w:rPr>
          <w:rFonts w:ascii="Arial" w:cs="Arial" w:eastAsia="Arial" w:hAnsi="Arial"/>
          <w:sz w:val="18"/>
          <w:szCs w:val="18"/>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Certain ERISA Matters; Lender Representations</w:t>
      </w:r>
      <w:r>
        <w:rPr>
          <w:rFonts w:ascii="Arial" w:cs="Arial" w:eastAsia="Arial" w:hAnsi="Arial"/>
          <w:sz w:val="16"/>
          <w:szCs w:val="16"/>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57" w:lineRule="exact"/>
        <w:rPr>
          <w:sz w:val="20"/>
          <w:szCs w:val="20"/>
          <w:color w:val="auto"/>
        </w:rPr>
      </w:pPr>
    </w:p>
    <w:p>
      <w:pPr>
        <w:jc w:val="both"/>
        <w:ind w:left="660" w:right="20" w:firstLine="1296"/>
        <w:spacing w:after="0" w:line="277" w:lineRule="auto"/>
        <w:rPr>
          <w:sz w:val="20"/>
          <w:szCs w:val="20"/>
          <w:color w:val="auto"/>
        </w:rPr>
      </w:pPr>
      <w:r>
        <w:rPr>
          <w:rFonts w:ascii="Arial" w:cs="Arial" w:eastAsia="Arial" w:hAnsi="Arial"/>
          <w:sz w:val="18"/>
          <w:szCs w:val="18"/>
          <w:color w:val="auto"/>
        </w:rPr>
        <w:t>(i)            such Lender is not using “plan assets” (within the meaning of the Plan Asset Regulations) of one or more Benefit Plans in connection with the Letters of Credit or the Commitments,</w:t>
      </w:r>
    </w:p>
    <w:p>
      <w:pPr>
        <w:spacing w:after="0" w:line="170" w:lineRule="exact"/>
        <w:rPr>
          <w:sz w:val="20"/>
          <w:szCs w:val="20"/>
          <w:color w:val="auto"/>
        </w:rPr>
      </w:pPr>
    </w:p>
    <w:p>
      <w:pPr>
        <w:jc w:val="both"/>
        <w:ind w:left="660" w:firstLine="1296"/>
        <w:spacing w:after="0" w:line="272" w:lineRule="auto"/>
        <w:rPr>
          <w:sz w:val="20"/>
          <w:szCs w:val="20"/>
          <w:color w:val="auto"/>
        </w:rPr>
      </w:pPr>
      <w:r>
        <w:rPr>
          <w:rFonts w:ascii="Arial" w:cs="Arial" w:eastAsia="Arial" w:hAnsi="Arial"/>
          <w:sz w:val="17"/>
          <w:szCs w:val="17"/>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left="660" w:firstLine="1296"/>
        <w:spacing w:after="0" w:line="269" w:lineRule="auto"/>
        <w:rPr>
          <w:sz w:val="20"/>
          <w:szCs w:val="20"/>
          <w:color w:val="auto"/>
        </w:rPr>
      </w:pPr>
      <w:r>
        <w:rPr>
          <w:rFonts w:ascii="Arial" w:cs="Arial" w:eastAsia="Arial" w:hAnsi="Arial"/>
          <w:sz w:val="17"/>
          <w:szCs w:val="17"/>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w:t>
      </w:r>
    </w:p>
    <w:p>
      <w:pPr>
        <w:spacing w:after="0" w:line="2" w:lineRule="exact"/>
        <w:rPr>
          <w:sz w:val="20"/>
          <w:szCs w:val="20"/>
          <w:color w:val="auto"/>
        </w:rPr>
      </w:pPr>
    </w:p>
    <w:p>
      <w:pPr>
        <w:jc w:val="both"/>
        <w:ind w:left="660" w:hanging="4"/>
        <w:spacing w:after="0" w:line="255" w:lineRule="auto"/>
        <w:tabs>
          <w:tab w:leader="none" w:pos="9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90"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(iv)            such other representation, warranty and covenant as may be agreed in writing between the Administrative Agent, in its sole discretion, and such Lender.</w:t>
      </w:r>
    </w:p>
    <w:p>
      <w:pPr>
        <w:spacing w:after="0" w:line="170"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(b)            In addition, unless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such Lender has not provided another representation, warranty and covenant as provided in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jc w:val="both"/>
        <w:ind w:firstLine="8"/>
        <w:spacing w:after="0" w:line="277" w:lineRule="auto"/>
        <w:tabs>
          <w:tab w:leader="none" w:pos="26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73"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4" w:lineRule="exact"/>
        <w:rPr>
          <w:sz w:val="20"/>
          <w:szCs w:val="20"/>
          <w:color w:val="auto"/>
        </w:rPr>
      </w:pPr>
    </w:p>
    <w:p>
      <w:pPr>
        <w:jc w:val="both"/>
        <w:ind w:left="660" w:firstLine="1296"/>
        <w:spacing w:after="0" w:line="301" w:lineRule="auto"/>
        <w:rPr>
          <w:sz w:val="20"/>
          <w:szCs w:val="20"/>
          <w:color w:val="auto"/>
        </w:rPr>
      </w:pPr>
      <w:r>
        <w:rPr>
          <w:rFonts w:ascii="Arial" w:cs="Arial" w:eastAsia="Arial" w:hAnsi="Arial"/>
          <w:sz w:val="16"/>
          <w:szCs w:val="16"/>
          <w:color w:val="auto"/>
        </w:rPr>
        <w:t>(ii)            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57"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7"/>
          <w:szCs w:val="17"/>
          <w:color w:val="auto"/>
        </w:rPr>
        <w:t>(iii)            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left="660" w:firstLine="1296"/>
        <w:spacing w:after="0" w:line="259" w:lineRule="auto"/>
        <w:rPr>
          <w:sz w:val="20"/>
          <w:szCs w:val="20"/>
          <w:color w:val="auto"/>
        </w:rPr>
      </w:pPr>
      <w:r>
        <w:rPr>
          <w:rFonts w:ascii="Arial" w:cs="Arial" w:eastAsia="Arial" w:hAnsi="Arial"/>
          <w:sz w:val="18"/>
          <w:szCs w:val="18"/>
          <w:color w:val="auto"/>
        </w:rPr>
        <w:t>(iv)            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87" w:lineRule="exact"/>
        <w:rPr>
          <w:sz w:val="20"/>
          <w:szCs w:val="20"/>
          <w:color w:val="auto"/>
        </w:rPr>
      </w:pPr>
    </w:p>
    <w:p>
      <w:pPr>
        <w:jc w:val="both"/>
        <w:ind w:left="660" w:right="20" w:firstLine="1296"/>
        <w:spacing w:after="0" w:line="263" w:lineRule="auto"/>
        <w:rPr>
          <w:sz w:val="20"/>
          <w:szCs w:val="20"/>
          <w:color w:val="auto"/>
        </w:rPr>
      </w:pPr>
      <w:r>
        <w:rPr>
          <w:rFonts w:ascii="Arial" w:cs="Arial" w:eastAsia="Arial" w:hAnsi="Arial"/>
          <w:sz w:val="18"/>
          <w:szCs w:val="18"/>
          <w:color w:val="auto"/>
        </w:rPr>
        <w:t>(v)            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(c)            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Agreement and to subject the Liens on the Collateral securing the Secured Obligations to the provisions thereof and (c) hereby authorizes and instructs the Administrative Agent to enter into any new Intercreditor Agreement or any amendment, restatement, amendment and restatement, supplement, joinder or other modification to any existing Intercreditor Agreement, in each case, as deemed reasonably necessary by the Administrative Agent for purposes of establishing or maintaining the priority of the Liens required hereby and/or establishing or preserving the rights of the Secured Parties in respect of such Liens and the Collateral.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Filings</w:t>
      </w:r>
      <w:r>
        <w:rPr>
          <w:rFonts w:ascii="Arial" w:cs="Arial" w:eastAsia="Arial" w:hAnsi="Arial"/>
          <w:sz w:val="18"/>
          <w:szCs w:val="18"/>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firstLine="648"/>
        <w:spacing w:after="0" w:line="27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Force Majeure</w:t>
      </w:r>
      <w:r>
        <w:rPr>
          <w:rFonts w:ascii="Arial" w:cs="Arial" w:eastAsia="Arial" w:hAnsi="Arial"/>
          <w:sz w:val="17"/>
          <w:szCs w:val="17"/>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 Risk of Funds</w:t>
      </w:r>
      <w:r>
        <w:rPr>
          <w:rFonts w:ascii="Arial" w:cs="Arial" w:eastAsia="Arial" w:hAnsi="Arial"/>
          <w:sz w:val="18"/>
          <w:szCs w:val="18"/>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No Discretion</w:t>
      </w:r>
      <w:r>
        <w:rPr>
          <w:rFonts w:ascii="Arial" w:cs="Arial" w:eastAsia="Arial" w:hAnsi="Arial"/>
          <w:sz w:val="17"/>
          <w:szCs w:val="17"/>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Arial" w:cs="Arial" w:eastAsia="Arial" w:hAnsi="Arial"/>
          <w:sz w:val="17"/>
          <w:szCs w:val="17"/>
          <w:u w:val="single" w:color="auto"/>
          <w:color w:val="auto"/>
        </w:rPr>
        <w:t>Relevant Lenders</w:t>
      </w:r>
      <w:r>
        <w:rPr>
          <w:rFonts w:ascii="Arial" w:cs="Arial" w:eastAsia="Arial" w:hAnsi="Arial"/>
          <w:sz w:val="17"/>
          <w:szCs w:val="17"/>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Special, Consequential and Indirect Damages</w:t>
      </w:r>
      <w:r>
        <w:rPr>
          <w:rFonts w:ascii="Arial" w:cs="Arial" w:eastAsia="Arial" w:hAnsi="Arial"/>
          <w:sz w:val="18"/>
          <w:szCs w:val="18"/>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48"/>
        <w:spacing w:after="0" w:line="270" w:lineRule="auto"/>
        <w:rPr>
          <w:sz w:val="20"/>
          <w:szCs w:val="20"/>
          <w:color w:val="auto"/>
        </w:rPr>
      </w:pPr>
      <w:r>
        <w:rPr>
          <w:rFonts w:ascii="Arial" w:cs="Arial" w:eastAsia="Arial" w:hAnsi="Arial"/>
          <w:sz w:val="17"/>
          <w:szCs w:val="17"/>
          <w:color w:val="auto"/>
        </w:rPr>
        <w:t xml:space="preserve">SECTION 11.20 </w:t>
      </w:r>
      <w:r>
        <w:rPr>
          <w:rFonts w:ascii="Arial" w:cs="Arial" w:eastAsia="Arial" w:hAnsi="Arial"/>
          <w:sz w:val="17"/>
          <w:szCs w:val="17"/>
          <w:u w:val="single" w:color="auto"/>
          <w:color w:val="auto"/>
        </w:rPr>
        <w:t>No Environmental Liability</w:t>
      </w:r>
      <w:r>
        <w:rPr>
          <w:rFonts w:ascii="Arial" w:cs="Arial" w:eastAsia="Arial" w:hAnsi="Arial"/>
          <w:sz w:val="17"/>
          <w:szCs w:val="17"/>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8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SECTION 11.21</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            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xml:space="preserve">”) that the Administrative Agent has determined in its sole discretion that any funds (or any portion thereof)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7"/>
          <w:szCs w:val="17"/>
          <w:u w:val="single" w:color="auto"/>
          <w:color w:val="auto"/>
        </w:rPr>
        <w:t>Section 11.21(a),</w:t>
      </w:r>
      <w:r>
        <w:rPr>
          <w:rFonts w:ascii="Arial" w:cs="Arial" w:eastAsia="Arial" w:hAnsi="Arial"/>
          <w:sz w:val="17"/>
          <w:szCs w:val="17"/>
          <w:color w:val="auto"/>
        </w:rPr>
        <w:t xml:space="preserve">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then, in each case, such Payment Recipient is deemed to have knowledge of such error at the time of its receipt of such Erroneous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1296"/>
        <w:spacing w:after="0" w:line="277" w:lineRule="auto"/>
        <w:rPr>
          <w:sz w:val="20"/>
          <w:szCs w:val="20"/>
          <w:color w:val="auto"/>
        </w:rPr>
      </w:pPr>
      <w:r>
        <w:rPr>
          <w:rFonts w:ascii="Arial" w:cs="Arial" w:eastAsia="Arial" w:hAnsi="Arial"/>
          <w:sz w:val="18"/>
          <w:szCs w:val="18"/>
          <w:color w:val="auto"/>
        </w:rPr>
        <w:t>(b)            Without limiting the immediately preceding clause (a), each Payment Recipient agrees that, in the case of clause (a)(ii) above, it shall promptly notify the Administrative Agent in writing of such occurrence.</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Arial" w:cs="Arial" w:eastAsia="Arial" w:hAnsi="Arial"/>
          <w:sz w:val="17"/>
          <w:szCs w:val="17"/>
          <w:u w:val="single" w:color="auto"/>
          <w:color w:val="auto"/>
        </w:rPr>
        <w:t>Erroneous Payment Deficiency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7"/>
          <w:szCs w:val="17"/>
          <w:u w:val="single" w:color="auto"/>
          <w:color w:val="auto"/>
        </w:rPr>
        <w:t>Section 12.05</w:t>
      </w:r>
      <w:r>
        <w:rPr>
          <w:rFonts w:ascii="Arial" w:cs="Arial" w:eastAsia="Arial" w:hAnsi="Arial"/>
          <w:sz w:val="17"/>
          <w:szCs w:val="17"/>
          <w:color w:val="auto"/>
        </w:rPr>
        <w:t xml:space="preserve"> and (3) the Administrative Agent may reflect such assignments in the Register without further consent or action by any other Person.</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7"/>
          <w:szCs w:val="17"/>
          <w:u w:val="single" w:color="auto"/>
          <w:color w:val="auto"/>
        </w:rPr>
        <w:t>Section 11.21</w:t>
      </w:r>
      <w:r>
        <w:rPr>
          <w:rFonts w:ascii="Arial" w:cs="Arial" w:eastAsia="Arial" w:hAnsi="Arial"/>
          <w:sz w:val="17"/>
          <w:szCs w:val="17"/>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Obligor, except, in each case, to the extent such Erroneous Payment is, and solely with respect to the amount of such Erroneous Payment that is, comprised of funds received directly or indirectly by the Administrative Agent from the Borrowers or any other Obligor (including proceeds of Collateral)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1296"/>
        <w:spacing w:after="0" w:line="263" w:lineRule="auto"/>
        <w:rPr>
          <w:sz w:val="20"/>
          <w:szCs w:val="20"/>
          <w:color w:val="auto"/>
        </w:rPr>
      </w:pPr>
      <w:r>
        <w:rPr>
          <w:rFonts w:ascii="Arial" w:cs="Arial" w:eastAsia="Arial" w:hAnsi="Arial"/>
          <w:sz w:val="18"/>
          <w:szCs w:val="18"/>
          <w:color w:val="auto"/>
        </w:rPr>
        <w:t xml:space="preserve">(f)            Each party’s obligations under this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(g)            Nothing in this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will constitute a waiver or release of any claim of the Administrative Agent hereunder arising from any Payment Recipient’s receipt of an Erroneous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Waiver; Amendments; Joinder; Release of Guarantors; Release of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any Loan and/or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1296"/>
        <w:spacing w:after="0" w:line="283" w:lineRule="auto"/>
        <w:rPr>
          <w:sz w:val="20"/>
          <w:szCs w:val="20"/>
          <w:color w:val="auto"/>
        </w:rPr>
      </w:pPr>
      <w:r>
        <w:rPr>
          <w:rFonts w:ascii="Arial" w:cs="Arial" w:eastAsia="Arial" w:hAnsi="Arial"/>
          <w:sz w:val="16"/>
          <w:szCs w:val="16"/>
          <w:color w:val="auto"/>
        </w:rPr>
        <w:t xml:space="preserve">(b)            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5.01(c)</w:t>
      </w:r>
      <w:r>
        <w:rPr>
          <w:rFonts w:ascii="Arial" w:cs="Arial" w:eastAsia="Arial" w:hAnsi="Arial"/>
          <w:sz w:val="16"/>
          <w:szCs w:val="16"/>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liability for the Obligations, without the written consent of each Lender (other than Defaulting Lenders), (vii) except in accordance with </w:t>
      </w:r>
      <w:r>
        <w:rPr>
          <w:rFonts w:ascii="Arial" w:cs="Arial" w:eastAsia="Arial" w:hAnsi="Arial"/>
          <w:sz w:val="16"/>
          <w:szCs w:val="16"/>
          <w:u w:val="single" w:color="auto"/>
          <w:color w:val="auto"/>
        </w:rPr>
        <w:t>Section 12.01(c)</w:t>
      </w:r>
      <w:r>
        <w:rPr>
          <w:rFonts w:ascii="Arial" w:cs="Arial" w:eastAsia="Arial" w:hAnsi="Arial"/>
          <w:sz w:val="16"/>
          <w:szCs w:val="16"/>
          <w:color w:val="auto"/>
        </w:rPr>
        <w:t xml:space="preserve"> or in any Collateral Document or the Intercreditor Agreement, release all or substantially all of the Collateral without the written consent of each Lender, (viii) change or waive any provisions of this Agreement or the Loan Documents (it being understood that only the Required Lenders shall be required to waive or amend Sections 9.01(b) and 9.04(a) or any change to the definition of “Standalone Performance LCs”)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Arial" w:cs="Arial" w:eastAsia="Arial" w:hAnsi="Arial"/>
          <w:sz w:val="16"/>
          <w:szCs w:val="16"/>
          <w:u w:val="single" w:color="auto"/>
          <w:color w:val="auto"/>
        </w:rPr>
        <w:t>Section 9.01(p)</w:t>
      </w:r>
      <w:r>
        <w:rPr>
          <w:rFonts w:ascii="Arial" w:cs="Arial" w:eastAsia="Arial" w:hAnsi="Arial"/>
          <w:sz w:val="16"/>
          <w:szCs w:val="16"/>
          <w:color w:val="auto"/>
        </w:rPr>
        <w:t xml:space="preserve"> (in each case, as in effect on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auto"/>
        </w:rPr>
        <w:t xml:space="preserve"> Effective Date)), without the written consent of each Lender (other than Defaulting Lenders), (ix) change or waive any provisions of this Agreement or the Loan Documents (it being understood that only the Required Lenders shall be required to waive or amend Sections 9.01(b) and 9.04(a) or any change to the definition of “Standalone Performance LCs”)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Arial" w:cs="Arial" w:eastAsia="Arial" w:hAnsi="Arial"/>
          <w:sz w:val="16"/>
          <w:szCs w:val="16"/>
          <w:u w:val="single" w:color="auto"/>
          <w:color w:val="auto"/>
        </w:rPr>
        <w:t>Section 9.01(p)</w:t>
      </w:r>
      <w:r>
        <w:rPr>
          <w:rFonts w:ascii="Arial" w:cs="Arial" w:eastAsia="Arial" w:hAnsi="Arial"/>
          <w:sz w:val="16"/>
          <w:szCs w:val="16"/>
          <w:color w:val="auto"/>
        </w:rPr>
        <w:t xml:space="preserve"> (in each case, as in effect on the </w:t>
      </w:r>
      <w:r>
        <w:rPr>
          <w:rFonts w:ascii="Arial" w:cs="Arial" w:eastAsia="Arial" w:hAnsi="Arial"/>
          <w:sz w:val="16"/>
          <w:szCs w:val="16"/>
          <w:b w:val="1"/>
          <w:bCs w:val="1"/>
          <w:u w:val="single" w:color="auto"/>
          <w:color w:val="0000FF"/>
        </w:rPr>
        <w:t>Fourth Amendment</w:t>
      </w:r>
      <w:r>
        <w:rPr>
          <w:rFonts w:ascii="Arial" w:cs="Arial" w:eastAsia="Arial" w:hAnsi="Arial"/>
          <w:sz w:val="16"/>
          <w:szCs w:val="16"/>
          <w:color w:val="auto"/>
        </w:rPr>
        <w:t xml:space="preserve"> Effective Date)) without the written consent of each Lender (other than Defaulting Lenders), (x) [reserved] or (xi) release all or substantially all of the value of the Guaranty Agreements, collectively,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any provision of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without the consent of the Administrative Agent, each Issuing Bank and the Required Lenders. Subject to the foregoing, the waiver, amendment or modification of any provision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may be effected with the consent of the Required Lenders. Notwithstanding anything to the contrary herein, this </w:t>
      </w:r>
      <w:r>
        <w:rPr>
          <w:rFonts w:ascii="Arial" w:cs="Arial" w:eastAsia="Arial" w:hAnsi="Arial"/>
          <w:sz w:val="16"/>
          <w:szCs w:val="16"/>
          <w:u w:val="single" w:color="auto"/>
          <w:color w:val="auto"/>
        </w:rPr>
        <w:t>Section 12.01(b)</w:t>
      </w:r>
      <w:r>
        <w:rPr>
          <w:rFonts w:ascii="Arial" w:cs="Arial" w:eastAsia="Arial" w:hAnsi="Arial"/>
          <w:sz w:val="16"/>
          <w:szCs w:val="16"/>
          <w:color w:val="auto"/>
        </w:rPr>
        <w:t xml:space="preserve"> shall, in respect of a Defaulting Lender, be subject to </w:t>
      </w:r>
      <w:r>
        <w:rPr>
          <w:rFonts w:ascii="Arial" w:cs="Arial" w:eastAsia="Arial" w:hAnsi="Arial"/>
          <w:sz w:val="16"/>
          <w:szCs w:val="16"/>
          <w:u w:val="single" w:color="auto"/>
          <w:color w:val="auto"/>
        </w:rPr>
        <w:t>Section 4.11(b)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1296"/>
        <w:spacing w:after="0" w:line="283" w:lineRule="auto"/>
        <w:rPr>
          <w:sz w:val="20"/>
          <w:szCs w:val="20"/>
          <w:color w:val="auto"/>
        </w:rPr>
      </w:pPr>
      <w:r>
        <w:rPr>
          <w:rFonts w:ascii="Arial" w:cs="Arial" w:eastAsia="Arial" w:hAnsi="Arial"/>
          <w:sz w:val="16"/>
          <w:szCs w:val="16"/>
          <w:color w:val="auto"/>
        </w:rPr>
        <w:t xml:space="preserve">(c)            The Lenders hereby irrevocably agree that any Lien on any assets or property granted to or held by the Administrative Agent or the LC Australian Collateral Agent under any Loan Document shall be automatically released (i) upon Payment in Full, (ii) 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in any case set forth above, promptly upon receipt of a written request therefor from the Borrower, the Administrative Agent will execute and deliver all documents as may reasonably be requested to evidence such release;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any Lien be automatically released from its obligations pursuant to this </w:t>
      </w:r>
      <w:r>
        <w:rPr>
          <w:rFonts w:ascii="Arial" w:cs="Arial" w:eastAsia="Arial" w:hAnsi="Arial"/>
          <w:sz w:val="16"/>
          <w:szCs w:val="16"/>
          <w:u w:val="single" w:color="auto"/>
          <w:color w:val="auto"/>
        </w:rPr>
        <w:t>Section 12.01(c)</w:t>
      </w:r>
      <w:r>
        <w:rPr>
          <w:rFonts w:ascii="Arial" w:cs="Arial" w:eastAsia="Arial" w:hAnsi="Arial"/>
          <w:sz w:val="16"/>
          <w:szCs w:val="16"/>
          <w:color w:val="auto"/>
        </w:rPr>
        <w:t xml:space="preserve"> solely as a result of a Disposition of less than all of the equity interests in an Obligor to an Affiliate of Parent.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w:t>
      </w:r>
      <w:r>
        <w:rPr>
          <w:rFonts w:ascii="Arial" w:cs="Arial" w:eastAsia="Arial" w:hAnsi="Arial"/>
          <w:sz w:val="16"/>
          <w:szCs w:val="16"/>
          <w:b w:val="1"/>
          <w:bCs w:val="1"/>
          <w:u w:val="single" w:color="auto"/>
          <w:color w:val="0000FF"/>
        </w:rPr>
        <w:t>Notwithstanding anything in this Agreement or any other</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u w:val="single" w:color="auto"/>
          <w:color w:val="0000FF"/>
        </w:rPr>
        <w:t>Loan Document to the contrary, upon the repayment or Redemption in full of all Senior Secured Notes, the Liens and mortgage over the real property interests listed on Schedule 1.01D with an address of 1040 Schlipf Road, Katy, Texas 77494 shall be automatically released and, promptly upon receipt of a written request therefor from the Borrower, the Administrative Agent will execute and deliver all documents as may reasonably be requested to evidence such release.</w:t>
      </w:r>
    </w:p>
    <w:p>
      <w:pPr>
        <w:spacing w:after="0" w:line="19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(d)            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amend and restate, supplement or modify any Intercreditor Agreement as permitted pursuant to </w:t>
      </w:r>
      <w:r>
        <w:rPr>
          <w:rFonts w:ascii="Arial" w:cs="Arial" w:eastAsia="Arial" w:hAnsi="Arial"/>
          <w:sz w:val="17"/>
          <w:szCs w:val="17"/>
          <w:u w:val="single" w:color="auto"/>
          <w:color w:val="auto"/>
        </w:rPr>
        <w:t>Section 11.14</w:t>
      </w:r>
      <w:r>
        <w:rPr>
          <w:rFonts w:ascii="Arial" w:cs="Arial" w:eastAsia="Arial" w:hAnsi="Arial"/>
          <w:sz w:val="17"/>
          <w:szCs w:val="17"/>
          <w:color w:val="auto"/>
        </w:rPr>
        <w:t>.</w:t>
      </w:r>
    </w:p>
    <w:p>
      <w:pPr>
        <w:spacing w:after="0" w:line="18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(e)            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The Borrowers hereby, jointly and severally, agree to pay all reasonable costs and expenses incurred by the Administrative Agent in connection with any such release of a Guarantor.</w:t>
      </w:r>
    </w:p>
    <w:p>
      <w:pPr>
        <w:spacing w:after="0" w:line="183" w:lineRule="exact"/>
        <w:rPr>
          <w:sz w:val="20"/>
          <w:szCs w:val="20"/>
          <w:color w:val="auto"/>
        </w:rPr>
      </w:pPr>
    </w:p>
    <w:p>
      <w:pPr>
        <w:jc w:val="both"/>
        <w:ind w:firstLine="1304"/>
        <w:spacing w:after="0" w:line="286" w:lineRule="auto"/>
        <w:tabs>
          <w:tab w:leader="none" w:pos="1541" w:val="left"/>
        </w:tabs>
        <w:numPr>
          <w:ilvl w:val="1"/>
          <w:numId w:val="114"/>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 xml:space="preserve">Notwithstanding anything to the contrary in any Loan Document, without the consent of any other party hereto or to any other Loan Document, including any other Credit Party, the Administrative Agent and the applicable Obligors may (and, in the case of the Administrative Agent, is hereby authorized by the Lenders and any other applicable parties hereto to) enter into any agreement amending any Loan Document if reasonably required, in the reasonable discretion of the Administrative Agent or Borrowers, to appropriately reflect the joinder of a new Borrower pursuant to the terms of </w:t>
      </w:r>
      <w:r>
        <w:rPr>
          <w:rFonts w:ascii="Arial" w:cs="Arial" w:eastAsia="Arial" w:hAnsi="Arial"/>
          <w:sz w:val="16"/>
          <w:szCs w:val="16"/>
          <w:b w:val="1"/>
          <w:bCs w:val="1"/>
          <w:u w:val="single" w:color="auto"/>
          <w:color w:val="FF0000"/>
          <w:strike w:val="1"/>
        </w:rPr>
        <w:t>Section 4.13</w:t>
      </w:r>
      <w:r>
        <w:rPr>
          <w:rFonts w:ascii="Arial" w:cs="Arial" w:eastAsia="Arial" w:hAnsi="Arial"/>
          <w:sz w:val="16"/>
          <w:szCs w:val="16"/>
          <w:b w:val="1"/>
          <w:bCs w:val="1"/>
          <w:color w:val="FF0000"/>
          <w:strike w:val="1"/>
        </w:rPr>
        <w:t>, including (i) the addition of the Canadian Dollar as an Alternative Currency hereunder,</w:t>
      </w:r>
    </w:p>
    <w:p>
      <w:pPr>
        <w:spacing w:after="0" w:line="2" w:lineRule="exact"/>
        <w:rPr>
          <w:rFonts w:ascii="Arial" w:cs="Arial" w:eastAsia="Arial" w:hAnsi="Arial"/>
          <w:sz w:val="16"/>
          <w:szCs w:val="16"/>
          <w:b w:val="1"/>
          <w:bCs w:val="1"/>
          <w:color w:val="FF0000"/>
          <w:strike w:val="1"/>
        </w:rPr>
      </w:pPr>
    </w:p>
    <w:p>
      <w:pPr>
        <w:jc w:val="both"/>
        <w:ind w:firstLine="8"/>
        <w:spacing w:after="0" w:line="252" w:lineRule="auto"/>
        <w:tabs>
          <w:tab w:leader="none" w:pos="270" w:val="left"/>
        </w:tabs>
        <w:numPr>
          <w:ilvl w:val="0"/>
          <w:numId w:val="115"/>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designation of the Canadian Dollar Offered Rate as a Eurocurrency Rate hereunder together with provisions related to the administration of Loans and other extensions of credit benchmarked to the Canadian Dollar Offered Rate and (iii) the addition of customary benchmark replacement provisions with respect to the Canadian Dollar Offered Rate that take into account (A) any evolving or then-prevailing market convention for such benchmark replacement provisions and (B), to the extent available, the reccomendation of the Canadian Alternative Reference Rate working group at the time such amendment becomes effective. Any such amendment shall become effective in accordance with the terms thereof and without any further action or consent from any party hereto or to any other Loan Document, other than the Administrative Agent and the applicable Obligors.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tabs>
          <w:tab w:leader="none" w:pos="212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(a)            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if to any Borrower or Guarantor,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LegalWeatherford@weatherford.com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Weatherford International,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Vice President and Treasurer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Max.Kricorian@weatherford.com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if to the Administrative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MAC D1109-019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left="840"/>
        <w:spacing w:after="0"/>
        <w:rPr>
          <w:sz w:val="20"/>
          <w:szCs w:val="20"/>
          <w:color w:val="auto"/>
        </w:rPr>
      </w:pPr>
      <w:r>
        <w:rPr>
          <w:rFonts w:ascii="Arial" w:cs="Arial" w:eastAsia="Arial" w:hAnsi="Arial"/>
          <w:sz w:val="18"/>
          <w:szCs w:val="18"/>
          <w:color w:val="auto"/>
        </w:rPr>
        <w:t>1525 West W.T. Harris Blvd.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Charlotte, NC 28262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of: Syndication Agency Services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 No.: (704) 590-2706</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Facsimile No.: (844) 879-5899</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Agencyservices.requests@wellsfargo.com</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(iii)            if to Barclays, in its capacity as an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Churchill Place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London E14 5HP</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 +44 (0) 20 7773 2190</w:t>
      </w:r>
    </w:p>
    <w:p>
      <w:pPr>
        <w:spacing w:after="0" w:line="9" w:lineRule="exact"/>
        <w:rPr>
          <w:sz w:val="20"/>
          <w:szCs w:val="20"/>
          <w:color w:val="auto"/>
        </w:rPr>
      </w:pPr>
    </w:p>
    <w:p>
      <w:pPr>
        <w:ind w:left="840" w:right="839"/>
        <w:spacing w:after="0" w:line="260" w:lineRule="auto"/>
        <w:rPr>
          <w:sz w:val="20"/>
          <w:szCs w:val="20"/>
          <w:color w:val="auto"/>
        </w:rPr>
      </w:pPr>
      <w:r>
        <w:rPr>
          <w:rFonts w:ascii="Arial" w:cs="Arial" w:eastAsia="Arial" w:hAnsi="Arial"/>
          <w:sz w:val="18"/>
          <w:szCs w:val="18"/>
          <w:color w:val="auto"/>
        </w:rPr>
        <w:t>Email: mark.pope@barclays.com, matthew.x.jackson@barclays.com, Daniel.scoines1@barclays.com, Edwin.lau@barclays.com, Yokaira.peralta@barclays.com</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(iv)            if to Wells Fargo,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Wells Fargo Bank, National Association</w:t>
      </w:r>
    </w:p>
    <w:p>
      <w:pPr>
        <w:ind w:left="840"/>
        <w:spacing w:after="0" w:line="202" w:lineRule="auto"/>
        <w:rPr>
          <w:sz w:val="20"/>
          <w:szCs w:val="20"/>
          <w:color w:val="auto"/>
        </w:rPr>
      </w:pPr>
      <w:r>
        <w:rPr>
          <w:rFonts w:ascii="Arial" w:cs="Arial" w:eastAsia="Arial" w:hAnsi="Arial"/>
          <w:sz w:val="18"/>
          <w:szCs w:val="18"/>
          <w:color w:val="auto"/>
        </w:rPr>
        <w:t>1700 Lincoln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Denver, CO 80203</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 (303) 863-5576</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DENLCFX@wellsfargo.com</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            if to Deutsche Bank,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Trade Finance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 (212) 250-9633, (212) 250-8321, (212) 250-8462, (212) 250-5427</w:t>
      </w:r>
    </w:p>
    <w:p>
      <w:pPr>
        <w:spacing w:after="0" w:line="9" w:lineRule="exact"/>
        <w:rPr>
          <w:sz w:val="20"/>
          <w:szCs w:val="20"/>
          <w:color w:val="auto"/>
        </w:rPr>
      </w:pPr>
    </w:p>
    <w:p>
      <w:pPr>
        <w:ind w:left="840" w:right="419"/>
        <w:spacing w:after="0" w:line="260" w:lineRule="auto"/>
        <w:rPr>
          <w:sz w:val="20"/>
          <w:szCs w:val="20"/>
          <w:color w:val="auto"/>
        </w:rPr>
      </w:pPr>
      <w:r>
        <w:rPr>
          <w:rFonts w:ascii="Arial" w:cs="Arial" w:eastAsia="Arial" w:hAnsi="Arial"/>
          <w:sz w:val="18"/>
          <w:szCs w:val="18"/>
          <w:color w:val="auto"/>
        </w:rPr>
        <w:t>Email: jack.leong@db.com, gaurav.mathur@db.com, konstanze.geppert@db.com, michelle.hsiao@db.com, tfcs.newyork@db.com</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(vi)            if to Citibank, N.A., in its capacity as Issuing Bank, to it at: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811 Main Street, Suite 4000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Ivan Davey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Telephone: (713) 821-4709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39" w:name="page240"/>
    <w:bookmarkEnd w:id="239"/>
    <w:p>
      <w:pPr>
        <w:ind w:left="1960"/>
        <w:spacing w:after="0"/>
        <w:rPr>
          <w:sz w:val="20"/>
          <w:szCs w:val="20"/>
          <w:color w:val="auto"/>
        </w:rPr>
      </w:pPr>
      <w:r>
        <w:rPr>
          <w:rFonts w:ascii="Arial" w:cs="Arial" w:eastAsia="Arial" w:hAnsi="Arial"/>
          <w:sz w:val="18"/>
          <w:szCs w:val="18"/>
          <w:color w:val="auto"/>
        </w:rPr>
        <w:t>Email: ivan.davey@citi.com</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            if to Morgan Stanley, in its capacity as Issuing Bank,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Morgan Stanley Senior Funding,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1300 Thames Street, 4th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Thames Street Wharf</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(443) 627-4555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507-5010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MSB.LOC@morganstanley.com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(viii)            [Reserved]</w:t>
      </w:r>
    </w:p>
    <w:p>
      <w:pPr>
        <w:spacing w:after="0" w:line="225"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(ix)            if to any other Issuing Bank, to it at such address (or facsimile number) as shall be specified in the Issuing Bank Agreement to which such Issuing Bank shall be a party;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if to any Lender, to it at its address (or facsimile number) set forth in its Administrative Questionnaire.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(b)            Notices and other communications to the Lenders and the Issuing Banks hereunder may be delivered or furnished by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firstLine="1296"/>
        <w:spacing w:after="0" w:line="277" w:lineRule="auto"/>
        <w:rPr>
          <w:sz w:val="20"/>
          <w:szCs w:val="20"/>
          <w:color w:val="auto"/>
        </w:rPr>
      </w:pPr>
      <w:r>
        <w:rPr>
          <w:rFonts w:ascii="Arial" w:cs="Arial" w:eastAsia="Arial" w:hAnsi="Arial"/>
          <w:sz w:val="18"/>
          <w:szCs w:val="18"/>
          <w:color w:val="auto"/>
        </w:rPr>
        <w:t>(c)            Any party hereto may change its address or telecopy number for notices and other communications hereunder by notice to the other parties hereto.</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(d)            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4" w:lineRule="exact"/>
        <w:rPr>
          <w:sz w:val="20"/>
          <w:szCs w:val="20"/>
          <w:color w:val="auto"/>
        </w:rPr>
      </w:pPr>
    </w:p>
    <w:p>
      <w:pPr>
        <w:jc w:val="both"/>
        <w:ind w:left="660" w:firstLine="1296"/>
        <w:spacing w:after="0" w:line="269" w:lineRule="auto"/>
        <w:rPr>
          <w:sz w:val="20"/>
          <w:szCs w:val="20"/>
          <w:color w:val="auto"/>
        </w:rPr>
      </w:pPr>
      <w:r>
        <w:rPr>
          <w:rFonts w:ascii="Arial" w:cs="Arial" w:eastAsia="Arial" w:hAnsi="Arial"/>
          <w:sz w:val="17"/>
          <w:szCs w:val="17"/>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Expenses, Etc</w:t>
      </w:r>
      <w:r>
        <w:rPr>
          <w:rFonts w:ascii="Arial" w:cs="Arial" w:eastAsia="Arial" w:hAnsi="Arial"/>
          <w:sz w:val="16"/>
          <w:szCs w:val="16"/>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the reasonable and documented or invoiced fees, charges and disbursements of Simpson Thacher &amp; Bartlett LLP (and including one local counsel in each applicable jurisdiction), in connection with the syndication and distribution (including via the Internet or through a service such as Intralinks) of the Credit Facility,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Facility,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Loans or Letters of Credit issued hereunder, including all such out-of-pocket expenses incurred during any workout, restructuring or negotiations in respect of such Loans or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Defaulting Lender will not be reimbursed for its costs and expenses related to the replacement of such Defaulting Lender or other matters incidental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left="660"/>
        <w:spacing w:after="0"/>
        <w:tabs>
          <w:tab w:leader="none" w:pos="212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7"/>
          <w:szCs w:val="17"/>
          <w:u w:val="single" w:color="auto"/>
          <w:color w:val="auto"/>
        </w:rPr>
        <w:t>Indemnity and Limitation of Liability</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(a)            The Borrowers shall indemnify the Administrative Agent (and any sub-agent thereof), each Joint Lead Arranger, each Issuing Bank and each Lender, and each Affiliate and Related Party of each of the foregoing, and their respective directors, officers, employees, advisors and agents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relating to this Agreement, any Loan or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WIL-Canada, WIL-Delaware, </w:t>
      </w:r>
      <w:r>
        <w:rPr>
          <w:rFonts w:ascii="Arial" w:cs="Arial" w:eastAsia="Arial" w:hAnsi="Arial"/>
          <w:sz w:val="16"/>
          <w:szCs w:val="16"/>
          <w:b w:val="1"/>
          <w:bCs w:val="1"/>
          <w:u w:val="single" w:color="auto"/>
          <w:color w:val="0000FF"/>
        </w:rPr>
        <w:t>WIL-Switzerland,</w:t>
      </w:r>
      <w:r>
        <w:rPr>
          <w:rFonts w:ascii="Arial" w:cs="Arial" w:eastAsia="Arial" w:hAnsi="Arial"/>
          <w:sz w:val="16"/>
          <w:szCs w:val="16"/>
          <w:color w:val="auto"/>
        </w:rPr>
        <w:t xml:space="preserve"> Parent or any of their Subsidiaries, or any Environmental Liability related in any way to WIL-Bermuda, WIL-Canada, WIL-Delaware, </w:t>
      </w:r>
      <w:r>
        <w:rPr>
          <w:rFonts w:ascii="Arial" w:cs="Arial" w:eastAsia="Arial" w:hAnsi="Arial"/>
          <w:sz w:val="16"/>
          <w:szCs w:val="16"/>
          <w:b w:val="1"/>
          <w:bCs w:val="1"/>
          <w:u w:val="single" w:color="auto"/>
          <w:color w:val="0000FF"/>
        </w:rPr>
        <w:t>WIL-Switzerland,</w:t>
      </w:r>
      <w:r>
        <w:rPr>
          <w:rFonts w:ascii="Arial" w:cs="Arial" w:eastAsia="Arial" w:hAnsi="Arial"/>
          <w:sz w:val="16"/>
          <w:szCs w:val="16"/>
          <w:color w:val="auto"/>
        </w:rPr>
        <w:t xml:space="preserv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WIL-Canada, WIL-Delaware, </w:t>
      </w:r>
      <w:r>
        <w:rPr>
          <w:rFonts w:ascii="Arial" w:cs="Arial" w:eastAsia="Arial" w:hAnsi="Arial"/>
          <w:sz w:val="16"/>
          <w:szCs w:val="16"/>
          <w:b w:val="1"/>
          <w:bCs w:val="1"/>
          <w:u w:val="single" w:color="auto"/>
          <w:color w:val="0000FF"/>
        </w:rPr>
        <w:t>WIL-Switzerland,</w:t>
      </w:r>
      <w:r>
        <w:rPr>
          <w:rFonts w:ascii="Arial" w:cs="Arial" w:eastAsia="Arial" w:hAnsi="Arial"/>
          <w:sz w:val="16"/>
          <w:szCs w:val="16"/>
          <w:color w:val="auto"/>
        </w:rPr>
        <w:t xml:space="preserve">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w:t>
      </w:r>
    </w:p>
    <w:p>
      <w:pPr>
        <w:spacing w:after="0" w:line="10" w:lineRule="exact"/>
        <w:rPr>
          <w:sz w:val="20"/>
          <w:szCs w:val="20"/>
          <w:color w:val="auto"/>
        </w:rPr>
      </w:pPr>
    </w:p>
    <w:p>
      <w:pPr>
        <w:jc w:val="both"/>
        <w:ind w:firstLine="8"/>
        <w:spacing w:after="0" w:line="251" w:lineRule="auto"/>
        <w:tabs>
          <w:tab w:leader="none" w:pos="2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SHALL SURVIVE THE TERMINATION OF THIS AGREEMENT AND THE OTHER LOAN DOCUMENTS AND THE PAYMENT OF THE OTHER OBLIGATIONS.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spacing w:after="0" w:line="263" w:lineRule="auto"/>
        <w:rPr>
          <w:sz w:val="20"/>
          <w:szCs w:val="20"/>
          <w:color w:val="auto"/>
        </w:rPr>
      </w:pPr>
      <w:r>
        <w:rPr>
          <w:rFonts w:ascii="Arial" w:cs="Arial" w:eastAsia="Arial" w:hAnsi="Arial"/>
          <w:sz w:val="18"/>
          <w:szCs w:val="18"/>
          <w:color w:val="auto"/>
        </w:rPr>
        <w:t>With respect to an Obligor incorporated in Germany as (x) a limited liability company (</w:t>
      </w:r>
      <w:r>
        <w:rPr>
          <w:rFonts w:ascii="Arial" w:cs="Arial" w:eastAsia="Arial" w:hAnsi="Arial"/>
          <w:sz w:val="18"/>
          <w:szCs w:val="18"/>
          <w:i w:val="1"/>
          <w:iCs w:val="1"/>
          <w:color w:val="auto"/>
        </w:rPr>
        <w:t>Gesellschaft mit beschränkter Haftung - GmbH</w:t>
      </w:r>
      <w:r>
        <w:rPr>
          <w:rFonts w:ascii="Arial" w:cs="Arial" w:eastAsia="Arial" w:hAnsi="Arial"/>
          <w:sz w:val="18"/>
          <w:szCs w:val="18"/>
          <w:color w:val="auto"/>
        </w:rPr>
        <w:t>) or (y) a limited partnership (</w:t>
      </w:r>
      <w:r>
        <w:rPr>
          <w:rFonts w:ascii="Arial" w:cs="Arial" w:eastAsia="Arial" w:hAnsi="Arial"/>
          <w:sz w:val="18"/>
          <w:szCs w:val="18"/>
          <w:i w:val="1"/>
          <w:iCs w:val="1"/>
          <w:color w:val="auto"/>
        </w:rPr>
        <w:t>Kommanditgesellschaft</w:t>
      </w:r>
      <w:r>
        <w:rPr>
          <w:rFonts w:ascii="Arial" w:cs="Arial" w:eastAsia="Arial" w:hAnsi="Arial"/>
          <w:sz w:val="18"/>
          <w:szCs w:val="18"/>
          <w:color w:val="auto"/>
        </w:rPr>
        <w:t xml:space="preserve">) with a limited liability company as general partner, the limitations pursuant to Section 30 of the Affiliate Guaranty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obligations set out under this </w:t>
      </w:r>
      <w:r>
        <w:rPr>
          <w:rFonts w:ascii="Arial" w:cs="Arial" w:eastAsia="Arial" w:hAnsi="Arial"/>
          <w:sz w:val="18"/>
          <w:szCs w:val="18"/>
          <w:u w:val="single" w:color="auto"/>
          <w:color w:val="auto"/>
        </w:rPr>
        <w:t>Section 12.04</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(b)            To the extent that any Borrower fails to pay any amount required to be paid by it to the Administrative Agent or any Issuing Bank under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firstLine="1296"/>
        <w:spacing w:after="0" w:line="273" w:lineRule="auto"/>
        <w:rPr>
          <w:sz w:val="20"/>
          <w:szCs w:val="20"/>
          <w:color w:val="auto"/>
        </w:rPr>
      </w:pPr>
      <w:r>
        <w:rPr>
          <w:rFonts w:ascii="Arial" w:cs="Arial" w:eastAsia="Arial" w:hAnsi="Arial"/>
          <w:sz w:val="17"/>
          <w:szCs w:val="17"/>
          <w:color w:val="auto"/>
        </w:rPr>
        <w:t xml:space="preserve">(c)            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shall apply).</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(d)            No Indemnitee referred to in </w:t>
      </w:r>
      <w:r>
        <w:rPr>
          <w:rFonts w:ascii="Arial" w:cs="Arial" w:eastAsia="Arial" w:hAnsi="Arial"/>
          <w:sz w:val="18"/>
          <w:szCs w:val="18"/>
          <w:u w:val="single" w:color="auto"/>
          <w:color w:val="auto"/>
        </w:rPr>
        <w:t>Section 12.04(a)</w:t>
      </w:r>
      <w:r>
        <w:rPr>
          <w:rFonts w:ascii="Arial" w:cs="Arial" w:eastAsia="Arial" w:hAnsi="Arial"/>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(e)            All amounts due under this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payable not later than ten (10) Business Days after written demand therefor and presentation of any documents required to be delivered in connection therewith.</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            (i) Subject to the conditions set forth in this </w:t>
      </w: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subparagraph (b)(ii)</w:t>
      </w:r>
      <w:r>
        <w:rPr>
          <w:rFonts w:ascii="Arial" w:cs="Arial" w:eastAsia="Arial" w:hAnsi="Arial"/>
          <w:sz w:val="18"/>
          <w:szCs w:val="18"/>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delayed or conditioned)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left="180" w:firstLine="1296"/>
        <w:spacing w:after="0" w:line="296" w:lineRule="auto"/>
        <w:rPr>
          <w:sz w:val="20"/>
          <w:szCs w:val="20"/>
          <w:color w:val="auto"/>
        </w:rPr>
      </w:pPr>
      <w:r>
        <w:rPr>
          <w:rFonts w:ascii="Arial" w:cs="Arial" w:eastAsia="Arial" w:hAnsi="Arial"/>
          <w:sz w:val="16"/>
          <w:szCs w:val="16"/>
          <w:color w:val="010000"/>
        </w:rPr>
        <w:t xml:space="preserve">(A)            </w:t>
      </w:r>
      <w:r>
        <w:rPr>
          <w:rFonts w:ascii="Arial" w:cs="Arial" w:eastAsia="Arial" w:hAnsi="Arial"/>
          <w:sz w:val="16"/>
          <w:szCs w:val="16"/>
          <w:color w:val="000000"/>
        </w:rPr>
        <w:t>The Borrowers,</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10000"/>
        </w:rPr>
        <w:t xml:space="preserve"> </w:t>
      </w:r>
      <w:r>
        <w:rPr>
          <w:rFonts w:ascii="Arial" w:cs="Arial" w:eastAsia="Arial" w:hAnsi="Arial"/>
          <w:sz w:val="16"/>
          <w:szCs w:val="16"/>
          <w:color w:val="000000"/>
        </w:rPr>
        <w:t>that no consent of the Borrowers shall be required for an assignment to a Lender</w:t>
      </w:r>
      <w:r>
        <w:rPr>
          <w:rFonts w:ascii="Arial" w:cs="Arial" w:eastAsia="Arial" w:hAnsi="Arial"/>
          <w:sz w:val="16"/>
          <w:szCs w:val="16"/>
          <w:color w:val="010000"/>
        </w:rPr>
        <w:t xml:space="preserve"> </w:t>
      </w:r>
      <w:r>
        <w:rPr>
          <w:rFonts w:ascii="Arial" w:cs="Arial" w:eastAsia="Arial" w:hAnsi="Arial"/>
          <w:sz w:val="16"/>
          <w:szCs w:val="16"/>
          <w:color w:val="000000"/>
        </w:rPr>
        <w:t xml:space="preserve">(provided such Lender is a U.S. Qualifying Lender), an Affiliate of a Lender (provided such Affiliate is a U.S. Qualifying Lender), an Approved Fund (provided such Approved Fund is a U.S. Qualifying Lender) or, if an Event of Default has occurred and is continuing, any other assignee; </w:t>
      </w:r>
      <w:r>
        <w:rPr>
          <w:rFonts w:ascii="Arial" w:cs="Arial" w:eastAsia="Arial" w:hAnsi="Arial"/>
          <w:sz w:val="16"/>
          <w:szCs w:val="16"/>
          <w:u w:val="single" w:color="auto"/>
          <w:color w:val="000000"/>
        </w:rPr>
        <w:t>provided further</w:t>
      </w:r>
      <w:r>
        <w:rPr>
          <w:rFonts w:ascii="Arial" w:cs="Arial" w:eastAsia="Arial" w:hAnsi="Arial"/>
          <w:sz w:val="16"/>
          <w:szCs w:val="16"/>
          <w:color w:val="000000"/>
        </w:rPr>
        <w:t xml:space="preserve"> that it shall be reasonable for the Borrowers to withhold consent to any assignment under this </w:t>
      </w:r>
      <w:r>
        <w:rPr>
          <w:rFonts w:ascii="Arial" w:cs="Arial" w:eastAsia="Arial" w:hAnsi="Arial"/>
          <w:sz w:val="16"/>
          <w:szCs w:val="16"/>
          <w:u w:val="single" w:color="auto"/>
          <w:color w:val="000000"/>
        </w:rPr>
        <w:t>Section 12.05(b)(i)</w:t>
      </w:r>
      <w:r>
        <w:rPr>
          <w:rFonts w:ascii="Arial" w:cs="Arial" w:eastAsia="Arial" w:hAnsi="Arial"/>
          <w:sz w:val="16"/>
          <w:szCs w:val="16"/>
          <w:color w:val="000000"/>
        </w:rPr>
        <w:t xml:space="preserve"> in connection with compliance with the terms of any agreement or instrument governing Material Indebtedness; and</w:t>
      </w:r>
    </w:p>
    <w:p>
      <w:pPr>
        <w:spacing w:after="0" w:line="161" w:lineRule="exact"/>
        <w:rPr>
          <w:sz w:val="20"/>
          <w:szCs w:val="20"/>
          <w:color w:val="auto"/>
        </w:rPr>
      </w:pPr>
    </w:p>
    <w:p>
      <w:pPr>
        <w:jc w:val="both"/>
        <w:ind w:left="180" w:firstLine="1296"/>
        <w:spacing w:after="0" w:line="308" w:lineRule="auto"/>
        <w:rPr>
          <w:sz w:val="20"/>
          <w:szCs w:val="20"/>
          <w:color w:val="auto"/>
        </w:rPr>
      </w:pPr>
      <w:r>
        <w:rPr>
          <w:rFonts w:ascii="Arial" w:cs="Arial" w:eastAsia="Arial" w:hAnsi="Arial"/>
          <w:sz w:val="17"/>
          <w:szCs w:val="17"/>
          <w:color w:val="010000"/>
        </w:rPr>
        <w:t xml:space="preserve">(B)            </w:t>
      </w:r>
      <w:r>
        <w:rPr>
          <w:rFonts w:ascii="Arial" w:cs="Arial" w:eastAsia="Arial" w:hAnsi="Arial"/>
          <w:sz w:val="17"/>
          <w:szCs w:val="17"/>
          <w:color w:val="000000"/>
        </w:rPr>
        <w:t>the Administrative Agent,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10000"/>
        </w:rPr>
        <w:t xml:space="preserve"> </w:t>
      </w:r>
      <w:r>
        <w:rPr>
          <w:rFonts w:ascii="Arial" w:cs="Arial" w:eastAsia="Arial" w:hAnsi="Arial"/>
          <w:sz w:val="17"/>
          <w:szCs w:val="17"/>
          <w:color w:val="000000"/>
        </w:rPr>
        <w:t>that no consent of the Administrative Agent shall be required for an</w:t>
      </w:r>
      <w:r>
        <w:rPr>
          <w:rFonts w:ascii="Arial" w:cs="Arial" w:eastAsia="Arial" w:hAnsi="Arial"/>
          <w:sz w:val="17"/>
          <w:szCs w:val="17"/>
          <w:color w:val="010000"/>
        </w:rPr>
        <w:t xml:space="preserve"> </w:t>
      </w:r>
      <w:r>
        <w:rPr>
          <w:rFonts w:ascii="Arial" w:cs="Arial" w:eastAsia="Arial" w:hAnsi="Arial"/>
          <w:sz w:val="17"/>
          <w:szCs w:val="17"/>
          <w:color w:val="000000"/>
        </w:rPr>
        <w:t>assignment to a Lender, an Affiliate of a Lender, an Approved Fund immediately prior to giving effect to such assignment; and</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each Issuing Bank;</w:t>
      </w:r>
    </w:p>
    <w:p>
      <w:pPr>
        <w:spacing w:after="0" w:line="22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consent to an assignment required by the Borrowers under this </w:t>
      </w:r>
      <w:r>
        <w:rPr>
          <w:rFonts w:ascii="Arial" w:cs="Arial" w:eastAsia="Arial" w:hAnsi="Arial"/>
          <w:sz w:val="18"/>
          <w:szCs w:val="18"/>
          <w:u w:val="single" w:color="auto"/>
          <w:color w:val="auto"/>
        </w:rPr>
        <w:t>Section 12.05(b)(i)</w:t>
      </w:r>
      <w:r>
        <w:rPr>
          <w:rFonts w:ascii="Arial" w:cs="Arial" w:eastAsia="Arial" w:hAnsi="Arial"/>
          <w:sz w:val="18"/>
          <w:szCs w:val="18"/>
          <w:color w:val="auto"/>
        </w:rPr>
        <w:t xml:space="preserve"> shall be deemed to have been given by the Borrowers unless the Borrowers shall have objected thereto by written notice to the Administrative Agent within ten (10) Business Days after receiving a written request for its consent to such assignment.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225"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except in the case of an assignment to a Lender, an Affiliate of a Lender or an Approved Fund or an</w:t>
      </w:r>
      <w:r>
        <w:rPr>
          <w:rFonts w:ascii="Arial" w:cs="Arial" w:eastAsia="Arial" w:hAnsi="Arial"/>
          <w:sz w:val="18"/>
          <w:szCs w:val="18"/>
          <w:color w:val="010000"/>
        </w:rPr>
        <w:t xml:space="preserve"> </w:t>
      </w:r>
      <w:r>
        <w:rPr>
          <w:rFonts w:ascii="Arial" w:cs="Arial" w:eastAsia="Arial" w:hAnsi="Arial"/>
          <w:sz w:val="18"/>
          <w:szCs w:val="18"/>
          <w:color w:val="000000"/>
        </w:rPr>
        <w:t xml:space="preserve">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such consent of the Borrowers shall be required if an Event of Default has occurred and is continuing;</w:t>
      </w:r>
    </w:p>
    <w:p>
      <w:pPr>
        <w:spacing w:after="0" w:line="192"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010000"/>
        </w:rPr>
        <w:t xml:space="preserve">(B)            </w:t>
      </w:r>
      <w:r>
        <w:rPr>
          <w:rFonts w:ascii="Arial" w:cs="Arial" w:eastAsia="Arial" w:hAnsi="Arial"/>
          <w:sz w:val="18"/>
          <w:szCs w:val="18"/>
          <w:color w:val="000000"/>
        </w:rPr>
        <w:t>each partial assignment shall be made as an assignment of a proportionate part of all the assigning Lender’s</w:t>
      </w:r>
      <w:r>
        <w:rPr>
          <w:rFonts w:ascii="Arial" w:cs="Arial" w:eastAsia="Arial" w:hAnsi="Arial"/>
          <w:sz w:val="18"/>
          <w:szCs w:val="18"/>
          <w:color w:val="010000"/>
        </w:rPr>
        <w:t xml:space="preserve"> </w:t>
      </w:r>
      <w:r>
        <w:rPr>
          <w:rFonts w:ascii="Arial" w:cs="Arial" w:eastAsia="Arial" w:hAnsi="Arial"/>
          <w:sz w:val="18"/>
          <w:szCs w:val="18"/>
          <w:color w:val="000000"/>
        </w:rPr>
        <w:t>rights and obligations under this Agreement;</w:t>
      </w:r>
    </w:p>
    <w:p>
      <w:pPr>
        <w:spacing w:after="0" w:line="170" w:lineRule="exact"/>
        <w:rPr>
          <w:sz w:val="20"/>
          <w:szCs w:val="20"/>
          <w:color w:val="auto"/>
        </w:rPr>
      </w:pPr>
    </w:p>
    <w:p>
      <w:pPr>
        <w:jc w:val="both"/>
        <w:ind w:left="180" w:firstLine="1296"/>
        <w:spacing w:after="0" w:line="277" w:lineRule="auto"/>
        <w:rPr>
          <w:sz w:val="20"/>
          <w:szCs w:val="20"/>
          <w:color w:val="auto"/>
        </w:rPr>
      </w:pPr>
      <w:r>
        <w:rPr>
          <w:rFonts w:ascii="Arial" w:cs="Arial" w:eastAsia="Arial" w:hAnsi="Arial"/>
          <w:sz w:val="18"/>
          <w:szCs w:val="18"/>
          <w:color w:val="010000"/>
        </w:rPr>
        <w:t xml:space="preserve">(C)            </w:t>
      </w:r>
      <w:r>
        <w:rPr>
          <w:rFonts w:ascii="Arial" w:cs="Arial" w:eastAsia="Arial" w:hAnsi="Arial"/>
          <w:sz w:val="18"/>
          <w:szCs w:val="18"/>
          <w:color w:val="000000"/>
        </w:rPr>
        <w:t>the parties to each assignment shall execute and deliver to the Administrative Agent an Assignment and</w:t>
      </w:r>
      <w:r>
        <w:rPr>
          <w:rFonts w:ascii="Arial" w:cs="Arial" w:eastAsia="Arial" w:hAnsi="Arial"/>
          <w:sz w:val="18"/>
          <w:szCs w:val="18"/>
          <w:color w:val="010000"/>
        </w:rPr>
        <w:t xml:space="preserve"> </w:t>
      </w:r>
      <w:r>
        <w:rPr>
          <w:rFonts w:ascii="Arial" w:cs="Arial" w:eastAsia="Arial" w:hAnsi="Arial"/>
          <w:sz w:val="18"/>
          <w:szCs w:val="18"/>
          <w:color w:val="000000"/>
        </w:rPr>
        <w:t>Assumption, together with a processing and recordation fee of $3,500;</w:t>
      </w:r>
    </w:p>
    <w:p>
      <w:pPr>
        <w:spacing w:after="0" w:line="170" w:lineRule="exact"/>
        <w:rPr>
          <w:sz w:val="20"/>
          <w:szCs w:val="20"/>
          <w:color w:val="auto"/>
        </w:rPr>
      </w:pPr>
    </w:p>
    <w:p>
      <w:pPr>
        <w:jc w:val="both"/>
        <w:ind w:left="180" w:firstLine="1296"/>
        <w:spacing w:after="0" w:line="257" w:lineRule="auto"/>
        <w:rPr>
          <w:sz w:val="20"/>
          <w:szCs w:val="20"/>
          <w:color w:val="auto"/>
        </w:rPr>
      </w:pPr>
      <w:r>
        <w:rPr>
          <w:rFonts w:ascii="Arial" w:cs="Arial" w:eastAsia="Arial" w:hAnsi="Arial"/>
          <w:sz w:val="18"/>
          <w:szCs w:val="18"/>
          <w:color w:val="010000"/>
        </w:rPr>
        <w:t xml:space="preserve">(D)            </w:t>
      </w:r>
      <w:r>
        <w:rPr>
          <w:rFonts w:ascii="Arial" w:cs="Arial" w:eastAsia="Arial" w:hAnsi="Arial"/>
          <w:sz w:val="18"/>
          <w:szCs w:val="18"/>
          <w:color w:val="000000"/>
        </w:rPr>
        <w:t>the assignee, if it shall not be a Lender, shall deliver to the Administrative Agent an Administrative</w:t>
      </w:r>
      <w:r>
        <w:rPr>
          <w:rFonts w:ascii="Arial" w:cs="Arial" w:eastAsia="Arial" w:hAnsi="Arial"/>
          <w:sz w:val="18"/>
          <w:szCs w:val="18"/>
          <w:color w:val="010000"/>
        </w:rPr>
        <w:t xml:space="preserve"> </w:t>
      </w:r>
      <w:r>
        <w:rPr>
          <w:rFonts w:ascii="Arial" w:cs="Arial" w:eastAsia="Arial" w:hAnsi="Arial"/>
          <w:sz w:val="18"/>
          <w:szCs w:val="18"/>
          <w:color w:val="000000"/>
        </w:rPr>
        <w:t>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5" w:name="page246"/>
    <w:bookmarkEnd w:id="245"/>
    <w:p>
      <w:pPr>
        <w:jc w:val="both"/>
        <w:ind w:left="640" w:firstLine="1296"/>
        <w:spacing w:after="0" w:line="259" w:lineRule="auto"/>
        <w:rPr>
          <w:sz w:val="20"/>
          <w:szCs w:val="20"/>
          <w:color w:val="auto"/>
        </w:rPr>
      </w:pPr>
      <w:r>
        <w:rPr>
          <w:rFonts w:ascii="Arial" w:cs="Arial" w:eastAsia="Arial" w:hAnsi="Arial"/>
          <w:sz w:val="18"/>
          <w:szCs w:val="18"/>
          <w:color w:val="010000"/>
        </w:rPr>
        <w:t xml:space="preserve">(E)            </w:t>
      </w:r>
      <w:r>
        <w:rPr>
          <w:rFonts w:ascii="Arial" w:cs="Arial" w:eastAsia="Arial" w:hAnsi="Arial"/>
          <w:sz w:val="18"/>
          <w:szCs w:val="18"/>
          <w:color w:val="000000"/>
        </w:rPr>
        <w:t>except in connection with assignments made while an Event of Default has occurred and is continuing, all</w:t>
      </w:r>
      <w:r>
        <w:rPr>
          <w:rFonts w:ascii="Arial" w:cs="Arial" w:eastAsia="Arial" w:hAnsi="Arial"/>
          <w:sz w:val="18"/>
          <w:szCs w:val="18"/>
          <w:color w:val="010000"/>
        </w:rPr>
        <w:t xml:space="preserve"> </w:t>
      </w:r>
      <w:r>
        <w:rPr>
          <w:rFonts w:ascii="Arial" w:cs="Arial" w:eastAsia="Arial" w:hAnsi="Arial"/>
          <w:sz w:val="18"/>
          <w:szCs w:val="18"/>
          <w:color w:val="000000"/>
        </w:rPr>
        <w:t xml:space="preserve">prospective assignees of a Lender shall be required, as a condition to the effectiveness of such assignment, to execute and deliver the forms required under </w:t>
      </w:r>
      <w:r>
        <w:rPr>
          <w:rFonts w:ascii="Arial" w:cs="Arial" w:eastAsia="Arial" w:hAnsi="Arial"/>
          <w:sz w:val="18"/>
          <w:szCs w:val="18"/>
          <w:u w:val="single" w:color="auto"/>
          <w:color w:val="000000"/>
        </w:rPr>
        <w:t>Section 5.02(c)</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5.02(e)</w:t>
      </w:r>
      <w:r>
        <w:rPr>
          <w:rFonts w:ascii="Arial" w:cs="Arial" w:eastAsia="Arial" w:hAnsi="Arial"/>
          <w:sz w:val="18"/>
          <w:szCs w:val="18"/>
          <w:color w:val="000000"/>
        </w:rPr>
        <w:t xml:space="preserve"> for any Lender, and no assignment shall be effective in connection herewith unless and until such forms are so delivered;</w:t>
      </w:r>
    </w:p>
    <w:p>
      <w:pPr>
        <w:spacing w:after="0" w:line="187" w:lineRule="exact"/>
        <w:rPr>
          <w:sz w:val="20"/>
          <w:szCs w:val="20"/>
          <w:color w:val="auto"/>
        </w:rPr>
      </w:pPr>
    </w:p>
    <w:p>
      <w:pPr>
        <w:jc w:val="both"/>
        <w:ind w:left="640" w:firstLine="1296"/>
        <w:spacing w:after="0" w:line="308" w:lineRule="auto"/>
        <w:rPr>
          <w:sz w:val="20"/>
          <w:szCs w:val="20"/>
          <w:color w:val="auto"/>
        </w:rPr>
      </w:pPr>
      <w:r>
        <w:rPr>
          <w:rFonts w:ascii="Arial" w:cs="Arial" w:eastAsia="Arial" w:hAnsi="Arial"/>
          <w:sz w:val="17"/>
          <w:szCs w:val="17"/>
          <w:color w:val="010000"/>
        </w:rPr>
        <w:t xml:space="preserve">(F)            </w:t>
      </w:r>
      <w:r>
        <w:rPr>
          <w:rFonts w:ascii="Arial" w:cs="Arial" w:eastAsia="Arial" w:hAnsi="Arial"/>
          <w:sz w:val="17"/>
          <w:szCs w:val="17"/>
          <w:color w:val="000000"/>
        </w:rPr>
        <w:t>except in the case when no consent of the Borrowers is required because an Event of Default has occurred and</w:t>
      </w:r>
      <w:r>
        <w:rPr>
          <w:rFonts w:ascii="Arial" w:cs="Arial" w:eastAsia="Arial" w:hAnsi="Arial"/>
          <w:sz w:val="17"/>
          <w:szCs w:val="17"/>
          <w:color w:val="010000"/>
        </w:rPr>
        <w:t xml:space="preserve"> </w:t>
      </w:r>
      <w:r>
        <w:rPr>
          <w:rFonts w:ascii="Arial" w:cs="Arial" w:eastAsia="Arial" w:hAnsi="Arial"/>
          <w:sz w:val="17"/>
          <w:szCs w:val="17"/>
          <w:color w:val="000000"/>
        </w:rPr>
        <w:t>is continuing, no assignment shall be made to any such assignee unless such assignee is a U.S. Qualifying Lender;</w:t>
      </w:r>
    </w:p>
    <w:p>
      <w:pPr>
        <w:spacing w:after="0" w:line="146" w:lineRule="exact"/>
        <w:rPr>
          <w:sz w:val="20"/>
          <w:szCs w:val="20"/>
          <w:color w:val="auto"/>
        </w:rPr>
      </w:pPr>
    </w:p>
    <w:p>
      <w:pPr>
        <w:ind w:left="1940"/>
        <w:spacing w:after="0"/>
        <w:rPr>
          <w:sz w:val="20"/>
          <w:szCs w:val="20"/>
          <w:color w:val="auto"/>
        </w:rPr>
      </w:pPr>
      <w:r>
        <w:rPr>
          <w:rFonts w:ascii="Arial" w:cs="Arial" w:eastAsia="Arial" w:hAnsi="Arial"/>
          <w:sz w:val="18"/>
          <w:szCs w:val="18"/>
          <w:color w:val="010000"/>
        </w:rPr>
        <w:t xml:space="preserve">(G)            </w:t>
      </w:r>
      <w:r>
        <w:rPr>
          <w:rFonts w:ascii="Arial" w:cs="Arial" w:eastAsia="Arial" w:hAnsi="Arial"/>
          <w:sz w:val="18"/>
          <w:szCs w:val="18"/>
          <w:color w:val="000000"/>
        </w:rPr>
        <w:t>no assignment shall be made to an Ineligible Institution;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7"/>
          <w:szCs w:val="17"/>
          <w:color w:val="010000"/>
        </w:rPr>
        <w:t xml:space="preserve">(H)            </w:t>
      </w:r>
      <w:r>
        <w:rPr>
          <w:rFonts w:ascii="Arial" w:cs="Arial" w:eastAsia="Arial" w:hAnsi="Arial"/>
          <w:sz w:val="17"/>
          <w:szCs w:val="17"/>
          <w:color w:val="000000"/>
        </w:rPr>
        <w:t>the assignee, if it shall not be a Lender, shall deliver to Parent and the Administrative Agent an Assignee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Arial" w:cs="Arial" w:eastAsia="Arial" w:hAnsi="Arial"/>
          <w:sz w:val="16"/>
          <w:szCs w:val="16"/>
          <w:u w:val="single" w:color="auto"/>
          <w:color w:val="auto"/>
        </w:rPr>
        <w:t>Section 12.05(b)(ii)(E)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Barclays Bank PLC may assign its Commitments hereunder to Barclays Bank Ireland PLC.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12.05</w:t>
      </w:r>
      <w:r>
        <w:rPr>
          <w:rFonts w:ascii="Arial" w:cs="Arial" w:eastAsia="Arial" w:hAnsi="Arial"/>
          <w:sz w:val="18"/>
          <w:szCs w:val="18"/>
          <w:color w:val="auto"/>
        </w:rPr>
        <w:t>,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6" w:name="page247"/>
    <w:bookmarkEnd w:id="246"/>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Institution</w:t>
      </w:r>
      <w:r>
        <w:rPr>
          <w:rFonts w:ascii="Arial" w:cs="Arial" w:eastAsia="Arial" w:hAnsi="Arial"/>
          <w:sz w:val="17"/>
          <w:szCs w:val="17"/>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18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(iii)            Subject to acceptance and recording thereof pursuant to </w:t>
      </w:r>
      <w:r>
        <w:rPr>
          <w:rFonts w:ascii="Arial" w:cs="Arial" w:eastAsia="Arial" w:hAnsi="Arial"/>
          <w:sz w:val="16"/>
          <w:szCs w:val="16"/>
          <w:u w:val="single" w:color="auto"/>
          <w:color w:val="auto"/>
        </w:rPr>
        <w:t>subparagraph (b)(iv)</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12.04</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w:t>
      </w:r>
    </w:p>
    <w:p>
      <w:pPr>
        <w:spacing w:after="0" w:line="16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(iv)            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Loans and LC Disbursements owing by each Borrower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9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(v)            Upon its receipt of a duly completed Assignment and Assumption executed by an assigning Lender and an assignee permitted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such assignee’s completed Administrative Questionnaire (unless such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such assignee shall have failed to make any payment required to be made by it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3.01(f)</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12.04(a)</w:t>
      </w:r>
      <w:r>
        <w:rPr>
          <w:rFonts w:ascii="Arial" w:cs="Arial" w:eastAsia="Arial" w:hAnsi="Arial"/>
          <w:sz w:val="17"/>
          <w:szCs w:val="17"/>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9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7" w:name="page248"/>
    <w:bookmarkEnd w:id="247"/>
    <w:p>
      <w:pPr>
        <w:jc w:val="both"/>
        <w:ind w:firstLine="1296"/>
        <w:spacing w:after="0" w:line="287" w:lineRule="auto"/>
        <w:rPr>
          <w:sz w:val="20"/>
          <w:szCs w:val="20"/>
          <w:color w:val="auto"/>
        </w:rPr>
      </w:pPr>
      <w:r>
        <w:rPr>
          <w:rFonts w:ascii="Arial" w:cs="Arial" w:eastAsia="Arial" w:hAnsi="Arial"/>
          <w:sz w:val="16"/>
          <w:szCs w:val="16"/>
          <w:color w:val="auto"/>
        </w:rPr>
        <w:t>(c)            (i)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firstLine="8"/>
        <w:spacing w:after="0" w:line="283" w:lineRule="auto"/>
        <w:tabs>
          <w:tab w:leader="none" w:pos="29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12.01(b)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subparagraph (c)(ii)</w:t>
      </w:r>
      <w:r>
        <w:rPr>
          <w:rFonts w:ascii="Arial" w:cs="Arial" w:eastAsia="Arial" w:hAnsi="Arial"/>
          <w:sz w:val="16"/>
          <w:szCs w:val="16"/>
          <w:color w:val="auto"/>
        </w:rPr>
        <w:t xml:space="preserve"> of this Section, each Borrower agrees that each Participant shall be entitled to the benefits of </w:t>
      </w:r>
      <w:r>
        <w:rPr>
          <w:rFonts w:ascii="Arial" w:cs="Arial" w:eastAsia="Arial" w:hAnsi="Arial"/>
          <w:sz w:val="16"/>
          <w:szCs w:val="16"/>
          <w:u w:val="single" w:color="auto"/>
          <w:color w:val="auto"/>
        </w:rPr>
        <w:t>Sections 4.08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and to deliver the forms required by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5.02(h)</w:t>
      </w:r>
      <w:r>
        <w:rPr>
          <w:rFonts w:ascii="Arial" w:cs="Arial" w:eastAsia="Arial" w:hAnsi="Arial"/>
          <w:sz w:val="16"/>
          <w:szCs w:val="16"/>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(including, but not limited to, </w:t>
      </w:r>
      <w:r>
        <w:rPr>
          <w:rFonts w:ascii="Arial" w:cs="Arial" w:eastAsia="Arial" w:hAnsi="Arial"/>
          <w:sz w:val="16"/>
          <w:szCs w:val="16"/>
          <w:u w:val="single" w:color="auto"/>
          <w:color w:val="auto"/>
        </w:rPr>
        <w:t>Section 12.05(c)(ii)</w:t>
      </w:r>
      <w:r>
        <w:rPr>
          <w:rFonts w:ascii="Arial" w:cs="Arial" w:eastAsia="Arial" w:hAnsi="Arial"/>
          <w:sz w:val="16"/>
          <w:szCs w:val="16"/>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left="660" w:firstLine="1296"/>
        <w:spacing w:after="0" w:line="273" w:lineRule="auto"/>
        <w:rPr>
          <w:sz w:val="20"/>
          <w:szCs w:val="20"/>
          <w:color w:val="auto"/>
        </w:rPr>
      </w:pPr>
      <w:r>
        <w:rPr>
          <w:rFonts w:ascii="Arial" w:cs="Arial" w:eastAsia="Arial" w:hAnsi="Arial"/>
          <w:sz w:val="17"/>
          <w:szCs w:val="17"/>
          <w:color w:val="auto"/>
        </w:rPr>
        <w:t xml:space="preserve">(ii)            A Participant shall not be entitled to receive any greater payment under </w:t>
      </w:r>
      <w:r>
        <w:rPr>
          <w:rFonts w:ascii="Arial" w:cs="Arial" w:eastAsia="Arial" w:hAnsi="Arial"/>
          <w:sz w:val="17"/>
          <w:szCs w:val="17"/>
          <w:u w:val="single" w:color="auto"/>
          <w:color w:val="auto"/>
        </w:rPr>
        <w:t>Sections 4.08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Arial" w:cs="Arial" w:eastAsia="Arial" w:hAnsi="Arial"/>
          <w:sz w:val="17"/>
          <w:szCs w:val="17"/>
          <w:u w:val="single" w:color="auto"/>
          <w:color w:val="auto"/>
        </w:rPr>
        <w:t>Sections 5.02(c)</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5.02(d)</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5.02(e)</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5.03</w:t>
      </w:r>
      <w:r>
        <w:rPr>
          <w:rFonts w:ascii="Arial" w:cs="Arial" w:eastAsia="Arial" w:hAnsi="Arial"/>
          <w:sz w:val="17"/>
          <w:szCs w:val="17"/>
          <w:color w:val="auto"/>
        </w:rPr>
        <w:t xml:space="preserve"> as though it were a Lender. A Participant that fails to comply with the preceding sentence shall not be entitled to any of the benefits of </w:t>
      </w:r>
      <w:r>
        <w:rPr>
          <w:rFonts w:ascii="Arial" w:cs="Arial" w:eastAsia="Arial" w:hAnsi="Arial"/>
          <w:sz w:val="17"/>
          <w:szCs w:val="17"/>
          <w:u w:val="single" w:color="auto"/>
          <w:color w:val="auto"/>
        </w:rPr>
        <w:t>Section 5.02</w:t>
      </w:r>
      <w:r>
        <w:rPr>
          <w:rFonts w:ascii="Arial" w:cs="Arial" w:eastAsia="Arial" w:hAnsi="Arial"/>
          <w:sz w:val="17"/>
          <w:szCs w:val="17"/>
          <w:color w:val="auto"/>
        </w:rPr>
        <w:t>.</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(e)            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w:t>
      </w:r>
    </w:p>
    <w:p>
      <w:pPr>
        <w:spacing w:after="0" w:line="4" w:lineRule="exact"/>
        <w:rPr>
          <w:sz w:val="20"/>
          <w:szCs w:val="20"/>
          <w:color w:val="auto"/>
        </w:rPr>
      </w:pPr>
    </w:p>
    <w:p>
      <w:pPr>
        <w:jc w:val="both"/>
        <w:ind w:firstLine="8"/>
        <w:spacing w:after="0" w:line="283" w:lineRule="auto"/>
        <w:tabs>
          <w:tab w:leader="none" w:pos="27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t>
      </w:r>
      <w:r>
        <w:rPr>
          <w:rFonts w:ascii="Arial" w:cs="Arial" w:eastAsia="Arial" w:hAnsi="Arial"/>
          <w:sz w:val="16"/>
          <w:szCs w:val="16"/>
          <w:b w:val="1"/>
          <w:bCs w:val="1"/>
          <w:color w:val="FF0000"/>
          <w:strike w:val="1"/>
        </w:rPr>
        <w:t>which an Obligor is a direct counterparty relating to any Obligors</w:t>
      </w:r>
      <w:r>
        <w:rPr>
          <w:rFonts w:ascii="Arial" w:cs="Arial" w:eastAsia="Arial" w:hAnsi="Arial"/>
          <w:sz w:val="16"/>
          <w:szCs w:val="16"/>
          <w:b w:val="1"/>
          <w:bCs w:val="1"/>
          <w:u w:val="single" w:color="auto"/>
          <w:color w:val="0000FF"/>
        </w:rPr>
        <w:t>be entered into in connection with the Loans made hereunder 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other transactions under which payments are to be made by reference to any Obligor</w:t>
      </w:r>
      <w:r>
        <w:rPr>
          <w:rFonts w:ascii="Arial" w:cs="Arial" w:eastAsia="Arial" w:hAnsi="Arial"/>
          <w:sz w:val="16"/>
          <w:szCs w:val="16"/>
          <w:b w:val="1"/>
          <w:bCs w:val="1"/>
          <w:color w:val="0000FF"/>
        </w:rPr>
        <w:t xml:space="preserve"> </w:t>
      </w:r>
      <w:r>
        <w:rPr>
          <w:rFonts w:ascii="Arial" w:cs="Arial" w:eastAsia="Arial" w:hAnsi="Arial"/>
          <w:sz w:val="16"/>
          <w:szCs w:val="16"/>
          <w:color w:val="000000"/>
        </w:rPr>
        <w:t>and their respective obligations</w:t>
      </w:r>
      <w:r>
        <w:rPr>
          <w:rFonts w:ascii="Arial" w:cs="Arial" w:eastAsia="Arial" w:hAnsi="Arial"/>
          <w:sz w:val="16"/>
          <w:szCs w:val="16"/>
          <w:b w:val="1"/>
          <w:bCs w:val="1"/>
          <w:u w:val="single" w:color="auto"/>
          <w:color w:val="0000FF"/>
        </w:rPr>
        <w:t>, this Agreement or payments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Facility or (ii) the CUSIP Service Bureau or any similar agency in connection with the issuance and monitoring of CUSIP numbers with respect to the Credit Facility. For the purposes of this Section, “</w:t>
      </w:r>
      <w:r>
        <w:rPr>
          <w:rFonts w:ascii="Arial" w:cs="Arial" w:eastAsia="Arial" w:hAnsi="Arial"/>
          <w:sz w:val="16"/>
          <w:szCs w:val="16"/>
          <w:u w:val="single" w:color="auto"/>
          <w:color w:val="000000"/>
        </w:rPr>
        <w:t>Information</w:t>
      </w:r>
      <w:r>
        <w:rPr>
          <w:rFonts w:ascii="Arial" w:cs="Arial" w:eastAsia="Arial" w:hAnsi="Arial"/>
          <w:sz w:val="16"/>
          <w:szCs w:val="16"/>
          <w:color w:val="000000"/>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648"/>
        <w:spacing w:after="0" w:line="270"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and/or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7"/>
          <w:szCs w:val="17"/>
          <w:u w:val="single" w:color="auto"/>
          <w:color w:val="auto"/>
        </w:rPr>
        <w:t>Sections 4.08</w:t>
      </w:r>
      <w:r>
        <w:rPr>
          <w:rFonts w:ascii="Arial" w:cs="Arial" w:eastAsia="Arial" w:hAnsi="Arial"/>
          <w:sz w:val="17"/>
          <w:szCs w:val="17"/>
          <w:color w:val="auto"/>
        </w:rPr>
        <w:t xml:space="preserve">, </w:t>
      </w:r>
      <w:r>
        <w:rPr>
          <w:rFonts w:ascii="Arial" w:cs="Arial" w:eastAsia="Arial" w:hAnsi="Arial"/>
          <w:sz w:val="17"/>
          <w:szCs w:val="17"/>
          <w:u w:val="single" w:color="auto"/>
          <w:color w:val="auto"/>
        </w:rPr>
        <w:t>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survive and remain in full force and in effect regardless of the consummation of the transactions contemplated hereby, the repayment of the Obligations, the expiration or termination of the Loans, Letters of Credit and Commitments or the termination of this Agreement or any provision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 </w:t>
      </w:r>
      <w:r>
        <w:rPr>
          <w:rFonts w:ascii="Arial" w:cs="Arial" w:eastAsia="Arial" w:hAnsi="Arial"/>
          <w:sz w:val="18"/>
          <w:szCs w:val="18"/>
          <w:b w:val="1"/>
          <w:bCs w:val="1"/>
          <w:u w:val="single" w:color="auto"/>
          <w:color w:val="0000FF"/>
        </w:rPr>
        <w:t>(whether based on tort, contract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otherwise and in law or equity)</w:t>
      </w:r>
      <w:r>
        <w:rPr>
          <w:rFonts w:ascii="Arial" w:cs="Arial" w:eastAsia="Arial" w:hAnsi="Arial"/>
          <w:sz w:val="18"/>
          <w:szCs w:val="18"/>
          <w:color w:val="000000"/>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jc w:val="both"/>
        <w:ind w:firstLine="648"/>
        <w:spacing w:after="0" w:line="259"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Conflicts Between This Agreement and the Other Loan Documents</w:t>
      </w:r>
      <w:r>
        <w:rPr>
          <w:rFonts w:ascii="Arial" w:cs="Arial" w:eastAsia="Arial" w:hAnsi="Arial"/>
          <w:sz w:val="18"/>
          <w:szCs w:val="18"/>
          <w:color w:val="auto"/>
        </w:rPr>
        <w:t>. In the event of any conflict between, or inconsistency with, the terms of this Agreement and the terms of any of the other Loan Documents, the terms of this Agreement shall control.</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12.14 </w:t>
      </w:r>
      <w:r>
        <w:rPr>
          <w:rFonts w:ascii="Arial" w:cs="Arial" w:eastAsia="Arial" w:hAnsi="Arial"/>
          <w:sz w:val="16"/>
          <w:szCs w:val="16"/>
          <w:u w:val="single" w:color="auto"/>
          <w:color w:val="auto"/>
        </w:rPr>
        <w:t>Limitation of Interest</w:t>
      </w:r>
      <w:r>
        <w:rPr>
          <w:rFonts w:ascii="Arial" w:cs="Arial" w:eastAsia="Arial" w:hAnsi="Arial"/>
          <w:sz w:val="16"/>
          <w:szCs w:val="16"/>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Overnight Rate to the date of repayment, shall have been received by such Lender.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ind w:left="660"/>
        <w:spacing w:after="0"/>
        <w:tabs>
          <w:tab w:leader="none" w:pos="212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Submission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(a)            Each Obligor irrevocably and unconditionally agrees that it will not commence any action, litigation or proceeding of any kind or description, whether </w:t>
      </w:r>
      <w:r>
        <w:rPr>
          <w:rFonts w:ascii="Arial" w:cs="Arial" w:eastAsia="Arial" w:hAnsi="Arial"/>
          <w:sz w:val="16"/>
          <w:szCs w:val="16"/>
          <w:b w:val="1"/>
          <w:bCs w:val="1"/>
          <w:u w:val="single" w:color="auto"/>
          <w:color w:val="0000FF"/>
        </w:rPr>
        <w:t>based on tort, contract or otherwise and</w:t>
      </w:r>
      <w:r>
        <w:rPr>
          <w:rFonts w:ascii="Arial" w:cs="Arial" w:eastAsia="Arial" w:hAnsi="Arial"/>
          <w:sz w:val="16"/>
          <w:szCs w:val="16"/>
          <w:color w:val="auto"/>
        </w:rPr>
        <w:t xml:space="preserve"> in law or equity</w:t>
      </w:r>
      <w:r>
        <w:rPr>
          <w:rFonts w:ascii="Arial" w:cs="Arial" w:eastAsia="Arial" w:hAnsi="Arial"/>
          <w:sz w:val="16"/>
          <w:szCs w:val="16"/>
          <w:b w:val="1"/>
          <w:bCs w:val="1"/>
          <w:color w:val="FF0000"/>
          <w:strike w:val="1"/>
        </w:rPr>
        <w:t>, whether in contract or in tort or otherwise</w:t>
      </w:r>
      <w:r>
        <w:rPr>
          <w:rFonts w:ascii="Arial" w:cs="Arial" w:eastAsia="Arial" w:hAnsi="Arial"/>
          <w:sz w:val="16"/>
          <w:szCs w:val="16"/>
          <w:color w:val="auto"/>
        </w:rPr>
        <w:t xml:space="preserve">, against the Administrative Agent, the Joint Lead Arrangers, any Issuing Bank, any Lender or any of their respective Related Parties in any way relating to this Agreement or any other Loan Document or the transactions relating hereto or thereto, in any forum other than the United States District Court for the Southern District of New York sitting in the Borough of Manhattan (or the state courts sitting in the Borough of Manhattan in the event the Southern District of New York lacks subject matter jurisdiction), and any appellate court from any thereof, and each of the parties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6"/>
          <w:szCs w:val="16"/>
          <w:u w:val="single" w:color="auto"/>
          <w:color w:val="auto"/>
        </w:rPr>
        <w:t>Section 12.15</w:t>
      </w:r>
      <w:r>
        <w:rPr>
          <w:rFonts w:ascii="Arial" w:cs="Arial" w:eastAsia="Arial" w:hAnsi="Arial"/>
          <w:sz w:val="16"/>
          <w:szCs w:val="16"/>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            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 Each Obligor hereby irrevocably waives, to the fullest extent permitted by law, the defense of an inconvenient forum to the maintenance of such action or proceeding in any such court.</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(c)            Each party to this Agreement irrevocably consents to service of process in the manner provided for notices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other than by facsimile or by e-mail.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28 Liberty Street, New York, New York 10005,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Arial" w:cs="Arial" w:eastAsia="Arial" w:hAnsi="Arial"/>
          <w:sz w:val="17"/>
          <w:szCs w:val="17"/>
          <w:i w:val="1"/>
          <w:iCs w:val="1"/>
          <w:color w:val="auto"/>
        </w:rPr>
        <w:t>poder para pleitos y cobranzas</w:t>
      </w:r>
      <w:r>
        <w:rPr>
          <w:rFonts w:ascii="Arial" w:cs="Arial" w:eastAsia="Arial" w:hAnsi="Arial"/>
          <w:sz w:val="17"/>
          <w:szCs w:val="17"/>
          <w:color w:val="auto"/>
        </w:rPr>
        <w:t>) in terms of the first and fourth paragraphs of Articles 2554 and 2596 of the Federal Civil Code (</w:t>
      </w:r>
      <w:r>
        <w:rPr>
          <w:rFonts w:ascii="Arial" w:cs="Arial" w:eastAsia="Arial" w:hAnsi="Arial"/>
          <w:sz w:val="17"/>
          <w:szCs w:val="17"/>
          <w:i w:val="1"/>
          <w:iCs w:val="1"/>
          <w:color w:val="auto"/>
        </w:rPr>
        <w:t>Código Civil Federal)</w:t>
      </w:r>
      <w:r>
        <w:rPr>
          <w:rFonts w:ascii="Arial" w:cs="Arial" w:eastAsia="Arial" w:hAnsi="Arial"/>
          <w:sz w:val="17"/>
          <w:szCs w:val="17"/>
          <w:color w:val="auto"/>
        </w:rPr>
        <w:t xml:space="preserve"> of Mexico and the respective provisions of the Civil Codes of the States of Mexico (or any successor provisions) granted before a Mexican notary public, in form and substance reasonably satisfactory to the Administrative Agent.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firstLine="1296"/>
        <w:spacing w:after="0" w:line="271" w:lineRule="auto"/>
        <w:rPr>
          <w:sz w:val="20"/>
          <w:szCs w:val="20"/>
          <w:color w:val="auto"/>
        </w:rPr>
      </w:pPr>
      <w:r>
        <w:rPr>
          <w:rFonts w:ascii="Arial" w:cs="Arial" w:eastAsia="Arial" w:hAnsi="Arial"/>
          <w:sz w:val="17"/>
          <w:szCs w:val="17"/>
          <w:color w:val="auto"/>
        </w:rPr>
        <w:t xml:space="preserve">(d)            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w:t>
      </w:r>
      <w:r>
        <w:rPr>
          <w:rFonts w:ascii="Arial" w:cs="Arial" w:eastAsia="Arial" w:hAnsi="Arial"/>
          <w:sz w:val="17"/>
          <w:szCs w:val="17"/>
          <w:b w:val="1"/>
          <w:bCs w:val="1"/>
          <w:u w:val="single" w:color="auto"/>
          <w:color w:val="0000FF"/>
        </w:rPr>
        <w:t>(whether based on tort, contract or otherwise and in law or equity)</w:t>
      </w:r>
      <w:r>
        <w:rPr>
          <w:rFonts w:ascii="Arial" w:cs="Arial" w:eastAsia="Arial" w:hAnsi="Arial"/>
          <w:sz w:val="17"/>
          <w:szCs w:val="17"/>
          <w:color w:val="auto"/>
        </w:rPr>
        <w:t>. Each of the parties hereto agrees that a final, non-appealable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(e)            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(f)            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12.16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w:t>
      </w:r>
      <w:r>
        <w:rPr>
          <w:rFonts w:ascii="Arial" w:cs="Arial" w:eastAsia="Arial" w:hAnsi="Arial"/>
          <w:sz w:val="17"/>
          <w:szCs w:val="17"/>
          <w:b w:val="1"/>
          <w:bCs w:val="1"/>
          <w:u w:val="single" w:color="auto"/>
          <w:color w:val="0000FF"/>
        </w:rPr>
        <w:t>AND IN LAW OR EQUITY</w:t>
      </w:r>
      <w:r>
        <w:rPr>
          <w:rFonts w:ascii="Arial" w:cs="Arial" w:eastAsia="Arial" w:hAnsi="Arial"/>
          <w:sz w:val="17"/>
          <w:szCs w:val="17"/>
          <w:color w:val="auto"/>
        </w:rPr>
        <w:t>). EACH PARTY HERETO</w:t>
      </w:r>
    </w:p>
    <w:p>
      <w:pPr>
        <w:spacing w:after="0" w:line="2" w:lineRule="exact"/>
        <w:rPr>
          <w:sz w:val="20"/>
          <w:szCs w:val="20"/>
          <w:color w:val="auto"/>
        </w:rPr>
      </w:pPr>
    </w:p>
    <w:p>
      <w:pPr>
        <w:jc w:val="both"/>
        <w:ind w:firstLine="8"/>
        <w:spacing w:after="0" w:line="273" w:lineRule="auto"/>
        <w:tabs>
          <w:tab w:leader="none" w:pos="33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firstLine="648"/>
        <w:spacing w:after="0" w:line="272" w:lineRule="auto"/>
        <w:rPr>
          <w:sz w:val="20"/>
          <w:szCs w:val="20"/>
          <w:color w:val="auto"/>
        </w:rPr>
      </w:pPr>
      <w:r>
        <w:rPr>
          <w:rFonts w:ascii="Arial" w:cs="Arial" w:eastAsia="Arial" w:hAnsi="Arial"/>
          <w:sz w:val="17"/>
          <w:szCs w:val="17"/>
          <w:color w:val="auto"/>
        </w:rPr>
        <w:t xml:space="preserve">SECTION 12.17 </w:t>
      </w:r>
      <w:r>
        <w:rPr>
          <w:rFonts w:ascii="Arial" w:cs="Arial" w:eastAsia="Arial" w:hAnsi="Arial"/>
          <w:sz w:val="17"/>
          <w:szCs w:val="17"/>
          <w:u w:val="single" w:color="auto"/>
          <w:color w:val="auto"/>
        </w:rPr>
        <w:t>Judgment Currency</w:t>
      </w:r>
      <w:r>
        <w:rPr>
          <w:rFonts w:ascii="Arial" w:cs="Arial" w:eastAsia="Arial" w:hAnsi="Arial"/>
          <w:sz w:val="17"/>
          <w:szCs w:val="17"/>
          <w:color w:val="auto"/>
        </w:rPr>
        <w:t>. The obligation of each Obligor to make payments on any Obligation to the Lenders, to any Issuing Bank or to the Administrative Agent hereunder in any currency (the “</w:t>
      </w:r>
      <w:r>
        <w:rPr>
          <w:rFonts w:ascii="Arial" w:cs="Arial" w:eastAsia="Arial" w:hAnsi="Arial"/>
          <w:sz w:val="17"/>
          <w:szCs w:val="17"/>
          <w:u w:val="single" w:color="auto"/>
          <w:color w:val="auto"/>
        </w:rPr>
        <w:t>first currency</w:t>
      </w:r>
      <w:r>
        <w:rPr>
          <w:rFonts w:ascii="Arial" w:cs="Arial" w:eastAsia="Arial" w:hAnsi="Arial"/>
          <w:sz w:val="17"/>
          <w:szCs w:val="17"/>
          <w:color w:val="auto"/>
        </w:rPr>
        <w:t>”), shall not be discharged or satisfied by any tender or recovery pursuant to any judgment expressed in or converted into any other currency (the “</w:t>
      </w:r>
      <w:r>
        <w:rPr>
          <w:rFonts w:ascii="Arial" w:cs="Arial" w:eastAsia="Arial" w:hAnsi="Arial"/>
          <w:sz w:val="17"/>
          <w:szCs w:val="17"/>
          <w:u w:val="single" w:color="auto"/>
          <w:color w:val="auto"/>
        </w:rPr>
        <w:t>second currency</w:t>
      </w:r>
      <w:r>
        <w:rPr>
          <w:rFonts w:ascii="Arial" w:cs="Arial" w:eastAsia="Arial" w:hAnsi="Arial"/>
          <w:sz w:val="17"/>
          <w:szCs w:val="17"/>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12.18 </w:t>
      </w:r>
      <w:r>
        <w:rPr>
          <w:rFonts w:ascii="Arial" w:cs="Arial" w:eastAsia="Arial" w:hAnsi="Arial"/>
          <w:sz w:val="17"/>
          <w:szCs w:val="17"/>
          <w:u w:val="single" w:color="auto"/>
          <w:color w:val="auto"/>
        </w:rPr>
        <w:t>No Fiduciary Duty, etc</w:t>
      </w:r>
      <w:r>
        <w:rPr>
          <w:rFonts w:ascii="Arial" w:cs="Arial" w:eastAsia="Arial" w:hAnsi="Arial"/>
          <w:sz w:val="17"/>
          <w:szCs w:val="17"/>
          <w:color w:val="auto"/>
        </w:rPr>
        <w:t>.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 or in the other Loan Documents, and the Credit Parties shall have no responsibility or liability to the Borrowers or Parent with respect thereto.</w:t>
      </w:r>
    </w:p>
    <w:p>
      <w:pPr>
        <w:spacing w:after="0" w:line="18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(a)            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(b)            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jc w:val="both"/>
        <w:ind w:firstLine="648"/>
        <w:spacing w:after="0" w:line="259"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USA Patriot Act</w:t>
      </w:r>
      <w:r>
        <w:rPr>
          <w:rFonts w:ascii="Arial" w:cs="Arial" w:eastAsia="Arial" w:hAnsi="Arial"/>
          <w:sz w:val="18"/>
          <w:szCs w:val="18"/>
          <w:color w:val="auto"/>
        </w:rPr>
        <w:t>. (a)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17"/>
          <w:szCs w:val="17"/>
          <w:u w:val="single" w:color="auto"/>
          <w:color w:val="auto"/>
        </w:rPr>
        <w:t>Applicable Law</w:t>
      </w:r>
      <w:r>
        <w:rPr>
          <w:rFonts w:ascii="Arial" w:cs="Arial" w:eastAsia="Arial" w:hAnsi="Arial"/>
          <w:sz w:val="17"/>
          <w:szCs w:val="17"/>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 and the Beneficial Ownership Regulation.</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12.20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12.21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process adviser,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applicable Overnight Rate. The obligations of the Lenders and the Issuing Banks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firstLine="648"/>
        <w:spacing w:after="0" w:line="286" w:lineRule="auto"/>
        <w:rPr>
          <w:sz w:val="20"/>
          <w:szCs w:val="20"/>
          <w:color w:val="auto"/>
        </w:rPr>
      </w:pPr>
      <w:r>
        <w:rPr>
          <w:rFonts w:ascii="Arial" w:cs="Arial" w:eastAsia="Arial" w:hAnsi="Arial"/>
          <w:sz w:val="16"/>
          <w:szCs w:val="16"/>
          <w:color w:val="auto"/>
        </w:rPr>
        <w:t xml:space="preserve">SECTION 12.22 </w:t>
      </w:r>
      <w:r>
        <w:rPr>
          <w:rFonts w:ascii="Arial" w:cs="Arial" w:eastAsia="Arial" w:hAnsi="Arial"/>
          <w:sz w:val="16"/>
          <w:szCs w:val="16"/>
          <w:u w:val="single" w:color="auto"/>
          <w:color w:val="auto"/>
        </w:rPr>
        <w:t>No Fiduciary Duty</w:t>
      </w:r>
      <w:r>
        <w:rPr>
          <w:rFonts w:ascii="Arial" w:cs="Arial" w:eastAsia="Arial" w:hAnsi="Arial"/>
          <w:sz w:val="16"/>
          <w:szCs w:val="16"/>
          <w:color w:val="auto"/>
        </w:rPr>
        <w:t xml:space="preserve">. The Credit Parties and their respective Affiliates (collectively, solely for purposes of this </w:t>
      </w:r>
      <w:r>
        <w:rPr>
          <w:rFonts w:ascii="Arial" w:cs="Arial" w:eastAsia="Arial" w:hAnsi="Arial"/>
          <w:sz w:val="16"/>
          <w:szCs w:val="16"/>
          <w:u w:val="single" w:color="auto"/>
          <w:color w:val="auto"/>
        </w:rPr>
        <w:t>Section 12.22</w:t>
      </w:r>
      <w:r>
        <w:rPr>
          <w:rFonts w:ascii="Arial" w:cs="Arial" w:eastAsia="Arial" w:hAnsi="Arial"/>
          <w:sz w:val="16"/>
          <w:szCs w:val="16"/>
          <w:color w:val="auto"/>
        </w:rPr>
        <w:t>, the “</w:t>
      </w:r>
      <w:r>
        <w:rPr>
          <w:rFonts w:ascii="Arial" w:cs="Arial" w:eastAsia="Arial" w:hAnsi="Arial"/>
          <w:sz w:val="16"/>
          <w:szCs w:val="16"/>
          <w:u w:val="single" w:color="auto"/>
          <w:color w:val="auto"/>
        </w:rPr>
        <w:t>Credit Parties</w:t>
      </w:r>
      <w:r>
        <w:rPr>
          <w:rFonts w:ascii="Arial" w:cs="Arial" w:eastAsia="Arial" w:hAnsi="Arial"/>
          <w:sz w:val="16"/>
          <w:szCs w:val="16"/>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17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12.23</w:t>
      </w:r>
      <w:r>
        <w:rPr>
          <w:sz w:val="20"/>
          <w:szCs w:val="20"/>
          <w:color w:val="auto"/>
        </w:rPr>
        <w:tab/>
      </w:r>
      <w:r>
        <w:rPr>
          <w:rFonts w:ascii="Arial" w:cs="Arial" w:eastAsia="Arial" w:hAnsi="Arial"/>
          <w:sz w:val="15"/>
          <w:szCs w:val="15"/>
          <w:u w:val="single" w:color="auto"/>
          <w:color w:val="auto"/>
        </w:rPr>
        <w:t>Release of Guarantors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w:t>
      </w:r>
    </w:p>
    <w:p>
      <w:pPr>
        <w:spacing w:after="0" w:line="2" w:lineRule="exact"/>
        <w:rPr>
          <w:sz w:val="20"/>
          <w:szCs w:val="20"/>
          <w:color w:val="auto"/>
        </w:rPr>
      </w:pPr>
    </w:p>
    <w:p>
      <w:pPr>
        <w:jc w:val="both"/>
        <w:ind w:firstLine="8"/>
        <w:spacing w:after="0" w:line="252" w:lineRule="auto"/>
        <w:tabs>
          <w:tab w:leader="none" w:pos="3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a Guarantor be automatically released from its obligations pursuant to this </w:t>
      </w:r>
      <w:r>
        <w:rPr>
          <w:rFonts w:ascii="Arial" w:cs="Arial" w:eastAsia="Arial" w:hAnsi="Arial"/>
          <w:sz w:val="18"/>
          <w:szCs w:val="18"/>
          <w:u w:val="single" w:color="auto"/>
          <w:color w:val="auto"/>
        </w:rPr>
        <w:t>Section 12.23(a)</w:t>
      </w:r>
      <w:r>
        <w:rPr>
          <w:rFonts w:ascii="Arial" w:cs="Arial" w:eastAsia="Arial" w:hAnsi="Arial"/>
          <w:sz w:val="18"/>
          <w:szCs w:val="18"/>
          <w:color w:val="auto"/>
        </w:rPr>
        <w:t xml:space="preserve"> solely as a result of a Disposition of less than all of the equity interests in such Guarantor to an Affiliate of Parent.</w:t>
      </w:r>
    </w:p>
    <w:p>
      <w:pPr>
        <w:spacing w:after="0" w:line="19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(b)            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jc w:val="both"/>
        <w:ind w:firstLine="648"/>
        <w:spacing w:after="0" w:line="259" w:lineRule="auto"/>
        <w:rPr>
          <w:sz w:val="20"/>
          <w:szCs w:val="20"/>
          <w:color w:val="auto"/>
        </w:rPr>
      </w:pPr>
      <w:r>
        <w:rPr>
          <w:rFonts w:ascii="Arial" w:cs="Arial" w:eastAsia="Arial" w:hAnsi="Arial"/>
          <w:sz w:val="18"/>
          <w:szCs w:val="18"/>
          <w:color w:val="auto"/>
        </w:rPr>
        <w:t xml:space="preserve">SECTION 12.24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any Bail-In Action in relation to any such liability, including (without limitation):</w:t>
      </w:r>
    </w:p>
    <w:p>
      <w:pPr>
        <w:spacing w:after="0" w:line="225" w:lineRule="exact"/>
        <w:rPr>
          <w:sz w:val="20"/>
          <w:szCs w:val="20"/>
          <w:color w:val="auto"/>
        </w:rPr>
      </w:pPr>
    </w:p>
    <w:p>
      <w:pPr>
        <w:ind w:left="660" w:right="20" w:firstLine="1296"/>
        <w:spacing w:after="0" w:line="277" w:lineRule="auto"/>
        <w:rPr>
          <w:sz w:val="20"/>
          <w:szCs w:val="20"/>
          <w:color w:val="auto"/>
        </w:rPr>
      </w:pPr>
      <w:r>
        <w:rPr>
          <w:rFonts w:ascii="Arial" w:cs="Arial" w:eastAsia="Arial" w:hAnsi="Arial"/>
          <w:sz w:val="18"/>
          <w:szCs w:val="18"/>
          <w:color w:val="auto"/>
        </w:rPr>
        <w:t>(i)            a reduction, in full or in part, in the principal amount, or outstanding amount due (including any accrued but unpaid interest) in respect of any such liability;</w:t>
      </w:r>
    </w:p>
    <w:p>
      <w:pPr>
        <w:spacing w:after="0" w:line="170"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(ii)            a conversion of all, or part of, any such liability into shares or other instruments of ownership that may be issued to, or conferred on, it;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            a cancellation of any such liability;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a variation of any term of any Loan Document to the extent necessary to give effect to any Bail-In Action in relation to any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1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12.25</w:t>
      </w:r>
      <w:r>
        <w:rPr>
          <w:sz w:val="20"/>
          <w:szCs w:val="20"/>
          <w:color w:val="auto"/>
        </w:rPr>
        <w:tab/>
      </w:r>
      <w:r>
        <w:rPr>
          <w:rFonts w:ascii="Arial" w:cs="Arial" w:eastAsia="Arial" w:hAnsi="Arial"/>
          <w:sz w:val="16"/>
          <w:szCs w:val="16"/>
          <w:u w:val="single" w:color="auto"/>
          <w:color w:val="auto"/>
        </w:rPr>
        <w:t>Confirmation of Lender’s Status as a Swiss Qualifying Lender</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(a)            Each Lender confirms that, as of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unless notified in writing to Parent and the Administrative Agent prior to the </w:t>
      </w:r>
      <w:r>
        <w:rPr>
          <w:rFonts w:ascii="Arial" w:cs="Arial" w:eastAsia="Arial" w:hAnsi="Arial"/>
          <w:sz w:val="18"/>
          <w:szCs w:val="18"/>
          <w:b w:val="1"/>
          <w:bCs w:val="1"/>
          <w:u w:val="single" w:color="auto"/>
          <w:color w:val="0000FF"/>
        </w:rPr>
        <w:t>Fourth Amendment</w:t>
      </w:r>
      <w:r>
        <w:rPr>
          <w:rFonts w:ascii="Arial" w:cs="Arial" w:eastAsia="Arial" w:hAnsi="Arial"/>
          <w:sz w:val="18"/>
          <w:szCs w:val="18"/>
          <w:color w:val="auto"/>
        </w:rPr>
        <w:t xml:space="preserve"> Effective Date, such Lender is a Swiss Qualifying Lender and has not entered into a participation arrangement with respect to this Agreement with any Person that is a Swiss Non-Qualifying Lender.</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Without limitation to any consent or other rights provided for in this Agreement (including </w:t>
      </w:r>
      <w:r>
        <w:rPr>
          <w:rFonts w:ascii="Arial" w:cs="Arial" w:eastAsia="Arial" w:hAnsi="Arial"/>
          <w:sz w:val="18"/>
          <w:szCs w:val="18"/>
          <w:u w:val="single" w:color="auto"/>
          <w:color w:val="auto"/>
        </w:rPr>
        <w:t>Section 12.05</w:t>
      </w:r>
      <w:r>
        <w:rPr>
          <w:rFonts w:ascii="Arial" w:cs="Arial" w:eastAsia="Arial" w:hAnsi="Arial"/>
          <w:sz w:val="18"/>
          <w:szCs w:val="18"/>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84"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            it is a Swiss Qualifying Lender and has not entered into a participation (including sub-participation) arrangement with respect to this Agreement with any Person that is a Swiss Non-Qualifying Lender; or</w:t>
      </w:r>
    </w:p>
    <w:p>
      <w:pPr>
        <w:spacing w:after="0" w:line="170"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(ii)            if it is a Swiss Non-Qualifying Lender, it counts as one single creditor for purposes of the Swiss Non-Bank Rules (taking into account any participations and sub-participations).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right="20" w:firstLine="1296"/>
        <w:spacing w:after="0" w:line="277" w:lineRule="auto"/>
        <w:rPr>
          <w:sz w:val="20"/>
          <w:szCs w:val="20"/>
          <w:color w:val="auto"/>
        </w:rPr>
      </w:pPr>
      <w:r>
        <w:rPr>
          <w:rFonts w:ascii="Arial" w:cs="Arial" w:eastAsia="Arial" w:hAnsi="Arial"/>
          <w:sz w:val="18"/>
          <w:szCs w:val="18"/>
          <w:color w:val="auto"/>
        </w:rPr>
        <w:t>(c)            Each Lender or Participant (including sub-participants) shall promptly notify Parent and the Administrative Agent if for any reason it ceases to be a Swiss Qualifying Lender.</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12.26 </w:t>
      </w:r>
      <w:r>
        <w:rPr>
          <w:rFonts w:ascii="Arial" w:cs="Arial" w:eastAsia="Arial" w:hAnsi="Arial"/>
          <w:sz w:val="16"/>
          <w:szCs w:val="16"/>
          <w:u w:val="single" w:color="auto"/>
          <w:color w:val="auto"/>
        </w:rPr>
        <w:t>Joint Lead Arrangers and Joint Book Runners</w:t>
      </w:r>
      <w:r>
        <w:rPr>
          <w:rFonts w:ascii="Arial" w:cs="Arial" w:eastAsia="Arial" w:hAnsi="Arial"/>
          <w:sz w:val="16"/>
          <w:szCs w:val="16"/>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12.27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(b)            As used in this </w:t>
      </w:r>
      <w:r>
        <w:rPr>
          <w:rFonts w:ascii="Arial" w:cs="Arial" w:eastAsia="Arial" w:hAnsi="Arial"/>
          <w:sz w:val="18"/>
          <w:szCs w:val="18"/>
          <w:u w:val="single" w:color="auto"/>
          <w:color w:val="auto"/>
        </w:rPr>
        <w:t>Section 12.27</w:t>
      </w:r>
      <w:r>
        <w:rPr>
          <w:rFonts w:ascii="Arial" w:cs="Arial" w:eastAsia="Arial" w:hAnsi="Arial"/>
          <w:sz w:val="18"/>
          <w:szCs w:val="18"/>
          <w:color w:val="auto"/>
        </w:rPr>
        <w:t>, the following terms have the following meanings: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9" w:name="page260"/>
    <w:bookmarkEnd w:id="259"/>
    <w:p>
      <w:pPr>
        <w:jc w:val="both"/>
        <w:ind w:left="660" w:firstLine="1296"/>
        <w:spacing w:after="0" w:line="277" w:lineRule="auto"/>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8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(iv)            “</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12.28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12.29 </w:t>
      </w:r>
      <w:r>
        <w:rPr>
          <w:rFonts w:ascii="Arial" w:cs="Arial" w:eastAsia="Arial" w:hAnsi="Arial"/>
          <w:sz w:val="18"/>
          <w:szCs w:val="18"/>
          <w:u w:val="single" w:color="auto"/>
          <w:color w:val="auto"/>
        </w:rPr>
        <w:t>Amendment and Restatement; No Novation</w:t>
      </w:r>
      <w:r>
        <w:rPr>
          <w:rFonts w:ascii="Arial" w:cs="Arial" w:eastAsia="Arial" w:hAnsi="Arial"/>
          <w:sz w:val="18"/>
          <w:szCs w:val="18"/>
          <w:color w:val="auto"/>
        </w:rPr>
        <w:t>. This Agreement constitutes an amendment and restatement of the Existing Credit Agreement, effective from and after the Effective Date. The execution and delivery of this Agreement shall not constitute a novation of any indebtedness or other obligations owing to the Lenders or the Administrative Agent under the Existing Credit Agreement. On or prior to the Effective Date, (i) the agency transfer contemplated by the Agency and Liens Assignment Agreement shall be effective in accordance with the terms thereof and (ii) the credit facility described in the Existing Credit Agreement, shall be amended, supplemented, modified and restated in their entirety by the Credit Facility, and all obligations of the Borrowers outstanding as of such date under the Existing Credit Agreement, shall continue to exist and shall be subject to the provisions of this Agreement, thereby deemed to be obligations outstanding under the corresponding facilities described herein, without any further action by any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b w:val="1"/>
          <w:bCs w:val="1"/>
          <w:i w:val="1"/>
          <w:iCs w:val="1"/>
          <w:color w:val="FF0000"/>
          <w:strike w:val="1"/>
        </w:rPr>
        <w:t>;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2143125" cy="9175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4312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Weatherford Announces Third Quarter 2023 Results</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Raises Full-Year Outlook</w:t>
      </w:r>
    </w:p>
    <w:p>
      <w:pPr>
        <w:spacing w:after="0" w:line="229" w:lineRule="exact"/>
        <w:rPr>
          <w:sz w:val="20"/>
          <w:szCs w:val="20"/>
          <w:color w:val="auto"/>
        </w:rPr>
      </w:pPr>
    </w:p>
    <w:p>
      <w:pPr>
        <w:ind w:left="328" w:right="20" w:hanging="328"/>
        <w:spacing w:after="0" w:line="277"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Revenues of $1,313 million increased 3% sequentially and 17% year-over-year, driven by international revenue growth of 3% sequentially and 27% year-over-year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Operating income of $218 million increased 8% sequentially and 80% year-over-year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Net income of $123 million increased 50% sequentially and 339% year-over-year; net income margin of 9.4%</w:t>
      </w:r>
    </w:p>
    <w:p>
      <w:pPr>
        <w:spacing w:after="0" w:line="225"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Adjusted EBITDA* of $305 million increased 5% sequentially and 43% year-over-year; adjusted EBITDA margin* of 23.2%, highest in over 14 years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Cash provided by operating activities of $172 million and adjusted free cash flow* of $137 million</w:t>
      </w:r>
    </w:p>
    <w:p>
      <w:pPr>
        <w:spacing w:after="0" w:line="225" w:lineRule="exact"/>
        <w:rPr>
          <w:rFonts w:ascii="Arial" w:cs="Arial" w:eastAsia="Arial" w:hAnsi="Arial"/>
          <w:sz w:val="18"/>
          <w:szCs w:val="18"/>
          <w:b w:val="1"/>
          <w:bCs w:val="1"/>
          <w:color w:val="auto"/>
        </w:rPr>
      </w:pPr>
    </w:p>
    <w:p>
      <w:pPr>
        <w:ind w:left="328" w:hanging="328"/>
        <w:spacing w:after="0" w:line="277" w:lineRule="auto"/>
        <w:tabs>
          <w:tab w:leader="none" w:pos="328" w:val="left"/>
        </w:tabs>
        <w:numPr>
          <w:ilvl w:val="0"/>
          <w:numId w:val="121"/>
        </w:numPr>
        <w:rPr>
          <w:rFonts w:ascii="Arial" w:cs="Arial" w:eastAsia="Arial" w:hAnsi="Arial"/>
          <w:sz w:val="18"/>
          <w:szCs w:val="18"/>
          <w:i w:val="1"/>
          <w:iCs w:val="1"/>
          <w:color w:val="auto"/>
        </w:rPr>
      </w:pPr>
      <w:r>
        <w:rPr>
          <w:rFonts w:ascii="Arial" w:cs="Arial" w:eastAsia="Arial" w:hAnsi="Arial"/>
          <w:sz w:val="18"/>
          <w:szCs w:val="18"/>
          <w:color w:val="auto"/>
        </w:rPr>
        <w:t>Debt repayments of $147 million on 6.50% Senior Secured Notes comprised of $72 million in the third quarter of 2023, and an additional $75 million in October 2023</w:t>
      </w:r>
    </w:p>
    <w:p>
      <w:pPr>
        <w:spacing w:after="0" w:line="170" w:lineRule="exact"/>
        <w:rPr>
          <w:rFonts w:ascii="Arial" w:cs="Arial" w:eastAsia="Arial" w:hAnsi="Arial"/>
          <w:sz w:val="18"/>
          <w:szCs w:val="18"/>
          <w:i w:val="1"/>
          <w:iCs w:val="1"/>
          <w:color w:val="auto"/>
        </w:rPr>
      </w:pPr>
    </w:p>
    <w:p>
      <w:pPr>
        <w:ind w:left="328" w:hanging="328"/>
        <w:spacing w:after="0"/>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Announced $550 million credit facility with $300 million borrowing capacity and five-year maturity</w:t>
      </w:r>
    </w:p>
    <w:p>
      <w:pPr>
        <w:spacing w:after="0" w:line="228" w:lineRule="exact"/>
        <w:rPr>
          <w:rFonts w:ascii="Arial" w:cs="Arial" w:eastAsia="Arial" w:hAnsi="Arial"/>
          <w:sz w:val="18"/>
          <w:szCs w:val="18"/>
          <w:color w:val="auto"/>
        </w:rPr>
      </w:pPr>
    </w:p>
    <w:p>
      <w:pPr>
        <w:ind w:left="328" w:right="20" w:hanging="328"/>
        <w:spacing w:after="0" w:line="186" w:lineRule="auto"/>
        <w:tabs>
          <w:tab w:leader="none" w:pos="328" w:val="left"/>
        </w:tabs>
        <w:numPr>
          <w:ilvl w:val="0"/>
          <w:numId w:val="121"/>
        </w:numPr>
        <w:rPr>
          <w:rFonts w:ascii="Arial" w:cs="Arial" w:eastAsia="Arial" w:hAnsi="Arial"/>
          <w:sz w:val="36"/>
          <w:szCs w:val="36"/>
          <w:color w:val="auto"/>
          <w:vertAlign w:val="superscript"/>
        </w:rPr>
      </w:pPr>
      <w:r>
        <w:rPr>
          <w:rFonts w:ascii="Arial" w:cs="Arial" w:eastAsia="Arial" w:hAnsi="Arial"/>
          <w:sz w:val="18"/>
          <w:szCs w:val="18"/>
          <w:color w:val="auto"/>
        </w:rPr>
        <w:t>Launched ForeSite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ReGenX-i, the energy industry’s first regenerative variable-speed drive for rod-lift systems, harnessing untapped energy through recycling otherwise wasted power, and reducing emissions</w:t>
      </w:r>
    </w:p>
    <w:p>
      <w:pPr>
        <w:spacing w:after="0" w:line="204" w:lineRule="exact"/>
        <w:rPr>
          <w:sz w:val="20"/>
          <w:szCs w:val="20"/>
          <w:color w:val="auto"/>
        </w:rPr>
      </w:pPr>
    </w:p>
    <w:p>
      <w:pPr>
        <w:ind w:left="248"/>
        <w:spacing w:after="0"/>
        <w:rPr>
          <w:sz w:val="20"/>
          <w:szCs w:val="20"/>
          <w:color w:val="auto"/>
        </w:rPr>
      </w:pPr>
      <w:r>
        <w:rPr>
          <w:rFonts w:ascii="Arial" w:cs="Arial" w:eastAsia="Arial" w:hAnsi="Arial"/>
          <w:sz w:val="17"/>
          <w:szCs w:val="17"/>
          <w:color w:val="auto"/>
        </w:rPr>
        <w:t>*Non-GAAP - refer to the section titled Non-GAAP Financial Measures Defined and GAAP to Non-GAAP Financial Measures Reconciled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450850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261" w:name="page262"/>
    <w:bookmarkEnd w:id="261"/>
    <w:p>
      <w:pPr>
        <w:jc w:val="both"/>
        <w:ind w:right="20"/>
        <w:spacing w:after="0" w:line="282" w:lineRule="auto"/>
        <w:rPr>
          <w:sz w:val="20"/>
          <w:szCs w:val="20"/>
          <w:color w:val="auto"/>
        </w:rPr>
      </w:pPr>
      <w:r>
        <w:rPr>
          <w:rFonts w:ascii="Arial" w:cs="Arial" w:eastAsia="Arial" w:hAnsi="Arial"/>
          <w:sz w:val="18"/>
          <w:szCs w:val="18"/>
          <w:b w:val="1"/>
          <w:bCs w:val="1"/>
          <w:color w:val="auto"/>
        </w:rPr>
        <w:t xml:space="preserve">Houston, October 24, 2023 – </w:t>
      </w:r>
      <w:r>
        <w:rPr>
          <w:rFonts w:ascii="Arial" w:cs="Arial" w:eastAsia="Arial" w:hAnsi="Arial"/>
          <w:sz w:val="18"/>
          <w:szCs w:val="18"/>
          <w:color w:val="auto"/>
        </w:rPr>
        <w:t>Weatherford International plc (NASDAQ: WFRD) (“Weatherford” or the “Company”) announced today its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2023.</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for the third quarter of 2023 were $1,313 million, an increase of 3% sequentially and 17% year-over-year. Operating income was $218 million in the third quarter of 2023, compared to $201 million in the second quarter of 2023 and $121 million in the third quarter of 2022. Net income in the third quarter of 2023 was $123 million, an increase of 50% or 293 basis points sequentially, and an increase of 339% or 687 basis points year-over-year. Adjusted EBITDA* was $305 million, an increase of 5% or 39 basis points sequentially, and an increase of 43% or 412 basis points year-over-year. Basic income per share was $1.70, compared to $1.14 in the second quarter of 2023 and $0.39 in the third quarter of 2022.</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quarter 2023 cash flows provided by operations were $172 million, compared to $201 million in the second quarter of 2023 and $160 million in the third quarter of 2022. Adjusted free cash flow* was $137 million, a decrease of $35 million sequentially and an increase of $4 million year-over-year. Capital expenditures were $42 million in the third quarter of 2023, compared to $36 million in the second quarter of 2023 and $39 million in the third quarter of 2022.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Girish Saligram, President and Chief Executive Officer, commented, “I am grateful to the One Weatherford team for their commitment to our strategic priorities. The result of this commitment is manifested in another quarter of top line growth, margin expansion, and free cash flow generation, with adjusted EBITDA margins setting another record. Our operating performance has enabled a very significant step forward on our capital structure with the announcement of our $550 million credit facility, which significantly enhances liquidity and balance sheet flexibility.</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first three quarters of 2023 are a springboard to close the year with strong momentum, as we expect revenues to continue to grow in the fourth quarter and we now expect full year adjusted EBITDA margins to expand over 400 basis points year-over-year, with adjusted free cash flow over $450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29"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Chevron Angola awarded Weatherford a two-year contract for conventional Tubular Running Services for its offshore deepwater operations.</w:t>
      </w:r>
    </w:p>
    <w:p>
      <w:pPr>
        <w:spacing w:after="0" w:line="236" w:lineRule="exact"/>
        <w:rPr>
          <w:rFonts w:ascii="Arial" w:cs="Arial" w:eastAsia="Arial" w:hAnsi="Arial"/>
          <w:sz w:val="17"/>
          <w:szCs w:val="17"/>
          <w:color w:val="auto"/>
        </w:rPr>
      </w:pPr>
    </w:p>
    <w:p>
      <w:pPr>
        <w:ind w:left="340" w:right="20" w:hanging="332"/>
        <w:spacing w:after="0" w:line="289"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Pertamina Hulu Rokan in Indonesia awarded Weatherford a five-year Digital Solutions contract to provide Integrated Well Monitoring Services using its industry-leading Foresite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Edge Solution.</w:t>
      </w:r>
    </w:p>
    <w:p>
      <w:pPr>
        <w:spacing w:after="0" w:line="3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Aramco awarded Weatherford a three-year contract for the supply and maintenance of Drilling and Fishing jars, in addition to a two-year contract extension for comprehensive Intervention Services.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Qatar Energy awarded Weatherford a five-year contract by to provide Liner Hanger systems for its onshore and offshore wells.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Ecopetrol awarded Weatherford a two-year contract to provide integrated products and services, including Artificial Lift, Completions, Drilling Tools &amp; Intervention Services.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KCA Deutag awarded Weatherford a one-year contract to provide Managed Pressure Drilling systems and services in Norway.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Highlights</w:t>
      </w:r>
    </w:p>
    <w:p>
      <w:pPr>
        <w:spacing w:after="0" w:line="229"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Drilling and Evaluation: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Deployed WEL-Core™ Stabilizer Lost Circulation Material in oil-based drilling fluid using an engineered approach that reduces downhole losses and enhances drilling efficiencies.</w:t>
      </w:r>
    </w:p>
    <w:p>
      <w:pPr>
        <w:spacing w:after="0" w:line="173" w:lineRule="exact"/>
        <w:rPr>
          <w:rFonts w:ascii="Arial" w:cs="Arial" w:eastAsia="Arial" w:hAnsi="Arial"/>
          <w:sz w:val="18"/>
          <w:szCs w:val="18"/>
          <w:color w:val="auto"/>
        </w:rPr>
      </w:pPr>
    </w:p>
    <w:p>
      <w:pPr>
        <w:ind w:left="660" w:hanging="328"/>
        <w:spacing w:after="0" w:line="186" w:lineRule="auto"/>
        <w:tabs>
          <w:tab w:leader="none" w:pos="660" w:val="left"/>
        </w:tabs>
        <w:numPr>
          <w:ilvl w:val="1"/>
          <w:numId w:val="123"/>
        </w:numPr>
        <w:rPr>
          <w:rFonts w:ascii="Arial" w:cs="Arial" w:eastAsia="Arial" w:hAnsi="Arial"/>
          <w:sz w:val="36"/>
          <w:szCs w:val="36"/>
          <w:color w:val="auto"/>
          <w:vertAlign w:val="superscript"/>
        </w:rPr>
      </w:pPr>
      <w:r>
        <w:rPr>
          <w:rFonts w:ascii="Arial" w:cs="Arial" w:eastAsia="Arial" w:hAnsi="Arial"/>
          <w:sz w:val="18"/>
          <w:szCs w:val="18"/>
          <w:color w:val="auto"/>
        </w:rPr>
        <w:t>Deployed new high-performance shale and clay inhibitor WEL-Hib</w:t>
      </w:r>
      <w:r>
        <w:rPr>
          <w:rFonts w:ascii="Arial" w:cs="Arial" w:eastAsia="Arial" w:hAnsi="Arial"/>
          <w:sz w:val="29"/>
          <w:szCs w:val="29"/>
          <w:color w:val="auto"/>
          <w:vertAlign w:val="superscript"/>
        </w:rPr>
        <w:t>x</w:t>
      </w:r>
      <w:r>
        <w:rPr>
          <w:rFonts w:ascii="Arial" w:cs="Arial" w:eastAsia="Arial" w:hAnsi="Arial"/>
          <w:sz w:val="18"/>
          <w:szCs w:val="18"/>
          <w:color w:val="auto"/>
        </w:rPr>
        <w:t>, designed to improve drilling efficiencies by mitigating the negative impact of drilling fluids on formations.</w:t>
      </w:r>
    </w:p>
    <w:p>
      <w:pPr>
        <w:spacing w:after="0" w:line="203"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Well Construction and Completions: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Deployed new V3 POST (Pack Off Stage Tool), featuring an upgraded sealing technology to enhance well bore integrity for the life of the well.</w:t>
      </w:r>
    </w:p>
    <w:p>
      <w:pPr>
        <w:spacing w:after="0" w:line="251" w:lineRule="exact"/>
        <w:rPr>
          <w:rFonts w:ascii="Arial" w:cs="Arial" w:eastAsia="Arial" w:hAnsi="Arial"/>
          <w:sz w:val="16"/>
          <w:szCs w:val="16"/>
          <w:color w:val="auto"/>
        </w:rPr>
      </w:pPr>
    </w:p>
    <w:p>
      <w:pPr>
        <w:ind w:left="660" w:hanging="328"/>
        <w:spacing w:after="0" w:line="210" w:lineRule="auto"/>
        <w:tabs>
          <w:tab w:leader="none" w:pos="660" w:val="left"/>
        </w:tabs>
        <w:numPr>
          <w:ilvl w:val="1"/>
          <w:numId w:val="123"/>
        </w:numPr>
        <w:rPr>
          <w:rFonts w:ascii="Arial" w:cs="Arial" w:eastAsia="Arial" w:hAnsi="Arial"/>
          <w:sz w:val="32"/>
          <w:szCs w:val="32"/>
          <w:color w:val="auto"/>
          <w:vertAlign w:val="superscript"/>
        </w:rPr>
      </w:pPr>
      <w:r>
        <w:rPr>
          <w:rFonts w:ascii="Arial" w:cs="Arial" w:eastAsia="Arial" w:hAnsi="Arial"/>
          <w:sz w:val="16"/>
          <w:szCs w:val="16"/>
          <w:color w:val="auto"/>
        </w:rPr>
        <w:t>Deployed the first combination of 16" Two Stage Cementing tool and Annulus Casing Packer in a Geothermal application for the Eavor-Loop</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Germany.</w:t>
      </w:r>
    </w:p>
    <w:p>
      <w:pPr>
        <w:spacing w:after="0" w:line="201" w:lineRule="exact"/>
        <w:rPr>
          <w:rFonts w:ascii="Arial" w:cs="Arial" w:eastAsia="Arial" w:hAnsi="Arial"/>
          <w:sz w:val="32"/>
          <w:szCs w:val="32"/>
          <w:color w:val="auto"/>
          <w:vertAlign w:val="superscript"/>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Production and Intervention:</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Launched ForeSite® ReGenX system with two variants, ReGenX-o and ReGenX-i. ForeSite® ReGenX-i is the energy industry’s first regenerative variable-speed drive for rod-lift systems, that harnesses untapped energy through recycling otherwise wasted power and reducing emissions.</w:t>
      </w:r>
    </w:p>
    <w:p>
      <w:pPr>
        <w:spacing w:after="0" w:line="127" w:lineRule="exact"/>
        <w:rPr>
          <w:rFonts w:ascii="Arial" w:cs="Arial" w:eastAsia="Arial" w:hAnsi="Arial"/>
          <w:sz w:val="16"/>
          <w:szCs w:val="16"/>
          <w:color w:val="auto"/>
        </w:rPr>
      </w:pPr>
    </w:p>
    <w:p>
      <w:pPr>
        <w:jc w:val="both"/>
        <w:ind w:left="660" w:hanging="328"/>
        <w:spacing w:after="0" w:line="202" w:lineRule="auto"/>
        <w:tabs>
          <w:tab w:leader="none" w:pos="660" w:val="left"/>
        </w:tabs>
        <w:numPr>
          <w:ilvl w:val="1"/>
          <w:numId w:val="123"/>
        </w:numPr>
        <w:rPr>
          <w:rFonts w:ascii="Arial" w:cs="Arial" w:eastAsia="Arial" w:hAnsi="Arial"/>
          <w:sz w:val="36"/>
          <w:szCs w:val="36"/>
          <w:color w:val="auto"/>
          <w:vertAlign w:val="superscript"/>
        </w:rPr>
      </w:pPr>
      <w:r>
        <w:rPr>
          <w:rFonts w:ascii="Arial" w:cs="Arial" w:eastAsia="Arial" w:hAnsi="Arial"/>
          <w:sz w:val="18"/>
          <w:szCs w:val="18"/>
          <w:color w:val="auto"/>
        </w:rPr>
        <w:t>Successfully deployed new AlphaV single trip cased hole exit system, complemented with Accuview</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software, in the North Sea for Equinor, eliminating the need for a dedicated well bore preparation run while improving operational efficiency through enhanced remote monitoring capabilities.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closed the third quarter 2023 with total cash of approximately $946 million as of September 30, 2023, up $24 million sequentially. In the third quarter 2023, we repurchased $72 million of our 6.5% Senior Secured Notes (“Secured Notes”) and an additional $75 million in October 2023. The principal remaining on our Secured Notes was approximately $324 million as of September 30, 2023 and $249 million as of the date of this release. In October, we further amended our credit agreement to allow for an increase in total commitment amount to $550 million consisting of $250 million for performance letters of credit and $300 million for either borrowings or additional performance or financial letters of credit and extending maturity to five years after closing subject to certain conditions.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during the third quarter 2023 was $172 million, down $29 million sequentially, and up $12 million year-over-year. Adjusted free cash flow* of $137 million was down $35 million sequentially and slightly higher than the third quarter 2022 adjusted free cash flow* of $133 million. The sequential decrease was driven mainly by a decrease in collections.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Results by Reportable Segment</w:t>
            </w:r>
          </w:p>
        </w:tc>
        <w:tc>
          <w:tcPr>
            <w:tcW w:w="13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37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Drilling &amp; Evaluation (“DRE”)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66"/>
        </w:trPr>
        <w:tc>
          <w:tcPr>
            <w:tcW w:w="2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Variance</w:t>
            </w: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1"/>
        </w:trPr>
        <w:tc>
          <w:tcPr>
            <w:tcW w:w="2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3780" w:type="dxa"/>
            <w:vAlign w:val="bottom"/>
            <w:gridSpan w:val="4"/>
          </w:tcPr>
          <w:p>
            <w:pPr>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Seq.</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YoY</w:t>
            </w:r>
          </w:p>
        </w:tc>
      </w:tr>
      <w:tr>
        <w:trPr>
          <w:trHeight w:val="209"/>
        </w:trPr>
        <w:tc>
          <w:tcPr>
            <w:tcW w:w="3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DRE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40" w:type="dxa"/>
            <w:vAlign w:val="bottom"/>
            <w:gridSpan w:val="2"/>
          </w:tcPr>
          <w:p>
            <w:pPr>
              <w:jc w:val="center"/>
              <w:ind w:left="530"/>
              <w:spacing w:after="0"/>
              <w:rPr>
                <w:sz w:val="20"/>
                <w:szCs w:val="20"/>
                <w:color w:val="auto"/>
              </w:rPr>
            </w:pPr>
            <w:r>
              <w:rPr>
                <w:rFonts w:ascii="Arial" w:cs="Arial" w:eastAsia="Arial" w:hAnsi="Arial"/>
                <w:sz w:val="18"/>
                <w:szCs w:val="18"/>
                <w:color w:val="auto"/>
                <w:w w:val="88"/>
              </w:rPr>
              <w:t>11%</w:t>
            </w: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DRE Segment 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31%</w:t>
            </w:r>
          </w:p>
        </w:tc>
      </w:tr>
      <w:tr>
        <w:trPr>
          <w:trHeight w:val="230"/>
        </w:trPr>
        <w:tc>
          <w:tcPr>
            <w:tcW w:w="3780" w:type="dxa"/>
            <w:vAlign w:val="bottom"/>
            <w:gridSpan w:val="4"/>
          </w:tcPr>
          <w:p>
            <w:pPr>
              <w:spacing w:after="0"/>
              <w:rPr>
                <w:sz w:val="20"/>
                <w:szCs w:val="20"/>
                <w:color w:val="auto"/>
              </w:rPr>
            </w:pPr>
            <w:r>
              <w:rPr>
                <w:rFonts w:ascii="Arial" w:cs="Arial" w:eastAsia="Arial" w:hAnsi="Arial"/>
                <w:sz w:val="18"/>
                <w:szCs w:val="18"/>
                <w:color w:val="auto"/>
              </w:rPr>
              <w:t>DRE Segment Adjusted EBITDA Margin</w:t>
            </w:r>
          </w:p>
        </w:tc>
        <w:tc>
          <w:tcPr>
            <w:tcW w:w="28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170bps</w:t>
            </w:r>
          </w:p>
        </w:tc>
        <w:tc>
          <w:tcPr>
            <w:tcW w:w="114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418bps</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DRE revenues of $388 million decreased by $6 million, or 2% sequentially, primarily due to lower activity for drilling-related services partially offset by increased activity in Latin America. Year-over-year, DRE revenues increased by $40 million, or 11% year-over-year, mainly due to increased activity for drilling-related services internationally partially offset by lower activity in North America.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DRE segment adjusted EBITDA of $111 million increased by $5 million, or 5% sequentially, primarily due to a change in mix in managed pressure drilling and wireline. Year-over-year, DRE segment adjusted EBITDA increased by $26 million, or 31%, primarily due to an increase in drilling services and wireline activity.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Well Construction and Completions (“WCC”)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66"/>
        </w:trPr>
        <w:tc>
          <w:tcPr>
            <w:tcW w:w="34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Variance</w:t>
            </w: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1"/>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Seq.</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YoY</w:t>
            </w:r>
          </w:p>
        </w:tc>
      </w:tr>
      <w:tr>
        <w:trPr>
          <w:trHeight w:val="209"/>
        </w:trPr>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WCC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40" w:type="dxa"/>
            <w:vAlign w:val="bottom"/>
            <w:gridSpan w:val="2"/>
          </w:tcPr>
          <w:p>
            <w:pPr>
              <w:jc w:val="center"/>
              <w:ind w:left="510"/>
              <w:spacing w:after="0"/>
              <w:rPr>
                <w:sz w:val="20"/>
                <w:szCs w:val="20"/>
                <w:color w:val="auto"/>
              </w:rPr>
            </w:pPr>
            <w:r>
              <w:rPr>
                <w:rFonts w:ascii="Arial" w:cs="Arial" w:eastAsia="Arial" w:hAnsi="Arial"/>
                <w:sz w:val="18"/>
                <w:szCs w:val="18"/>
                <w:color w:val="auto"/>
                <w:w w:val="94"/>
              </w:rPr>
              <w:t>17%</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WCC Segment 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4"/>
              </w:rPr>
              <w:t>53%</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WCC Segment Adjusted EBITDA Margin</w:t>
            </w:r>
          </w:p>
        </w:tc>
        <w:tc>
          <w:tcPr>
            <w:tcW w:w="28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115bps</w:t>
            </w:r>
          </w:p>
        </w:tc>
        <w:tc>
          <w:tcPr>
            <w:tcW w:w="114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598bps</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quarter 2023 WCC revenues of $459 million increased by $19 million, or 4% sequentially, mainly due to higher activity in Middle East/North Africa/Asia regions. Higher liner hangers and cementation products activity was partially offset by lower completions activity primarily in Latin America. Year-over-year, WCC revenues increased by $68 million, or 17%, primarily due to increased activity across all product lines driven by higher international activity.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WCC segment adjusted EBITDA of $119 million increased by $10 million, or 9% sequentially, mainly due to higher cementation products and liner hanger activity. Year-over-year, WCC segment adjusted EBITDA increased by $41 million, or 53%, primarily due to higher fall through from increased activity.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Production and Intervention (“PRI”)</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66"/>
        </w:trPr>
        <w:tc>
          <w:tcPr>
            <w:tcW w:w="27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Variance</w:t>
            </w: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1"/>
        </w:trPr>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Seq.</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YoY</w:t>
            </w:r>
          </w:p>
        </w:tc>
      </w:tr>
      <w:tr>
        <w:trPr>
          <w:trHeight w:val="209"/>
        </w:trPr>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PRI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 Segment 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PRI Segment Adjusted EBITDA Margin</w:t>
            </w:r>
          </w:p>
        </w:tc>
        <w:tc>
          <w:tcPr>
            <w:tcW w:w="28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105bps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469bps</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quarter 2023 PRI revenues of $371 million increased by $5 million, or 1% sequentially, primarily due to higher international pressure pumping activity partially offset by lower intervention services and artificial lift activity in Latin America. Year-over-year, PRI revenues increased by $14 million, or 4%, primarily due to higher international pressure pumping activity, partially offset by decreased activity in artificial lift.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quarter 2023 PRI segment adjusted EBITDA of $86 million, increased by $5 million, or 6% sequentially, primarily due to higher fall through for international pressure pumping and artificial lift activity primarily in North America. Year-over-year, PRI segment adjusted EBITDA increased by $20 million, or 30%, primarily due to the impact from increased international pressure pumping activity and higher margins in artificial lift.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Revenues by Geography</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6"/>
        </w:trPr>
        <w:tc>
          <w:tcPr>
            <w:tcW w:w="188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Variance</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1"/>
        </w:trPr>
        <w:tc>
          <w:tcPr>
            <w:tcW w:w="1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6"/>
                <w:szCs w:val="16"/>
                <w:color w:val="auto"/>
              </w:rPr>
            </w:pPr>
          </w:p>
        </w:tc>
        <w:tc>
          <w:tcPr>
            <w:tcW w:w="12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Seq.</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YoY</w:t>
            </w:r>
          </w:p>
        </w:tc>
      </w:tr>
      <w:tr>
        <w:trPr>
          <w:trHeight w:val="210"/>
        </w:trPr>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by Geographic Areas: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1,044</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823</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Europe/Sub-Sahara Africa/Russia</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3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North America revenues of $269 million increased by $4 million, or 2% sequentially, primarily due to increased activity in Canada due to seasonality partially offsetting softer activity in the United States. Year-over-year, North America revenue decreased by $28 million, or 9%, mainly due to the slowdown in overall drilling and completions activity and a selective focus on higher margin work.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i w:val="1"/>
          <w:iCs w:val="1"/>
          <w:u w:val="single" w:color="auto"/>
          <w:color w:val="auto"/>
        </w:rPr>
        <w:t>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2023 International revenues of $1,044 million increased 3% sequentially and 27% year over year.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quarter 2023 Latin America revenues of $357 million decreased by $14 million, or 4% sequentially, mainly due to lower completions activity due to timing of certain product deliveries in Brazil and lower activity in our PRI segment in Argentina, partially offset by higher activity in our DRE segment in Mexico and Brazil. Year-over-year, Latin America revenue increased by $77 million, or 28%, primarily due to higher activity in all our segments.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quarter 2023 Middle East/North Africa/Asia revenues of $471 million increased by $50 million, or 12% sequentially, primarily driven by higher WCC, PRI, and integrated services and projects revenue, with notable increase in activity in Saudi Arabia. Year-over-year, Middle East/North Africa/Asia revenue increased by $117 million, or 33%, primarily due to higher activity in all segments and an increase in integrated services and projects revenue.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Europe/Sub-Sahara Africa/Russia revenues of $216 million decreased by $1 million, or essentially flat sequentially, mainly due to lower activity in DRE partially offset by higher PRI activity. Year-over-year, Europe/Sub-Sahara Africa/Russia revenue increased by $27 million, or 14%, primarily due to increased completions, managed pressure drilling, and drilling services activity.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18,000 team members representing more than 110 nationalities and 335 operating locations. Visit </w:t>
      </w:r>
      <w:r>
        <w:rPr>
          <w:rFonts w:ascii="Arial" w:cs="Arial" w:eastAsia="Arial" w:hAnsi="Arial"/>
          <w:sz w:val="18"/>
          <w:szCs w:val="18"/>
          <w:u w:val="single" w:color="auto"/>
          <w:color w:val="auto"/>
        </w:rPr>
        <w:t>weatherford.com</w:t>
      </w:r>
      <w:r>
        <w:rPr>
          <w:rFonts w:ascii="Arial" w:cs="Arial" w:eastAsia="Arial" w:hAnsi="Arial"/>
          <w:sz w:val="18"/>
          <w:szCs w:val="18"/>
          <w:color w:val="auto"/>
        </w:rPr>
        <w:t xml:space="preserve"> for more information and connect with us on social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Weatherford will host a conference call on Wednesday, October 25, 2023, to discuss the Company’s results for the third quarter ended September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begin at 10:00 a.m. Eastern Time (9:00 a.m. Central Time).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Listeners are encouraged to download the accompanying presentation slides which will be available in the investor relations section of the Company’s website.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telephonic replay of the conference call will be available until November 8, 2023, at 5:00 p.m. Eastern Time. To access the replay, please dial +1 877-344-7529 (within the U.S.) or +1 412-317-0088 (outside of the U.S.) and reference conference number 4193933. A replay and transcript of the earnings call will also be available in the investor relations section of the Company’s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M&amp;A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Communications &amp; Employee Engagement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+1 713-836-4193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media@weatherford.com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news release contains projections and forward-looking statements concerning, among other things, the Company’s quarterly and full-year revenues, adjusted EBITDA*, adjusted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w w:val="94"/>
              </w:rPr>
              <w:t>September</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June</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16"/>
                <w:szCs w:val="16"/>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30, 2022</w:t>
            </w:r>
          </w:p>
        </w:tc>
        <w:tc>
          <w:tcPr>
            <w:tcW w:w="100" w:type="dxa"/>
            <w:vAlign w:val="bottom"/>
            <w:tcBorders>
              <w:bottom w:val="single" w:sz="8" w:color="CCEEFF"/>
            </w:tcBorders>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DRE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388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957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WCC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PRI Revenues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988</w:t>
            </w: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w:t>
            </w:r>
          </w:p>
        </w:tc>
      </w:tr>
      <w:tr>
        <w:trPr>
          <w:trHeight w:val="210"/>
        </w:trPr>
        <w:tc>
          <w:tcPr>
            <w:tcW w:w="39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DRE Segment Adjusted EBITDA</w:t>
            </w:r>
            <w:r>
              <w:rPr>
                <w:rFonts w:ascii="Arial" w:cs="Arial" w:eastAsia="Arial" w:hAnsi="Arial"/>
                <w:sz w:val="29"/>
                <w:szCs w:val="29"/>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w:t>
            </w:r>
          </w:p>
        </w:tc>
      </w:tr>
      <w:tr>
        <w:trPr>
          <w:trHeight w:val="257"/>
        </w:trPr>
        <w:tc>
          <w:tcPr>
            <w:tcW w:w="3940" w:type="dxa"/>
            <w:vAlign w:val="bottom"/>
          </w:tcPr>
          <w:p>
            <w:pPr>
              <w:ind w:left="180"/>
              <w:spacing w:after="0" w:line="256" w:lineRule="exact"/>
              <w:rPr>
                <w:sz w:val="20"/>
                <w:szCs w:val="20"/>
                <w:color w:val="auto"/>
              </w:rPr>
            </w:pPr>
            <w:r>
              <w:rPr>
                <w:rFonts w:ascii="Arial" w:cs="Arial" w:eastAsia="Arial" w:hAnsi="Arial"/>
                <w:sz w:val="18"/>
                <w:szCs w:val="18"/>
                <w:color w:val="auto"/>
              </w:rPr>
              <w:t>WCC Segment Adjusted EBITDA</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212</w:t>
            </w:r>
          </w:p>
        </w:tc>
      </w:tr>
      <w:tr>
        <w:trPr>
          <w:trHeight w:val="256"/>
        </w:trPr>
        <w:tc>
          <w:tcPr>
            <w:tcW w:w="3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PRI Segment Adjusted EBITDA</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173</w:t>
            </w:r>
          </w:p>
        </w:tc>
      </w:tr>
      <w:tr>
        <w:trPr>
          <w:trHeight w:val="257"/>
        </w:trPr>
        <w:tc>
          <w:tcPr>
            <w:tcW w:w="3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r>
        <w:trPr>
          <w:trHeight w:val="257"/>
        </w:trPr>
        <w:tc>
          <w:tcPr>
            <w:tcW w:w="3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Other (Charges) Credits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40" w:type="dxa"/>
            <w:vAlign w:val="bottom"/>
          </w:tcPr>
          <w:p>
            <w:pPr>
              <w:ind w:left="180"/>
              <w:spacing w:after="0" w:line="201" w:lineRule="exact"/>
              <w:rPr>
                <w:sz w:val="20"/>
                <w:szCs w:val="20"/>
                <w:color w:val="auto"/>
              </w:rPr>
            </w:pPr>
            <w:r>
              <w:rPr>
                <w:rFonts w:ascii="Arial" w:cs="Arial" w:eastAsia="Arial" w:hAnsi="Arial"/>
                <w:sz w:val="18"/>
                <w:szCs w:val="18"/>
                <w:color w:val="auto"/>
                <w:w w:val="97"/>
              </w:rPr>
              <w:t>Interest Expense, Net of Interest Income of $15,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$16, $8, $47 and $19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Blue Chip Swap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w w:val="92"/>
              </w:rPr>
              <w:t>Net Income Attributable to Noncontrolling Interests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21</w:t>
            </w:r>
          </w:p>
        </w:tc>
      </w:tr>
      <w:tr>
        <w:trPr>
          <w:trHeight w:val="223"/>
        </w:trPr>
        <w:tc>
          <w:tcPr>
            <w:tcW w:w="3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Net Income (Loss) Attributable to Weatherford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(Loss)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71</w:t>
            </w: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Diluted Income (Loss)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1.66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both"/>
        <w:ind w:left="900" w:hanging="244"/>
        <w:spacing w:after="0" w:line="209" w:lineRule="auto"/>
        <w:tabs>
          <w:tab w:leader="none" w:pos="90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spacing w:after="0" w:line="203" w:lineRule="exact"/>
        <w:rPr>
          <w:rFonts w:ascii="Arial" w:cs="Arial" w:eastAsia="Arial" w:hAnsi="Arial"/>
          <w:sz w:val="30"/>
          <w:szCs w:val="30"/>
          <w:color w:val="auto"/>
          <w:vertAlign w:val="superscript"/>
        </w:rPr>
      </w:pPr>
    </w:p>
    <w:p>
      <w:pPr>
        <w:jc w:val="both"/>
        <w:ind w:left="900" w:hanging="244"/>
        <w:spacing w:after="0" w:line="209" w:lineRule="auto"/>
        <w:tabs>
          <w:tab w:leader="none" w:pos="90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All Other includes business activities related to all other segments (profit and loss) and Corporate includes overhead support and centrally managed or shared facilities costs. All Other and Corporate do not individually meet the criteria for segment reporting. The improvement in All Other in 2023 was primarily driven by improved results in integrated services and projects.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2023</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420" w:type="dxa"/>
            <w:vAlign w:val="bottom"/>
            <w:gridSpan w:val="3"/>
          </w:tcPr>
          <w:p>
            <w:pPr>
              <w:ind w:left="38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4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Salaries and Benefits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r>
      <w:tr>
        <w:trPr>
          <w:trHeight w:val="216"/>
        </w:trPr>
        <w:tc>
          <w:tcPr>
            <w:tcW w:w="4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634"/>
        </w:trPr>
        <w:tc>
          <w:tcPr>
            <w:tcW w:w="4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Flows Information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258"/>
              <w:spacing w:after="0" w:line="191" w:lineRule="exact"/>
              <w:rPr>
                <w:sz w:val="20"/>
                <w:szCs w:val="20"/>
                <w:color w:val="auto"/>
              </w:rPr>
            </w:pPr>
            <w:r>
              <w:rPr>
                <w:rFonts w:ascii="Arial" w:cs="Arial" w:eastAsia="Arial" w:hAnsi="Arial"/>
                <w:sz w:val="18"/>
                <w:szCs w:val="18"/>
                <w:b w:val="1"/>
                <w:bCs w:val="1"/>
                <w:color w:val="auto"/>
                <w:w w:val="94"/>
              </w:rPr>
              <w:t>September</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81"/>
              <w:spacing w:after="0" w:line="191" w:lineRule="exact"/>
              <w:rPr>
                <w:sz w:val="20"/>
                <w:szCs w:val="20"/>
                <w:color w:val="auto"/>
              </w:rPr>
            </w:pPr>
            <w:r>
              <w:rPr>
                <w:rFonts w:ascii="Arial" w:cs="Arial" w:eastAsia="Arial" w:hAnsi="Arial"/>
                <w:sz w:val="18"/>
                <w:szCs w:val="18"/>
                <w:b w:val="1"/>
                <w:bCs w:val="1"/>
                <w:color w:val="auto"/>
              </w:rPr>
              <w:t>June</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61"/>
              <w:spacing w:after="0" w:line="191" w:lineRule="exact"/>
              <w:rPr>
                <w:sz w:val="20"/>
                <w:szCs w:val="20"/>
                <w:color w:val="auto"/>
              </w:rPr>
            </w:pPr>
            <w:r>
              <w:rPr>
                <w:rFonts w:ascii="Arial" w:cs="Arial" w:eastAsia="Arial" w:hAnsi="Arial"/>
                <w:sz w:val="18"/>
                <w:szCs w:val="18"/>
                <w:b w:val="1"/>
                <w:bCs w:val="1"/>
                <w:color w:val="auto"/>
                <w:w w:val="92"/>
              </w:rPr>
              <w:t>September</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September</w:t>
            </w:r>
          </w:p>
        </w:tc>
        <w:tc>
          <w:tcPr>
            <w:tcW w:w="100" w:type="dxa"/>
            <w:vAlign w:val="bottom"/>
          </w:tcPr>
          <w:p>
            <w:pPr>
              <w:spacing w:after="0"/>
              <w:rPr>
                <w:sz w:val="16"/>
                <w:szCs w:val="16"/>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30, 2023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30, 2022</w:t>
            </w:r>
          </w:p>
        </w:tc>
        <w:tc>
          <w:tcPr>
            <w:tcW w:w="100" w:type="dxa"/>
            <w:vAlign w:val="bottom"/>
            <w:tcBorders>
              <w:bottom w:val="single" w:sz="8" w:color="CCEEFF"/>
            </w:tcBorders>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131</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Income (Loss) to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265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Blue Chip Swap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Asset Write-downs and Other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Charges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Gain on Disposition of Assets and Business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49</w:t>
            </w: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r>
      <w:tr>
        <w:trPr>
          <w:trHeight w:val="21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Capital Expenditures for Property, Plant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Blue Chip Swap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w w:val="92"/>
              </w:rPr>
              <w:t>Proceeds from Sales of Blue Chip Swap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Proceeds (Payments) for Other Investing Activities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r>
      <w:tr>
        <w:trPr>
          <w:trHeight w:val="21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Repayments and Repurchases of Long-term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Tax Remittance on Equity Awards Vested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Other Financing Activities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94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12</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 Defined (Unaudited)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Free Cash Flow* (formerly titled as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*Non-GAAP - as defined above and reconciled to the GAAP measures in the section titled GAAP to Non-GAAP Financial Measures Reconciled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Financial Measures Reconciled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 Except Margin in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310"/>
              <w:spacing w:after="0" w:line="191" w:lineRule="exact"/>
              <w:rPr>
                <w:sz w:val="20"/>
                <w:szCs w:val="20"/>
                <w:color w:val="auto"/>
              </w:rPr>
            </w:pPr>
            <w:r>
              <w:rPr>
                <w:rFonts w:ascii="Arial" w:cs="Arial" w:eastAsia="Arial" w:hAnsi="Arial"/>
                <w:sz w:val="18"/>
                <w:szCs w:val="18"/>
                <w:b w:val="1"/>
                <w:bCs w:val="1"/>
                <w:color w:val="auto"/>
                <w:w w:val="92"/>
              </w:rPr>
              <w:t>September</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0"/>
              </w:rPr>
              <w:t>June</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September</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2"/>
              </w:rPr>
              <w:t>September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gridSpan w:val="2"/>
          </w:tcPr>
          <w:p>
            <w:pPr>
              <w:spacing w:after="0"/>
              <w:rPr>
                <w:sz w:val="16"/>
                <w:szCs w:val="16"/>
                <w:color w:val="auto"/>
              </w:rPr>
            </w:pPr>
          </w:p>
        </w:tc>
      </w:tr>
      <w:tr>
        <w:trPr>
          <w:trHeight w:val="234"/>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 in Millions)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30, 2023</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30, 2023</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30, 2022</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30, 2023</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30, 2022</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 (Loss) Attributable to Weatherford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123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Margin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Income (Loss) Attributable to Weatherford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w w:val="93"/>
              </w:rPr>
              <w:t>Interest Expense, Net of Interest Income of $15,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$16, $8, $47 and $19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Blue Chip Swap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Charges (Credits)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rPr>
              <w:t>Capital Expenditures for Property, Plant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 as reconciled to the GAAP measures above and defined in the section titled Non-GAAP Financial Measures Defined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85875" cy="548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58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$550 Million Credit Facility with $300 Million Borrowing Capacity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HOUSTON, October 24, 2023 -- Weatherford International plc (NASDAQ: WFRD) (“Weatherford,” and, the “Company,” “we,” “us” and “our”) announced a five-year credit facility that is effective today with aggregate commitments of $550 million. The facility is comprised of a $250 million tranche available for performance letters of credit and a $300 million tranche available as a cash revolver. There is also the optionality of a $200 million accordion based on satisfaction of certain conditions.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Girish Saligram, President and Chief Executive Officer of Weatherford, commented, “We are pleased to announce this significant milestone, which meaningfully enhances our liquidity and balance sheet flexibility. We appreciate the support of our bank partners in supporting this noteworthy step and it signifies continued strengthening of relationships and engagement, enabled by continued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18,000 team members representing more than 110 nationalities and 335 operating locations. Visit weatherford.com for more information and connect with us on social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Mohammed Topiwala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M&amp;A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investor.relations@weatherford.com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Kelley Hughes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Director, Communications &amp; Employee Engagement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1)"/>
      <w:numFmt w:val="lowerLetter"/>
      <w:start w:val="4"/>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2"/>
    </w:lvl>
    <w:lvl w:ilvl="1">
      <w:lvlJc w:val="left"/>
      <w:lvlText w:val="(%2)"/>
      <w:numFmt w:val="lowerLetter"/>
      <w:start w:val="1"/>
    </w:lvl>
  </w:abstractNum>
  <w:abstractNum w:abstractNumId="4">
    <w:nsid w:val="5FF87E05"/>
    <w:multiLevelType w:val="hybridMultilevel"/>
    <w:lvl w:ilvl="0">
      <w:lvlJc w:val="left"/>
      <w:lvlText w:val="(%1)"/>
      <w:numFmt w:val="upperLetter"/>
      <w:start w:val="3"/>
    </w:lvl>
  </w:abstractNum>
  <w:abstractNum w:abstractNumId="5">
    <w:nsid w:val="2F305DEF"/>
    <w:multiLevelType w:val="hybridMultilevel"/>
    <w:lvl w:ilvl="0">
      <w:lvlJc w:val="left"/>
      <w:lvlText w:val="(%1)"/>
      <w:numFmt w:val="upperLetter"/>
      <w:start w:val="5"/>
    </w:lvl>
  </w:abstractNum>
  <w:abstractNum w:abstractNumId="6">
    <w:nsid w:val="25A70BF7"/>
    <w:multiLevelType w:val="hybridMultilevel"/>
    <w:lvl w:ilvl="0">
      <w:lvlJc w:val="left"/>
      <w:lvlText w:val="(%1)"/>
      <w:numFmt w:val="upperLetter"/>
      <w:start w:val="3"/>
    </w:lvl>
  </w:abstractNum>
  <w:abstractNum w:abstractNumId="7">
    <w:nsid w:val="1DBABF00"/>
    <w:multiLevelType w:val="hybridMultilevel"/>
    <w:lvl w:ilvl="0">
      <w:lvlJc w:val="left"/>
      <w:lvlText w:val="(%1)"/>
      <w:numFmt w:val="upperLetter"/>
      <w:start w:val="9"/>
    </w:lvl>
  </w:abstractNum>
  <w:abstractNum w:abstractNumId="8">
    <w:nsid w:val="4AD084E9"/>
    <w:multiLevelType w:val="hybridMultilevel"/>
    <w:lvl w:ilvl="0">
      <w:lvlJc w:val="left"/>
      <w:lvlText w:val="(%1)"/>
      <w:numFmt w:val="upperLetter"/>
      <w:start w:val="13"/>
    </w:lvl>
  </w:abstractNum>
  <w:abstractNum w:abstractNumId="9">
    <w:nsid w:val="1F48EAA1"/>
    <w:multiLevelType w:val="hybridMultilevel"/>
    <w:lvl w:ilvl="0">
      <w:lvlJc w:val="left"/>
      <w:lvlText w:val="(%1)"/>
      <w:numFmt w:val="upperLetter"/>
      <w:start w:val="1"/>
    </w:lvl>
  </w:abstractNum>
  <w:abstractNum w:abstractNumId="10">
    <w:nsid w:val="1381823A"/>
    <w:multiLevelType w:val="hybridMultilevel"/>
    <w:lvl w:ilvl="0">
      <w:lvlJc w:val="left"/>
      <w:lvlText w:val="(%1)"/>
      <w:numFmt w:val="lowerRoman"/>
      <w:start w:val="5"/>
    </w:lvl>
  </w:abstractNum>
  <w:abstractNum w:abstractNumId="11">
    <w:nsid w:val="5DB70AE5"/>
    <w:multiLevelType w:val="hybridMultilevel"/>
    <w:lvl w:ilvl="0">
      <w:lvlJc w:val="left"/>
      <w:lvlText w:val="%1."/>
      <w:numFmt w:val="lowerLetter"/>
      <w:start w:val="1"/>
    </w:lvl>
  </w:abstractNum>
  <w:abstractNum w:abstractNumId="12">
    <w:nsid w:val="100F8FCA"/>
    <w:multiLevelType w:val="hybridMultilevel"/>
    <w:lvl w:ilvl="0">
      <w:lvlJc w:val="left"/>
      <w:lvlText w:val="(%1)"/>
      <w:numFmt w:val="lowerLetter"/>
      <w:start w:val="5"/>
    </w:lvl>
    <w:lvl w:ilvl="1">
      <w:lvlJc w:val="left"/>
      <w:lvlText w:val="(%2)"/>
      <w:numFmt w:val="lowerRoman"/>
      <w:start w:val="1"/>
    </w:lvl>
  </w:abstractNum>
  <w:abstractNum w:abstractNumId="13">
    <w:nsid w:val="6590700B"/>
    <w:multiLevelType w:val="hybridMultilevel"/>
    <w:lvl w:ilvl="0">
      <w:lvlJc w:val="left"/>
      <w:lvlText w:val="(%1)"/>
      <w:numFmt w:val="lowerLetter"/>
      <w:start w:val="2"/>
    </w:lvl>
  </w:abstractNum>
  <w:abstractNum w:abstractNumId="14">
    <w:nsid w:val="15014ACB"/>
    <w:multiLevelType w:val="hybridMultilevel"/>
    <w:lvl w:ilvl="0">
      <w:lvlJc w:val="left"/>
      <w:lvlText w:val="(%1)"/>
      <w:numFmt w:val="lowerLetter"/>
      <w:start w:val="2"/>
    </w:lvl>
  </w:abstractNum>
  <w:abstractNum w:abstractNumId="15">
    <w:nsid w:val="5F5E7FD0"/>
    <w:multiLevelType w:val="hybridMultilevel"/>
    <w:lvl w:ilvl="0">
      <w:lvlJc w:val="left"/>
      <w:lvlText w:val="(%1)"/>
      <w:numFmt w:val="lowerRoman"/>
      <w:start w:val="1"/>
    </w:lvl>
  </w:abstractNum>
  <w:abstractNum w:abstractNumId="16">
    <w:nsid w:val="98A3148"/>
    <w:multiLevelType w:val="hybridMultilevel"/>
    <w:lvl w:ilvl="0">
      <w:lvlJc w:val="left"/>
      <w:lvlText w:val="(%1)"/>
      <w:numFmt w:val="lowerLetter"/>
      <w:start w:val="2"/>
    </w:lvl>
  </w:abstractNum>
  <w:abstractNum w:abstractNumId="17">
    <w:nsid w:val="799D0247"/>
    <w:multiLevelType w:val="hybridMultilevel"/>
    <w:lvl w:ilvl="0">
      <w:lvlJc w:val="left"/>
      <w:lvlText w:val="(%1)"/>
      <w:numFmt w:val="lowerLetter"/>
      <w:start w:val="25"/>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1)"/>
      <w:numFmt w:val="lowerLetter"/>
      <w:start w:val="24"/>
    </w:lvl>
  </w:abstractNum>
  <w:abstractNum w:abstractNumId="20">
    <w:nsid w:val="168E121F"/>
    <w:multiLevelType w:val="hybridMultilevel"/>
    <w:lvl w:ilvl="0">
      <w:lvlJc w:val="left"/>
      <w:lvlText w:val="(%1)"/>
      <w:numFmt w:val="lowerLetter"/>
      <w:start w:val="9"/>
    </w:lvl>
  </w:abstractNum>
  <w:abstractNum w:abstractNumId="21">
    <w:nsid w:val="1EBA5D23"/>
    <w:multiLevelType w:val="hybridMultilevel"/>
    <w:lvl w:ilvl="0">
      <w:lvlJc w:val="left"/>
      <w:lvlText w:val="(%1)"/>
      <w:numFmt w:val="lowerRoman"/>
      <w:start w:val="1"/>
    </w:lvl>
  </w:abstractNum>
  <w:abstractNum w:abstractNumId="22">
    <w:nsid w:val="661E3F1E"/>
    <w:multiLevelType w:val="hybridMultilevel"/>
    <w:lvl w:ilvl="0">
      <w:lvlJc w:val="left"/>
      <w:lvlText w:val="(%1)"/>
      <w:numFmt w:val="upperLetter"/>
      <w:start w:val="1"/>
    </w:lvl>
  </w:abstractNum>
  <w:abstractNum w:abstractNumId="23">
    <w:nsid w:val="5DC79EA8"/>
    <w:multiLevelType w:val="hybridMultilevel"/>
    <w:lvl w:ilvl="0">
      <w:lvlJc w:val="left"/>
      <w:lvlText w:val="(%1)"/>
      <w:numFmt w:val="lowerLetter"/>
      <w:start w:val="2"/>
    </w:lvl>
  </w:abstractNum>
  <w:abstractNum w:abstractNumId="24">
    <w:nsid w:val="540A471C"/>
    <w:multiLevelType w:val="hybridMultilevel"/>
    <w:lvl w:ilvl="0">
      <w:lvlJc w:val="left"/>
      <w:lvlText w:val="(%1)"/>
      <w:numFmt w:val="lowerLetter"/>
      <w:start w:val="4"/>
    </w:lvl>
  </w:abstractNum>
  <w:abstractNum w:abstractNumId="25">
    <w:nsid w:val="7BD3EE7B"/>
    <w:multiLevelType w:val="hybridMultilevel"/>
    <w:lvl w:ilvl="0">
      <w:lvlJc w:val="left"/>
      <w:lvlText w:val="(%1)"/>
      <w:numFmt w:val="lowerLetter"/>
      <w:start w:val="2"/>
    </w:lvl>
  </w:abstractNum>
  <w:abstractNum w:abstractNumId="26">
    <w:nsid w:val="51D9C564"/>
    <w:multiLevelType w:val="hybridMultilevel"/>
    <w:lvl w:ilvl="0">
      <w:lvlJc w:val="left"/>
      <w:lvlText w:val="(%1)"/>
      <w:numFmt w:val="lowerLetter"/>
      <w:start w:val="4"/>
    </w:lvl>
  </w:abstractNum>
  <w:abstractNum w:abstractNumId="27">
    <w:nsid w:val="613EFDC5"/>
    <w:multiLevelType w:val="hybridMultilevel"/>
    <w:lvl w:ilvl="0">
      <w:lvlJc w:val="left"/>
      <w:lvlText w:val="(%1)"/>
      <w:numFmt w:val="lowerLetter"/>
      <w:start w:val="1"/>
    </w:lvl>
  </w:abstractNum>
  <w:abstractNum w:abstractNumId="28">
    <w:nsid w:val="BF72B14"/>
    <w:multiLevelType w:val="hybridMultilevel"/>
    <w:lvl w:ilvl="0">
      <w:lvlJc w:val="left"/>
      <w:lvlText w:val="(%1)"/>
      <w:numFmt w:val="lowerLetter"/>
      <w:start w:val="1"/>
    </w:lvl>
  </w:abstractNum>
  <w:abstractNum w:abstractNumId="29">
    <w:nsid w:val="11447B73"/>
    <w:multiLevelType w:val="hybridMultilevel"/>
    <w:lvl w:ilvl="0">
      <w:lvlJc w:val="left"/>
      <w:lvlText w:val="(%1)"/>
      <w:numFmt w:val="lowerLetter"/>
      <w:start w:val="3"/>
    </w:lvl>
  </w:abstractNum>
  <w:abstractNum w:abstractNumId="30">
    <w:nsid w:val="42963E5A"/>
    <w:multiLevelType w:val="hybridMultilevel"/>
    <w:lvl w:ilvl="0">
      <w:lvlJc w:val="left"/>
      <w:lvlText w:val="(%1)"/>
      <w:numFmt w:val="lowerLetter"/>
      <w:start w:val="7"/>
    </w:lvl>
  </w:abstractNum>
  <w:abstractNum w:abstractNumId="31">
    <w:nsid w:val="A0382C5"/>
    <w:multiLevelType w:val="hybridMultilevel"/>
    <w:lvl w:ilvl="0">
      <w:lvlJc w:val="left"/>
      <w:lvlText w:val="(%1)"/>
      <w:numFmt w:val="lowerLetter"/>
      <w:start w:val="1"/>
    </w:lvl>
  </w:abstractNum>
  <w:abstractNum w:abstractNumId="32">
    <w:nsid w:val="8F2B15E"/>
    <w:multiLevelType w:val="hybridMultilevel"/>
    <w:lvl w:ilvl="0">
      <w:lvlJc w:val="left"/>
      <w:lvlText w:val="(%1)"/>
      <w:numFmt w:val="lowerLetter"/>
      <w:start w:val="2"/>
    </w:lvl>
  </w:abstractNum>
  <w:abstractNum w:abstractNumId="33">
    <w:nsid w:val="1A32234B"/>
    <w:multiLevelType w:val="hybridMultilevel"/>
    <w:lvl w:ilvl="0">
      <w:lvlJc w:val="left"/>
      <w:lvlText w:val="(%1)"/>
      <w:numFmt w:val="lowerLetter"/>
      <w:start w:val="1"/>
    </w:lvl>
  </w:abstractNum>
  <w:abstractNum w:abstractNumId="34">
    <w:nsid w:val="3B0FD379"/>
    <w:multiLevelType w:val="hybridMultilevel"/>
    <w:lvl w:ilvl="0">
      <w:lvlJc w:val="left"/>
      <w:lvlText w:val="(%1)"/>
      <w:numFmt w:val="lowerLetter"/>
      <w:start w:val="4"/>
    </w:lvl>
  </w:abstractNum>
  <w:abstractNum w:abstractNumId="35">
    <w:nsid w:val="68EB2F63"/>
    <w:multiLevelType w:val="hybridMultilevel"/>
    <w:lvl w:ilvl="0">
      <w:lvlJc w:val="left"/>
      <w:lvlText w:val="(%1)"/>
      <w:numFmt w:val="lowerRoman"/>
      <w:start w:val="2"/>
    </w:lvl>
  </w:abstractNum>
  <w:abstractNum w:abstractNumId="36">
    <w:nsid w:val="4962813B"/>
    <w:multiLevelType w:val="hybridMultilevel"/>
    <w:lvl w:ilvl="0">
      <w:lvlJc w:val="left"/>
      <w:lvlText w:val="(%1)"/>
      <w:numFmt w:val="lowerRoman"/>
      <w:start w:val="2"/>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Letter"/>
      <w:start w:val="3"/>
    </w:lvl>
  </w:abstractNum>
  <w:abstractNum w:abstractNumId="39">
    <w:nsid w:val="14330624"/>
    <w:multiLevelType w:val="hybridMultilevel"/>
    <w:lvl w:ilvl="0">
      <w:lvlJc w:val="left"/>
      <w:lvlText w:val="(%1)"/>
      <w:numFmt w:val="lowerRoman"/>
      <w:start w:val="1"/>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lowerLetter"/>
      <w:start w:val="2"/>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3"/>
    </w:lvl>
  </w:abstractNum>
  <w:abstractNum w:abstractNumId="46">
    <w:nsid w:val="6F6DD9AC"/>
    <w:multiLevelType w:val="hybridMultilevel"/>
    <w:lvl w:ilvl="0">
      <w:lvlJc w:val="left"/>
      <w:lvlText w:val="(%1)"/>
      <w:numFmt w:val="lowerLetter"/>
      <w:start w:val="14"/>
    </w:lvl>
  </w:abstractNum>
  <w:abstractNum w:abstractNumId="47">
    <w:nsid w:val="94211F2"/>
    <w:multiLevelType w:val="hybridMultilevel"/>
    <w:lvl w:ilvl="0">
      <w:lvlJc w:val="left"/>
      <w:lvlText w:val="(%1)"/>
      <w:numFmt w:val="lowerLetter"/>
      <w:start w:val="21"/>
    </w:lvl>
  </w:abstractNum>
  <w:abstractNum w:abstractNumId="48">
    <w:nsid w:val="885E1B"/>
    <w:multiLevelType w:val="hybridMultilevel"/>
    <w:lvl w:ilvl="0">
      <w:lvlJc w:val="left"/>
      <w:lvlText w:val="(%1)"/>
      <w:numFmt w:val="lowerLetter"/>
      <w:start w:val="25"/>
    </w:lvl>
  </w:abstractNum>
  <w:abstractNum w:abstractNumId="49">
    <w:nsid w:val="76272110"/>
    <w:multiLevelType w:val="hybridMultilevel"/>
    <w:lvl w:ilvl="0">
      <w:lvlJc w:val="left"/>
      <w:lvlText w:val="(%1)"/>
      <w:numFmt w:val="upperLetter"/>
      <w:start w:val="1"/>
    </w:lvl>
  </w:abstractNum>
  <w:abstractNum w:abstractNumId="50">
    <w:nsid w:val="4C04A8AF"/>
    <w:multiLevelType w:val="hybridMultilevel"/>
    <w:lvl w:ilvl="0">
      <w:lvlJc w:val="left"/>
      <w:lvlText w:val="(%1)"/>
      <w:numFmt w:val="lowerRoman"/>
      <w:start w:val="2"/>
    </w:lvl>
  </w:abstractNum>
  <w:abstractNum w:abstractNumId="51">
    <w:nsid w:val="1716703B"/>
    <w:multiLevelType w:val="hybridMultilevel"/>
    <w:lvl w:ilvl="0">
      <w:lvlJc w:val="left"/>
      <w:lvlText w:val="(%1)"/>
      <w:numFmt w:val="lowerRoman"/>
      <w:start w:val="1"/>
    </w:lvl>
  </w:abstractNum>
  <w:abstractNum w:abstractNumId="52">
    <w:nsid w:val="14E17E33"/>
    <w:multiLevelType w:val="hybridMultilevel"/>
    <w:lvl w:ilvl="0">
      <w:lvlJc w:val="left"/>
      <w:lvlText w:val="(%1)"/>
      <w:numFmt w:val="upperLetter"/>
      <w:start w:val="35"/>
    </w:lvl>
  </w:abstractNum>
  <w:abstractNum w:abstractNumId="53">
    <w:nsid w:val="3222E7CD"/>
    <w:multiLevelType w:val="hybridMultilevel"/>
    <w:lvl w:ilvl="0">
      <w:lvlJc w:val="left"/>
      <w:lvlText w:val="(%1)"/>
      <w:numFmt w:val="lowerRoman"/>
      <w:start w:val="2"/>
    </w:lvl>
  </w:abstractNum>
  <w:abstractNum w:abstractNumId="54">
    <w:nsid w:val="74DE0EE3"/>
    <w:multiLevelType w:val="hybridMultilevel"/>
    <w:lvl w:ilvl="0">
      <w:lvlJc w:val="left"/>
      <w:lvlText w:val="(%1)"/>
      <w:numFmt w:val="lowerLetter"/>
      <w:start w:val="2"/>
    </w:lvl>
  </w:abstractNum>
  <w:abstractNum w:abstractNumId="55">
    <w:nsid w:val="68EBC550"/>
    <w:multiLevelType w:val="hybridMultilevel"/>
    <w:lvl w:ilvl="0">
      <w:lvlJc w:val="left"/>
      <w:lvlText w:val="(%1)"/>
      <w:numFmt w:val="upperLetter"/>
      <w:start w:val="4"/>
    </w:lvl>
  </w:abstractNum>
  <w:abstractNum w:abstractNumId="56">
    <w:nsid w:val="2DF6D648"/>
    <w:multiLevelType w:val="hybridMultilevel"/>
    <w:lvl w:ilvl="0">
      <w:lvlJc w:val="left"/>
      <w:lvlText w:val="(%1)"/>
      <w:numFmt w:val="lowerLetter"/>
      <w:start w:val="25"/>
    </w:lvl>
  </w:abstractNum>
  <w:abstractNum w:abstractNumId="57">
    <w:nsid w:val="46B7D447"/>
    <w:multiLevelType w:val="hybridMultilevel"/>
    <w:lvl w:ilvl="0">
      <w:lvlJc w:val="left"/>
      <w:lvlText w:val="%1"/>
      <w:numFmt w:val="lowerLetter"/>
      <w:start w:val="1"/>
    </w:lvl>
    <w:lvl w:ilvl="1">
      <w:lvlJc w:val="left"/>
      <w:lvlText w:val="(%2)"/>
      <w:numFmt w:val="lowerLetter"/>
      <w:start w:val="1"/>
    </w:lvl>
  </w:abstractNum>
  <w:abstractNum w:abstractNumId="58">
    <w:nsid w:val="4A2AC315"/>
    <w:multiLevelType w:val="hybridMultilevel"/>
    <w:lvl w:ilvl="0">
      <w:lvlJc w:val="left"/>
      <w:lvlText w:val="(%1)"/>
      <w:numFmt w:val="lowerLetter"/>
      <w:start w:val="35"/>
    </w:lvl>
    <w:lvl w:ilvl="1">
      <w:lvlJc w:val="left"/>
      <w:lvlText w:val="%2"/>
      <w:numFmt w:val="lowerLetter"/>
      <w:start w:val="1"/>
    </w:lvl>
  </w:abstractNum>
  <w:abstractNum w:abstractNumId="59">
    <w:nsid w:val="39EE015C"/>
    <w:multiLevelType w:val="hybridMultilevel"/>
    <w:lvl w:ilvl="0">
      <w:lvlJc w:val="left"/>
      <w:lvlText w:val="(%1)"/>
      <w:numFmt w:val="lowerLetter"/>
      <w:start w:val="2"/>
    </w:lvl>
    <w:lvl w:ilvl="1">
      <w:lvlJc w:val="left"/>
      <w:lvlText w:val="(%2)"/>
      <w:numFmt w:val="lowerRoman"/>
      <w:start w:val="1"/>
    </w:lvl>
  </w:abstractNum>
  <w:abstractNum w:abstractNumId="60">
    <w:nsid w:val="57FC4FBB"/>
    <w:multiLevelType w:val="hybridMultilevel"/>
    <w:lvl w:ilvl="0">
      <w:lvlJc w:val="left"/>
      <w:lvlText w:val="(%1)"/>
      <w:numFmt w:val="lowerLetter"/>
      <w:start w:val="3"/>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Roman"/>
      <w:start w:val="2"/>
    </w:lvl>
  </w:abstractNum>
  <w:abstractNum w:abstractNumId="63">
    <w:nsid w:val="60EF0119"/>
    <w:multiLevelType w:val="hybridMultilevel"/>
    <w:lvl w:ilvl="0">
      <w:lvlJc w:val="left"/>
      <w:lvlText w:val="(%1)"/>
      <w:numFmt w:val="upperLetter"/>
      <w:start w:val="1"/>
    </w:lvl>
  </w:abstractNum>
  <w:abstractNum w:abstractNumId="64">
    <w:nsid w:val="26F324BA"/>
    <w:multiLevelType w:val="hybridMultilevel"/>
    <w:lvl w:ilvl="0">
      <w:lvlJc w:val="left"/>
      <w:lvlText w:val="(%1)"/>
      <w:numFmt w:val="decimal"/>
      <w:start w:val="3"/>
    </w:lvl>
  </w:abstractNum>
  <w:abstractNum w:abstractNumId="65">
    <w:nsid w:val="7F01579B"/>
    <w:multiLevelType w:val="hybridMultilevel"/>
    <w:lvl w:ilvl="0">
      <w:lvlJc w:val="left"/>
      <w:lvlText w:val="(%1)"/>
      <w:numFmt w:val="upperLetter"/>
      <w:start w:val="35"/>
    </w:lvl>
  </w:abstractNum>
  <w:abstractNum w:abstractNumId="66">
    <w:nsid w:val="49DA307D"/>
    <w:multiLevelType w:val="hybridMultilevel"/>
    <w:lvl w:ilvl="0">
      <w:lvlJc w:val="left"/>
      <w:lvlText w:val="(%1)"/>
      <w:numFmt w:val="lowerLetter"/>
      <w:start w:val="3"/>
    </w:lvl>
  </w:abstractNum>
  <w:abstractNum w:abstractNumId="67">
    <w:nsid w:val="7055A5F5"/>
    <w:multiLevelType w:val="hybridMultilevel"/>
    <w:lvl w:ilvl="0">
      <w:lvlJc w:val="left"/>
      <w:lvlText w:val="(%1)"/>
      <w:numFmt w:val="upperLetter"/>
      <w:start w:val="1"/>
    </w:lvl>
  </w:abstractNum>
  <w:abstractNum w:abstractNumId="68">
    <w:nsid w:val="5FB8370B"/>
    <w:multiLevelType w:val="hybridMultilevel"/>
    <w:lvl w:ilvl="0">
      <w:lvlJc w:val="left"/>
      <w:lvlText w:val="(%1)"/>
      <w:numFmt w:val="lowerRoman"/>
      <w:start w:val="3"/>
    </w:lvl>
  </w:abstractNum>
  <w:abstractNum w:abstractNumId="69">
    <w:nsid w:val="50801EE1"/>
    <w:multiLevelType w:val="hybridMultilevel"/>
    <w:lvl w:ilvl="0">
      <w:lvlJc w:val="left"/>
      <w:lvlText w:val="(%1)"/>
      <w:numFmt w:val="lowerRoman"/>
      <w:start w:val="3"/>
    </w:lvl>
  </w:abstractNum>
  <w:abstractNum w:abstractNumId="70">
    <w:nsid w:val="488AC1A"/>
    <w:multiLevelType w:val="hybridMultilevel"/>
    <w:lvl w:ilvl="0">
      <w:lvlJc w:val="left"/>
      <w:lvlText w:val="(%1)"/>
      <w:numFmt w:val="lowerLetter"/>
      <w:start w:val="8"/>
    </w:lvl>
  </w:abstractNum>
  <w:abstractNum w:abstractNumId="71">
    <w:nsid w:val="5FB8011C"/>
    <w:multiLevelType w:val="hybridMultilevel"/>
    <w:lvl w:ilvl="0">
      <w:lvlJc w:val="left"/>
      <w:lvlText w:val="(%1)"/>
      <w:numFmt w:val="lowerLetter"/>
      <w:start w:val="1"/>
    </w:lvl>
    <w:lvl w:ilvl="1">
      <w:lvlJc w:val="left"/>
      <w:lvlText w:val="(%2)"/>
      <w:numFmt w:val="lowerRoman"/>
      <w:start w:val="1"/>
    </w:lvl>
  </w:abstractNum>
  <w:abstractNum w:abstractNumId="72">
    <w:nsid w:val="6AA78F7F"/>
    <w:multiLevelType w:val="hybridMultilevel"/>
    <w:lvl w:ilvl="0">
      <w:lvlJc w:val="left"/>
      <w:lvlText w:val="%1"/>
      <w:numFmt w:val="lowerLetter"/>
      <w:start w:val="1"/>
    </w:lvl>
    <w:lvl w:ilvl="1">
      <w:lvlJc w:val="left"/>
      <w:lvlText w:val="(%2)"/>
      <w:numFmt w:val="lowerRoman"/>
      <w:start w:val="5"/>
    </w:lvl>
  </w:abstractNum>
  <w:abstractNum w:abstractNumId="73">
    <w:nsid w:val="7672BD23"/>
    <w:multiLevelType w:val="hybridMultilevel"/>
    <w:lvl w:ilvl="0">
      <w:lvlJc w:val="left"/>
      <w:lvlText w:val="(%1)"/>
      <w:numFmt w:val="lowerLetter"/>
      <w:start w:val="2"/>
    </w:lvl>
    <w:lvl w:ilvl="1">
      <w:lvlJc w:val="left"/>
      <w:lvlText w:val="(%2)"/>
      <w:numFmt w:val="lowerRoman"/>
      <w:start w:val="1"/>
    </w:lvl>
  </w:abstractNum>
  <w:abstractNum w:abstractNumId="74">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75">
    <w:nsid w:val="6A5F70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6">
    <w:nsid w:val="7D5E18F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7">
    <w:nsid w:val="5F3534A4"/>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abstractNum>
  <w:abstractNum w:abstractNumId="78">
    <w:nsid w:val="73A1821B"/>
    <w:multiLevelType w:val="hybridMultilevel"/>
    <w:lvl w:ilvl="0">
      <w:lvlJc w:val="left"/>
      <w:lvlText w:val="(%1)"/>
      <w:numFmt w:val="upperLetter"/>
      <w:start w:val="2"/>
    </w:lvl>
  </w:abstractNum>
  <w:abstractNum w:abstractNumId="79">
    <w:nsid w:val="7DE67713"/>
    <w:multiLevelType w:val="hybridMultilevel"/>
    <w:lvl w:ilvl="0">
      <w:lvlJc w:val="left"/>
      <w:lvlText w:val="(%1)"/>
      <w:numFmt w:val="lowerRoman"/>
      <w:start w:val="3"/>
    </w:lvl>
  </w:abstractNum>
  <w:abstractNum w:abstractNumId="80">
    <w:nsid w:val="555C55B5"/>
    <w:multiLevelType w:val="hybridMultilevel"/>
    <w:lvl w:ilvl="0">
      <w:lvlJc w:val="left"/>
      <w:lvlText w:val="(%1)"/>
      <w:numFmt w:val="lowerRoman"/>
      <w:start w:val="5"/>
    </w:lvl>
  </w:abstractNum>
  <w:abstractNum w:abstractNumId="81">
    <w:nsid w:val="3FA62ACA"/>
    <w:multiLevelType w:val="hybridMultilevel"/>
    <w:lvl w:ilvl="0">
      <w:lvlJc w:val="left"/>
      <w:lvlText w:val="(%1)"/>
      <w:numFmt w:val="upperLetter"/>
      <w:start w:val="1"/>
    </w:lvl>
    <w:lvl w:ilvl="1">
      <w:lvlJc w:val="left"/>
      <w:lvlText w:val="(%2)"/>
      <w:numFmt w:val="lowerLetter"/>
      <w:start w:val="2"/>
    </w:lvl>
  </w:abstractNum>
  <w:abstractNum w:abstractNumId="82">
    <w:nsid w:val="14FCE74E"/>
    <w:multiLevelType w:val="hybridMultilevel"/>
    <w:lvl w:ilvl="0">
      <w:lvlJc w:val="left"/>
      <w:lvlText w:val="(%1)"/>
      <w:numFmt w:val="lowerRoman"/>
      <w:start w:val="2"/>
    </w:lvl>
  </w:abstractNum>
  <w:abstractNum w:abstractNumId="83">
    <w:nsid w:val="6A3DD3E8"/>
    <w:multiLevelType w:val="hybridMultilevel"/>
    <w:lvl w:ilvl="0">
      <w:lvlJc w:val="left"/>
      <w:lvlText w:val="(%1)"/>
      <w:numFmt w:val="lowerRoman"/>
      <w:start w:val="1"/>
    </w:lvl>
  </w:abstractNum>
  <w:abstractNum w:abstractNumId="84">
    <w:nsid w:val="71C91298"/>
    <w:multiLevelType w:val="hybridMultilevel"/>
    <w:lvl w:ilvl="0">
      <w:lvlJc w:val="left"/>
      <w:lvlText w:val="(%1)"/>
      <w:numFmt w:val="lowerRoman"/>
      <w:start w:val="2"/>
    </w:lvl>
  </w:abstractNum>
  <w:abstractNum w:abstractNumId="85">
    <w:nsid w:val="9DAF632"/>
    <w:multiLevelType w:val="hybridMultilevel"/>
    <w:lvl w:ilvl="0">
      <w:lvlJc w:val="left"/>
      <w:lvlText w:val="(%1)"/>
      <w:numFmt w:val="lowerRoman"/>
      <w:start w:val="2"/>
    </w:lvl>
  </w:abstractNum>
  <w:abstractNum w:abstractNumId="86">
    <w:nsid w:val="53299938"/>
    <w:multiLevelType w:val="hybridMultilevel"/>
    <w:lvl w:ilvl="0">
      <w:lvlJc w:val="left"/>
      <w:lvlText w:val="(%1)"/>
      <w:numFmt w:val="lowerRoman"/>
      <w:start w:val="2"/>
    </w:lvl>
  </w:abstractNum>
  <w:abstractNum w:abstractNumId="87">
    <w:nsid w:val="1FBFE8E0"/>
    <w:multiLevelType w:val="hybridMultilevel"/>
    <w:lvl w:ilvl="0">
      <w:lvlJc w:val="left"/>
      <w:lvlText w:val="(%1)"/>
      <w:numFmt w:val="lowerRoman"/>
      <w:start w:val="5"/>
    </w:lvl>
  </w:abstractNum>
  <w:abstractNum w:abstractNumId="88">
    <w:nsid w:val="5092CA79"/>
    <w:multiLevelType w:val="hybridMultilevel"/>
    <w:lvl w:ilvl="0">
      <w:lvlJc w:val="left"/>
      <w:lvlText w:val="(%1)"/>
      <w:numFmt w:val="upperLetter"/>
      <w:start w:val="2"/>
    </w:lvl>
  </w:abstractNum>
  <w:abstractNum w:abstractNumId="89">
    <w:nsid w:val="1D545C4D"/>
    <w:multiLevelType w:val="hybridMultilevel"/>
    <w:lvl w:ilvl="0">
      <w:lvlJc w:val="left"/>
      <w:lvlText w:val="(%1)"/>
      <w:numFmt w:val="upperLetter"/>
      <w:start w:val="5"/>
    </w:lvl>
  </w:abstractNum>
  <w:abstractNum w:abstractNumId="90">
    <w:nsid w:val="59ADEA3D"/>
    <w:multiLevelType w:val="hybridMultilevel"/>
    <w:lvl w:ilvl="0">
      <w:lvlJc w:val="left"/>
      <w:lvlText w:val="(%1)"/>
      <w:numFmt w:val="upperLetter"/>
      <w:start w:val="12"/>
    </w:lvl>
  </w:abstractNum>
  <w:abstractNum w:abstractNumId="91">
    <w:nsid w:val="288F1A34"/>
    <w:multiLevelType w:val="hybridMultilevel"/>
    <w:lvl w:ilvl="0">
      <w:lvlJc w:val="left"/>
      <w:lvlText w:val="(%1)"/>
      <w:numFmt w:val="upperLetter"/>
      <w:start w:val="9"/>
    </w:lvl>
  </w:abstractNum>
  <w:abstractNum w:abstractNumId="92">
    <w:nsid w:val="2A155DBC"/>
    <w:multiLevelType w:val="hybridMultilevel"/>
    <w:lvl w:ilvl="0">
      <w:lvlJc w:val="left"/>
      <w:lvlText w:val="(%1)"/>
      <w:numFmt w:val="lowerLetter"/>
      <w:start w:val="24"/>
    </w:lvl>
  </w:abstractNum>
  <w:abstractNum w:abstractNumId="93">
    <w:nsid w:val="1D9F6E5F"/>
    <w:multiLevelType w:val="hybridMultilevel"/>
    <w:lvl w:ilvl="0">
      <w:lvlJc w:val="left"/>
      <w:lvlText w:val="(%1)"/>
      <w:numFmt w:val="decimal"/>
      <w:start w:val="3"/>
    </w:lvl>
  </w:abstractNum>
  <w:abstractNum w:abstractNumId="94">
    <w:nsid w:val="97E1B4E"/>
    <w:multiLevelType w:val="hybridMultilevel"/>
    <w:lvl w:ilvl="0">
      <w:lvlJc w:val="left"/>
      <w:lvlText w:val="(%1)"/>
      <w:numFmt w:val="lowerLetter"/>
      <w:start w:val="3"/>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upperLetter"/>
      <w:start w:val="2"/>
    </w:lvl>
  </w:abstractNum>
  <w:abstractNum w:abstractNumId="97">
    <w:nsid w:val="53584BCB"/>
    <w:multiLevelType w:val="hybridMultilevel"/>
    <w:lvl w:ilvl="0">
      <w:lvlJc w:val="left"/>
      <w:lvlText w:val="(%1)"/>
      <w:numFmt w:val="lowerLetter"/>
      <w:start w:val="8"/>
    </w:lvl>
  </w:abstractNum>
  <w:abstractNum w:abstractNumId="98">
    <w:nsid w:val="415E286C"/>
    <w:multiLevelType w:val="hybridMultilevel"/>
    <w:lvl w:ilvl="0">
      <w:lvlJc w:val="left"/>
      <w:lvlText w:val="(%1)"/>
      <w:numFmt w:val="lowerRoman"/>
      <w:start w:val="1"/>
    </w:lvl>
  </w:abstractNum>
  <w:abstractNum w:abstractNumId="99">
    <w:nsid w:val="7C58FD05"/>
    <w:multiLevelType w:val="hybridMultilevel"/>
    <w:lvl w:ilvl="0">
      <w:lvlJc w:val="left"/>
      <w:lvlText w:val="(%1)"/>
      <w:numFmt w:val="lowerRoman"/>
      <w:start w:val="2"/>
    </w:lvl>
  </w:abstractNum>
  <w:abstractNum w:abstractNumId="100">
    <w:nsid w:val="23D86AAC"/>
    <w:multiLevelType w:val="hybridMultilevel"/>
    <w:lvl w:ilvl="0">
      <w:lvlJc w:val="left"/>
      <w:lvlText w:val="(%1)"/>
      <w:numFmt w:val="lowerRoman"/>
      <w:start w:val="10"/>
    </w:lvl>
  </w:abstractNum>
  <w:abstractNum w:abstractNumId="101">
    <w:nsid w:val="45E6D486"/>
    <w:multiLevelType w:val="hybridMultilevel"/>
    <w:lvl w:ilvl="0">
      <w:lvlJc w:val="left"/>
      <w:lvlText w:val="(%1)"/>
      <w:numFmt w:val="lowerRoman"/>
      <w:start w:val="1"/>
    </w:lvl>
  </w:abstractNum>
  <w:abstractNum w:abstractNumId="102">
    <w:nsid w:val="5C10FE21"/>
    <w:multiLevelType w:val="hybridMultilevel"/>
    <w:lvl w:ilvl="0">
      <w:lvlJc w:val="left"/>
      <w:lvlText w:val="(%1)"/>
      <w:numFmt w:val="upperLetter"/>
      <w:start w:val="1"/>
    </w:lvl>
  </w:abstractNum>
  <w:abstractNum w:abstractNumId="103">
    <w:nsid w:val="E7FFA2B"/>
    <w:multiLevelType w:val="hybridMultilevel"/>
    <w:lvl w:ilvl="0">
      <w:lvlJc w:val="left"/>
      <w:lvlText w:val="(%1)"/>
      <w:numFmt w:val="lowerRoman"/>
      <w:start w:val="4"/>
    </w:lvl>
  </w:abstractNum>
  <w:abstractNum w:abstractNumId="104">
    <w:nsid w:val="3C5991AA"/>
    <w:multiLevelType w:val="hybridMultilevel"/>
    <w:lvl w:ilvl="0">
      <w:lvlJc w:val="left"/>
      <w:lvlText w:val="(%1)"/>
      <w:numFmt w:val="lowerRoman"/>
      <w:start w:val="2"/>
    </w:lvl>
  </w:abstractNum>
  <w:abstractNum w:abstractNumId="105">
    <w:nsid w:val="4BD8591A"/>
    <w:multiLevelType w:val="hybridMultilevel"/>
    <w:lvl w:ilvl="0">
      <w:lvlJc w:val="left"/>
      <w:lvlText w:val="(%1)"/>
      <w:numFmt w:val="lowerRoman"/>
      <w:start w:val="4"/>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5"/>
    </w:lvl>
  </w:abstractNum>
  <w:abstractNum w:abstractNumId="108">
    <w:nsid w:val="2B0D8DBE"/>
    <w:multiLevelType w:val="hybridMultilevel"/>
    <w:lvl w:ilvl="0">
      <w:lvlJc w:val="left"/>
      <w:lvlText w:val="(%1)"/>
      <w:numFmt w:val="lowerRoman"/>
      <w:start w:val="3"/>
    </w:lvl>
  </w:abstractNum>
  <w:abstractNum w:abstractNumId="109">
    <w:nsid w:val="6C80EC70"/>
    <w:multiLevelType w:val="hybridMultilevel"/>
    <w:lvl w:ilvl="0">
      <w:lvlJc w:val="left"/>
      <w:lvlText w:val="(%1)"/>
      <w:numFmt w:val="lowerRoman"/>
      <w:start w:val="2"/>
    </w:lvl>
  </w:abstractNum>
  <w:abstractNum w:abstractNumId="110">
    <w:nsid w:val="379E21B5"/>
    <w:multiLevelType w:val="hybridMultilevel"/>
    <w:lvl w:ilvl="0">
      <w:lvlJc w:val="left"/>
      <w:lvlText w:val="(%1)"/>
      <w:numFmt w:val="lowerLetter"/>
      <w:start w:val="3"/>
    </w:lvl>
  </w:abstractNum>
  <w:abstractNum w:abstractNumId="111">
    <w:nsid w:val="69E373"/>
    <w:multiLevelType w:val="hybridMultilevel"/>
    <w:lvl w:ilvl="0">
      <w:lvlJc w:val="left"/>
      <w:lvlText w:val="(%1)"/>
      <w:numFmt w:val="lowerLetter"/>
      <w:start w:val="2"/>
    </w:lvl>
  </w:abstractNum>
  <w:abstractNum w:abstractNumId="112">
    <w:nsid w:val="2C27173B"/>
    <w:multiLevelType w:val="hybridMultilevel"/>
    <w:lvl w:ilvl="0">
      <w:lvlJc w:val="left"/>
      <w:lvlText w:val="(%1)"/>
      <w:numFmt w:val="lowerRoman"/>
      <w:start w:val="10"/>
    </w:lvl>
  </w:abstractNum>
  <w:abstractNum w:abstractNumId="113">
    <w:nsid w:val="4C9B0904"/>
    <w:multiLevelType w:val="hybridMultilevel"/>
    <w:lvl w:ilvl="0">
      <w:lvlJc w:val="left"/>
      <w:lvlText w:val="%1"/>
      <w:numFmt w:val="lowerLetter"/>
      <w:start w:val="1"/>
    </w:lvl>
    <w:lvl w:ilvl="1">
      <w:lvlJc w:val="left"/>
      <w:lvlText w:val="(%2)"/>
      <w:numFmt w:val="lowerLetter"/>
      <w:start w:val="6"/>
    </w:lvl>
  </w:abstractNum>
  <w:abstractNum w:abstractNumId="114">
    <w:nsid w:val="6AA7B75C"/>
    <w:multiLevelType w:val="hybridMultilevel"/>
    <w:lvl w:ilvl="0">
      <w:lvlJc w:val="left"/>
      <w:lvlText w:val="(%1)"/>
      <w:numFmt w:val="lowerLetter"/>
      <w:start w:val="35"/>
    </w:lvl>
    <w:lvl w:ilvl="1">
      <w:lvlJc w:val="left"/>
      <w:lvlText w:val="%2"/>
      <w:numFmt w:val="lowerLetter"/>
      <w:start w:val="1"/>
    </w:lvl>
  </w:abstractNum>
  <w:abstractNum w:abstractNumId="115">
    <w:nsid w:val="1DF029D3"/>
    <w:multiLevelType w:val="hybridMultilevel"/>
    <w:lvl w:ilvl="0">
      <w:lvlJc w:val="left"/>
      <w:lvlText w:val="(%1)"/>
      <w:numFmt w:val="upperLetter"/>
      <w:start w:val="2"/>
    </w:lvl>
  </w:abstractNum>
  <w:abstractNum w:abstractNumId="116">
    <w:nsid w:val="5675FF36"/>
    <w:multiLevelType w:val="hybridMultilevel"/>
    <w:lvl w:ilvl="0">
      <w:lvlJc w:val="left"/>
      <w:lvlText w:val="(%1)"/>
      <w:numFmt w:val="upperLetter"/>
      <w:start w:val="1"/>
    </w:lvl>
  </w:abstractNum>
  <w:abstractNum w:abstractNumId="117">
    <w:nsid w:val="3DD15094"/>
    <w:multiLevelType w:val="hybridMultilevel"/>
    <w:lvl w:ilvl="0">
      <w:lvlJc w:val="left"/>
      <w:lvlText w:val="(%1)"/>
      <w:numFmt w:val="lowerLetter"/>
      <w:start w:val="5"/>
    </w:lvl>
  </w:abstractNum>
  <w:abstractNum w:abstractNumId="118">
    <w:nsid w:val="3DB012B3"/>
    <w:multiLevelType w:val="hybridMultilevel"/>
    <w:lvl w:ilvl="0">
      <w:lvlJc w:val="left"/>
      <w:lvlText w:val="(%1)"/>
      <w:numFmt w:val="upperLetter"/>
      <w:start w:val="1"/>
    </w:lvl>
  </w:abstractNum>
  <w:abstractNum w:abstractNumId="119">
    <w:nsid w:val="2708C9AF"/>
    <w:multiLevelType w:val="hybridMultilevel"/>
    <w:lvl w:ilvl="0">
      <w:lvlJc w:val="left"/>
      <w:lvlText w:val="(%1)"/>
      <w:numFmt w:val="lowerRoman"/>
      <w:start w:val="4"/>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
      <w:numFmt w:val="bullet"/>
      <w:start w:val="1"/>
    </w:lvl>
    <w:lvl w:ilvl="1">
      <w:lvlJc w:val="left"/>
      <w:lvlText w:val="◦"/>
      <w:numFmt w:val="bullet"/>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2023-10-24T16:19:58Z</dcterms:created>
  <dcterms:modified xsi:type="dcterms:W3CDTF">2023-10-24T16:19:58Z</dcterms:modified>
</cp:coreProperties>
</file>