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928" w:type="dxa"/>
        <w:jc w:val="center"/>
        <w:tblInd w:w="0" w:type="dxa"/>
        <w:tblLayout w:type="fixed"/>
        <w:tblCellMar>
          <w:top w:w="28" w:type="dxa"/>
          <w:left w:w="28" w:type="dxa"/>
          <w:bottom w:w="28" w:type="dxa"/>
          <w:right w:w="28" w:type="dxa"/>
        </w:tblCellMar>
      </w:tblPr>
      <w:tblGrid>
        <w:gridCol w:w="124"/>
        <w:gridCol w:w="109"/>
        <w:gridCol w:w="109"/>
        <w:gridCol w:w="1403"/>
        <w:gridCol w:w="1403"/>
        <w:gridCol w:w="14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59" w:type="dxa"/>
        <w:jc w:val="center"/>
        <w:tblInd w:w="0" w:type="dxa"/>
        <w:tblLayout w:type="fixed"/>
        <w:tblCellMar>
          <w:top w:w="28" w:type="dxa"/>
          <w:left w:w="28" w:type="dxa"/>
          <w:bottom w:w="28" w:type="dxa"/>
          <w:right w:w="28" w:type="dxa"/>
        </w:tblCellMar>
      </w:tblPr>
      <w:tblGrid>
        <w:gridCol w:w="380"/>
        <w:gridCol w:w="334"/>
        <w:gridCol w:w="336"/>
        <w:gridCol w:w="109"/>
        <w:gridCol w:w="109"/>
        <w:gridCol w:w="109"/>
        <w:gridCol w:w="195"/>
        <w:gridCol w:w="195"/>
        <w:gridCol w:w="196"/>
        <w:gridCol w:w="174"/>
        <w:gridCol w:w="174"/>
        <w:gridCol w:w="17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Form</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03"/>
        <w:gridCol w:w="1103"/>
        <w:gridCol w:w="1047"/>
        <w:gridCol w:w="1058"/>
        <w:gridCol w:w="1030"/>
        <w:gridCol w:w="1030"/>
        <w:gridCol w:w="1030"/>
        <w:gridCol w:w="1030"/>
        <w:gridCol w:w="105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__________________________________to __________________________________</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001-36504</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9242" w:type="dxa"/>
        <w:jc w:val="center"/>
        <w:tblInd w:w="0" w:type="dxa"/>
        <w:tblLayout w:type="fixed"/>
        <w:tblCellMar>
          <w:top w:w="28" w:type="dxa"/>
          <w:left w:w="28" w:type="dxa"/>
          <w:bottom w:w="28" w:type="dxa"/>
          <w:right w:w="28" w:type="dxa"/>
        </w:tblCellMar>
      </w:tblPr>
      <w:tblGrid>
        <w:gridCol w:w="684"/>
        <w:gridCol w:w="603"/>
        <w:gridCol w:w="603"/>
        <w:gridCol w:w="333"/>
        <w:gridCol w:w="333"/>
        <w:gridCol w:w="333"/>
        <w:gridCol w:w="333"/>
        <w:gridCol w:w="333"/>
        <w:gridCol w:w="333"/>
        <w:gridCol w:w="333"/>
        <w:gridCol w:w="333"/>
        <w:gridCol w:w="333"/>
        <w:gridCol w:w="333"/>
        <w:gridCol w:w="333"/>
        <w:gridCol w:w="333"/>
        <w:gridCol w:w="109"/>
        <w:gridCol w:w="109"/>
        <w:gridCol w:w="109"/>
        <w:gridCol w:w="884"/>
        <w:gridCol w:w="884"/>
        <w:gridCol w:w="1261"/>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8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58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58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ind w:left="0" w:right="0" w:firstLine="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713.836.4000 </w:t>
      </w:r>
    </w:p>
    <w:tbl>
      <w:tblPr>
        <w:tblW w:w="7743" w:type="dxa"/>
        <w:jc w:val="center"/>
        <w:tblInd w:w="0" w:type="dxa"/>
        <w:tblLayout w:type="fixed"/>
        <w:tblCellMar>
          <w:top w:w="28" w:type="dxa"/>
          <w:left w:w="28" w:type="dxa"/>
          <w:bottom w:w="28" w:type="dxa"/>
          <w:right w:w="28" w:type="dxa"/>
        </w:tblCellMar>
      </w:tblPr>
      <w:tblGrid>
        <w:gridCol w:w="124"/>
        <w:gridCol w:w="109"/>
        <w:gridCol w:w="109"/>
        <w:gridCol w:w="781"/>
        <w:gridCol w:w="781"/>
        <w:gridCol w:w="781"/>
        <w:gridCol w:w="781"/>
        <w:gridCol w:w="781"/>
        <w:gridCol w:w="781"/>
        <w:gridCol w:w="781"/>
        <w:gridCol w:w="781"/>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ind w:left="0" w:right="0" w:firstLine="450"/>
        <w:jc w:val="both"/>
        <w:rPr/>
      </w:pPr>
      <w:r>
        <w:rPr/>
      </w:r>
    </w:p>
    <w:p>
      <w:pPr>
        <w:pStyle w:val="TextBody"/>
        <w:bidi w:val="0"/>
        <w:spacing w:lineRule="auto" w:line="288" w:before="60" w:after="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all documents and reports required to be filed by Section 12, 13 or 15(d) of the Securities Exchange Act of 1934 subsequent to the distribution of securities under a plan confirmed by a court.   Yes ☑    No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19, 2024, there were 73,154,140 Weatherford ordinary shares,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public limited company</w:t>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Form 10-Q for the First Quarter Ended March 31, 2024 </w:t>
      </w:r>
    </w:p>
    <w:tbl>
      <w:tblPr>
        <w:tblW w:w="8810" w:type="dxa"/>
        <w:jc w:val="left"/>
        <w:tblInd w:w="0" w:type="dxa"/>
        <w:tblLayout w:type="fixed"/>
        <w:tblCellMar>
          <w:top w:w="28" w:type="dxa"/>
          <w:left w:w="28" w:type="dxa"/>
          <w:bottom w:w="28" w:type="dxa"/>
          <w:right w:w="28" w:type="dxa"/>
        </w:tblCellMar>
      </w:tblPr>
      <w:tblGrid>
        <w:gridCol w:w="1483"/>
        <w:gridCol w:w="1298"/>
        <w:gridCol w:w="1298"/>
        <w:gridCol w:w="1298"/>
        <w:gridCol w:w="1298"/>
        <w:gridCol w:w="1318"/>
        <w:gridCol w:w="235"/>
        <w:gridCol w:w="235"/>
        <w:gridCol w:w="347"/>
      </w:tblGrid>
      <w:tr>
        <w:trPr/>
        <w:tc>
          <w:tcPr>
            <w:tcW w:w="148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0">
              <w:r>
                <w:rPr>
                  <w:rStyle w:val="InternetLink"/>
                  <w:rFonts w:ascii="Times New Roman;sans-serif" w:hAnsi="Times New Roman;sans-serif"/>
                  <w:b/>
                  <w:color w:val="0000FF"/>
                  <w:sz w:val="20"/>
                  <w:u w:val="single"/>
                </w:rPr>
                <w:t>PART I – FINANCIAL INFORMATION</w:t>
              </w:r>
            </w:hyperlink>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3">
              <w:r>
                <w:rPr>
                  <w:rStyle w:val="InternetLink"/>
                  <w:rFonts w:ascii="Times New Roman;sans-serif" w:hAnsi="Times New Roman;sans-serif"/>
                  <w:b w:val="false"/>
                  <w:color w:val="0000FF"/>
                  <w:sz w:val="20"/>
                  <w:u w:val="single"/>
                </w:rPr>
                <w:t>Item 1. Financial Statements.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3">
              <w:r>
                <w:rPr>
                  <w:rStyle w:val="InternetLink"/>
                  <w:rFonts w:ascii="Times New Roman;sans-serif" w:hAnsi="Times New Roman;sans-serif"/>
                  <w:b w:val="false"/>
                  <w:color w:val="0000FF"/>
                  <w:sz w:val="20"/>
                  <w:u w:val="single"/>
                </w:rPr>
                <w:t>2</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7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70">
              <w:r>
                <w:rPr>
                  <w:rStyle w:val="InternetLink"/>
                  <w:rFonts w:ascii="Times New Roman;sans-serif" w:hAnsi="Times New Roman;sans-serif"/>
                  <w:b w:val="false"/>
                  <w:color w:val="0000FF"/>
                  <w:sz w:val="20"/>
                  <w:u w:val="single"/>
                </w:rPr>
                <w:t>17</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69">
              <w:r>
                <w:rPr>
                  <w:rStyle w:val="InternetLink"/>
                  <w:rFonts w:ascii="Times New Roman;sans-serif" w:hAnsi="Times New Roman;sans-serif"/>
                  <w:b w:val="false"/>
                  <w:color w:val="0000FF"/>
                  <w:sz w:val="20"/>
                  <w:u w:val="single"/>
                </w:rPr>
                <w:t>Item 3. Quantitative and Qualitative Disclosures About Market Risk.</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69">
              <w:r>
                <w:rPr>
                  <w:rStyle w:val="InternetLink"/>
                  <w:rFonts w:ascii="Times New Roman;sans-serif" w:hAnsi="Times New Roman;sans-serif"/>
                  <w:b w:val="false"/>
                  <w:color w:val="0000FF"/>
                  <w:sz w:val="20"/>
                  <w:u w:val="single"/>
                </w:rPr>
                <w:t>26</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72">
              <w:r>
                <w:rPr>
                  <w:rStyle w:val="InternetLink"/>
                  <w:rFonts w:ascii="Times New Roman;sans-serif" w:hAnsi="Times New Roman;sans-serif"/>
                  <w:b w:val="false"/>
                  <w:color w:val="0000FF"/>
                  <w:sz w:val="20"/>
                  <w:u w:val="single"/>
                </w:rPr>
                <w:t>Item 4. Controls and Procedures.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72">
              <w:r>
                <w:rPr>
                  <w:rStyle w:val="InternetLink"/>
                  <w:rFonts w:ascii="Times New Roman;sans-serif" w:hAnsi="Times New Roman;sans-serif"/>
                  <w:b w:val="false"/>
                  <w:color w:val="0000FF"/>
                  <w:sz w:val="20"/>
                  <w:u w:val="single"/>
                </w:rPr>
                <w:t>27</w:t>
              </w:r>
            </w:hyperlink>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72">
              <w:r>
                <w:rPr>
                  <w:rStyle w:val="InternetLink"/>
                  <w:rFonts w:ascii="Times New Roman;sans-serif" w:hAnsi="Times New Roman;sans-serif"/>
                  <w:b/>
                  <w:color w:val="0000FF"/>
                  <w:sz w:val="20"/>
                  <w:u w:val="single"/>
                </w:rPr>
                <w:t>PART II –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78">
              <w:r>
                <w:rPr>
                  <w:rStyle w:val="InternetLink"/>
                  <w:rFonts w:ascii="Times New Roman;sans-serif" w:hAnsi="Times New Roman;sans-serif"/>
                  <w:b w:val="false"/>
                  <w:color w:val="0000FF"/>
                  <w:sz w:val="20"/>
                  <w:u w:val="single"/>
                </w:rPr>
                <w:t>Item 1. Legal Proceedings.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78">
              <w:r>
                <w:rPr>
                  <w:rStyle w:val="InternetLink"/>
                  <w:rFonts w:ascii="Times New Roman;sans-serif" w:hAnsi="Times New Roman;sans-serif"/>
                  <w:b w:val="false"/>
                  <w:color w:val="0000FF"/>
                  <w:sz w:val="20"/>
                  <w:u w:val="single"/>
                </w:rPr>
                <w:t>27</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81">
              <w:r>
                <w:rPr>
                  <w:rStyle w:val="InternetLink"/>
                  <w:rFonts w:ascii="Times New Roman;sans-serif" w:hAnsi="Times New Roman;sans-serif"/>
                  <w:b w:val="false"/>
                  <w:color w:val="0000FF"/>
                  <w:sz w:val="20"/>
                  <w:u w:val="single"/>
                </w:rPr>
                <w:t>Item 1A. Risk Factors.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81">
              <w:r>
                <w:rPr>
                  <w:rStyle w:val="InternetLink"/>
                  <w:rFonts w:ascii="Times New Roman;sans-serif" w:hAnsi="Times New Roman;sans-serif"/>
                  <w:b w:val="false"/>
                  <w:color w:val="0000FF"/>
                  <w:sz w:val="20"/>
                  <w:u w:val="single"/>
                </w:rPr>
                <w:t>27</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84">
              <w:r>
                <w:rPr>
                  <w:rStyle w:val="InternetLink"/>
                  <w:rFonts w:ascii="Times New Roman;sans-serif" w:hAnsi="Times New Roman;sans-serif"/>
                  <w:b w:val="false"/>
                  <w:color w:val="0000FF"/>
                  <w:sz w:val="20"/>
                  <w:u w:val="single"/>
                </w:rPr>
                <w:t>Item 2. Unregistered Sales of Equity Securities and Use of Proceeds.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84">
              <w:r>
                <w:rPr>
                  <w:rStyle w:val="InternetLink"/>
                  <w:rFonts w:ascii="Times New Roman;sans-serif" w:hAnsi="Times New Roman;sans-serif"/>
                  <w:b w:val="false"/>
                  <w:color w:val="0000FF"/>
                  <w:sz w:val="20"/>
                  <w:u w:val="single"/>
                </w:rPr>
                <w:t>27</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87">
              <w:r>
                <w:rPr>
                  <w:rStyle w:val="InternetLink"/>
                  <w:rFonts w:ascii="Times New Roman;sans-serif" w:hAnsi="Times New Roman;sans-serif"/>
                  <w:b w:val="false"/>
                  <w:color w:val="0000FF"/>
                  <w:sz w:val="20"/>
                  <w:u w:val="single"/>
                </w:rPr>
                <w:t>Item 3. Defaults Upon Senior Securities.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87">
              <w:r>
                <w:rPr>
                  <w:rStyle w:val="InternetLink"/>
                  <w:rFonts w:ascii="Times New Roman;sans-serif" w:hAnsi="Times New Roman;sans-serif"/>
                  <w:b w:val="false"/>
                  <w:color w:val="0000FF"/>
                  <w:sz w:val="20"/>
                  <w:u w:val="single"/>
                </w:rPr>
                <w:t>27</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90">
              <w:r>
                <w:rPr>
                  <w:rStyle w:val="InternetLink"/>
                  <w:rFonts w:ascii="Times New Roman;sans-serif" w:hAnsi="Times New Roman;sans-serif"/>
                  <w:b w:val="false"/>
                  <w:color w:val="0000FF"/>
                  <w:sz w:val="20"/>
                  <w:u w:val="single"/>
                </w:rPr>
                <w:t>Item 4. Mine Safety Disclosures</w:t>
              </w:r>
            </w:hyperlink>
            <w:r>
              <w:rPr>
                <w:rFonts w:ascii="Times New Roman;sans-serif" w:hAnsi="Times New Roman;sans-serif"/>
                <w:b w:val="false"/>
                <w:color w:val="000000"/>
                <w:sz w:val="20"/>
              </w:rPr>
              <w:t>.</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90">
              <w:r>
                <w:rPr>
                  <w:rStyle w:val="InternetLink"/>
                  <w:rFonts w:ascii="Times New Roman;sans-serif" w:hAnsi="Times New Roman;sans-serif"/>
                  <w:b w:val="false"/>
                  <w:color w:val="0000FF"/>
                  <w:sz w:val="20"/>
                  <w:u w:val="single"/>
                </w:rPr>
                <w:t>27</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93">
              <w:r>
                <w:rPr>
                  <w:rStyle w:val="InternetLink"/>
                  <w:rFonts w:ascii="Times New Roman;sans-serif" w:hAnsi="Times New Roman;sans-serif"/>
                  <w:b w:val="false"/>
                  <w:color w:val="0000FF"/>
                  <w:sz w:val="20"/>
                  <w:u w:val="single"/>
                </w:rPr>
                <w:t>Item 5.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93">
              <w:r>
                <w:rPr>
                  <w:rStyle w:val="InternetLink"/>
                  <w:rFonts w:ascii="Times New Roman;sans-serif" w:hAnsi="Times New Roman;sans-serif"/>
                  <w:b w:val="false"/>
                  <w:color w:val="0000FF"/>
                  <w:sz w:val="20"/>
                  <w:u w:val="single"/>
                </w:rPr>
                <w:t>28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96">
              <w:r>
                <w:rPr>
                  <w:rStyle w:val="InternetLink"/>
                  <w:rFonts w:ascii="Times New Roman;sans-serif" w:hAnsi="Times New Roman;sans-serif"/>
                  <w:b w:val="false"/>
                  <w:color w:val="0000FF"/>
                  <w:sz w:val="20"/>
                  <w:u w:val="single"/>
                </w:rPr>
                <w:t>Item 6. Exhibits.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96">
              <w:r>
                <w:rPr>
                  <w:rStyle w:val="InternetLink"/>
                  <w:rFonts w:ascii="Times New Roman;sans-serif" w:hAnsi="Times New Roman;sans-serif"/>
                  <w:b w:val="false"/>
                  <w:color w:val="0000FF"/>
                  <w:sz w:val="20"/>
                  <w:u w:val="single"/>
                </w:rPr>
                <w:t>29</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04429fcffc5499d805bc033cf13d315_199">
              <w:r>
                <w:rPr>
                  <w:rStyle w:val="InternetLink"/>
                  <w:rFonts w:ascii="Times New Roman;sans-serif" w:hAnsi="Times New Roman;sans-serif"/>
                  <w:b w:val="false"/>
                  <w:color w:val="0000FF"/>
                  <w:sz w:val="20"/>
                  <w:u w:val="single"/>
                </w:rPr>
                <w:t>SIGNATURES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4429fcffc5499d805bc033cf13d315_199">
              <w:r>
                <w:rPr>
                  <w:rStyle w:val="InternetLink"/>
                  <w:rFonts w:ascii="Times New Roman;sans-serif" w:hAnsi="Times New Roman;sans-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ind w:left="0" w:right="0" w:firstLine="360"/>
        <w:jc w:val="center"/>
        <w:rPr/>
      </w:pPr>
      <w:r>
        <w:rPr>
          <w:rFonts w:ascii="Times New Roman;sans-serif" w:hAnsi="Times New Roman;sans-serif"/>
          <w:b/>
          <w:color w:val="000000"/>
          <w:sz w:val="20"/>
        </w:rPr>
        <w:t xml:space="preserve">PART I </w:t>
      </w:r>
      <w:r>
        <w:rPr>
          <w:color w:val="000000"/>
        </w:rPr>
        <w:t xml:space="preserve">– </w:t>
      </w:r>
      <w:r>
        <w:rPr>
          <w:rFonts w:ascii="Times New Roman;sans-serif" w:hAnsi="Times New Roman;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7105" w:type="dxa"/>
        <w:jc w:val="center"/>
        <w:tblInd w:w="0" w:type="dxa"/>
        <w:tblLayout w:type="fixed"/>
        <w:tblCellMar>
          <w:top w:w="28" w:type="dxa"/>
          <w:left w:w="28" w:type="dxa"/>
          <w:bottom w:w="28" w:type="dxa"/>
          <w:right w:w="28" w:type="dxa"/>
        </w:tblCellMar>
      </w:tblPr>
      <w:tblGrid>
        <w:gridCol w:w="1759"/>
        <w:gridCol w:w="1547"/>
        <w:gridCol w:w="1553"/>
        <w:gridCol w:w="238"/>
        <w:gridCol w:w="576"/>
        <w:gridCol w:w="123"/>
        <w:gridCol w:w="238"/>
        <w:gridCol w:w="576"/>
        <w:gridCol w:w="123"/>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Revenue: </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$14 and $16</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Taxes </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Weatherford</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3"/>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6789" w:type="dxa"/>
        <w:jc w:val="center"/>
        <w:tblInd w:w="0" w:type="dxa"/>
        <w:tblLayout w:type="fixed"/>
        <w:tblCellMar>
          <w:top w:w="28" w:type="dxa"/>
          <w:left w:w="28" w:type="dxa"/>
          <w:bottom w:w="28" w:type="dxa"/>
          <w:right w:w="28" w:type="dxa"/>
        </w:tblCellMar>
      </w:tblPr>
      <w:tblGrid>
        <w:gridCol w:w="1645"/>
        <w:gridCol w:w="1444"/>
        <w:gridCol w:w="1456"/>
        <w:gridCol w:w="269"/>
        <w:gridCol w:w="595"/>
        <w:gridCol w:w="139"/>
        <w:gridCol w:w="269"/>
        <w:gridCol w:w="461"/>
        <w:gridCol w:w="139"/>
        <w:gridCol w:w="109"/>
        <w:gridCol w:w="109"/>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Weatherford</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4"/>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858"/>
        <w:gridCol w:w="2298"/>
        <w:gridCol w:w="2307"/>
        <w:gridCol w:w="326"/>
        <w:gridCol w:w="827"/>
        <w:gridCol w:w="145"/>
        <w:gridCol w:w="309"/>
        <w:gridCol w:w="903"/>
        <w:gridCol w:w="232"/>
      </w:tblGrid>
      <w:tr>
        <w:trPr/>
        <w:tc>
          <w:tcPr>
            <w:tcW w:w="285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4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7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par value)</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March 31, 2024</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$16 at March 31, 2024 and $16 at December 31, 2023</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$900 at March 31, 2024 and $883 at December 31, 2023</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 of Accumulated Amortization of $678 at March 31, 2024 and $639 at December 31, 2023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Taxes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 Par Value $0.001; Authorized 1,356 shares, Issued and Outstanding 73.2 shares at March 31, 2024 and 72.1 at December 31, 2023</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Shareholders’ Equity</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8952" w:type="dxa"/>
        <w:jc w:val="center"/>
        <w:tblInd w:w="0" w:type="dxa"/>
        <w:tblLayout w:type="fixed"/>
        <w:tblCellMar>
          <w:top w:w="28" w:type="dxa"/>
          <w:left w:w="28" w:type="dxa"/>
          <w:bottom w:w="28" w:type="dxa"/>
          <w:right w:w="28" w:type="dxa"/>
        </w:tblCellMar>
      </w:tblPr>
      <w:tblGrid>
        <w:gridCol w:w="2212"/>
        <w:gridCol w:w="1944"/>
        <w:gridCol w:w="1963"/>
        <w:gridCol w:w="371"/>
        <w:gridCol w:w="797"/>
        <w:gridCol w:w="206"/>
        <w:gridCol w:w="371"/>
        <w:gridCol w:w="797"/>
        <w:gridCol w:w="291"/>
      </w:tblGrid>
      <w:tr>
        <w:trPr/>
        <w:tc>
          <w:tcPr>
            <w:tcW w:w="2212"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Foreign Exchange Losses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Charges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 Provision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Accounts Receivable, Inventory, and Accounts Payable:</w:t>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val="false"/>
                <w:color w:val="000000"/>
                <w:sz w:val="18"/>
              </w:rPr>
              <w:t>Accounts Receivable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val="false"/>
                <w:color w:val="000000"/>
                <w:sz w:val="18"/>
              </w:rPr>
              <w:t>Inventories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val="false"/>
                <w:color w:val="000000"/>
                <w:sz w:val="18"/>
              </w:rPr>
              <w:t>Accounts Payable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for Property, Plant and Equipment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Distributions to Noncontrolling Interests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Remittance on Equity Awards Vested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0" w:name="i8fa930cbdb4d48599cfc3bf84f059c83_49-0-1"/>
            <w:bookmarkEnd w:id="0"/>
            <w:r>
              <w:rPr>
                <w:rFonts w:ascii="Times New Roman;sans-serif" w:hAnsi="Times New Roman;sans-serif"/>
                <w:b w:val="false"/>
                <w:color w:val="000000"/>
                <w:sz w:val="18"/>
              </w:rPr>
              <w:t>Income Taxes Paid, Net of Refunds</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844,702 Shares of Common Stock Issued for Acquisitions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60" w:after="283"/>
        <w:ind w:left="0" w:right="0" w:firstLine="360"/>
        <w:jc w:val="both"/>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 Basis of Presentation and 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2023 (“2023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1 – Summary of Significant Accounting Policies” of our Consolidated Financial Statements from our 2023 Form 10-K for the discussion on our significant accounting policies. Certain reclassifications have been made to these Condensed Consolidated Financial Statements and accompanying footnotes for the three months ended March 31, 2023 to conform to the presentation for the three months ended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Accounting Standards Issued Not Yet Adopted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1 – Summary of Significant Accounting Policies” of our Consolidated Financial Statements from our 2023 Form 10-K for the discussion on accounting pronouncements that have been issued but not yet effective for the interim periods presented that are not expected to have a material impact on our financial position or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Evaluations of all other new accounting pronouncements that have been issued, but not yet effective are on-going, and at this time are not expected to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 – Segment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is summarized below. The accounting policies of the segments are the same as those described in the summary of significant accounting policies as presented in our 2023 Form 10-K. We have three reportable segments: (1) Drilling and Evaluation “DRE”, (2) Well Construction and Completions “WCC”, and (3) Production and Intervention “PRI”.</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includes results from non-core business activities (including integrated services and projects), and corporate includes overhead support and centrally managed or shared facilities costs. All other and corporate do not individually meet the criteria for segment reporting. </w:t>
      </w:r>
    </w:p>
    <w:tbl>
      <w:tblPr>
        <w:tblW w:w="6334" w:type="dxa"/>
        <w:jc w:val="center"/>
        <w:tblInd w:w="0" w:type="dxa"/>
        <w:tblLayout w:type="fixed"/>
        <w:tblCellMar>
          <w:top w:w="28" w:type="dxa"/>
          <w:left w:w="28" w:type="dxa"/>
          <w:bottom w:w="28" w:type="dxa"/>
          <w:right w:w="28" w:type="dxa"/>
        </w:tblCellMar>
      </w:tblPr>
      <w:tblGrid>
        <w:gridCol w:w="1031"/>
        <w:gridCol w:w="905"/>
        <w:gridCol w:w="913"/>
        <w:gridCol w:w="109"/>
        <w:gridCol w:w="109"/>
        <w:gridCol w:w="109"/>
        <w:gridCol w:w="309"/>
        <w:gridCol w:w="925"/>
        <w:gridCol w:w="159"/>
        <w:gridCol w:w="309"/>
        <w:gridCol w:w="925"/>
        <w:gridCol w:w="15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Credits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from contracts with customers by geographic area and includes equipment rental revenue. Equipment rental revenue was $34 million in the three months ended March 31, 2024 and $33 million for the three months ended March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U.S. and the Kingdom of Saudi Arabia accounted for 15% and 10%, respectively, of total revenue. In addition, Mexico accounted for 14% of total revenue, driven by our largest customer, which accounted for 12% of our total revenue. During the three months ended March 31, 2023, the U.S. and Mexico accounted for 18% and 12%, respectively, of total revenue. No other country accounted for more than 10% of our revenue in the periods presented.</w:t>
      </w:r>
    </w:p>
    <w:tbl>
      <w:tblPr>
        <w:tblW w:w="5980" w:type="dxa"/>
        <w:jc w:val="center"/>
        <w:tblInd w:w="0" w:type="dxa"/>
        <w:tblLayout w:type="fixed"/>
        <w:tblCellMar>
          <w:top w:w="28" w:type="dxa"/>
          <w:left w:w="28" w:type="dxa"/>
          <w:bottom w:w="28" w:type="dxa"/>
          <w:right w:w="28" w:type="dxa"/>
        </w:tblCellMar>
      </w:tblPr>
      <w:tblGrid>
        <w:gridCol w:w="1020"/>
        <w:gridCol w:w="896"/>
        <w:gridCol w:w="904"/>
        <w:gridCol w:w="314"/>
        <w:gridCol w:w="918"/>
        <w:gridCol w:w="162"/>
        <w:gridCol w:w="314"/>
        <w:gridCol w:w="918"/>
        <w:gridCol w:w="162"/>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 by Geographic Areas: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North America </w:t>
            </w:r>
            <w:r>
              <w:rPr>
                <w:rFonts w:ascii="Times New Roman;sans-serif" w:hAnsi="Times New Roman;sans-serif"/>
                <w:b w:val="false"/>
                <w:color w:val="000000"/>
                <w:sz w:val="13"/>
              </w:rPr>
              <w:t>(a)</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East/North Africa/Asia</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Europe/Sub-Sahara Africa/Russia</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North America consists of the U.S. and Canada.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our revenue recognition, billings, and cash collections results in the recording of accounts receivable, contract assets, and contract liabilities. The following table summarizes these balances as of March 31, 2024 and December 31, 2023:</w:t>
      </w:r>
    </w:p>
    <w:tbl>
      <w:tblPr>
        <w:tblW w:w="8683" w:type="dxa"/>
        <w:jc w:val="left"/>
        <w:tblInd w:w="0" w:type="dxa"/>
        <w:tblLayout w:type="fixed"/>
        <w:tblCellMar>
          <w:top w:w="28" w:type="dxa"/>
          <w:left w:w="28" w:type="dxa"/>
          <w:bottom w:w="28" w:type="dxa"/>
          <w:right w:w="28" w:type="dxa"/>
        </w:tblCellMar>
      </w:tblPr>
      <w:tblGrid>
        <w:gridCol w:w="1981"/>
        <w:gridCol w:w="1739"/>
        <w:gridCol w:w="1755"/>
        <w:gridCol w:w="324"/>
        <w:gridCol w:w="948"/>
        <w:gridCol w:w="167"/>
        <w:gridCol w:w="380"/>
        <w:gridCol w:w="1110"/>
        <w:gridCol w:w="279"/>
      </w:tblGrid>
      <w:tr>
        <w:trPr/>
        <w:tc>
          <w:tcPr>
            <w:tcW w:w="198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Product and Services in Accounts Receivable,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Equipment Rentals in Account Receivable, Net</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Current Assets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Non-Current Assets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Current Liabilities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Non-Current Liabilities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4 – Inventories, Net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net of reserves of $119 million and $121 million as of March 31, 2024 and December 31, 2023, respectively, are presented by category in the table below: </w:t>
      </w:r>
    </w:p>
    <w:tbl>
      <w:tblPr>
        <w:tblW w:w="8412" w:type="dxa"/>
        <w:jc w:val="center"/>
        <w:tblInd w:w="0" w:type="dxa"/>
        <w:tblLayout w:type="fixed"/>
        <w:tblCellMar>
          <w:top w:w="28" w:type="dxa"/>
          <w:left w:w="28" w:type="dxa"/>
          <w:bottom w:w="28" w:type="dxa"/>
          <w:right w:w="28" w:type="dxa"/>
        </w:tblCellMar>
      </w:tblPr>
      <w:tblGrid>
        <w:gridCol w:w="1883"/>
        <w:gridCol w:w="1653"/>
        <w:gridCol w:w="1668"/>
        <w:gridCol w:w="386"/>
        <w:gridCol w:w="854"/>
        <w:gridCol w:w="199"/>
        <w:gridCol w:w="448"/>
        <w:gridCol w:w="992"/>
        <w:gridCol w:w="329"/>
      </w:tblGrid>
      <w:tr>
        <w:trPr/>
        <w:tc>
          <w:tcPr>
            <w:tcW w:w="18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 Components and Supplies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inventory reserves includes the inventory charges primarily offset by the disposal of inventory previously reserved. The net charges are recorded in “Cost of Products” on our Condensed Consolidated Statements of Operations in the amount of $6 million and $11 million during the three months ended March 31, 2024 and March 31, 2023, respectively.</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5 – Intangibles,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center"/>
        <w:tblInd w:w="0" w:type="dxa"/>
        <w:tblLayout w:type="fixed"/>
        <w:tblCellMar>
          <w:top w:w="28" w:type="dxa"/>
          <w:left w:w="28" w:type="dxa"/>
          <w:bottom w:w="28" w:type="dxa"/>
          <w:right w:w="28" w:type="dxa"/>
        </w:tblCellMar>
      </w:tblPr>
      <w:tblGrid>
        <w:gridCol w:w="2780"/>
        <w:gridCol w:w="2353"/>
        <w:gridCol w:w="2355"/>
        <w:gridCol w:w="325"/>
        <w:gridCol w:w="719"/>
        <w:gridCol w:w="167"/>
        <w:gridCol w:w="380"/>
        <w:gridCol w:w="843"/>
        <w:gridCol w:w="283"/>
      </w:tblGrid>
      <w:tr>
        <w:trPr/>
        <w:tc>
          <w:tcPr>
            <w:tcW w:w="278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and Acquired Technology, Net of Accumulated Amortization of $508 at March 31, 2024 and $479 at December 31, 2023</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Net of Accumulated Amortization of $170 at March 31, 2024 and $160 at December 31, 2023</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 of Accumulated Amortization of $678 at March 31, 2024 and $639 at December 31, 2023</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$41 million and $40 million for the three months ended March 31, 2024 and March 31, 2023, respectively, and is reported in “Selling, General and Administrative” on our Condensed Consolidated Statements of Operations. The increase was primarily related to intangibles acquired in connection with acquisitions during the three months ended March 31, 2024. Please refer to “Note 12 – Acquisitions”.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6 – Borrowings and Other Debt Obligations</w:t>
      </w:r>
    </w:p>
    <w:tbl>
      <w:tblPr>
        <w:tblW w:w="10205" w:type="dxa"/>
        <w:jc w:val="center"/>
        <w:tblInd w:w="0" w:type="dxa"/>
        <w:tblLayout w:type="fixed"/>
        <w:tblCellMar>
          <w:top w:w="28" w:type="dxa"/>
          <w:left w:w="28" w:type="dxa"/>
          <w:bottom w:w="28" w:type="dxa"/>
          <w:right w:w="28" w:type="dxa"/>
        </w:tblCellMar>
      </w:tblPr>
      <w:tblGrid>
        <w:gridCol w:w="2450"/>
        <w:gridCol w:w="2141"/>
        <w:gridCol w:w="2160"/>
        <w:gridCol w:w="316"/>
        <w:gridCol w:w="926"/>
        <w:gridCol w:w="163"/>
        <w:gridCol w:w="109"/>
        <w:gridCol w:w="109"/>
        <w:gridCol w:w="109"/>
        <w:gridCol w:w="369"/>
        <w:gridCol w:w="1078"/>
        <w:gridCol w:w="275"/>
      </w:tblGrid>
      <w:tr>
        <w:trPr/>
        <w:tc>
          <w:tcPr>
            <w:tcW w:w="245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6.50% Senior Secured Notes due 2028 “2028 Senior Secured Notes”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 “2030 Senior Notes”</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Senior Secured Notes due 2028 “2028 Senior Secured Notes”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Leases </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2028 Senior Secured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2021, Weatherford International Ltd. (“Weatherford Bermuda”) issued 6.50% senior secured notes in aggregate principal amount of $500 million maturing September 15, 2028 (the “2028 Senior Secured Notes”). Interest is payable semiannually on September 15 and March 15 of each year, and commenced on March 15, 2022. Proceeds from the issuance were reduced by debt issuance costs. In the first quarter of 2024 we repurchased $167 million in principal of our 2028 Senior Secured Notes. At March 31, 2024, the carrying value was reclassified as short-term and represents the remaining unpaid principal of $82 million offset by unamortized deferred issuance cost of $2 million. At December 31, 2023, the carrying value represented unpaid principal of $248 million offset by unamortized deferred issuance cost of $5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International, LLC (“Weatherford Delaware”) as co-issuer and co-obligor, and concurrently releases the guarantee of Weatherford Delaware. At March 31, 2024 and December 31, 2023, the carrying value represents the remaining unpaid principal of $1.6 billion at each date, offset by unamortized deferred issuance cost of $12 million and $13 million, respectively.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March 31, 2024 and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we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2023, we amended the Credit Agreement to, among other things, (i) allow for an increase in total commitment amount from $400 million to $550 million ($250 million for performance letters of credit and $300 million for either borrowings or additional performance or financial letters of credit), (ii) extend maturity to October 24, 2028, subject to certain conditions, (iii) allow for dividends, share buybacks, and acquisitions which combined with other permitted transactions, are not to exceed a total net leverage ratio of 2.00 to 1.00 and an aggregate liquidity not less than $400 million, (iv) remove the minimum book value of assets requirement, (v) add Weatherford Switzerland as a borrower, and (vi) modify certain pricing provisions and eliminate secured overnight financing rate exposure to certain letters of credit. The amendment also gives the ability to request an increase in total commitments by up to $200 million, upon satisfaction of certain conditions. We further amended the Credit Agreement on December 20, 2023, to permit a certain specified swap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zero borrowings outstanding under the Credit Agreement, and $374 million of letters of credit outstanding, consisting of the $273 million ($223 million for performance letters of credit and $50 million for financial letters of credit) under the Credit Agreement and another $101 million under various uncommitted bi-lateral facilities (of which there was $100 million in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tbl>
      <w:tblPr>
        <w:tblW w:w="9024" w:type="dxa"/>
        <w:jc w:val="center"/>
        <w:tblInd w:w="0" w:type="dxa"/>
        <w:tblLayout w:type="fixed"/>
        <w:tblCellMar>
          <w:top w:w="28" w:type="dxa"/>
          <w:left w:w="28" w:type="dxa"/>
          <w:bottom w:w="28" w:type="dxa"/>
          <w:right w:w="28" w:type="dxa"/>
        </w:tblCellMar>
      </w:tblPr>
      <w:tblGrid>
        <w:gridCol w:w="1352"/>
        <w:gridCol w:w="1186"/>
        <w:gridCol w:w="1197"/>
        <w:gridCol w:w="324"/>
        <w:gridCol w:w="948"/>
        <w:gridCol w:w="167"/>
        <w:gridCol w:w="230"/>
        <w:gridCol w:w="671"/>
        <w:gridCol w:w="118"/>
        <w:gridCol w:w="109"/>
        <w:gridCol w:w="109"/>
        <w:gridCol w:w="109"/>
        <w:gridCol w:w="324"/>
        <w:gridCol w:w="948"/>
        <w:gridCol w:w="167"/>
        <w:gridCol w:w="229"/>
        <w:gridCol w:w="669"/>
        <w:gridCol w:w="167"/>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6.50% Senior Secured Notes due 2028</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7 – Disputes, Litigation and Legal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8 – Shareholders’ Equity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shares issued and outstanding on our Condensed Consolidated Balance Sheets from 72.1 million as of December 31, 2023 to 73.2 million as of March 31, 2024, was due to equity awards granted, vested, and exercised, net of shares withheld for taxes. The change in shares also included the issuance of 844,702 of our ordinary shares in connection with acquisitions during the quarter. See “Note 12 – Acquisitions” in our Notes to Condensed Consolidated Financial Statements for further details. The following summarizes our shareholders’ equity activity for the three months ended March 31, 2024 and 2023: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91"/>
        <w:gridCol w:w="445"/>
        <w:gridCol w:w="449"/>
        <w:gridCol w:w="109"/>
        <w:gridCol w:w="109"/>
        <w:gridCol w:w="109"/>
        <w:gridCol w:w="256"/>
        <w:gridCol w:w="750"/>
        <w:gridCol w:w="132"/>
        <w:gridCol w:w="109"/>
        <w:gridCol w:w="109"/>
        <w:gridCol w:w="109"/>
        <w:gridCol w:w="221"/>
        <w:gridCol w:w="673"/>
        <w:gridCol w:w="114"/>
        <w:gridCol w:w="109"/>
        <w:gridCol w:w="109"/>
        <w:gridCol w:w="109"/>
        <w:gridCol w:w="475"/>
        <w:gridCol w:w="848"/>
        <w:gridCol w:w="246"/>
        <w:gridCol w:w="109"/>
        <w:gridCol w:w="109"/>
        <w:gridCol w:w="109"/>
        <w:gridCol w:w="459"/>
        <w:gridCol w:w="787"/>
        <w:gridCol w:w="238"/>
        <w:gridCol w:w="109"/>
        <w:gridCol w:w="109"/>
        <w:gridCol w:w="109"/>
        <w:gridCol w:w="320"/>
        <w:gridCol w:w="936"/>
        <w:gridCol w:w="166"/>
        <w:gridCol w:w="164"/>
      </w:tblGrid>
      <w:tr>
        <w:trPr/>
        <w:tc>
          <w:tcPr>
            <w:tcW w:w="8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Retained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Income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Other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Vested and Exercised,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Retained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Income (Deficit)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Income (Loss)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Vested and Exercised,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accumulated other comprehensive income (loss) by component for the three months ended March 31, 2024 and 2023:</w:t>
      </w:r>
    </w:p>
    <w:tbl>
      <w:tblPr>
        <w:tblW w:w="8771" w:type="dxa"/>
        <w:jc w:val="center"/>
        <w:tblInd w:w="0" w:type="dxa"/>
        <w:tblLayout w:type="fixed"/>
        <w:tblCellMar>
          <w:top w:w="28" w:type="dxa"/>
          <w:left w:w="28" w:type="dxa"/>
          <w:bottom w:w="28" w:type="dxa"/>
          <w:right w:w="28" w:type="dxa"/>
        </w:tblCellMar>
      </w:tblPr>
      <w:tblGrid>
        <w:gridCol w:w="971"/>
        <w:gridCol w:w="853"/>
        <w:gridCol w:w="860"/>
        <w:gridCol w:w="898"/>
        <w:gridCol w:w="1604"/>
        <w:gridCol w:w="467"/>
        <w:gridCol w:w="636"/>
        <w:gridCol w:w="1132"/>
        <w:gridCol w:w="331"/>
        <w:gridCol w:w="109"/>
        <w:gridCol w:w="109"/>
        <w:gridCol w:w="211"/>
        <w:gridCol w:w="4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 Adjustment</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 Benefit 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9 – Income per Share</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number of shares used for the basic and diluted income per share calculation was as follows:</w:t>
      </w:r>
    </w:p>
    <w:tbl>
      <w:tblPr>
        <w:tblW w:w="8021" w:type="dxa"/>
        <w:jc w:val="left"/>
        <w:tblInd w:w="0" w:type="dxa"/>
        <w:tblLayout w:type="fixed"/>
        <w:tblCellMar>
          <w:top w:w="28" w:type="dxa"/>
          <w:left w:w="28" w:type="dxa"/>
          <w:bottom w:w="28" w:type="dxa"/>
          <w:right w:w="28" w:type="dxa"/>
        </w:tblCellMar>
      </w:tblPr>
      <w:tblGrid>
        <w:gridCol w:w="1759"/>
        <w:gridCol w:w="1547"/>
        <w:gridCol w:w="1553"/>
        <w:gridCol w:w="354"/>
        <w:gridCol w:w="858"/>
        <w:gridCol w:w="183"/>
        <w:gridCol w:w="354"/>
        <w:gridCol w:w="858"/>
        <w:gridCol w:w="183"/>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Weatherford</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Awards Granted in Stock Incentive Plan</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Weighted Average Shares: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Warrants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Equity Awards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Weighted Average Shares</w:t>
            </w:r>
          </w:p>
        </w:tc>
        <w:tc>
          <w:tcPr>
            <w:tcW w:w="12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per share for all periods presented equals net income divided by our weighted average shares outstanding during the period. Diluted income per share is computed by dividing net income by our weighted average shares outstanding during the period including potential dilutive ordinary shares. Antidilutive weighted average shares represent securities that could potentially dilute income per share in the future, which are excluded from the computation as their impact was antidilutive.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Warrants to purchase 7.8 million ordinary shares at $99.96 per share were issued on December 13, 2019 and expired on December 13, 2023. For the three months ended March 31, 2023 warrants were excluded from the diluted weighted average shares outstanding as the exercise price of the warrants was greater than the average market price of the Company’s ordinary shares.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10 – 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 tax expense of $59 million for the three months ended March 31, 2024 compared to the three months ended March 31, 2023 where we recognized tax expense of $38 million. During the three months ended March 31, 2024, income tax expense was higher primarily due to increased earnings before taxes. We calculate income tax provision using the estimated annual effective tax rate method in accordance with Accounting Standards Codification “ASC” 740 -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pStyle w:val="TextBody"/>
        <w:bidi w:val="0"/>
        <w:spacing w:before="0" w:after="0"/>
        <w:ind w:left="0" w:right="0" w:firstLine="36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Ireland enacted tax legislation that models the Organization of Economic Cooperation and Development reform plans focused on global profit allocation and implementing a global minimum tax rate of at least 15% for large multinational corporations on a jurisdiction-by-jurisdiction basis, known as “Pillar Two.” This is not expected to materially increase the taxes we owe.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undergo tax examination in various jurisdictions. We cannot predict the timing or outcome regarding resolution of these tax examinations or if they will have a material impact on our financial statements. As of March 31, 2024, we anticipate that it is reasonably possible that our uncertain tax positions of $286 million, including interest and penalties offset by net operating losses and other tax attributes if settled, may decrease by up to $12 million in the next twelve months due to expiration of statutes of limitations, settlements and/or conclusions of tax examinations.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11 – Credit Default Swap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CDS terms, within five business days upon notification of default, we could be required to pay the then outstanding notional balance net of recoveries. As of December 31, 2023, we had a notional balance of $130 million outstanding under the CDS, which increased to $260 million in January of 2024, following the receipt of the $142 million payment. As of March 31, 2024, the notional balance under the CDS was $242 million. Management expects the total notional balance under the CDS to decrease to $161 million, $54 million and nil by December 31, 2024, December 31, 2025 and March 31, 2026, respectively. The fair value of this derivative was not material as of March 31, 2024 and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we are not aware of any events of default under the loan agreement between that third-party financial institution and our largest customer in Mexico.</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12 – Acquisitions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the three months ended March 31, 2024, we closed on acquisitions with total consideration of $136 million, which includes $36 million in cash net of cash acquired and 844,702 of our ordinary shares valued at $75 million on the closing dates. The purchases were accounted for using the acquisition method of accounting in accordance with Accounting Standards Codification “ASC” 805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 xml:space="preserve">and the purchase price was allocated to the assets acquired and liabilities assumed based on their estimated fair values measured in accordance with the guidance under ASC 820 </w:t>
      </w:r>
      <w:r>
        <w:rPr>
          <w:rFonts w:ascii="Times New Roman;sans-serif" w:hAnsi="Times New Roman;sans-serif"/>
          <w:b w:val="false"/>
          <w:i/>
          <w:color w:val="000000"/>
          <w:sz w:val="20"/>
        </w:rPr>
        <w:t xml:space="preserve">Fair Value Measurement. </w:t>
      </w:r>
      <w:r>
        <w:rPr>
          <w:rFonts w:ascii="Times New Roman;sans-serif" w:hAnsi="Times New Roman;sans-serif"/>
          <w:b w:val="false"/>
          <w:color w:val="000000"/>
          <w:sz w:val="20"/>
        </w:rPr>
        <w:t>The fair value measurements of the intangible assets were based on inputs not observable in the market and therefore represent Level 3 measurements. The fair value of intangible assets recorded at the acquisition date was $85 million and an immaterial amount was recorded for the goodwill and contingent considerations. Acquisition-related costs incurred by the Company are expensed as incurred. The operating results of the acquired businesses were included in the Company’s results of operations from the date of acquisition. See also “Note 5 – Intangibles, Net” and “Note 8 – Shareholders’ Equity” in our Notes to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13 – Subsequent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Agreement gives us the right, subject to certain terms and conditions, to effectuate from time to time an increase in total commitments by up to $200 million. As such, 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2024, we issued a notice to redeem the remainder of our 6.5% Senior Secured Notes due 2028 on May 23, 2024.</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approximately 75 countries, answering the challenges of the energy industry with 340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Drilling and Evaluation</w:t>
      </w:r>
      <w:r>
        <w:rPr>
          <w:color w:val="000000"/>
        </w:rPr>
        <w:t xml:space="preserve"> </w:t>
      </w:r>
      <w:r>
        <w:rPr>
          <w:rFonts w:ascii="Times New Roman;sans-serif" w:hAnsi="Times New Roman;sans-serif"/>
          <w:b/>
          <w:i/>
          <w:color w:val="000000"/>
          <w:sz w:val="20"/>
        </w:rPr>
        <w:t>(“DRE”)</w:t>
      </w:r>
      <w:r>
        <w:rPr>
          <w:color w:val="000000"/>
        </w:rPr>
        <w:t xml:space="preserve"> </w:t>
      </w:r>
      <w:r>
        <w:rPr>
          <w:rFonts w:ascii="Times New Roman;sans-serif" w:hAnsi="Times New Roman;sans-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Well Construction and Completions (“WCC”)</w:t>
      </w:r>
      <w:r>
        <w:rPr>
          <w:color w:val="000000"/>
        </w:rPr>
        <w:t xml:space="preserve"> </w:t>
      </w:r>
      <w:r>
        <w:rPr>
          <w:rFonts w:ascii="Times New Roman;sans-serif" w:hAnsi="Times New Roman;sans-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Production and Intervention (“PRI”)</w:t>
      </w:r>
      <w:r>
        <w:rPr>
          <w:color w:val="000000"/>
        </w:rPr>
        <w:t xml:space="preserve"> </w:t>
      </w:r>
      <w:r>
        <w:rPr>
          <w:rFonts w:ascii="Times New Roman;sans-serif" w:hAnsi="Times New Roman;sans-serif"/>
          <w:b w:val="false"/>
          <w:color w:val="000000"/>
          <w:sz w:val="20"/>
        </w:rPr>
        <w:t xml:space="preserve">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sub-sea intervention and pressure pumping services in select markets.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the average oil and natural gas prices for West Texas Intermediate (“WTI”), Brent North Sea (“Brent”) crude oil and Henry Hub natural gas. </w:t>
      </w:r>
    </w:p>
    <w:tbl>
      <w:tblPr>
        <w:tblW w:w="9382" w:type="dxa"/>
        <w:jc w:val="center"/>
        <w:tblInd w:w="0" w:type="dxa"/>
        <w:tblLayout w:type="fixed"/>
        <w:tblCellMar>
          <w:top w:w="28" w:type="dxa"/>
          <w:left w:w="28" w:type="dxa"/>
          <w:bottom w:w="28" w:type="dxa"/>
          <w:right w:w="28" w:type="dxa"/>
        </w:tblCellMar>
      </w:tblPr>
      <w:tblGrid>
        <w:gridCol w:w="124"/>
        <w:gridCol w:w="109"/>
        <w:gridCol w:w="1362"/>
        <w:gridCol w:w="1362"/>
        <w:gridCol w:w="1370"/>
        <w:gridCol w:w="163"/>
        <w:gridCol w:w="163"/>
        <w:gridCol w:w="163"/>
        <w:gridCol w:w="569"/>
        <w:gridCol w:w="1667"/>
        <w:gridCol w:w="293"/>
        <w:gridCol w:w="293"/>
        <w:gridCol w:w="211"/>
        <w:gridCol w:w="61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WTI </w:t>
            </w:r>
            <w:r>
              <w:rPr>
                <w:rFonts w:ascii="Times New Roman;sans-serif" w:hAnsi="Times New Roman;sans-serif"/>
                <w:b w:val="false"/>
                <w:color w:val="000000"/>
                <w:sz w:val="13"/>
              </w:rPr>
              <w:t>(1)</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Brent </w:t>
            </w:r>
            <w:r>
              <w:rPr>
                <w:rFonts w:ascii="Times New Roman;sans-serif" w:hAnsi="Times New Roman;sans-serif"/>
                <w:b w:val="false"/>
                <w:color w:val="000000"/>
                <w:sz w:val="13"/>
              </w:rPr>
              <w:t>(1)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Natural gas price - Henry Hub </w:t>
            </w:r>
            <w:r>
              <w:rPr>
                <w:rFonts w:ascii="Times New Roman;sans-serif" w:hAnsi="Times New Roman;sans-serif"/>
                <w:b w:val="false"/>
                <w:color w:val="000000"/>
                <w:sz w:val="13"/>
              </w:rPr>
              <w:t>(2)</w:t>
            </w:r>
          </w:p>
        </w:tc>
        <w:tc>
          <w:tcPr>
            <w:tcW w:w="4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5"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Oil price measured in dollars per barrel (rounded to the nearest $0.01)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5"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Natural gas price measured in dollars per million British thermal units (rounded to the nearest $0.01)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historical average rig counts based on the weekly Baker Hughes Company rig count information. </w:t>
      </w:r>
    </w:p>
    <w:tbl>
      <w:tblPr>
        <w:tblW w:w="5885" w:type="dxa"/>
        <w:jc w:val="center"/>
        <w:tblInd w:w="0" w:type="dxa"/>
        <w:tblLayout w:type="fixed"/>
        <w:tblCellMar>
          <w:top w:w="28" w:type="dxa"/>
          <w:left w:w="28" w:type="dxa"/>
          <w:bottom w:w="28" w:type="dxa"/>
          <w:right w:w="28" w:type="dxa"/>
        </w:tblCellMar>
      </w:tblPr>
      <w:tblGrid>
        <w:gridCol w:w="472"/>
        <w:gridCol w:w="415"/>
        <w:gridCol w:w="418"/>
        <w:gridCol w:w="109"/>
        <w:gridCol w:w="109"/>
        <w:gridCol w:w="109"/>
        <w:gridCol w:w="938"/>
        <w:gridCol w:w="938"/>
        <w:gridCol w:w="322"/>
        <w:gridCol w:w="294"/>
        <w:gridCol w:w="244"/>
        <w:gridCol w:w="244"/>
        <w:gridCol w:w="308"/>
        <w:gridCol w:w="308"/>
        <w:gridCol w:w="176"/>
        <w:gridCol w:w="109"/>
        <w:gridCol w:w="109"/>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860"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0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Russia Ukraine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 Russia were approximately 5% of our total revenues for the three months ended March 31, 2024, compared to 6% of our total revenues for the three months ended March 31, 2023. As of March 31, 2024, our Russia operations included $50 million in cash, $104 million in other current assets, $73 million in property, plant and equipment and other non-current assets, and $51 million in liabilities. As of December 31, 2023, our Russia operations included $62 million in cash, $94 million in other current assets, $76 million in property, plant and equipment and other non-current assets, and $62 million in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continuing the business in compliance with applicable laws and sanctions; </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evaluating the continued use or change in products, equipment and service offerings we currently provide in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Russia; </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curtailing or winding down our activities over time;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potentially divesting some or all of our assets or businesses in Russia, which could include the option of re-entering the country if and when sanctions or applicable laws would allow for the same and;</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potential nationalization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Operating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of $1.4 billion in the three months ended March 31, 2024, increased 15% compared to $1.2 billion in the three months ended March 31, 2023. Year-over-year in the first quarter, product revenues increased 11% and service revenues increased 17%. DRE and WCC contributed 29% and 22% of the increase in revenues, respectively, offset by a 1% decline of revenue in PRI. The remaining revenue increase was due to higher activity in integrated services and projects. Geographically, revenue growth was led by improvements in the Middle East/North Africa/Asia, Latin America and Europe/Sub-Sahara Africa/Russia, which contributed to 70%, 31% and 10% of the increase, respectively, partly offset by a revenue decline in North America. Average oil prices in the three months ended March 31, 2024 increased 2% for both West Texas Intermediate crude oil and Brent North Sea crude oil compared to the same period in 2023. Henry Hub natural gas prices decreased 20% compared to the same period in 2023. Global rig counts decreased 5% compared to three months ended March 31, 2023. The decrease in Henry Hub natural gas prices and rig count in North America and the increase in international rig count was observable in the revenue changes in the respective regions year-over year.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of $884 million in the three months ended March 31, 2024, increased 12% compared to $790 million in the three months ended March 31, 2023, respectively. Our cost of products and services as a percentage of revenues was 65% in the three months ended March 31, 2024 compared to 67% in the three months ended March 31, 2023 reflecting improved utilization on a more efficient operating cost structure. Additionally, lower inventory charges contributed to the lower cost as a percentage of revenues.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administrative and research and development costs of $236 million in the three months ended March 31, 2024, increased 9% compared to $216 million in the three months ended March 31, 2023. The increase primarily reflects an increase in overhead to support organization growth and an increase in research and development on newer technologies. Selling, general, administrative and research and development costs as a percentage of revenues was 17% in the three months ended March 31, 2024, an improvement compared to 18% in the three months ended March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Non-Operating Summary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$29 million and $31 million in the three months ended March 31, 2024 and 2023, respectively. Interest expense, net is interest expense net of interest income, which has decreased over prior year primarily due to a decrease in interest expense on our outstanding long-term debt. Interest expense was $43 million in the three months ended March 31, 2024, and $47 million in the three months ended March 31, 2023. Interest income was $14 million in the three months ended March 31, 2024 and $16 million in the three months ended March 31, 2023. See “Note 6 – Borrowings and Other Debt Obligations”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was $22 million in the three months ended March 31, 2024 and $35 million in the three months ended March 31, 2023. Other expense, net primarily represents foreign exchange losses attributed to currency losses in countries with no or limited markets to hedge, letter of credit fees and other financing charges, including when applicable, bond redemption premiums partially offset by certain investment gains and losses. When economically advantageous, we enter into foreign currency forward contracts to mitigate the risk of future cash flows denominated in a foreign currency.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10 – Income Taxes”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Results of Operations by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information by segment is summarized below. </w:t>
      </w:r>
    </w:p>
    <w:tbl>
      <w:tblPr>
        <w:tblW w:w="8102" w:type="dxa"/>
        <w:jc w:val="center"/>
        <w:tblInd w:w="0" w:type="dxa"/>
        <w:tblLayout w:type="fixed"/>
        <w:tblCellMar>
          <w:top w:w="28" w:type="dxa"/>
          <w:left w:w="28" w:type="dxa"/>
          <w:bottom w:w="28" w:type="dxa"/>
          <w:right w:w="28" w:type="dxa"/>
        </w:tblCellMar>
      </w:tblPr>
      <w:tblGrid>
        <w:gridCol w:w="1267"/>
        <w:gridCol w:w="1110"/>
        <w:gridCol w:w="1118"/>
        <w:gridCol w:w="211"/>
        <w:gridCol w:w="631"/>
        <w:gridCol w:w="271"/>
        <w:gridCol w:w="211"/>
        <w:gridCol w:w="631"/>
        <w:gridCol w:w="271"/>
        <w:gridCol w:w="109"/>
        <w:gridCol w:w="109"/>
        <w:gridCol w:w="109"/>
        <w:gridCol w:w="211"/>
        <w:gridCol w:w="481"/>
        <w:gridCol w:w="109"/>
        <w:gridCol w:w="267"/>
        <w:gridCol w:w="273"/>
        <w:gridCol w:w="55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Favorable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(Unfavorable)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or 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(Dollars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Revenues: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Credits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Margins: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DRE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DRE revenues of $422 million in the three months ended March 31, 2024, increased $50 million or 13% compared to $372 million in the three months ended March 31, 2023. </w:t>
      </w:r>
      <w:r>
        <w:rPr>
          <w:rFonts w:ascii="Times New Roman;sans-serif" w:hAnsi="Times New Roman;sans-serif"/>
          <w:b w:val="false"/>
          <w:color w:val="000000"/>
          <w:sz w:val="20"/>
          <w:shd w:fill="FFFFFF" w:val="clear"/>
        </w:rPr>
        <w:t xml:space="preserve">Of the year-over-year revenue increase in the first quarter of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approximately all of the increase was equally contributed by wireline and drilling-</w:t>
      </w:r>
      <w:r>
        <w:rPr>
          <w:rFonts w:ascii="Times New Roman;sans-serif" w:hAnsi="Times New Roman;sans-serif"/>
          <w:b w:val="false"/>
          <w:color w:val="000000"/>
          <w:sz w:val="20"/>
        </w:rPr>
        <w:t xml:space="preserve">related services. Geographically, approximately 50% of the overall revenue growth came from Middle East/North Africa/Asia and approximately 35%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Europe/Sub-Sahara Africa/Russia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segment adjusted EBITDA of $130 million in the three months ended March 31, 2024, increased $22 million or 20%, compared to $108 million in the three months ended March 31, 2023. DRE segment adjusted EBITDA margin was 30.8% in the three months ended March 31, 2024 compared to 29.0% in the three months ended March 31,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WCC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WCC revenues of $458 million in the three months ended March 31, 2024, increased $37 million or 9% compared to $421 million in the three months ended March 31, 2023. </w:t>
      </w:r>
      <w:r>
        <w:rPr>
          <w:rFonts w:ascii="Times New Roman;sans-serif" w:hAnsi="Times New Roman;sans-serif"/>
          <w:b w:val="false"/>
          <w:color w:val="000000"/>
          <w:sz w:val="20"/>
          <w:shd w:fill="FFFFFF" w:val="clear"/>
        </w:rPr>
        <w:t xml:space="preserve">Of the year-over-year revenue increase in the first quarter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approximately 70% was from completions and tubular running services. </w:t>
      </w:r>
      <w:r>
        <w:rPr>
          <w:rFonts w:ascii="Times New Roman;sans-serif" w:hAnsi="Times New Roman;sans-serif"/>
          <w:b w:val="false"/>
          <w:color w:val="000000"/>
          <w:sz w:val="20"/>
        </w:rPr>
        <w:t xml:space="preserve">Geographically, Middle East/North Africa/Asia contributed approximately 65% and Latin America approximately 35%, to the regions with revenue growth, offset by a revenue decline in the North America and Europe/Sub-Sahara Africa/Russia regions.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of $120 million in the three months ended March 31, 2024, increased $24 million or 25% compared to $96 million in the three months ended March 31, 2023. WCC segment adjusted EBITDA margin was 26.2% in the three months ended March 31, 2024, compared to 22.8% in the three months ended March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PRI revenues of $348 million in the three months ended March 31, 2024, decreased $1 million compared to $349 million in the three months ended March 31, 2023. </w:t>
      </w:r>
      <w:r>
        <w:rPr>
          <w:rFonts w:ascii="Times New Roman;sans-serif" w:hAnsi="Times New Roman;sans-serif"/>
          <w:b w:val="false"/>
          <w:color w:val="000000"/>
          <w:sz w:val="20"/>
          <w:shd w:fill="FFFFFF" w:val="clear"/>
        </w:rPr>
        <w:t xml:space="preserve">Of the year-over-year revenue decrease in the first quarter of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a modest decline from pressure pumping was partially offset by an increase primarily in artificial lift. </w:t>
      </w:r>
      <w:r>
        <w:rPr>
          <w:rFonts w:ascii="Times New Roman;sans-serif" w:hAnsi="Times New Roman;sans-serif"/>
          <w:b w:val="false"/>
          <w:color w:val="000000"/>
          <w:sz w:val="20"/>
        </w:rPr>
        <w:t>Geographically, approximately all of the revenue decrease came from North America, offset by a revenue increase in the Latin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of $73 million in the three months ended March 31, 2024, increased $5 million or 7%, compared to $68 million in the three months ended March 31, 2023. PRI segment adjusted EBITDA margin was 21.0% in the three months ended March 31, 2024, an improvement compared to 19.5% in the three months ended March 31,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Other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includes results from non-core business activities that do not individually meet the criteria for segment reporting, including integrated services and projects, which includes pass through and project management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revenues of $130 million in the three months ended March 31, 2024, increased $86 million or 195%, compared to $44 million in the three months ended March 31, 2023. The year-over-year increase was primarily from our integrated services and projects in the Middle East/North Africa/Asia and Latin America regions.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was a net expense of $14 million in the three months ended March 31, 2024 compared to $12 million in the three months ended March 31, 2023.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was $85 million in the three months ended March 31, 2024 compared to $80 million in the three months ended March 31, 2023. The year-over-year increase was primarily due to a larger asset base.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$13 million of share-based compensation in the three months ended March 31, 2024 compared to $9 million in the three months ended March 31, 2023. The increase was primarily attributable to annual equity awards granted in the first quarter.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Outlook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Growth and spending in the energy services industry is highly dependent on many external factors. These include but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limited to; inflation; geopolitical uncertainty; supply chain disruptions; energy policies at local and regional levels; rig counts; and the price of oil and natural gas. We continue to expect overall 2024 growth to outpace 2023, led by international and production-focused activity. We expect continued improvements in our customer activity levels and generally positive macroeconomic conditions, all of which are expected to continue to provide a pathway to a multi-year energy demand expansion. We continue to closely monitor macroeconomic and geopolitical conditions, potential supply chain disruptions, inflationary factors, and other labor and logistical constraints that could impact our operations and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cash and cash equivalents of $824 million and $113 million in restricted cash, compared to $958 million of cash and cash equivalents and $105 million in restricted cash at December 31,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flows provided by (used in) each type of business activity in the periods presented:</w:t>
      </w:r>
    </w:p>
    <w:tbl>
      <w:tblPr>
        <w:tblW w:w="6418" w:type="dxa"/>
        <w:jc w:val="center"/>
        <w:tblInd w:w="0" w:type="dxa"/>
        <w:tblLayout w:type="fixed"/>
        <w:tblCellMar>
          <w:top w:w="28" w:type="dxa"/>
          <w:left w:w="28" w:type="dxa"/>
          <w:bottom w:w="28" w:type="dxa"/>
          <w:right w:w="28" w:type="dxa"/>
        </w:tblCellMar>
      </w:tblPr>
      <w:tblGrid>
        <w:gridCol w:w="1297"/>
        <w:gridCol w:w="1139"/>
        <w:gridCol w:w="1149"/>
        <w:gridCol w:w="338"/>
        <w:gridCol w:w="868"/>
        <w:gridCol w:w="174"/>
        <w:gridCol w:w="338"/>
        <w:gridCol w:w="868"/>
        <w:gridCol w:w="247"/>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$131 million for the three months ended March 31, 2024, an increase from the $84 million for the three months ended March 31, 2023. The increase from the prior year was mostly driven by an increase in operating income as well as heightened collections activity which more than offset seasonal working capital requirements. During the fourth quarter of 2023, we entered into a credit default swap with a third-party financial institution related to a secured loan between that third-party financial institution and our largest customer in Mexico. The secured loan was utilized by this customer to pay us $142 million in the three months ended March 31, 2024 of certain of our outstanding receivables, increasing our net cash provided by operating activities. See further discussion in “Note 11 – Credit Default Swap”.</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was $54 million for the three months ended March 31, 2024. The primary investing activities were from cash used for capital expenditures of $59 million and cash used for acquisitions, net of cash acquired, of $36 million. The uses of cash were primarily offset by proceeds from sale of investments of $41 million from our marketable securities in Argentina and other outflows of $10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$64 million for the three months ended March 31, 2023. The primary investing activity was cash used for capital expenditures.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$187 million for the three months ended March 31, 2024. The primary uses of cash were $172 million for repayments and repurchases of long-term debt (see “Note 6 – Borrowings and Other Debt Obligations”). The tax remittances on equity awards vested were lower relative to the three months ended March 31, 2023 due to a decrease in the quantity of shares vesting.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was $127 million for the three months ended March 31, 2023. The primary uses of cash were for repayments of long-term debt of $66 million and $52 million in tax remittances on equity awards vested.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will continue to include payments for principal and interest on our long-term debt, capital expenditures, payments on our finance and operating leases, payments for short-term working capital needs, operating costs and restructuring payments. As business activity continues to rise, we expect to continue to utilize cash on capital assets and working capital growth.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2023 (“2023 Form 10-K”) and “Note 11 – Credit Default Swap”.</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aggregate principal amount of our primary debt outstanding was $82 million of our 2028 Senior Secured Notes and $1.6 billion of our 2030 Senior Notes. We expect to pay less than $147 million in interest payments in 2024 specific to these notes, of which we have paid $6 million during the three months ended March 31, 2024. See “Note 6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spend is expected to be 3-5% of revenue over a 12 to 18 month rolling period and our 2024 capital spend is projected to be within the same framework. Our payments on our operating and finance leases in 2024 are expected to be approximately $61 million and $25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are held by subsidiaries outside of Ireland. At March 31, 2024 and December 31, 2023, we had approximately $141 million and $92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Ratings Services’ Credit Ratings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ratings at December 31, 2023 have been maintained through March 31,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exposure in Mexico as noted in the above “Cash Requirements” section and in “Note 11 – Credit Default Swap, as of March 31, 2024 and December 31, 2023, our net accounts receivables in Mexico were 28% and 27% of our total net accounts receivables, respectively, of which our largest customer in the country accounted for 24% and 22% of our total net outstanding accounts receivables, respectively. From time to time, we experience delays in payments from our largest customer in Mexico although the balances due are not in dispute and we do not expect to have any material write-offs of receivables, delays or failure to pay in the future could differ from management’s expectations and negatively impact future results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our net accounts receivables in the U.S. was 10% and 11% of total net accounts receivables, respectively. Except for the above, no other country accounted for more than 10% of our net accounts receivables balance.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Factoring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participate in factoring arrangements to sell accounts receivable to third-party financial institutions for cash proceeds net of discounts and hold-back. During the three months ended March 31, 2024 and March 31, 2023, we sold accounts receivable balances of $8 million and $46 million, and received cash proceeds of $8 million and $42 million, respectively, at the time of factoring.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Credit Agreement, Letters of Credit and Surety Bonds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Bermuda, Weatherford Delaware, and Weatherford Canada Ltd. (“Weatherford Canada”) and WOFS International Finance GmbH (“Weatherford Switzerland”), together, as borrowers, and the Company as parent, have an amended and restated credit agreement (the “Credit Agreement”). The amended Credit Agreement as of December 31, 2023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zero borrowings outstanding under the Credit Agreement, and $374 million of letters of credit outstanding, consisting of the $273 million ($223 million for performance letters of credit and $50 million for financial letters of credit) under the Credit Agreement and another $101 million under various uncommitted bi-lateral facilities (of which there was $100 million in cash collateral held and recorded in “Restricted Cash” on the Condensed Consolidated Balance Sheets). As of December 31, 2023, we had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Latin America we utilize surety bonds as part of our customary business practice. As of March 31, 2024 and December 31, 2023, we had surety bonds outstanding of $511 million and $594 million, respectively. Any of our outstanding letters of credit or surety bonds could be called by the beneficiaries should we breach certain contractual or performance obligations and could reduce our available liquidity if we are unable to mitigate the issue.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political, economic and market conditions, political disturbances, war, terrorist attacks, changes in global trade policies, weak local economic conditions and international currency fluctuations (including the Russia Ukraine Conflict);</w:t>
      </w:r>
    </w:p>
    <w:p>
      <w:pPr>
        <w:pStyle w:val="TextBody"/>
        <w:bidi w:val="0"/>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general global economic repercussions related to U.S. and global inflationary pressures and potential recessionary concerns;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price and price volatility of, and demand for, oil, natural gas and natural gas liquids;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member-country quota compliance within the Organization of Petroleum Exporting Countries;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realize expected revenues and profitability levels from current and future contracts;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generate cash flow from operations to fund our operations;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increases in the prices, lead times and lack of availability of our procured products and services;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timely collect from customers;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realize cost savings and business enhancements from our revenue and cost improvement efforts;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attract, motivate and retain employees, including key personnel;</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access to capital markets on terms that are commercially acceptable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service our debt obligations;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potential non-cash asset impairment charges for long-lived assets, intangible assets or other assets;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weather conditions in certain regions of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has not changed materially since December 31, 2023. For additional information, see “Note 6 – Borrowings and Other Debt Obligations” in the Notes to Condensed Consolidated Financial Statements, as well as “Other Expense, Net” and “Liquidity and Capital Resources” under Item 2. Management’s Discussion and Analysis of Financial Condition and Results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Evaluation of Disclosure Controls and Procedures. </w:t>
      </w:r>
      <w:r>
        <w:rPr>
          <w:rFonts w:ascii="Times New Roman;sans-serif" w:hAnsi="Times New Roman;sans-serif"/>
          <w:b w:val="false"/>
          <w:color w:val="000000"/>
          <w:sz w:val="20"/>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and with the participation of our CEO and CFO, evaluated the effectiveness of the design and operation of our disclosure controls and procedures at March 31, 2024. Based on that evaluation, our CEO and CFO concluded that our disclosure controls and procedures were effective as of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identified no change in our internal control over financial reporting that occurred during the three months ended March 31, 2024 that has materially affected, or is reasonably likely to materially affect, our internal control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7 – Disputes, Litigation and Legal Contingencies” in our Notes to Condensed Consolidated Financial Statements for details regarding our ongoing disputes and litigation.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You should consider carefully all of the risk factors described in our 2023 Form 10-K, Part I, under the heading “Item 1A. Risk Factors” and other information included and incorporated by reference in this report. As of March 31, 2024, there have been no material changes in our assessment of our risk factors from the aforementioned.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 of Equity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previously disclosed in our Current Report on Form 8-K filed on February 6, 2024, we made no unregistered sales of our ordinary shares during the three months ended March 31, 2024. </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executive officer of the Company adopted or terminated a “Rule 10b5-1 trading arrangement” or “non-Rule 10b5-1 trading arrangement,” as each term is defined in Item 408(a) of Regulation 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Weatherford International Ltd. (“WIL-Bermuda”), Weatherford International, LLC (“WIL-Delaware”), Weatherford Canada Ltd. (“WIL-Canada”) and WOFS International Finance GmbH (“WIL-Switzerland and, together with WIL-Bermuda, WIL-Delaware and WIL-Canada, the “Borrowers”), as borrowers, and Weatherford International plc (the “Company”), as parent, entered into an amended and restated credit agreement (as amended and supplemented by the Canadian Borrower Joinder, dated as of November 22, 2022, the Additional Lender Supplement, dated as of November 22, 2022, the First Amendment to Amended and Restated Credit Agreement, dated as of November 22, 2022, the Second Amendment to Amended and Restated Credit Agreement, dated as of January 6, 2023, the Third Amendment to Amended and Restated Credit Agreement, dated as of March 24, 2023, the Fourth Amendment to Amended and Restated Credit Agreement, dated as of October 24, 2023 and the Additional Lender Supplement (as defined below), the “Amended and Restated Credit Agreement”) with the lenders party thereto and Wells Fargo Bank, National Association, as administrative agent (in such capacity, the “Administrative Agent”), on October 17, 2022. Capitalized terms not defined herein shall have the meanings set forth in the Amended and Restated Credit Agreement.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22, 2024 (the “Effective Date”), the Borrowers and the Company exercised a $130 million incremental increase to the Borrowers’ revolving credit facility (resulting in an aggregate credit facility size of $680 million) by entering into an additional lender supplement to the Amended and Restated Credit Agreement (the “Additional Lender Supplement”) with certain additional lenders (the “Additional Lenders”), the Administrative Agent and the other lenders and issuing banks party thereto, whereby the Additional Lenders (or their affiliates) became Lenders and Issuing Banks under the Amended and Restated Credit Agreement and provided aggregate additional commitments of $130 million comprised, as of the Effective Date, of (i) approximately $59 million for the issuance of bid and performance letters of credit for the Borrowers and certain subsidiaries and (ii) approximately $71 million for revolving loans and the issuance of bid, performance and financial letters of credit for the Borrowers and certain subsidiaries.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of the Additional Lender Supplement is only a summary and does not purport to be complete and is qualified in its entirety by reference to the full text of the Additional Lender Supplement, a copy of which is attached hereto as Exhibit 10.1, and is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0" w:after="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exhibits designated with a dagger (†) are filed herewith or double dagger (††) are furnished herewith.</w:t>
      </w:r>
    </w:p>
    <w:tbl>
      <w:tblPr>
        <w:tblW w:w="10205" w:type="dxa"/>
        <w:jc w:val="left"/>
        <w:tblInd w:w="0" w:type="dxa"/>
        <w:tblLayout w:type="fixed"/>
        <w:tblCellMar>
          <w:top w:w="28" w:type="dxa"/>
          <w:left w:w="28" w:type="dxa"/>
          <w:bottom w:w="28" w:type="dxa"/>
          <w:right w:w="28" w:type="dxa"/>
        </w:tblCellMar>
      </w:tblPr>
      <w:tblGrid>
        <w:gridCol w:w="327"/>
        <w:gridCol w:w="287"/>
        <w:gridCol w:w="288"/>
        <w:gridCol w:w="109"/>
        <w:gridCol w:w="109"/>
        <w:gridCol w:w="109"/>
        <w:gridCol w:w="2399"/>
        <w:gridCol w:w="2309"/>
        <w:gridCol w:w="2330"/>
        <w:gridCol w:w="332"/>
        <w:gridCol w:w="332"/>
        <w:gridCol w:w="333"/>
        <w:gridCol w:w="273"/>
        <w:gridCol w:w="273"/>
        <w:gridCol w:w="395"/>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1-wfrdxadditionallende.htm">
              <w:r>
                <w:rPr>
                  <w:rStyle w:val="InternetLink"/>
                  <w:rFonts w:ascii="Times New Roman;sans-serif" w:hAnsi="Times New Roman;sans-serif"/>
                  <w:b w:val="false"/>
                  <w:color w:val="0000FF"/>
                  <w:sz w:val="20"/>
                  <w:u w:val="single"/>
                </w:rPr>
                <w:t>Additional Lender Supplement, dated as of April 22, 2023, by and among Weatherford International Ltd., Weatherford International, LLC, Weatherford Canada Ltd., WOFS International Finance GmbH, Weatherford International plc, JPMorgan Chase Bank, N.A., as an Additional Lender and Issuing Bank, DNB Bank ASA, New York Branch, as an Issuing Bank, DNB Capital LLC, as an Additional Lender, the other Lenders and Issuing Banks party thereto and Wells Fargo Bank, National Association, as administrative agent.</w:t>
              </w:r>
            </w:hyperlink>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1ex311ceo302cert.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1ex312cfo302cert.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1ex321ceo906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1ex322cfo906cert.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904429fcffc5499d805bc033cf13d3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668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Arunava Mitra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i/>
          <w:color w:val="000000"/>
          <w:sz w:val="24"/>
        </w:rPr>
      </w:pPr>
      <w:r>
        <w:rPr>
          <w:rFonts w:ascii="Times New Roman;sans-serif" w:hAnsi="Times New Roman;sans-serif"/>
          <w:b w:val="false"/>
          <w:i/>
          <w:color w:val="000000"/>
          <w:sz w:val="24"/>
        </w:rPr>
        <w:t xml:space="preserve">Execution Version </w:t>
      </w:r>
    </w:p>
    <w:p>
      <w:pPr>
        <w:pStyle w:val="TextBody"/>
        <w:bidi w:val="0"/>
        <w:spacing w:lineRule="auto" w:line="288"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ADDITIONAL LENDER SUPPLEMENT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ADDITIONAL LENDER SUPPLEMENT, dated as of April 22, 2024 (this “</w:t>
      </w:r>
      <w:r>
        <w:rPr>
          <w:rFonts w:ascii="Times New Roman;sans-serif" w:hAnsi="Times New Roman;sans-serif"/>
          <w:b w:val="false"/>
          <w:color w:val="000000"/>
          <w:sz w:val="20"/>
          <w:u w:val="single"/>
        </w:rPr>
        <w:t>Supplement</w:t>
      </w:r>
      <w:r>
        <w:rPr>
          <w:color w:val="000000"/>
        </w:rPr>
        <w:t>”</w:t>
      </w:r>
      <w:r>
        <w:rPr>
          <w:rFonts w:ascii="Times New Roman;sans-serif" w:hAnsi="Times New Roman;sans-serif"/>
          <w:b w:val="false"/>
          <w:color w:val="000000"/>
          <w:sz w:val="20"/>
        </w:rPr>
        <w:t>), by and among each of the signatories hereto, to the Amended and Restated Credit Agreement, dated as of October 17, 2022 (as amended, restated, amended and restated, supplemented or otherwise modified from time to time, the “</w:t>
      </w:r>
      <w:r>
        <w:rPr>
          <w:rFonts w:ascii="Times New Roman;sans-serif" w:hAnsi="Times New Roman;sans-serif"/>
          <w:b w:val="false"/>
          <w:color w:val="000000"/>
          <w:sz w:val="20"/>
          <w:u w:val="single"/>
        </w:rPr>
        <w:t>Credit Agreement</w:t>
      </w:r>
      <w:r>
        <w:rPr>
          <w:color w:val="000000"/>
        </w:rPr>
        <w:t>”</w:t>
      </w:r>
      <w:r>
        <w:rPr>
          <w:rFonts w:ascii="Times New Roman;sans-serif" w:hAnsi="Times New Roman;sans-serif"/>
          <w:b w:val="false"/>
          <w:color w:val="000000"/>
          <w:sz w:val="20"/>
        </w:rPr>
        <w:t>), among Weatherford International Ltd., a Bermuda exempted company (“</w:t>
      </w:r>
      <w:r>
        <w:rPr>
          <w:rFonts w:ascii="Times New Roman;sans-serif" w:hAnsi="Times New Roman;sans-serif"/>
          <w:b w:val="false"/>
          <w:color w:val="000000"/>
          <w:sz w:val="20"/>
          <w:u w:val="single"/>
        </w:rPr>
        <w:t>WIL-Bermuda</w:t>
      </w:r>
      <w:r>
        <w:rPr>
          <w:color w:val="000000"/>
        </w:rPr>
        <w:t>”</w:t>
      </w:r>
      <w:r>
        <w:rPr>
          <w:rFonts w:ascii="Times New Roman;sans-serif" w:hAnsi="Times New Roman;sans-serif"/>
          <w:b w:val="false"/>
          <w:color w:val="000000"/>
          <w:sz w:val="20"/>
        </w:rPr>
        <w:t>), Weatherford Canada Ltd., an Alberta corporation (“</w:t>
      </w:r>
      <w:r>
        <w:rPr>
          <w:rFonts w:ascii="Times New Roman;sans-serif" w:hAnsi="Times New Roman;sans-serif"/>
          <w:b w:val="false"/>
          <w:color w:val="000000"/>
          <w:sz w:val="20"/>
          <w:u w:val="single"/>
        </w:rPr>
        <w:t>WIL-Canada</w:t>
      </w:r>
      <w:r>
        <w:rPr>
          <w:color w:val="000000"/>
        </w:rPr>
        <w:t>”</w:t>
      </w:r>
      <w:r>
        <w:rPr>
          <w:rFonts w:ascii="Times New Roman;sans-serif" w:hAnsi="Times New Roman;sans-serif"/>
          <w:b w:val="false"/>
          <w:color w:val="000000"/>
          <w:sz w:val="20"/>
        </w:rPr>
        <w:t>), Weatherford International, LLC, a Delaware limited liability company (“</w:t>
      </w:r>
      <w:r>
        <w:rPr>
          <w:rFonts w:ascii="Times New Roman;sans-serif" w:hAnsi="Times New Roman;sans-serif"/>
          <w:b w:val="false"/>
          <w:color w:val="000000"/>
          <w:sz w:val="20"/>
          <w:u w:val="single"/>
        </w:rPr>
        <w:t>WIL-Delaware</w:t>
      </w:r>
      <w:r>
        <w:rPr>
          <w:color w:val="000000"/>
        </w:rPr>
        <w:t>”</w:t>
      </w:r>
      <w:r>
        <w:rPr>
          <w:rFonts w:ascii="Times New Roman;sans-serif" w:hAnsi="Times New Roman;sans-serif"/>
          <w:b w:val="false"/>
          <w:color w:val="000000"/>
          <w:sz w:val="20"/>
        </w:rPr>
        <w:t>), WOFS International Finance GmbH, a Swiss limited liability company (“</w:t>
      </w:r>
      <w:r>
        <w:rPr>
          <w:rFonts w:ascii="Times New Roman;sans-serif" w:hAnsi="Times New Roman;sans-serif"/>
          <w:b w:val="false"/>
          <w:color w:val="000000"/>
          <w:sz w:val="20"/>
          <w:u w:val="single"/>
        </w:rPr>
        <w:t>WIL-Switzerland</w:t>
      </w:r>
      <w:r>
        <w:rPr>
          <w:color w:val="000000"/>
        </w:rPr>
        <w:t xml:space="preserve">” </w:t>
      </w:r>
      <w:r>
        <w:rPr>
          <w:rFonts w:ascii="Times New Roman;sans-serif" w:hAnsi="Times New Roman;sans-serif"/>
          <w:b w:val="false"/>
          <w:color w:val="000000"/>
          <w:sz w:val="20"/>
        </w:rPr>
        <w:t>and, together with WIL-Bermuda, WIL-Canada and WIL-Delaware, the “</w:t>
      </w:r>
      <w:r>
        <w:rPr>
          <w:rFonts w:ascii="Times New Roman;sans-serif" w:hAnsi="Times New Roman;sans-serif"/>
          <w:b w:val="false"/>
          <w:color w:val="000000"/>
          <w:sz w:val="20"/>
          <w:u w:val="single"/>
        </w:rPr>
        <w:t>Borrowers</w:t>
      </w:r>
      <w:r>
        <w:rPr>
          <w:color w:val="000000"/>
        </w:rPr>
        <w:t>”</w:t>
      </w:r>
      <w:r>
        <w:rPr>
          <w:rFonts w:ascii="Times New Roman;sans-serif" w:hAnsi="Times New Roman;sans-serif"/>
          <w:b w:val="false"/>
          <w:color w:val="000000"/>
          <w:sz w:val="20"/>
        </w:rPr>
        <w:t>), Weatherford International plc, an Irish public limited company (“</w:t>
      </w:r>
      <w:r>
        <w:rPr>
          <w:rFonts w:ascii="Times New Roman;sans-serif" w:hAnsi="Times New Roman;sans-serif"/>
          <w:b w:val="false"/>
          <w:color w:val="000000"/>
          <w:sz w:val="20"/>
          <w:u w:val="single"/>
        </w:rPr>
        <w:t>Parent</w:t>
      </w:r>
      <w:r>
        <w:rPr>
          <w:color w:val="000000"/>
        </w:rPr>
        <w:t>”</w:t>
      </w:r>
      <w:r>
        <w:rPr>
          <w:rFonts w:ascii="Times New Roman;sans-serif" w:hAnsi="Times New Roman;sans-serif"/>
          <w:b w:val="false"/>
          <w:color w:val="000000"/>
          <w:sz w:val="20"/>
        </w:rPr>
        <w:t>), the Lenders from time to time party thereto, Wells Fargo Bank, National Association, as administrative agent for the Lenders, and the Issuing Banks from time to time party thereto. Capitalized terms used but not otherwise defined herein shall have the respective meanings specified therefor in the Credit Agreement.</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pursuant to </w:t>
      </w:r>
      <w:r>
        <w:rPr>
          <w:rFonts w:ascii="Times New Roman;sans-serif" w:hAnsi="Times New Roman;sans-serif"/>
          <w:b w:val="false"/>
          <w:color w:val="000000"/>
          <w:sz w:val="20"/>
          <w:u w:val="single"/>
        </w:rPr>
        <w:t>Section 4.13</w:t>
      </w:r>
      <w:r>
        <w:rPr>
          <w:color w:val="000000"/>
        </w:rPr>
        <w:t xml:space="preserve"> </w:t>
      </w:r>
      <w:r>
        <w:rPr>
          <w:rFonts w:ascii="Times New Roman;sans-serif" w:hAnsi="Times New Roman;sans-serif"/>
          <w:b w:val="false"/>
          <w:color w:val="000000"/>
          <w:sz w:val="20"/>
        </w:rPr>
        <w:t xml:space="preserve">of the Credit Agreement, the Borrowers have the right, subject to the terms and conditions thereof, to effectuate from time to time an increase in the aggregate Commitments under the Credit Agreement by requesting one or more Persons meeting the qualifications set forth in such </w:t>
      </w:r>
      <w:r>
        <w:rPr>
          <w:rFonts w:ascii="Times New Roman;sans-serif" w:hAnsi="Times New Roman;sans-serif"/>
          <w:b w:val="false"/>
          <w:color w:val="000000"/>
          <w:sz w:val="20"/>
          <w:u w:val="single"/>
        </w:rPr>
        <w:t>Section 4.13</w:t>
      </w:r>
      <w:r>
        <w:rPr>
          <w:color w:val="000000"/>
        </w:rPr>
        <w:t xml:space="preserve"> </w:t>
      </w:r>
      <w:r>
        <w:rPr>
          <w:rFonts w:ascii="Times New Roman;sans-serif" w:hAnsi="Times New Roman;sans-serif"/>
          <w:b w:val="false"/>
          <w:color w:val="000000"/>
          <w:sz w:val="20"/>
        </w:rPr>
        <w:t>to provide an Incremental Increase;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the Credit Agreement provides in </w:t>
      </w:r>
      <w:r>
        <w:rPr>
          <w:rFonts w:ascii="Times New Roman;sans-serif" w:hAnsi="Times New Roman;sans-serif"/>
          <w:b w:val="false"/>
          <w:color w:val="000000"/>
          <w:sz w:val="20"/>
          <w:u w:val="single"/>
        </w:rPr>
        <w:t>Section 4.13</w:t>
      </w:r>
      <w:r>
        <w:rPr>
          <w:color w:val="000000"/>
        </w:rPr>
        <w:t xml:space="preserve"> </w:t>
      </w:r>
      <w:r>
        <w:rPr>
          <w:rFonts w:ascii="Times New Roman;sans-serif" w:hAnsi="Times New Roman;sans-serif"/>
          <w:b w:val="false"/>
          <w:color w:val="000000"/>
          <w:sz w:val="20"/>
        </w:rPr>
        <w:t xml:space="preserve">thereof that any Person providing an Incremental Increase must meet the requirements set forth in such </w:t>
      </w:r>
      <w:r>
        <w:rPr>
          <w:rFonts w:ascii="Times New Roman;sans-serif" w:hAnsi="Times New Roman;sans-serif"/>
          <w:b w:val="false"/>
          <w:color w:val="000000"/>
          <w:sz w:val="20"/>
          <w:u w:val="single"/>
        </w:rPr>
        <w:t>Section 4.13</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WHEREAS, immediately prior to giving effect to this Supplement, neither JPMorgan Chase Bank, N.A. (“</w:t>
      </w:r>
      <w:r>
        <w:rPr>
          <w:rFonts w:ascii="Times New Roman;sans-serif" w:hAnsi="Times New Roman;sans-serif"/>
          <w:b w:val="false"/>
          <w:color w:val="000000"/>
          <w:sz w:val="20"/>
          <w:u w:val="single"/>
        </w:rPr>
        <w:t>JPMorgan</w:t>
      </w:r>
      <w:r>
        <w:rPr>
          <w:color w:val="000000"/>
        </w:rPr>
        <w:t>”</w:t>
      </w:r>
      <w:r>
        <w:rPr>
          <w:rFonts w:ascii="Times New Roman;sans-serif" w:hAnsi="Times New Roman;sans-serif"/>
          <w:b w:val="false"/>
          <w:color w:val="000000"/>
          <w:sz w:val="20"/>
        </w:rPr>
        <w:t>) nor DNB Capital LLC (“</w:t>
      </w:r>
      <w:r>
        <w:rPr>
          <w:rFonts w:ascii="Times New Roman;sans-serif" w:hAnsi="Times New Roman;sans-serif"/>
          <w:b w:val="false"/>
          <w:color w:val="000000"/>
          <w:sz w:val="20"/>
          <w:u w:val="single"/>
        </w:rPr>
        <w:t>DNB</w:t>
      </w:r>
      <w:r>
        <w:rPr>
          <w:color w:val="000000"/>
        </w:rPr>
        <w:t xml:space="preserve">” </w:t>
      </w:r>
      <w:r>
        <w:rPr>
          <w:rFonts w:ascii="Times New Roman;sans-serif" w:hAnsi="Times New Roman;sans-serif"/>
          <w:b w:val="false"/>
          <w:color w:val="000000"/>
          <w:sz w:val="20"/>
        </w:rPr>
        <w:t>and, together with JPMorgan, collectively, the “</w:t>
      </w:r>
      <w:r>
        <w:rPr>
          <w:rFonts w:ascii="Times New Roman;sans-serif" w:hAnsi="Times New Roman;sans-serif"/>
          <w:b w:val="false"/>
          <w:color w:val="000000"/>
          <w:sz w:val="20"/>
          <w:u w:val="single"/>
        </w:rPr>
        <w:t>Additional Lenders</w:t>
      </w:r>
      <w:r>
        <w:rPr>
          <w:color w:val="000000"/>
        </w:rPr>
        <w:t xml:space="preserve">” </w:t>
      </w:r>
      <w:r>
        <w:rPr>
          <w:rFonts w:ascii="Times New Roman;sans-serif" w:hAnsi="Times New Roman;sans-serif"/>
          <w:b w:val="false"/>
          <w:color w:val="000000"/>
          <w:sz w:val="20"/>
        </w:rPr>
        <w:t>and each, individually, an “</w:t>
      </w:r>
      <w:r>
        <w:rPr>
          <w:rFonts w:ascii="Times New Roman;sans-serif" w:hAnsi="Times New Roman;sans-serif"/>
          <w:b w:val="false"/>
          <w:color w:val="000000"/>
          <w:sz w:val="20"/>
          <w:u w:val="single"/>
        </w:rPr>
        <w:t>Additional Lender</w:t>
      </w:r>
      <w:r>
        <w:rPr>
          <w:color w:val="000000"/>
        </w:rPr>
        <w:t>”</w:t>
      </w:r>
      <w:r>
        <w:rPr>
          <w:rFonts w:ascii="Times New Roman;sans-serif" w:hAnsi="Times New Roman;sans-serif"/>
          <w:b w:val="false"/>
          <w:color w:val="000000"/>
          <w:sz w:val="20"/>
        </w:rPr>
        <w:t>) were Lenders under the Credit Agreement, but now each desires to become a party thereto as a Lender thereunder;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each of the parties hereto hereby agrees as follows: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1.Each Additional Lender agrees to be bound by the provisions of the Credit Agreement as a Lender thereunder and agrees that it shall, as of the date of this Supplement, become a Lender for all purposes of the Credit Agreement to the same extent as if originally a party thereto, with (a) in the case of JPMorgan, a Performance LC Commitment equal to $36,363,636.36 and a Revolving Credit Commitment equal to $43,636,363.64 and (b) in the case of DNB, a Performance LC Commitment equal to $22,727,272.73 and a Revolving Credit Commitment equal to $27,272,727.27.</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2.Each Additional Lender (a) represents and warrants that (i) it has full power and authority, and has taken all action necessary, to execute and deliver this Supplement and to consummate the transactions contemplated hereby and to become a Lender under the Credit Agreement, (ii) it has delivered to Parent and/or the Administrative Agent, as applicable, an Administrative Questionnaire, the forms required under </w:t>
      </w:r>
      <w:r>
        <w:rPr>
          <w:rFonts w:ascii="Times New Roman;sans-serif" w:hAnsi="Times New Roman;sans-serif"/>
          <w:b w:val="false"/>
          <w:color w:val="000000"/>
          <w:sz w:val="20"/>
          <w:u w:val="single"/>
        </w:rPr>
        <w:t>Sections 5.02(c)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5.02(e)</w:t>
      </w:r>
      <w:r>
        <w:rPr>
          <w:color w:val="000000"/>
        </w:rPr>
        <w:t xml:space="preserve"> </w:t>
      </w:r>
      <w:r>
        <w:rPr>
          <w:rFonts w:ascii="Times New Roman;sans-serif" w:hAnsi="Times New Roman;sans-serif"/>
          <w:b w:val="false"/>
          <w:color w:val="000000"/>
          <w:sz w:val="20"/>
        </w:rPr>
        <w:t xml:space="preserve">of the Credit Agreement and an Assignee Certificate, in each case duly completed and executed by such Additional Lender, and (iii) it is not subject under current law to any withholding tax on amounts payable to it under the Credit Agreement; (b) confirms that it has received a copy of the Credit Agreement, together with copies of the most recent financial statements delivered pursuant to </w:t>
      </w:r>
      <w:r>
        <w:rPr>
          <w:rFonts w:ascii="Times New Roman;sans-serif" w:hAnsi="Times New Roman;sans-serif"/>
          <w:b w:val="false"/>
          <w:color w:val="000000"/>
          <w:sz w:val="20"/>
          <w:u w:val="single"/>
        </w:rPr>
        <w:t>Section 8.01</w:t>
      </w:r>
      <w:r>
        <w:rPr>
          <w:color w:val="000000"/>
        </w:rPr>
        <w:t xml:space="preserve"> </w:t>
      </w:r>
      <w:r>
        <w:rPr>
          <w:rFonts w:ascii="Times New Roman;sans-serif" w:hAnsi="Times New Roman;sans-serif"/>
          <w:b w:val="false"/>
          <w:color w:val="000000"/>
          <w:sz w:val="20"/>
        </w:rPr>
        <w:t xml:space="preserve">thereof,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irrevocably designates, </w:t>
      </w:r>
    </w:p>
    <w:p>
      <w:pPr>
        <w:pStyle w:val="TextBody"/>
        <w:bidi w:val="0"/>
        <w:spacing w:before="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appoints and authorizes the Administrative Agent as the agent of such Lender under the Credit Agreement and the other Loan Documents; (e) irrevocably authorizes the Administrative Agent to take such actions on its behalf under the provisions of the Credit Agreement and the other Loan Documents, including execution of the other Loan Documents, and to exercise such powers and perform such duties as are expressly delegated to the Administrative Agent by the terms of the Credit Agreement and of the other Loan Documents, together with such actions and powers as are reasonably incidental thereto; and (f) agrees that it will be bound by the provisions of the Credit Agreement and will perform in accordance with its terms all the obligations which by the terms of the Credit Agreement are required to be performed by it as a Lender.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3.JPMorgan’s address for notices for the purposes of the Credit Agreement is as follows: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10410 Highland Manor Dr. 3rd Floor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Tampa, FL 33610</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Attention: Standby LC Unit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Tel: 800-364-1969</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Fax: 856-294-5267</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GTS.Client.Services@jpmchase.com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a copy 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500 Stanton Christiana Rd.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NCC5 / 1st Floor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Newark, DE 19713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Attention: Loan &amp; Agency Services Group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Email: NA.CPG@jpmorgan.com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4.DNB’s address for notices for the purposes of the Credit Agreement is as follows:</w:t>
      </w:r>
    </w:p>
    <w:p>
      <w:pPr>
        <w:pStyle w:val="TextBody"/>
        <w:bidi w:val="0"/>
        <w:spacing w:lineRule="auto" w:line="288" w:before="0" w:after="240"/>
        <w:jc w:val="left"/>
        <w:rPr/>
      </w:pPr>
      <w:r>
        <w:rPr>
          <w:rFonts w:ascii="Times New Roman;sans-serif" w:hAnsi="Times New Roman;sans-serif"/>
          <w:b w:val="false"/>
          <w:color w:val="000000"/>
          <w:sz w:val="20"/>
        </w:rPr>
        <w:t>DNB Bank ASA, New York Branch</w:t>
        <w:br/>
        <w:t>DNB Capital LLC</w:t>
        <w:br/>
        <w:t>30 Hudson Yards, 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Floor</w:t>
        <w:br/>
        <w:t>New York, NY, 10001, USA</w:t>
        <w:br/>
        <w:t>+1 212-681-3800</w:t>
        <w:br/>
        <w:t xml:space="preserve">nyloanscsd@dnb.no, with a copy to LegalNorthAmerica@dnb.no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5.The Borrowers hereby represent and warrant that no Default or Event of Default has occurred and is continuing on and as of the date hereof both immediately before and after giving effect to the increase in Commitments contemplated herein.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6.Terms defined in the Credit Agreement shall have their respective defined meanings when used herein.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7.This Supplement and all other documents executed in connection herewith and the rights and obligations of the parties hereto and thereto shall be construed in accordance with and governed by the law of the State of New York (whether based on tort, contract or otherwise and in law or equity).</w:t>
      </w:r>
    </w:p>
    <w:p>
      <w:pPr>
        <w:pStyle w:val="TextBody"/>
        <w:bidi w:val="0"/>
        <w:spacing w:before="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8.This Supplement may be executed in any number of counterparts and by different parties hereto in separate counterparts, each of which when so executed shall be deemed to be an original and all of which taken together shall constitute one and the same document. This Supplement,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Delivery of an executed counterpart of a signature page to this Supplement by facsimile transmission or electronic transmission (in .pdf format) shall be effective for all purposes as delivery of a manually executed counterpart of this Supplement. The words “execution”, “signed”, “signature”, “delivery”, and words of like import in or relating to any document to be signed in connection with this Supplement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9.The Borrowers hereby designate each of JPMorgan and DNB Bank ASA, New York Branch (as an Affiliate of DNB) as an Issuing Bank and, immediately upon execution of this Supplement, the parties hereto hereby agree that JPMorgan shall constitute an Issuing Bank and have a Fronting Commitment of $80,000,000.00 and DNB Bank ASA, New York Branch shall constitute an Issuing Bank and have a Fronting Commitment of $0.00. This Supplement shall constitute the “Issuing Bank Agreement” with respect to each Additional Lender for purposes of Section 3.01(l) of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10.Each of the Administrative Agent, the Borrowers, the Issuing Banks and the Lenders (including the Additional Lenders) hereby (a) agrees that, on and after the date of this Supplement, (i) the Applicable Percentage (LCs) (including as related to both Performance Letters of Credit and Revolving Letters of Credit), Applicable Percentage (Loans), Applicable Percentage (Total), Revolving Credit Commitment, Performance LC Commitment and Fronting Commitment of each Lender shall be as set forth on </w:t>
      </w:r>
      <w:r>
        <w:rPr>
          <w:rFonts w:ascii="Times New Roman;sans-serif" w:hAnsi="Times New Roman;sans-serif"/>
          <w:b w:val="false"/>
          <w:color w:val="000000"/>
          <w:sz w:val="20"/>
          <w:u w:val="single"/>
        </w:rPr>
        <w:t>Schedule 2.01</w:t>
      </w:r>
      <w:r>
        <w:rPr>
          <w:color w:val="000000"/>
        </w:rPr>
        <w:t xml:space="preserve"> </w:t>
      </w:r>
      <w:r>
        <w:rPr>
          <w:rFonts w:ascii="Times New Roman;sans-serif" w:hAnsi="Times New Roman;sans-serif"/>
          <w:b w:val="false"/>
          <w:color w:val="000000"/>
          <w:sz w:val="20"/>
        </w:rPr>
        <w:t>attached hereto, which Schedule 2.01 supersedes and replaces Schedule 2.01 to the Credit Agreement, and (ii) the Revolving Loan-Specific Commitments are hereby terminated; (b) consents to any assignments and assumptions, deemed assignments and assumptions and/or other reallocation procedures reasonably deemed necessary by the Administrative Agent to achieve such allocations; and (c) agrees that in no event shall DNB Bank ASA, New York Branch be required to issue Commercial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11.This Supplement is a Loan Document. Sections 12.06, 12.15 and 12.16 of the Credit Agreement are hereby incorporated herein, </w:t>
      </w:r>
      <w:r>
        <w:rPr>
          <w:rFonts w:ascii="Times New Roman;sans-serif" w:hAnsi="Times New Roman;sans-serif"/>
          <w:b w:val="false"/>
          <w:i/>
          <w:color w:val="000000"/>
          <w:sz w:val="20"/>
        </w:rPr>
        <w:t>mutatis mutandis.</w:t>
      </w:r>
      <w:r>
        <w:rPr>
          <w:color w:val="000000"/>
        </w:rPr>
        <w:t xml:space="preserve"> </w:t>
      </w:r>
    </w:p>
    <w:p>
      <w:pPr>
        <w:pStyle w:val="TextBody"/>
        <w:bidi w:val="0"/>
        <w:spacing w:lineRule="auto" w:line="288"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Remainder of this page intentionally left blank</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4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caused this Supplement to be executed and delivered by a duly authorized officer on the date first above written.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 as an Additional Lender and Issuing Bank</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Sofia Barrera Jaime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Sofia Barrera Jaime    </w:t>
      </w:r>
    </w:p>
    <w:p>
      <w:pPr>
        <w:pStyle w:val="TextBody"/>
        <w:bidi w:val="0"/>
        <w:spacing w:lineRule="auto" w:line="288" w:before="0" w:after="6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Vice President    </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DNB Bank ASA, New York Branch, as an Issuing Bank</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Sybille Andaur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Sybille Andaur    </w:t>
      </w:r>
    </w:p>
    <w:p>
      <w:pPr>
        <w:pStyle w:val="TextBody"/>
        <w:bidi w:val="0"/>
        <w:spacing w:lineRule="auto" w:line="288" w:before="0" w:after="6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Senior Vice President    </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George Philippopoulos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George Philippopoulos    </w:t>
      </w:r>
    </w:p>
    <w:p>
      <w:pPr>
        <w:pStyle w:val="TextBody"/>
        <w:bidi w:val="0"/>
        <w:spacing w:lineRule="auto" w:line="288" w:before="0" w:after="6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Senior Vice President    </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DNB Capital LLC, as an Additional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Sybille Andaur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Sybille Andaur    </w:t>
      </w:r>
    </w:p>
    <w:p>
      <w:pPr>
        <w:pStyle w:val="TextBody"/>
        <w:bidi w:val="0"/>
        <w:spacing w:lineRule="auto" w:line="288" w:before="0" w:after="6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Senior Vice President    </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George Philippopoulos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George Philippopoulos    </w:t>
      </w:r>
    </w:p>
    <w:p>
      <w:pPr>
        <w:pStyle w:val="TextBody"/>
        <w:bidi w:val="0"/>
        <w:spacing w:lineRule="auto" w:line="288" w:before="0" w:after="6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Senior Vice President    </w:t>
      </w:r>
    </w:p>
    <w:p>
      <w:pPr>
        <w:pStyle w:val="TextBody"/>
        <w:bidi w:val="0"/>
        <w:spacing w:before="0" w:after="600"/>
        <w:jc w:val="left"/>
        <w:rPr/>
      </w:pPr>
      <w:r>
        <w:rPr/>
      </w:r>
    </w:p>
    <w:p>
      <w:pPr>
        <w:pStyle w:val="TextBody"/>
        <w:bidi w:val="0"/>
        <w:spacing w:before="0" w:after="24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Accepted and agreed to as of the date first written above: </w:t>
      </w:r>
    </w:p>
    <w:p>
      <w:pPr>
        <w:pStyle w:val="TextBody"/>
        <w:bidi w:val="0"/>
        <w:spacing w:lineRule="auto" w:line="288" w:before="0" w:after="240"/>
        <w:jc w:val="left"/>
        <w:rPr/>
      </w:pPr>
      <w:r>
        <w:rPr>
          <w:rFonts w:ascii="Times New Roman;sans-serif" w:hAnsi="Times New Roman;sans-serif"/>
          <w:b w:val="false"/>
          <w:color w:val="000000"/>
          <w:sz w:val="20"/>
          <w:u w:val="single"/>
        </w:rPr>
        <w:t>WIL-BERMUDA</w:t>
      </w:r>
      <w:r>
        <w:rPr>
          <w:rFonts w:ascii="Times New Roman;sans-serif" w:hAnsi="Times New Roman;sans-serif"/>
          <w:b w:val="false"/>
          <w:color w:val="000000"/>
          <w:sz w:val="20"/>
        </w:rPr>
        <w:t>:</w:t>
      </w:r>
      <w:r>
        <w:rPr>
          <w:color w:val="000000"/>
          <w:u w:val="single"/>
        </w:rPr>
        <w:t xml:space="preserve"> </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INTERNATIONAL LTD., </w:t>
        <w:br/>
        <w:t>a Bermuda exempted company</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Maximiliano A. Kricorian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Maximiliano A. Kricorian </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Vice President and Treasurer </w:t>
      </w:r>
    </w:p>
    <w:p>
      <w:pPr>
        <w:pStyle w:val="TextBody"/>
        <w:bidi w:val="0"/>
        <w:spacing w:lineRule="auto" w:line="288" w:before="0" w:after="240"/>
        <w:jc w:val="left"/>
        <w:rPr/>
      </w:pPr>
      <w:r>
        <w:rPr>
          <w:rFonts w:ascii="Times New Roman;sans-serif" w:hAnsi="Times New Roman;sans-serif"/>
          <w:b w:val="false"/>
          <w:color w:val="000000"/>
          <w:sz w:val="20"/>
          <w:u w:val="single"/>
        </w:rPr>
        <w:t>WIL-DELAWARE</w:t>
      </w:r>
      <w:r>
        <w:rPr>
          <w:rFonts w:ascii="Times New Roman;sans-serif" w:hAnsi="Times New Roman;sans-serif"/>
          <w:b w:val="false"/>
          <w:color w:val="000000"/>
          <w:sz w:val="20"/>
        </w:rPr>
        <w: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LLC,</w:t>
        <w:br/>
        <w:t>a Delaware limited liability company</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Maximiliano A. Kricorian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Maximiliano A. Kricorian</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p>
      <w:pPr>
        <w:pStyle w:val="TextBody"/>
        <w:bidi w:val="0"/>
        <w:spacing w:lineRule="auto" w:line="288" w:before="0" w:after="240"/>
        <w:jc w:val="left"/>
        <w:rPr/>
      </w:pPr>
      <w:r>
        <w:rPr>
          <w:rFonts w:ascii="Times New Roman;sans-serif" w:hAnsi="Times New Roman;sans-serif"/>
          <w:b w:val="false"/>
          <w:color w:val="000000"/>
          <w:sz w:val="20"/>
          <w:u w:val="single"/>
        </w:rPr>
        <w:t>WIL-CANADA</w:t>
      </w:r>
      <w:r>
        <w:rPr>
          <w:rFonts w:ascii="Times New Roman;sans-serif" w:hAnsi="Times New Roman;sans-serif"/>
          <w:b w:val="false"/>
          <w:color w:val="000000"/>
          <w:sz w:val="20"/>
        </w:rPr>
        <w:t>:</w:t>
      </w:r>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CANADA LTD.,</w:t>
        <w:br/>
        <w:t>an Alberta corporation</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Pamela M. Webb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Pamela M. Webb</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Director </w:t>
      </w:r>
    </w:p>
    <w:p>
      <w:pPr>
        <w:pStyle w:val="TextBody"/>
        <w:bidi w:val="0"/>
        <w:spacing w:lineRule="auto" w:line="288" w:before="0" w:after="240"/>
        <w:jc w:val="left"/>
        <w:rPr/>
      </w:pPr>
      <w:r>
        <w:rPr>
          <w:rFonts w:ascii="Times New Roman;sans-serif" w:hAnsi="Times New Roman;sans-serif"/>
          <w:b w:val="false"/>
          <w:color w:val="000000"/>
          <w:sz w:val="20"/>
          <w:u w:val="single"/>
        </w:rPr>
        <w:t>WIL-SWITZERLAND</w:t>
      </w:r>
      <w:r>
        <w:rPr>
          <w:rFonts w:ascii="Times New Roman;sans-serif" w:hAnsi="Times New Roman;sans-serif"/>
          <w:b w:val="false"/>
          <w:color w:val="000000"/>
          <w:sz w:val="20"/>
        </w:rPr>
        <w:t>:</w:t>
      </w:r>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WOFS INTERNATIONAL FINANCE GMBH,</w:t>
        <w:br/>
        <w:t>a Swiss limited liability company</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Mathias Neuenschwander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Mathias Neuenschwander</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Managing Officer</w:t>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lineRule="auto" w:line="288" w:before="0" w:after="480"/>
        <w:jc w:val="left"/>
        <w:rPr/>
      </w:pPr>
      <w:r>
        <w:rPr>
          <w:rFonts w:ascii="Times New Roman;sans-serif" w:hAnsi="Times New Roman;sans-serif"/>
          <w:b w:val="false"/>
          <w:color w:val="000000"/>
          <w:sz w:val="20"/>
          <w:u w:val="single"/>
        </w:rPr>
        <w:t>PARENT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3"/>
        </w:rPr>
        <w:br/>
        <w:br/>
      </w:r>
      <w:r>
        <w:rPr>
          <w:rFonts w:ascii="Times New Roman;sans-serif" w:hAnsi="Times New Roman;sans-serif"/>
          <w:b w:val="false"/>
          <w:color w:val="000000"/>
          <w:sz w:val="20"/>
        </w:rPr>
        <w:t>WEATHERFORD INTERNATIONAL PLC</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Maximiliano A. Kricorian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Maximiliano A. Kricorian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p>
      <w:pPr>
        <w:pStyle w:val="TextBody"/>
        <w:bidi w:val="0"/>
        <w:spacing w:before="0" w:after="480"/>
        <w:jc w:val="left"/>
        <w:rPr/>
      </w:pPr>
      <w:r>
        <w:rPr/>
      </w:r>
    </w:p>
    <w:p>
      <w:pPr>
        <w:pStyle w:val="TextBody"/>
        <w:bidi w:val="0"/>
        <w:spacing w:before="0" w:after="24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Consented to and acknowledged as of the date first written above:</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WELLS FARGO BANK, NATIONAL ASSOCIATION, </w:t>
        <w:br/>
        <w:t>as Administrative Agent, Lender and an Issuing Bank</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Kevin Pang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Kevin Pang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Vice President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CITIBANK N.A.,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Derrick Lenz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Derrick Lenz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Vice President    </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BARCLAYS BANK PLC,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Sydney G. Dennis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Sydney G. Dennis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Director    </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MORGAN STANLEY SENIOR FUNDING, INC.,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Belkys Ortiz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Belkys Ortiz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Authorized Signatory    </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STANDARD CHARTERED BANK,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Roy Kuruvilla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Roy Kuruvilla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Managing Director    </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ATB FINANCIAL,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Max Herrera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Max Herrera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Director    </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Amish Patel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Amish Patel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Director    </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DEUTSCHE BANK AG NEW YORK BRANCH,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Philip Tancorra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Philip Tancorra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Director    </w:t>
      </w:r>
    </w:p>
    <w:p>
      <w:pPr>
        <w:pStyle w:val="TextBody"/>
        <w:bidi w:val="0"/>
        <w:spacing w:before="0" w:after="1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Lauren Danbury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Lauren Danbury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Vice President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DEUTSCHE BANK AG NEW YORK BRANCH, </w:t>
        <w:br/>
        <w:t>as an Issuing Bank and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Chandon Kumar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Chandon Kumar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Director Trade Finance    </w:t>
      </w:r>
    </w:p>
    <w:p>
      <w:pPr>
        <w:pStyle w:val="TextBody"/>
        <w:bidi w:val="0"/>
        <w:spacing w:before="0" w:after="1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Maryam Kouhgoli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Maryam Kouhgoli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Director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WOODFOREST NATIONAL BANK, </w:t>
        <w:br/>
        <w:t>as a Lender</w:t>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Wesley Gerren    </w:t>
      </w:r>
    </w:p>
    <w:p>
      <w:pPr>
        <w:pStyle w:val="TextBody"/>
        <w:bidi w:val="0"/>
        <w:spacing w:lineRule="auto" w:line="28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Wesley Gerren    </w:t>
      </w:r>
    </w:p>
    <w:p>
      <w:pPr>
        <w:pStyle w:val="TextBody"/>
        <w:bidi w:val="0"/>
        <w:spacing w:lineRule="auto" w:line="28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 xml:space="preserve">Vice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 Additional Lender Supplement]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Girishchandra K. Saligram,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50" w:type="dxa"/>
        <w:jc w:val="left"/>
        <w:tblInd w:w="0" w:type="dxa"/>
        <w:tblLayout w:type="fixed"/>
        <w:tblCellMar>
          <w:top w:w="28" w:type="dxa"/>
          <w:left w:w="28" w:type="dxa"/>
          <w:bottom w:w="28" w:type="dxa"/>
          <w:right w:w="28" w:type="dxa"/>
        </w:tblCellMar>
      </w:tblPr>
      <w:tblGrid>
        <w:gridCol w:w="124"/>
        <w:gridCol w:w="109"/>
        <w:gridCol w:w="109"/>
        <w:gridCol w:w="306"/>
        <w:gridCol w:w="306"/>
        <w:gridCol w:w="310"/>
        <w:gridCol w:w="668"/>
        <w:gridCol w:w="668"/>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Arunava Mitra,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Layout w:type="fixed"/>
        <w:tblCellMar>
          <w:top w:w="28" w:type="dxa"/>
          <w:left w:w="28" w:type="dxa"/>
          <w:bottom w:w="28" w:type="dxa"/>
          <w:right w:w="28" w:type="dxa"/>
        </w:tblCellMar>
      </w:tblPr>
      <w:tblGrid>
        <w:gridCol w:w="124"/>
        <w:gridCol w:w="109"/>
        <w:gridCol w:w="109"/>
        <w:gridCol w:w="424"/>
        <w:gridCol w:w="424"/>
        <w:gridCol w:w="429"/>
        <w:gridCol w:w="924"/>
        <w:gridCol w:w="924"/>
        <w:gridCol w:w="1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906 OF THE SARBANES-OXLEY ACT OF 2002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March 31, 2024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Layout w:type="fixed"/>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March 31, 2024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Layout w:type="fixed"/>
        <w:tblCellMar>
          <w:top w:w="28" w:type="dxa"/>
          <w:left w:w="28" w:type="dxa"/>
          <w:bottom w:w="28" w:type="dxa"/>
          <w:right w:w="28" w:type="dxa"/>
        </w:tblCellMar>
      </w:tblPr>
      <w:tblGrid>
        <w:gridCol w:w="233"/>
        <w:gridCol w:w="205"/>
        <w:gridCol w:w="207"/>
        <w:gridCol w:w="1462"/>
        <w:gridCol w:w="1462"/>
        <w:gridCol w:w="1471"/>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15449</Words>
  <Characters>84881</Characters>
  <CharactersWithSpaces>99664</CharactersWithSpaces>
  <Paragraphs>1542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