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425450</wp:posOffset>
            </wp:positionH>
            <wp:positionV relativeFrom="page">
              <wp:posOffset>627380</wp:posOffset>
            </wp:positionV>
            <wp:extent cx="6907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7530" cy="8255"/>
                    </a:xfrm>
                    <a:prstGeom prst="rect">
                      <a:avLst/>
                    </a:prstGeom>
                    <a:noFill/>
                  </pic:spPr>
                </pic:pic>
              </a:graphicData>
            </a:graphic>
          </wp:anchor>
        </w:drawing>
        <w:t>UNITED STATES</w:t>
      </w:r>
    </w:p>
    <w:p>
      <w:pPr>
        <w:spacing w:after="0" w:line="2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4"/>
          <w:szCs w:val="24"/>
          <w:color w:val="auto"/>
        </w:rPr>
      </w:pPr>
    </w:p>
    <w:p>
      <w:pPr>
        <w:ind w:left="380"/>
        <w:spacing w:after="0"/>
        <w:tabs>
          <w:tab w:leader="none" w:pos="5340" w:val="left"/>
        </w:tabs>
        <w:rPr>
          <w:sz w:val="20"/>
          <w:szCs w:val="20"/>
          <w:color w:val="auto"/>
        </w:rPr>
      </w:pPr>
      <w:r>
        <w:rPr>
          <w:rFonts w:ascii="Times New Roman" w:cs="Times New Roman" w:eastAsia="Times New Roman" w:hAnsi="Times New Roman"/>
          <w:sz w:val="18"/>
          <w:szCs w:val="18"/>
          <w:color w:val="auto"/>
        </w:rPr>
        <w:t>(Mark One)</w:t>
      </w:r>
      <w:r>
        <w:rPr>
          <w:sz w:val="20"/>
          <w:szCs w:val="20"/>
          <w:color w:val="auto"/>
        </w:rPr>
        <w:tab/>
      </w:r>
      <w:r>
        <w:rPr>
          <w:rFonts w:ascii="Times New Roman" w:cs="Times New Roman" w:eastAsia="Times New Roman" w:hAnsi="Times New Roman"/>
          <w:sz w:val="17"/>
          <w:szCs w:val="17"/>
          <w:b w:val="1"/>
          <w:bCs w:val="1"/>
          <w:color w:val="auto"/>
        </w:rPr>
        <w:t>Form 10-Q</w:t>
      </w:r>
    </w:p>
    <w:p>
      <w:pPr>
        <w:spacing w:after="0" w:line="124" w:lineRule="exact"/>
        <w:rPr>
          <w:sz w:val="24"/>
          <w:szCs w:val="24"/>
          <w:color w:val="auto"/>
        </w:rPr>
      </w:pPr>
    </w:p>
    <w:p>
      <w:pPr>
        <w:ind w:left="700" w:hanging="3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ectPr>
          <w:pgSz w:w="11900" w:h="16838" w:orient="portrait"/>
          <w:cols w:equalWidth="0" w:num="1">
            <w:col w:w="11240"/>
          </w:cols>
          <w:pgMar w:left="320" w:top="994" w:right="339" w:bottom="1440" w:gutter="0" w:footer="0" w:header="0"/>
        </w:sectPr>
      </w:pPr>
    </w:p>
    <w:p>
      <w:pPr>
        <w:spacing w:after="0" w:line="9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auto"/>
        </w:rPr>
        <w:t>For the quarterly period ended</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ind w:left="1420"/>
        <w:spacing w:after="0"/>
        <w:rPr>
          <w:sz w:val="20"/>
          <w:szCs w:val="20"/>
          <w:color w:val="auto"/>
        </w:rPr>
      </w:pPr>
      <w:r>
        <w:rPr>
          <w:rFonts w:ascii="Times New Roman" w:cs="Times New Roman" w:eastAsia="Times New Roman" w:hAnsi="Times New Roman"/>
          <w:sz w:val="15"/>
          <w:szCs w:val="15"/>
          <w:color w:val="auto"/>
        </w:rPr>
        <w:t>or</w:t>
      </w:r>
    </w:p>
    <w:p>
      <w:pPr>
        <w:spacing w:after="0" w:line="53" w:lineRule="exact"/>
        <w:rPr>
          <w:sz w:val="24"/>
          <w:szCs w:val="24"/>
          <w:color w:val="auto"/>
        </w:rPr>
      </w:pPr>
    </w:p>
    <w:p>
      <w:pPr>
        <w:sectPr>
          <w:pgSz w:w="11900" w:h="16838" w:orient="portrait"/>
          <w:cols w:equalWidth="0" w:num="2">
            <w:col w:w="2960" w:space="720"/>
            <w:col w:w="7560"/>
          </w:cols>
          <w:pgMar w:left="320" w:top="994" w:right="339" w:bottom="1440" w:gutter="0" w:footer="0" w:header="0"/>
          <w:type w:val="continuous"/>
        </w:sectPr>
      </w:pPr>
    </w:p>
    <w:p>
      <w:pPr>
        <w:ind w:left="700" w:hanging="358"/>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__________________________________to __________________________________</w:t>
      </w:r>
    </w:p>
    <w:p>
      <w:pPr>
        <w:spacing w:after="0" w:line="4" w:lineRule="exact"/>
        <w:rPr>
          <w:sz w:val="24"/>
          <w:szCs w:val="24"/>
          <w:color w:val="auto"/>
        </w:rPr>
      </w:pPr>
    </w:p>
    <w:tbl>
      <w:tblPr>
        <w:tblLayout w:type="fixed"/>
        <w:tblInd w:w="700" w:type="dxa"/>
        <w:tblCellMar>
          <w:top w:w="0" w:type="dxa"/>
          <w:left w:w="0" w:type="dxa"/>
          <w:bottom w:w="0" w:type="dxa"/>
          <w:right w:w="0" w:type="dxa"/>
        </w:tblCellMar>
      </w:tblPr>
      <w:tr>
        <w:trPr>
          <w:trHeight w:val="23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001-36504</w:t>
            </w:r>
          </w:p>
        </w:tc>
      </w:tr>
    </w:tbl>
    <w:p>
      <w:pPr>
        <w:spacing w:after="0" w:line="6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6" w:lineRule="exact"/>
        <w:rPr>
          <w:sz w:val="24"/>
          <w:szCs w:val="24"/>
          <w:color w:val="auto"/>
        </w:rPr>
      </w:pPr>
    </w:p>
    <w:tbl>
      <w:tblPr>
        <w:tblLayout w:type="fixed"/>
        <w:tblInd w:w="440" w:type="dxa"/>
        <w:tblCellMar>
          <w:top w:w="0" w:type="dxa"/>
          <w:left w:w="0" w:type="dxa"/>
          <w:bottom w:w="0" w:type="dxa"/>
          <w:right w:w="0" w:type="dxa"/>
        </w:tblCellMar>
      </w:tblPr>
      <w:tr>
        <w:trPr>
          <w:trHeight w:val="232"/>
        </w:trPr>
        <w:tc>
          <w:tcPr>
            <w:tcW w:w="7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40" w:type="dxa"/>
            <w:vAlign w:val="bottom"/>
          </w:tcPr>
          <w:p>
            <w:pPr>
              <w:jc w:val="right"/>
              <w:ind w:right="1252"/>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378"/>
        </w:trPr>
        <w:tc>
          <w:tcPr>
            <w:tcW w:w="71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2000 St. James Place , Houston   , Texas</w:t>
            </w:r>
          </w:p>
        </w:tc>
        <w:tc>
          <w:tcPr>
            <w:tcW w:w="3540" w:type="dxa"/>
            <w:vAlign w:val="bottom"/>
          </w:tcPr>
          <w:p>
            <w:pPr>
              <w:jc w:val="right"/>
              <w:ind w:right="1452"/>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5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713.836.4000</w:t>
      </w:r>
    </w:p>
    <w:p>
      <w:pPr>
        <w:spacing w:after="0" w:line="13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15875</wp:posOffset>
            </wp:positionV>
            <wp:extent cx="6175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2" w:lineRule="exact"/>
        <w:rPr>
          <w:sz w:val="24"/>
          <w:szCs w:val="24"/>
          <w:color w:val="auto"/>
        </w:rPr>
      </w:pPr>
    </w:p>
    <w:tbl>
      <w:tblPr>
        <w:tblLayout w:type="fixed"/>
        <w:tblInd w:w="400" w:type="dxa"/>
        <w:tblCellMar>
          <w:top w:w="0" w:type="dxa"/>
          <w:left w:w="0" w:type="dxa"/>
          <w:bottom w:w="0" w:type="dxa"/>
          <w:right w:w="0" w:type="dxa"/>
        </w:tblCellMar>
      </w:tblPr>
      <w:tr>
        <w:trPr>
          <w:trHeight w:val="232"/>
        </w:trPr>
        <w:tc>
          <w:tcPr>
            <w:tcW w:w="38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4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5"/>
        </w:trPr>
        <w:tc>
          <w:tcPr>
            <w:tcW w:w="38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WFRD</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36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1300" w:type="dxa"/>
        <w:tblCellMar>
          <w:top w:w="0" w:type="dxa"/>
          <w:left w:w="0" w:type="dxa"/>
          <w:bottom w:w="0" w:type="dxa"/>
          <w:right w:w="0" w:type="dxa"/>
        </w:tblCellMar>
      </w:tblPr>
      <w:tr>
        <w:trPr>
          <w:trHeight w:val="26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3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tabs>
          <w:tab w:leader="none" w:pos="8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17, 2024, there were 72,651,996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372110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for the Third Quarter Ended September 30,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6"/>
        </w:trPr>
        <w:tc>
          <w:tcPr>
            <w:tcW w:w="34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Borders>
              <w:bottom w:val="single" w:sz="8" w:color="auto"/>
            </w:tcBorders>
          </w:tcPr>
          <w:p>
            <w:pPr>
              <w:spacing w:after="0"/>
              <w:rPr>
                <w:sz w:val="24"/>
                <w:szCs w:val="24"/>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3100" w:type="dxa"/>
            <w:vAlign w:val="bottom"/>
            <w:tcBorders>
              <w:bottom w:val="single" w:sz="8" w:color="0000FF"/>
            </w:tcBorders>
            <w:gridSpan w:val="12"/>
            <w:shd w:val="clear" w:color="auto" w:fill="CCEEFF"/>
          </w:tcPr>
          <w:p>
            <w:pPr>
              <w:spacing w:after="0" w:line="165"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6840" w:type="dxa"/>
            <w:vAlign w:val="bottom"/>
            <w:tcBorders>
              <w:bottom w:val="single" w:sz="8" w:color="CCEEFF"/>
            </w:tcBorders>
            <w:gridSpan w:val="3"/>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9940" w:type="dxa"/>
            <w:vAlign w:val="bottom"/>
            <w:gridSpan w:val="15"/>
          </w:tcPr>
          <w:p>
            <w:pPr>
              <w:spacing w:after="0" w:line="18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80" w:type="dxa"/>
            <w:vAlign w:val="bottom"/>
            <w:gridSpan w:val="2"/>
          </w:tcPr>
          <w:p>
            <w:pPr>
              <w:jc w:val="center"/>
              <w:ind w:left="492"/>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
        </w:trPr>
        <w:tc>
          <w:tcPr>
            <w:tcW w:w="3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17</w:t>
            </w:r>
          </w:p>
        </w:tc>
        <w:tc>
          <w:tcPr>
            <w:tcW w:w="100" w:type="dxa"/>
            <w:vAlign w:val="bottom"/>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6900" w:type="dxa"/>
            <w:vAlign w:val="bottom"/>
            <w:tcBorders>
              <w:top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4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29</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4860" w:type="dxa"/>
            <w:vAlign w:val="bottom"/>
            <w:tcBorders>
              <w:top w:val="single" w:sz="8" w:color="0000FF"/>
            </w:tcBorders>
            <w:gridSpan w:val="1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080" w:type="dxa"/>
            <w:vAlign w:val="bottom"/>
            <w:gridSpan w:val="2"/>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30</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2"/>
        </w:trPr>
        <w:tc>
          <w:tcPr>
            <w:tcW w:w="340" w:type="dxa"/>
            <w:vAlign w:val="bottom"/>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0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9940" w:type="dxa"/>
            <w:vAlign w:val="bottom"/>
            <w:gridSpan w:val="1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1900" w:type="dxa"/>
            <w:vAlign w:val="bottom"/>
            <w:tcBorders>
              <w:top w:val="single" w:sz="8" w:color="0000FF"/>
              <w:bottom w:val="single" w:sz="8" w:color="0000FF"/>
            </w:tcBorders>
            <w:gridSpan w:val="6"/>
          </w:tcPr>
          <w:p>
            <w:pPr>
              <w:spacing w:after="0" w:line="186" w:lineRule="exact"/>
              <w:rPr>
                <w:sz w:val="20"/>
                <w:szCs w:val="20"/>
                <w:color w:val="auto"/>
              </w:rPr>
            </w:pPr>
            <w:r>
              <w:rPr>
                <w:rFonts w:ascii="Times New Roman" w:cs="Times New Roman" w:eastAsia="Times New Roman" w:hAnsi="Times New Roman"/>
                <w:sz w:val="18"/>
                <w:szCs w:val="18"/>
                <w:color w:val="0000FF"/>
                <w:w w:val="97"/>
              </w:rPr>
              <w:t>Item 1. Legal Proceedings.</w:t>
            </w:r>
          </w:p>
        </w:tc>
        <w:tc>
          <w:tcPr>
            <w:tcW w:w="900" w:type="dxa"/>
            <w:vAlign w:val="bottom"/>
            <w:tcBorders>
              <w:top w:val="single" w:sz="8" w:color="0000FF"/>
            </w:tcBorders>
            <w:gridSpan w:val="4"/>
          </w:tcPr>
          <w:p>
            <w:pPr>
              <w:spacing w:after="0"/>
              <w:rPr>
                <w:sz w:val="16"/>
                <w:szCs w:val="16"/>
                <w:color w:val="auto"/>
              </w:rPr>
            </w:pPr>
          </w:p>
        </w:tc>
        <w:tc>
          <w:tcPr>
            <w:tcW w:w="7140" w:type="dxa"/>
            <w:vAlign w:val="bottom"/>
            <w:tcBorders>
              <w:top w:val="single" w:sz="8" w:color="CCEEFF"/>
            </w:tcBorders>
            <w:gridSpan w:val="5"/>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CCEE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30</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1A. Risk Factors.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30</w:t>
            </w:r>
          </w:p>
        </w:tc>
        <w:tc>
          <w:tcPr>
            <w:tcW w:w="100" w:type="dxa"/>
            <w:vAlign w:val="bottom"/>
            <w:shd w:val="clear" w:color="auto" w:fill="CCEEFF"/>
          </w:tcPr>
          <w:p>
            <w:pPr>
              <w:spacing w:after="0"/>
              <w:rPr>
                <w:sz w:val="16"/>
                <w:szCs w:val="16"/>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5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95"/>
        </w:trPr>
        <w:tc>
          <w:tcPr>
            <w:tcW w:w="340" w:type="dxa"/>
            <w:vAlign w:val="bottom"/>
          </w:tcPr>
          <w:p>
            <w:pPr>
              <w:spacing w:after="0"/>
              <w:rPr>
                <w:sz w:val="16"/>
                <w:szCs w:val="16"/>
                <w:color w:val="auto"/>
              </w:rPr>
            </w:pPr>
          </w:p>
        </w:tc>
        <w:tc>
          <w:tcPr>
            <w:tcW w:w="4860" w:type="dxa"/>
            <w:vAlign w:val="bottom"/>
            <w:tcBorders>
              <w:bottom w:val="single" w:sz="8" w:color="0000FF"/>
            </w:tcBorders>
            <w:gridSpan w:val="13"/>
          </w:tcPr>
          <w:p>
            <w:pPr>
              <w:spacing w:after="0" w:line="186" w:lineRule="exact"/>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08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Item 3.</w:t>
            </w:r>
          </w:p>
        </w:tc>
        <w:tc>
          <w:tcPr>
            <w:tcW w:w="2360" w:type="dxa"/>
            <w:vAlign w:val="bottom"/>
            <w:tcBorders>
              <w:bottom w:val="single" w:sz="8" w:color="0000FF"/>
            </w:tcBorders>
            <w:gridSpan w:val="10"/>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7060" w:type="dxa"/>
            <w:vAlign w:val="bottom"/>
            <w:tcBorders>
              <w:bottom w:val="single" w:sz="8" w:color="CCEEFF"/>
            </w:tcBorders>
            <w:gridSpan w:val="4"/>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30</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7"/>
              </w:rPr>
              <w:t>Item 4.</w:t>
            </w:r>
          </w:p>
        </w:tc>
        <w:tc>
          <w:tcPr>
            <w:tcW w:w="9420" w:type="dxa"/>
            <w:vAlign w:val="bottom"/>
            <w:gridSpan w:val="14"/>
          </w:tcPr>
          <w:p>
            <w:pPr>
              <w:ind w:left="2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960" w:type="dxa"/>
            <w:vAlign w:val="bottom"/>
            <w:gridSpan w:val="3"/>
          </w:tcPr>
          <w:p>
            <w:pPr>
              <w:jc w:val="center"/>
              <w:ind w:left="212"/>
              <w:spacing w:after="0" w:line="186" w:lineRule="exact"/>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Item 5.</w:t>
            </w:r>
          </w:p>
        </w:tc>
        <w:tc>
          <w:tcPr>
            <w:tcW w:w="1360" w:type="dxa"/>
            <w:vAlign w:val="bottom"/>
            <w:tcBorders>
              <w:top w:val="single" w:sz="8" w:color="0000FF"/>
              <w:bottom w:val="single" w:sz="8" w:color="0000FF"/>
            </w:tcBorders>
            <w:gridSpan w:val="4"/>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4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7660" w:type="dxa"/>
            <w:vAlign w:val="bottom"/>
            <w:tcBorders>
              <w:bottom w:val="single" w:sz="8" w:color="CCEEFF"/>
            </w:tcBorders>
            <w:gridSpan w:val="7"/>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31</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7"/>
              </w:rPr>
              <w:t>Item 6.</w:t>
            </w:r>
          </w:p>
        </w:tc>
        <w:tc>
          <w:tcPr>
            <w:tcW w:w="660" w:type="dxa"/>
            <w:vAlign w:val="bottom"/>
            <w:tcBorders>
              <w:bottom w:val="single" w:sz="8" w:color="0000FF"/>
            </w:tcBorders>
            <w:gridSpan w:val="2"/>
          </w:tcPr>
          <w:p>
            <w:pPr>
              <w:ind w:left="20"/>
              <w:spacing w:after="0" w:line="186" w:lineRule="exact"/>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shd w:val="clear" w:color="auto" w:fill="CCEEFF"/>
          </w:tcPr>
          <w:p>
            <w:pPr>
              <w:spacing w:after="0"/>
              <w:rPr>
                <w:sz w:val="18"/>
                <w:szCs w:val="18"/>
                <w:color w:val="auto"/>
              </w:rPr>
            </w:pPr>
          </w:p>
        </w:tc>
      </w:tr>
      <w:tr>
        <w:trPr>
          <w:trHeight w:val="889"/>
        </w:trPr>
        <w:tc>
          <w:tcPr>
            <w:tcW w:w="3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820" w:type="dxa"/>
            <w:vAlign w:val="bottom"/>
            <w:tcBorders>
              <w:top w:val="single" w:sz="8" w:color="CCEEFF"/>
            </w:tcBorders>
            <w:gridSpan w:val="12"/>
          </w:tcPr>
          <w:p>
            <w:pPr>
              <w:jc w:val="right"/>
              <w:ind w:right="1420"/>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8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60" w:type="dxa"/>
            <w:vAlign w:val="bottom"/>
          </w:tcPr>
          <w:p>
            <w:pPr>
              <w:spacing w:after="0"/>
              <w:rPr>
                <w:sz w:val="19"/>
                <w:szCs w:val="19"/>
                <w:color w:val="auto"/>
              </w:rPr>
            </w:pPr>
          </w:p>
        </w:tc>
        <w:tc>
          <w:tcPr>
            <w:tcW w:w="198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2"/>
        </w:trPr>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60" w:type="dxa"/>
            <w:vAlign w:val="bottom"/>
          </w:tcPr>
          <w:p>
            <w:pPr>
              <w:spacing w:after="0"/>
              <w:rPr>
                <w:sz w:val="20"/>
                <w:szCs w:val="20"/>
                <w:color w:val="auto"/>
              </w:rPr>
            </w:pPr>
          </w:p>
        </w:tc>
        <w:tc>
          <w:tcPr>
            <w:tcW w:w="1980" w:type="dxa"/>
            <w:vAlign w:val="bottom"/>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2"/>
        </w:trPr>
        <w:tc>
          <w:tcPr>
            <w:tcW w:w="6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59</w:t>
            </w: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Charges (Credits)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8"/>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39"/>
        </w:trPr>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 of Interest Income of $13, $15, $44, and $47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(77)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5"/>
        </w:trPr>
        <w:tc>
          <w:tcPr>
            <w:tcW w:w="6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46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821"/>
        </w:trPr>
        <w:tc>
          <w:tcPr>
            <w:tcW w:w="1260" w:type="dxa"/>
            <w:vAlign w:val="bottom"/>
            <w:tcBorders>
              <w:top w:val="single" w:sz="8" w:color="0000FF"/>
            </w:tcBorders>
          </w:tcPr>
          <w:p>
            <w:pPr>
              <w:spacing w:after="0"/>
              <w:rPr>
                <w:sz w:val="24"/>
                <w:szCs w:val="24"/>
                <w:color w:val="auto"/>
              </w:rPr>
            </w:pPr>
          </w:p>
        </w:tc>
        <w:tc>
          <w:tcPr>
            <w:tcW w:w="7700" w:type="dxa"/>
            <w:vAlign w:val="bottom"/>
            <w:gridSpan w:val="6"/>
          </w:tcPr>
          <w:p>
            <w:pPr>
              <w:ind w:left="166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808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4"/>
        </w:trPr>
        <w:tc>
          <w:tcPr>
            <w:tcW w:w="12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1"/>
                <w:szCs w:val="21"/>
                <w:color w:val="auto"/>
              </w:rPr>
            </w:pPr>
          </w:p>
        </w:tc>
        <w:tc>
          <w:tcPr>
            <w:tcW w:w="1680" w:type="dxa"/>
            <w:vAlign w:val="bottom"/>
            <w:gridSpan w:val="3"/>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2"/>
        </w:trPr>
        <w:tc>
          <w:tcPr>
            <w:tcW w:w="1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18"/>
        </w:trPr>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5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r>
      <w:tr>
        <w:trPr>
          <w:trHeight w:val="218"/>
        </w:trPr>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44"/>
        </w:trPr>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Weatherford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449" w:right="239"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par value)</w:t>
            </w: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9"/>
        </w:trPr>
        <w:tc>
          <w:tcPr>
            <w:tcW w:w="7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5"/>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5"/>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72"/>
        </w:trPr>
        <w:tc>
          <w:tcPr>
            <w:tcW w:w="7020" w:type="dxa"/>
            <w:vAlign w:val="bottom"/>
          </w:tcPr>
          <w:p>
            <w:pPr>
              <w:ind w:left="80"/>
              <w:spacing w:after="0" w:line="172" w:lineRule="exact"/>
              <w:rPr>
                <w:sz w:val="20"/>
                <w:szCs w:val="20"/>
                <w:color w:val="auto"/>
              </w:rPr>
            </w:pPr>
            <w:r>
              <w:rPr>
                <w:rFonts w:ascii="Times New Roman" w:cs="Times New Roman" w:eastAsia="Times New Roman" w:hAnsi="Times New Roman"/>
                <w:sz w:val="18"/>
                <w:szCs w:val="18"/>
                <w:color w:val="auto"/>
                <w:w w:val="98"/>
              </w:rPr>
              <w:t>Accounts Receivable, Net of Allowance for Credit Losses of $7 at September 30, 2024 and $16 at</w:t>
            </w: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8"/>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5"/>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5"/>
        </w:trPr>
        <w:tc>
          <w:tcPr>
            <w:tcW w:w="7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8"/>
        </w:trPr>
        <w:tc>
          <w:tcPr>
            <w:tcW w:w="7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166"/>
        </w:trPr>
        <w:tc>
          <w:tcPr>
            <w:tcW w:w="7020" w:type="dxa"/>
            <w:vAlign w:val="bottom"/>
          </w:tcPr>
          <w:p>
            <w:pPr>
              <w:ind w:left="80"/>
              <w:spacing w:after="0" w:line="165" w:lineRule="exact"/>
              <w:rPr>
                <w:sz w:val="20"/>
                <w:szCs w:val="20"/>
                <w:color w:val="auto"/>
              </w:rPr>
            </w:pPr>
            <w:r>
              <w:rPr>
                <w:rFonts w:ascii="Times New Roman" w:cs="Times New Roman" w:eastAsia="Times New Roman" w:hAnsi="Times New Roman"/>
                <w:sz w:val="18"/>
                <w:szCs w:val="18"/>
                <w:color w:val="auto"/>
                <w:w w:val="98"/>
              </w:rPr>
              <w:t>Property, Plant and Equipment, Net of Accumulated Depreciation of $964 at September 30, 2024</w:t>
            </w: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8"/>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$883 at December 31, 2023</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172"/>
        </w:trPr>
        <w:tc>
          <w:tcPr>
            <w:tcW w:w="70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8"/>
                <w:szCs w:val="18"/>
                <w:color w:val="auto"/>
              </w:rPr>
              <w:t>Intangibles, Net of Accumulated Amortization of $764 at September 30, 2024 and $639 at</w:t>
            </w:r>
          </w:p>
        </w:tc>
        <w:tc>
          <w:tcPr>
            <w:tcW w:w="2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39"/>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5"/>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5"/>
        </w:trPr>
        <w:tc>
          <w:tcPr>
            <w:tcW w:w="70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8"/>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8"/>
        </w:trPr>
        <w:tc>
          <w:tcPr>
            <w:tcW w:w="7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5"/>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5"/>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5"/>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5"/>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5"/>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7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9"/>
        </w:trPr>
        <w:tc>
          <w:tcPr>
            <w:tcW w:w="7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18"/>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5"/>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5"/>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 Taxes Payable</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5"/>
        </w:trPr>
        <w:tc>
          <w:tcPr>
            <w:tcW w:w="70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8"/>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25"/>
        </w:trPr>
        <w:tc>
          <w:tcPr>
            <w:tcW w:w="7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r>
      <w:tr>
        <w:trPr>
          <w:trHeight w:val="225"/>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2"/>
        </w:trPr>
        <w:tc>
          <w:tcPr>
            <w:tcW w:w="70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8"/>
                <w:szCs w:val="18"/>
                <w:color w:val="auto"/>
                <w:w w:val="97"/>
              </w:rPr>
              <w:t>Ordinary Shares - Par Value $0.001; Authorized 1,356 shares, Issued and Outstanding 72.7 shares</w:t>
            </w:r>
          </w:p>
        </w:tc>
        <w:tc>
          <w:tcPr>
            <w:tcW w:w="2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39"/>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 September 30, 2024 and 72.1 at December 31, 2023</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25"/>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Retained Deficit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5"/>
        </w:trPr>
        <w:tc>
          <w:tcPr>
            <w:tcW w:w="7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5"/>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7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18"/>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440" w:top="4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3"/>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Exchange Losses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on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Accounts Receivable, Inventory, Accounts Payable and Accrued Salaries and Benefits: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4"/>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4"/>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7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Changes,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6"/>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3"/>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 Vested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2"/>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05"/>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1"/>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Information: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844,702 Ordinary Shares Issued for Acquisitions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466"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 – Basis of Presentation and Summary of Significant Accounting Policies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2023 (“2023 Form 10-K”).</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the opinion of management, the Condensed Consolidated Financial Statements reflect all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2023 Form 10-K for the discussion on our significant accounting policies. Certain reclassifications have been made to these Condensed Consolidated Financial Statements and accompanying footnotes for the three and nine months ended September 30, 2023 to conform to the presentation for the three and nine months ended September 30, 2024.</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2023 Form 10-K for the discussion on accounting pronouncements that have been issued but not yet effective for the interim periods presented that are not expected to have a material impact on our financial position or results of operations.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Financial information by segment is summarized below. The accounting policies of the segments are the same as those described in the summary of significant accounting policies as presented in our 2023 Form 10-K. We have three reportable segments: (1) Drilling and Evaluation “DRE”, (2) Well Construction and Completions “WCC”, and (3) Production and Intervention “PRI.”</w:t>
      </w:r>
    </w:p>
    <w:p>
      <w:pPr>
        <w:spacing w:after="0" w:line="204"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All Other results were from non-core business activities (including pass through and project management services included in integrated services and projects). Corporate includes overhead support and centrally managed or shared facility costs. All other and corporate do not individually meet the criteria for segment reporting.</w:t>
      </w:r>
    </w:p>
    <w:p>
      <w:pPr>
        <w:spacing w:after="0" w:line="104" w:lineRule="exact"/>
        <w:rPr>
          <w:sz w:val="20"/>
          <w:szCs w:val="20"/>
          <w:color w:val="auto"/>
        </w:rPr>
      </w:pPr>
    </w:p>
    <w:tbl>
      <w:tblPr>
        <w:tblLayout w:type="fixed"/>
        <w:tblInd w:w="360" w:type="dxa"/>
        <w:tblCellMar>
          <w:top w:w="0" w:type="dxa"/>
          <w:left w:w="0" w:type="dxa"/>
          <w:bottom w:w="0" w:type="dxa"/>
          <w:right w:w="0" w:type="dxa"/>
        </w:tblCellMar>
      </w:tblPr>
      <w:tr>
        <w:trPr>
          <w:trHeight w:val="232"/>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w:t>
            </w:r>
          </w:p>
        </w:tc>
      </w:tr>
      <w:tr>
        <w:trPr>
          <w:trHeight w:val="21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 Revenues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 Revenues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25"/>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9"/>
        </w:trPr>
        <w:tc>
          <w:tcPr>
            <w:tcW w:w="5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4,172</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3,773</w:t>
            </w:r>
          </w:p>
        </w:tc>
      </w:tr>
      <w:tr>
        <w:trPr>
          <w:trHeight w:val="139"/>
        </w:trPr>
        <w:tc>
          <w:tcPr>
            <w:tcW w:w="5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disaggregates our revenue from contracts with customers by geographic area and includes equipment rental revenue. Equipment rental revenues were $38 million and $111 million in the three and nine months ended September 30, 2024, respectively, and $37 million and $109 million for the three and nine months ended September 30, 2023, respectively.</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U.S. accounted for 15% and the Kingdom of Saudi Arabia accounted for 10% of revenue in each period, respectively. In addition, for the three and nine months ended September 30, 2024, Mexico accounted for 12% and 13% of total revenue, respectively, driven by a customer which accounted for 10% and 11% of total revenue, respectively. During the three and nine months ended September 30, 2023, the U.S. accounted for 16% and 17%, respectively and Mexico accounted for 14% and 13%, respectively. No other country accounted for more than 10% of our revenue in the periods presented.</w:t>
      </w:r>
    </w:p>
    <w:p>
      <w:pPr>
        <w:sectPr>
          <w:pgSz w:w="11900" w:h="16838" w:orient="portrait"/>
          <w:cols w:equalWidth="0" w:num="1">
            <w:col w:w="11240"/>
          </w:cols>
          <w:pgMar w:left="320" w:top="466" w:right="339" w:bottom="1440" w:gutter="0" w:footer="0" w:header="0"/>
        </w:sectPr>
      </w:pPr>
    </w:p>
    <w:p>
      <w:pPr>
        <w:spacing w:after="0" w:line="76"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6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02"/>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41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5"/>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5"/>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6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9"/>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-1219200</wp:posOffset>
            </wp:positionV>
            <wp:extent cx="6882130" cy="151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2130" cy="15176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-925195</wp:posOffset>
            </wp:positionV>
            <wp:extent cx="6882130" cy="168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2130" cy="1682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-613410</wp:posOffset>
            </wp:positionV>
            <wp:extent cx="688213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2130" cy="1428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-327660</wp:posOffset>
            </wp:positionV>
            <wp:extent cx="6882130"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142875"/>
                    </a:xfrm>
                    <a:prstGeom prst="rect">
                      <a:avLst/>
                    </a:prstGeom>
                    <a:noFill/>
                  </pic:spPr>
                </pic:pic>
              </a:graphicData>
            </a:graphic>
          </wp:anchor>
        </w:drawing>
      </w:r>
    </w:p>
    <w:p>
      <w:pPr>
        <w:spacing w:after="0" w:line="74" w:lineRule="exact"/>
        <w:rPr>
          <w:sz w:val="20"/>
          <w:szCs w:val="20"/>
          <w:color w:val="auto"/>
        </w:rPr>
      </w:pPr>
    </w:p>
    <w:p>
      <w:pPr>
        <w:ind w:left="500" w:hanging="176"/>
        <w:spacing w:after="0"/>
        <w:tabs>
          <w:tab w:leader="none" w:pos="5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45"/>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484"/>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25"/>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5"/>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30"/>
        </w:trPr>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19"/>
        </w:trPr>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80" w:lineRule="exact"/>
        <w:rPr>
          <w:sz w:val="20"/>
          <w:szCs w:val="20"/>
          <w:color w:val="auto"/>
        </w:rPr>
      </w:pPr>
    </w:p>
    <w:p>
      <w:pPr>
        <w:sectPr>
          <w:pgSz w:w="11900" w:h="16838" w:orient="portrait"/>
          <w:cols w:equalWidth="0" w:num="2">
            <w:col w:w="8820" w:space="100"/>
            <w:col w:w="2320"/>
          </w:cols>
          <w:pgMar w:left="320" w:top="466" w:right="339" w:bottom="1440" w:gutter="0" w:footer="0" w:header="0"/>
          <w:type w:val="continuous"/>
        </w:sectPr>
      </w:pPr>
    </w:p>
    <w:p>
      <w:pPr>
        <w:spacing w:after="0" w:line="48"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timing of our revenue recognition, billings, and cash collections results in the recording of accounts receivable, contract assets, and contract liabilities. The following table summarizes these balances as of September 30, 2024 and December 31,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5"/>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6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1"/>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 – Inventories, Net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Inventories, net of reserves of $116 million and $121 million as of September 30, 2024 and December 31, 2023, respectively, are presented by category in the table below:</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232"/>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5"/>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1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inventory reserves includes inventory charges primarily offset by the disposal of inventory previously reserved. The charges are recorded in “Cost of Products” on our Condensed Consolidated Statements of Operations in the amount of $9 million and $24 million in the three and nine months ended September 30, 2024, respectively, and nil and $11 million in the three and nine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0" w:name="page11"/>
    <w:bookmarkEnd w:id="10"/>
    <w:tbl>
      <w:tblPr>
        <w:tblLayout w:type="fixed"/>
        <w:tblInd w:w="32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6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842"/>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 Intangibles, Net</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0"/>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3"/>
        </w:trPr>
        <w:tc>
          <w:tcPr>
            <w:tcW w:w="340" w:type="dxa"/>
            <w:vAlign w:val="bottom"/>
          </w:tcPr>
          <w:p>
            <w:pPr>
              <w:spacing w:after="0"/>
              <w:rPr>
                <w:sz w:val="24"/>
                <w:szCs w:val="24"/>
                <w:color w:val="auto"/>
              </w:rPr>
            </w:pPr>
          </w:p>
        </w:tc>
        <w:tc>
          <w:tcPr>
            <w:tcW w:w="7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66"/>
        </w:trPr>
        <w:tc>
          <w:tcPr>
            <w:tcW w:w="340" w:type="dxa"/>
            <w:vAlign w:val="bottom"/>
          </w:tcPr>
          <w:p>
            <w:pPr>
              <w:spacing w:after="0"/>
              <w:rPr>
                <w:sz w:val="14"/>
                <w:szCs w:val="14"/>
                <w:color w:val="auto"/>
              </w:rPr>
            </w:pPr>
          </w:p>
        </w:tc>
        <w:tc>
          <w:tcPr>
            <w:tcW w:w="70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w w:val="98"/>
              </w:rPr>
              <w:t>Developed and Acquired Technology, Net of Accumulated Amortization of $574 at September 30,</w:t>
            </w: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8"/>
        </w:trPr>
        <w:tc>
          <w:tcPr>
            <w:tcW w:w="340" w:type="dxa"/>
            <w:vAlign w:val="bottom"/>
          </w:tcPr>
          <w:p>
            <w:pPr>
              <w:spacing w:after="0"/>
              <w:rPr>
                <w:sz w:val="20"/>
                <w:szCs w:val="20"/>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and $479 at December 31, 2023</w:t>
            </w:r>
          </w:p>
        </w:tc>
        <w:tc>
          <w:tcPr>
            <w:tcW w:w="7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7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172"/>
        </w:trPr>
        <w:tc>
          <w:tcPr>
            <w:tcW w:w="340" w:type="dxa"/>
            <w:vAlign w:val="bottom"/>
          </w:tcPr>
          <w:p>
            <w:pPr>
              <w:spacing w:after="0"/>
              <w:rPr>
                <w:sz w:val="14"/>
                <w:szCs w:val="14"/>
                <w:color w:val="auto"/>
              </w:rPr>
            </w:pPr>
          </w:p>
        </w:tc>
        <w:tc>
          <w:tcPr>
            <w:tcW w:w="70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Trade Names, Net of Accumulated Amortization of $190 at September 30, 2024 and $160 at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8"/>
        </w:trPr>
        <w:tc>
          <w:tcPr>
            <w:tcW w:w="340" w:type="dxa"/>
            <w:vAlign w:val="bottom"/>
          </w:tcPr>
          <w:p>
            <w:pPr>
              <w:spacing w:after="0"/>
              <w:rPr>
                <w:sz w:val="20"/>
                <w:szCs w:val="20"/>
                <w:color w:val="auto"/>
              </w:rPr>
            </w:pPr>
          </w:p>
        </w:tc>
        <w:tc>
          <w:tcPr>
            <w:tcW w:w="7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166"/>
        </w:trPr>
        <w:tc>
          <w:tcPr>
            <w:tcW w:w="340" w:type="dxa"/>
            <w:vAlign w:val="bottom"/>
          </w:tcPr>
          <w:p>
            <w:pPr>
              <w:spacing w:after="0"/>
              <w:rPr>
                <w:sz w:val="14"/>
                <w:szCs w:val="14"/>
                <w:color w:val="auto"/>
              </w:rPr>
            </w:pPr>
          </w:p>
        </w:tc>
        <w:tc>
          <w:tcPr>
            <w:tcW w:w="702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8"/>
                <w:szCs w:val="18"/>
                <w:color w:val="auto"/>
              </w:rPr>
              <w:t>Intangibles, Net of Accumulated Amortization of $764 at September 30, 2024 and $639 at</w:t>
            </w: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63"/>
        </w:trPr>
        <w:tc>
          <w:tcPr>
            <w:tcW w:w="340" w:type="dxa"/>
            <w:vAlign w:val="bottom"/>
          </w:tcPr>
          <w:p>
            <w:pPr>
              <w:spacing w:after="0"/>
              <w:rPr>
                <w:sz w:val="22"/>
                <w:szCs w:val="22"/>
                <w:color w:val="auto"/>
              </w:rPr>
            </w:pPr>
          </w:p>
        </w:tc>
        <w:tc>
          <w:tcPr>
            <w:tcW w:w="70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72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72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34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Amortization expense was $43 million and $125 million in the three and nine months ended September 30, 2024, respectively, and $37 million and $117 million for the three and nine months ended September 30, 2023, respectively, and is reported in “Selling, General and Administrative” on our Condensed Consolidated Statements of Operations. The net increase in developed and acquired technology was primarily related to intangibles acquired in connection with acquisitions during the three and nine months ended September 30, 2024. Please refer to “Note 13 – Acquisitions.”</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 Borrowings and Other Debt Obligations</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20" w:type="dxa"/>
            <w:vAlign w:val="bottom"/>
          </w:tcPr>
          <w:p>
            <w:pPr>
              <w:spacing w:after="0"/>
              <w:rPr>
                <w:sz w:val="24"/>
                <w:szCs w:val="24"/>
                <w:color w:val="auto"/>
              </w:rPr>
            </w:pPr>
          </w:p>
        </w:tc>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46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5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65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6.50% Senior Secured Notes due 2028 “2028 Senior Secured Notes”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p>
        </w:tc>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52"/>
        </w:trPr>
        <w:tc>
          <w:tcPr>
            <w:tcW w:w="4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Senior Secured Notes due 2028 “2028 Senior Secured Notes”</w:t>
            </w:r>
          </w:p>
        </w:tc>
        <w:tc>
          <w:tcPr>
            <w:tcW w:w="4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30, 2021, Weatherford International Ltd. (“Weatherford Bermuda”) issued 6.50% senior secured notes in aggregate principal amount of $500 million maturing September 15, 2028 (the “2028 Senior Secured Notes”). Interest was payable semiannually on September 15 and March 15 of each year, and commenced on March 15, 2022. Proceeds from the issuance were reduced by debt issuance costs. At December 31, 2023, the carrying value represented unpaid principal of $248 million offset by unamortized deferred issuance cost of $5 million. The remaining principal of our 2028 Senior Secured Notes was redeemed and paid in full on May 23, 2024.</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October 27, 2021, Weatherford Bermuda issued 8.625% senior notes in aggregate principal amount of $1.6 billion maturing April 30, 2030 (the “2030 Senior Notes”). Interest is payable semiannually on June 1 and December 1 of each year, and commenced on June 1, 2022. On December 1, 2022, the indenture related to our 2030 Senior Notes was amended and supplemented to add Weatherford International, LLC (“Weatherford Delaware”) as co-issuer and co-obligor, and concurrently release the guarantee of Weatherford Delaware. At September 30, 2024 and December 31, 2023, the carrying value represents the remaining unpaid principal of $1.6 billion, offset by unamortized deferred issuance cost of $12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6" w:lineRule="exact"/>
        <w:rPr>
          <w:sz w:val="20"/>
          <w:szCs w:val="20"/>
          <w:color w:val="auto"/>
        </w:rPr>
      </w:pPr>
    </w:p>
    <w:p>
      <w:pPr>
        <w:jc w:val="both"/>
        <w:ind w:right="100" w:firstLine="318"/>
        <w:spacing w:after="0" w:line="267" w:lineRule="auto"/>
        <w:rPr>
          <w:sz w:val="20"/>
          <w:szCs w:val="20"/>
          <w:color w:val="auto"/>
        </w:rPr>
      </w:pPr>
      <w:r>
        <w:rPr>
          <w:rFonts w:ascii="Times New Roman" w:cs="Times New Roman" w:eastAsia="Times New Roman" w:hAnsi="Times New Roman"/>
          <w:sz w:val="17"/>
          <w:szCs w:val="17"/>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00"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On April 22, 2024, additional lenders joined the Credit Agreement, providing an increase in total commitments from $550 million to $680 million (performance letters of credit increased from $250 million to $309 million and borrowings or additional performance or financial letters of credit increased from $300 million to $371 million). On June 6, 2024, an additional lender joined the Credit Agreement, providing an increase in total commitments from $680 million to $720 million (performance letters of credit increased to $327 million and revolving loan borrowings or additional performance or financial letters of credit increased to $393 million). In addition, we amended the Credit Agreement to allow for future increases in total commitments of up to $1 billion.</w:t>
      </w:r>
    </w:p>
    <w:p>
      <w:pPr>
        <w:spacing w:after="0" w:line="212"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As of September 30, 2024, we had zero borrowings outstanding under the Credit Agreement and $386 million of letters of credit outstanding. The letters of credit consisted of $277 million for performance letters of credit, $40 million for financial letters of credit under the Credit Agreement and $69 million letters of credit under various uncommitted bi-lateral facilities ($44 million of which was cash collateral held and recorded in “Restricted Cash” on the Condensed Consolidated Balance Sheets).</w:t>
      </w:r>
    </w:p>
    <w:p>
      <w:pPr>
        <w:spacing w:after="0" w:line="207"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outstanding. The letters of credit consisted of $218 million for performance letters of credit, $52 million for financial letters of credit under the Credit Agreement and $106 million letters of credit under various uncommitted bi-lateral facilities ($101 million of which was cash collateral held and recorded in “Restricted Cash” on the Condensed Consolidated Balance Sheets).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6"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Pr>
          <w:p>
            <w:pPr>
              <w:spacing w:after="0"/>
              <w:rPr>
                <w:sz w:val="19"/>
                <w:szCs w:val="19"/>
                <w:color w:val="auto"/>
              </w:rPr>
            </w:pPr>
          </w:p>
        </w:tc>
        <w:tc>
          <w:tcPr>
            <w:tcW w:w="17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9"/>
                <w:szCs w:val="19"/>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Pr>
          <w:p>
            <w:pPr>
              <w:spacing w:after="0"/>
              <w:rPr>
                <w:sz w:val="19"/>
                <w:szCs w:val="19"/>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Senior Secured Notes due 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5"/>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1,588</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4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1,588 $</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7 – Disputes, Litigation and Legal Contingencies</w:t>
      </w:r>
    </w:p>
    <w:p>
      <w:pPr>
        <w:spacing w:after="0" w:line="246"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8 – Shareholders’ Equity</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Shares issued and outstanding on our Condensed Consolidated Balance Sheets increased from 72.1 million as of December 31, 2023 to 72.7 million as of September 30, 2024. The increase was due to the issuance of 0.8 million of our ordinary shares related to acquisitions and 0.3 million of our ordinary shares for equity awards vested and delivered, net of shares withheld for taxes, partially offset by the cancellation of 0.5 million of our ordinary shares repurchased for $50 million, under a $500 million share repurchase program announced on July 23, 2024.</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23, 2024, we announced our Board authorization of a dividend program under which we intend to pay regular quarterly cash dividends, subject to our Board’s discretion and continuing determination that it is in the best interest of the Company and complies with applicable legal requirements. The announcement included a cash dividend declaration of $0.25 per share of the Company’s ordinary shares, or $19 million, payable on September 12, 2024 to shareholders of record as of August 13, 2024.</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shareholders’ equity activity for the three and nine months ended September 30, 2024 and 2023:</w:t>
      </w:r>
    </w:p>
    <w:p>
      <w:pPr>
        <w:spacing w:after="0" w:line="25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220" w:type="dxa"/>
            <w:vAlign w:val="bottom"/>
          </w:tcPr>
          <w:p>
            <w:pPr>
              <w:spacing w:after="0"/>
              <w:rPr>
                <w:sz w:val="17"/>
                <w:szCs w:val="17"/>
                <w:color w:val="auto"/>
              </w:rPr>
            </w:pP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300" w:type="dxa"/>
            <w:vAlign w:val="bottom"/>
          </w:tcPr>
          <w:p>
            <w:pPr>
              <w:spacing w:after="0"/>
              <w:rPr>
                <w:sz w:val="17"/>
                <w:szCs w:val="17"/>
                <w:color w:val="auto"/>
              </w:rPr>
            </w:pPr>
          </w:p>
        </w:tc>
        <w:tc>
          <w:tcPr>
            <w:tcW w:w="146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7"/>
                <w:szCs w:val="17"/>
                <w:color w:val="auto"/>
              </w:rPr>
            </w:pPr>
          </w:p>
        </w:tc>
        <w:tc>
          <w:tcPr>
            <w:tcW w:w="1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7"/>
                <w:szCs w:val="17"/>
                <w:color w:val="auto"/>
              </w:rPr>
            </w:pPr>
          </w:p>
        </w:tc>
        <w:tc>
          <w:tcPr>
            <w:tcW w:w="13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Pr>
          <w:p>
            <w:pPr>
              <w:spacing w:after="0"/>
              <w:rPr>
                <w:sz w:val="14"/>
                <w:szCs w:val="14"/>
                <w:color w:val="auto"/>
              </w:rPr>
            </w:pPr>
          </w:p>
        </w:tc>
        <w:tc>
          <w:tcPr>
            <w:tcW w:w="1220" w:type="dxa"/>
            <w:vAlign w:val="bottom"/>
          </w:tcPr>
          <w:p>
            <w:pPr>
              <w:jc w:val="center"/>
              <w:ind w:right="92"/>
              <w:spacing w:after="0" w:line="172" w:lineRule="exact"/>
              <w:rPr>
                <w:sz w:val="20"/>
                <w:szCs w:val="20"/>
                <w:color w:val="auto"/>
              </w:rPr>
            </w:pPr>
            <w:r>
              <w:rPr>
                <w:rFonts w:ascii="Times New Roman" w:cs="Times New Roman" w:eastAsia="Times New Roman" w:hAnsi="Times New Roman"/>
                <w:sz w:val="18"/>
                <w:szCs w:val="18"/>
                <w:b w:val="1"/>
                <w:bCs w:val="1"/>
                <w:color w:val="auto"/>
                <w:w w:val="97"/>
              </w:rPr>
              <w:t>Excess of Par</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192"/>
              <w:spacing w:after="0" w:line="17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w w:val="99"/>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5"/>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19"/>
                <w:szCs w:val="19"/>
                <w:color w:val="auto"/>
              </w:rPr>
            </w:pPr>
          </w:p>
        </w:tc>
        <w:tc>
          <w:tcPr>
            <w:tcW w:w="146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w w:val="99"/>
              </w:rPr>
              <w:t>Equity Awards, Granted and Vested, Net of</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6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9"/>
              </w:rPr>
              <w:t>(24)</w:t>
            </w:r>
          </w:p>
        </w:tc>
        <w:tc>
          <w:tcPr>
            <w:tcW w:w="2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Issued for Acquisitions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72"/>
        </w:trPr>
        <w:tc>
          <w:tcPr>
            <w:tcW w:w="326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w w:val="98"/>
              </w:rPr>
              <w:t>Equity Awards, Granted, and Vested, Net of</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6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72"/>
        </w:trPr>
        <w:tc>
          <w:tcPr>
            <w:tcW w:w="326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w w:val="99"/>
              </w:rPr>
              <w:t>Equity Awards, Granted and Vested, Net of</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6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Repurchases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5"/>
        </w:trPr>
        <w:tc>
          <w:tcPr>
            <w:tcW w:w="32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Dividends Declared ($0.25 per share)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9"/>
                <w:szCs w:val="19"/>
                <w:color w:val="auto"/>
              </w:rPr>
            </w:pPr>
          </w:p>
        </w:tc>
        <w:tc>
          <w:tcPr>
            <w:tcW w:w="146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20</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4"/>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w w:val="99"/>
              </w:rPr>
              <w:t>(32)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178"/>
        <w:spacing w:after="0" w:line="214" w:lineRule="auto"/>
        <w:tabs>
          <w:tab w:leader="none" w:pos="5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dividend equivalents on share-based awards.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220" w:type="dxa"/>
            <w:vAlign w:val="bottom"/>
          </w:tcPr>
          <w:p>
            <w:pPr>
              <w:spacing w:after="0"/>
              <w:rPr>
                <w:sz w:val="17"/>
                <w:szCs w:val="17"/>
                <w:color w:val="auto"/>
              </w:rPr>
            </w:pP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300" w:type="dxa"/>
            <w:vAlign w:val="bottom"/>
          </w:tcPr>
          <w:p>
            <w:pPr>
              <w:spacing w:after="0"/>
              <w:rPr>
                <w:sz w:val="17"/>
                <w:szCs w:val="17"/>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1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7"/>
                <w:szCs w:val="17"/>
                <w:color w:val="auto"/>
              </w:rPr>
            </w:pPr>
          </w:p>
        </w:tc>
        <w:tc>
          <w:tcPr>
            <w:tcW w:w="13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0" w:type="dxa"/>
            <w:vAlign w:val="bottom"/>
          </w:tcPr>
          <w:p>
            <w:pPr>
              <w:spacing w:after="0"/>
              <w:rPr>
                <w:sz w:val="14"/>
                <w:szCs w:val="14"/>
                <w:color w:val="auto"/>
              </w:rPr>
            </w:pPr>
          </w:p>
        </w:tc>
        <w:tc>
          <w:tcPr>
            <w:tcW w:w="1220" w:type="dxa"/>
            <w:vAlign w:val="bottom"/>
          </w:tcPr>
          <w:p>
            <w:pPr>
              <w:jc w:val="center"/>
              <w:ind w:right="92"/>
              <w:spacing w:after="0" w:line="172" w:lineRule="exact"/>
              <w:rPr>
                <w:sz w:val="20"/>
                <w:szCs w:val="20"/>
                <w:color w:val="auto"/>
              </w:rPr>
            </w:pPr>
            <w:r>
              <w:rPr>
                <w:rFonts w:ascii="Times New Roman" w:cs="Times New Roman" w:eastAsia="Times New Roman" w:hAnsi="Times New Roman"/>
                <w:sz w:val="18"/>
                <w:szCs w:val="18"/>
                <w:b w:val="1"/>
                <w:bCs w:val="1"/>
                <w:color w:val="auto"/>
                <w:w w:val="97"/>
              </w:rPr>
              <w:t>Excess of Par</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552"/>
              <w:spacing w:after="0" w:line="172" w:lineRule="exact"/>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2"/>
        </w:trPr>
        <w:tc>
          <w:tcPr>
            <w:tcW w:w="328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Equity Awards, Granted, Vested and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Exercised, Net of Shares Withheld for Taxes</w:t>
            </w: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72"/>
        </w:trPr>
        <w:tc>
          <w:tcPr>
            <w:tcW w:w="328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Equity Awards, Granted, Vested and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Exercised, Net of Shares Withheld for Taxes</w:t>
            </w:r>
          </w:p>
        </w:tc>
        <w:tc>
          <w:tcPr>
            <w:tcW w:w="14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4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Equity Awards, Granted, Vested and</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Exercised, Net of Shares Withheld for Taxes</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loss by component for the nine months ended September 30, 2024 and 2023:</w:t>
      </w:r>
    </w:p>
    <w:p>
      <w:pPr>
        <w:spacing w:after="0" w:line="4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Currency Translation</w:t>
            </w:r>
          </w:p>
        </w:tc>
        <w:tc>
          <w:tcPr>
            <w:tcW w:w="18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400" w:type="dxa"/>
            <w:vAlign w:val="bottom"/>
          </w:tcPr>
          <w:p>
            <w:pPr>
              <w:spacing w:after="0"/>
              <w:rPr>
                <w:sz w:val="18"/>
                <w:szCs w:val="18"/>
                <w:color w:val="auto"/>
              </w:rPr>
            </w:pP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3960" w:type="dxa"/>
            <w:vAlign w:val="bottom"/>
            <w:tcBorders>
              <w:bottom w:val="single" w:sz="8" w:color="auto"/>
            </w:tcBorders>
            <w:vMerge w:val="continue"/>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4" w:name="page15"/>
    <w:bookmarkEnd w:id="14"/>
    <w:tbl>
      <w:tblPr>
        <w:tblLayout w:type="fixed"/>
        <w:tblInd w:w="32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4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 Income per Share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5"/>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A reconciliation of the number of shares used for the basic and diluted income per share calculation was as follows: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3"/>
          </w:tcPr>
          <w:p>
            <w:pPr>
              <w:jc w:val="right"/>
              <w:ind w:right="272"/>
              <w:spacing w:after="0" w:line="19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000" w:type="dxa"/>
            <w:vAlign w:val="bottom"/>
            <w:gridSpan w:val="3"/>
          </w:tcPr>
          <w:p>
            <w:pPr>
              <w:jc w:val="right"/>
              <w:ind w:right="272"/>
              <w:spacing w:after="0" w:line="198"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12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4"/>
        </w:trPr>
        <w:tc>
          <w:tcPr>
            <w:tcW w:w="6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5"/>
        </w:trPr>
        <w:tc>
          <w:tcPr>
            <w:tcW w:w="6080" w:type="dxa"/>
            <w:vAlign w:val="bottom"/>
            <w:tcBorders>
              <w:bottom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Less: Impact of Acquisition Contingent Consideration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 and Available to Shareholders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60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12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72.1</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5"/>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6080" w:type="dxa"/>
            <w:vAlign w:val="bottom"/>
            <w:tcBorders>
              <w:bottom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Dilutive Effect of Acquisition Contingent Consideration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2"/>
        </w:trPr>
        <w:tc>
          <w:tcPr>
            <w:tcW w:w="126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5"/>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5"/>
        </w:trPr>
        <w:tc>
          <w:tcPr>
            <w:tcW w:w="608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Diluted Income per Share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65"/>
        </w:trPr>
        <w:tc>
          <w:tcPr>
            <w:tcW w:w="60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6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6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8"/>
        </w:trPr>
        <w:tc>
          <w:tcPr>
            <w:tcW w:w="6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ind w:left="560" w:hanging="236"/>
        <w:spacing w:after="0" w:line="290" w:lineRule="auto"/>
        <w:tabs>
          <w:tab w:leader="none" w:pos="557" w:val="left"/>
        </w:tabs>
        <w:numPr>
          <w:ilvl w:val="0"/>
          <w:numId w:val="5"/>
        </w:numPr>
        <w:rPr>
          <w:rFonts w:ascii="Calibri" w:cs="Calibri" w:eastAsia="Calibri" w:hAnsi="Calibri"/>
          <w:sz w:val="9"/>
          <w:szCs w:val="9"/>
          <w:color w:val="auto"/>
        </w:rPr>
      </w:pPr>
      <w:r>
        <w:rPr>
          <w:rFonts w:ascii="Times New Roman" w:cs="Times New Roman" w:eastAsia="Times New Roman" w:hAnsi="Times New Roman"/>
          <w:sz w:val="14"/>
          <w:szCs w:val="14"/>
          <w:color w:val="auto"/>
        </w:rPr>
        <w:t>Included the maximum potentially dilutive shares contingently issuable for an acquisition consideration during the three months ended September 30,2024, the value of which was adjusted out of Net Income Attributable to Weatherford in calculating diluted income per share.</w:t>
      </w:r>
    </w:p>
    <w:p>
      <w:pPr>
        <w:spacing w:after="0" w:line="2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our weighted average shares outstanding during the period. Diluted income per share is computed by dividing net income available to shareholders by our weighted average shares outstanding during the period including potential dilutive ordinary shares. Anti-dilutive weighted average shares represent securities that could potentially dilute income per share in the future, and are excluded from the computation of income per share.</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Warrants to purchase 7.8 million ordinary shares at $99.96 per share were issued on December 13, 2019 and expired on December 13, 2023. For the three and nine months ended September 30, 2023 warrants were excluded from the diluted weighted average shares outstanding as the exercise price of the warrants was greater than the average market price of the Company’s ordinary shares.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10 – Income Taxes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recognized a tax expense of $12 million and $144 million for the three and nine months ended September 30, 2024, respectively, compared to tax expense of $33 million and $55 million, respectively, for the three and nine months ended September 30, 2023. Income tax expense was lower in the third quarter of 2024 compared to the same three month period in 2023 due to a release of a valuation allowance of $37 million in the third quarter of 2024. Income tax expense was higher in the nine months ended September 30, 2024 compared to the same period in 2023 primarily due to increased earnings before taxes. In addition, income tax expense during the nine months ended 2023 had been lowered by $67 million due to the release of valuation allowances and the recognition of a benefit from previously uncertain tax positions. The 2023 benefits were offset by the establishment of a valuation allowance of approximately $20 million related to the sale of Blue Chip Swap securities in Argentina. We calculate income tax provision using the estimated annual effective tax rate method in accordance with Accounting Standards Codification “ASC” 740 - Income Taxes.</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spacing w:after="0" w:line="2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December 2023, Ireland enacted tax legislation that models the Organization of Economic Cooperation and Development reform plans focused on global profit allocation and implementing a global minimum tax rate of at least 15% for large multinational corporations on a jurisdiction-by-jurisdiction basis, known as “Pillar Two.” This is not expected to materially increase the taxes we owe.</w:t>
      </w:r>
    </w:p>
    <w:p>
      <w:pPr>
        <w:spacing w:after="0" w:line="2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routinely undergo tax examination in various jurisdictions. We cannot predict the timing or outcome regarding resolution of these tax examinations or if they will have a material impact on our financial statements. As of September 30, 2024, we anticipate that it is reasonably possible that our uncertain tax positions of $265 million, including interest and penalties offset by net operating losses and other tax attributes if settled, may decrease by up to $6 million in the next twelve months due to expiration of statutes of limitations, settlements and/or conclusions of tax examinations.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11 – Credit Default Swap</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entered into a credit default swap (“CDS”) with a third-party financial institution terminating in February of 2026 related to a secured loan between that third-party financial institution and our largest customer in Mexico. The secured loan was utilized by this customer to pay certain of our outstanding receivables and accordingly, in the fourth quarter of 2023 and January of 2024, we received $140 million and $142 million, respectively.</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the CDS terms, within five business days upon notification of default, we could have been required to pay the then outstanding notional balance net of recoveries. As of December 31, 2023, we had a notional balance of $130 million outstanding under the CDS, which increased to $260 million in January of 2024, following the receipt of the $142 million payment. The agreement was modified in the second quarter of 2024 to reduce the notional balance, and then terminated in the third quarter of 2024, extinguishing the remaining notional balance.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 – Blue Chip Swap Securities - Argentina</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 our ability to access U.S. dollars in Argentina and remit cash from our Argentine operations. As such, we have used an indirect foreign exchange mechanism known as a Blue Chip Swap (“BCS”) which allows entities to remit U.S. dollars from Argentina through the purchase and sale of securities. No BCS transactions were executed during the third quarter of 2024 or 2023. During the second quarter of 2024 and 2023, we completed a series of BCS transactions at implied exchange rates that were approximately 26% and 106% higher, respectively, than the</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 exchange rate, resulting in a loss of $10 million and $57 million, respectively.</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13 – Acquisitions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we closed on acquisitions with total consideration of $160 million, which includes $51 million in cash net of cash acquired and 0.8 million of our ordinary shares valued at $75 million on the closing dates. These amounts include an immaterial acquisition during the three months ended September 30, 2024. The purchases were accounted for using the acquisition method of accounting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purchase price was allocated to the assets acquired and liabilities assumed based on their estimated fair values measured in accordance with the guidance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fair value measurements of the intangible assets were based on inputs not observable in the market and therefore represent Level 3 measurements. The fair value of intangible assets acquired was $99 million and the goodwill and contingent considerations were each immaterial. Acquisition-related costs incurred by the Company are expensed as incurred. The operating results of the acquired businesses were included in the Company’s results of operations from the dates of acquisition. See also “Note 5 – Intangibles, Net” and “Note 8 – Shareholders’ Equity” in our Notes to Condensed Consolidated Financial Statements.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14 – Subsequent Events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October 17, 2024, our Board of Directors declared a cash dividend of $0.25 per share of the Company’s ordinary shares, payable on December 5, 2024 to shareholders of record as of November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4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330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20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 reserves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and unconventional wells, deep water, and aging reservoirs. The primary offerings are intervention services &amp; drilling tools, artificial lift, digital solutions, sub-sea intervention and pressure pumping services in select markets.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Brent North Sea (“Brent”) crude oil and Henry Hub natural gas.</w:t>
      </w:r>
    </w:p>
    <w:p>
      <w:pPr>
        <w:spacing w:after="0" w:line="1" w:lineRule="exact"/>
        <w:rPr>
          <w:sz w:val="20"/>
          <w:szCs w:val="20"/>
          <w:color w:val="auto"/>
        </w:rPr>
      </w:pPr>
    </w:p>
    <w:tbl>
      <w:tblPr>
        <w:tblLayout w:type="fixed"/>
        <w:tblInd w:w="118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20" w:type="dxa"/>
            <w:vAlign w:val="bottom"/>
          </w:tcPr>
          <w:p>
            <w:pPr>
              <w:spacing w:after="0"/>
              <w:rPr>
                <w:sz w:val="19"/>
                <w:szCs w:val="19"/>
                <w:color w:val="auto"/>
              </w:rPr>
            </w:pPr>
          </w:p>
        </w:tc>
        <w:tc>
          <w:tcPr>
            <w:tcW w:w="254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2"/>
        </w:trPr>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20" w:type="dxa"/>
            <w:vAlign w:val="bottom"/>
          </w:tcPr>
          <w:p>
            <w:pPr>
              <w:spacing w:after="0"/>
              <w:rPr>
                <w:sz w:val="20"/>
                <w:szCs w:val="20"/>
                <w:color w:val="auto"/>
              </w:rPr>
            </w:pPr>
          </w:p>
        </w:tc>
        <w:tc>
          <w:tcPr>
            <w:tcW w:w="2540" w:type="dxa"/>
            <w:vAlign w:val="bottom"/>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8"/>
        </w:trPr>
        <w:tc>
          <w:tcPr>
            <w:tcW w:w="37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7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r>
      <w:tr>
        <w:trPr>
          <w:trHeight w:val="225"/>
        </w:trPr>
        <w:tc>
          <w:tcPr>
            <w:tcW w:w="372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r>
      <w:tr>
        <w:trPr>
          <w:trHeight w:val="225"/>
        </w:trPr>
        <w:tc>
          <w:tcPr>
            <w:tcW w:w="3720" w:type="dxa"/>
            <w:vAlign w:val="bottom"/>
            <w:tcBorders>
              <w:bottom w:val="single" w:sz="8" w:color="auto"/>
            </w:tcBorders>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Henry Hub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bl>
    <w:p>
      <w:pPr>
        <w:ind w:left="1340" w:hanging="150"/>
        <w:spacing w:after="0" w:line="227" w:lineRule="auto"/>
        <w:tabs>
          <w:tab w:leader="none" w:pos="13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Oil price measured in dollars per barrel (rounded to the nearest $0.01)</w:t>
      </w:r>
    </w:p>
    <w:p>
      <w:pPr>
        <w:spacing w:after="0" w:line="22" w:lineRule="exact"/>
        <w:rPr>
          <w:rFonts w:ascii="Times New Roman" w:cs="Times New Roman" w:eastAsia="Times New Roman" w:hAnsi="Times New Roman"/>
          <w:sz w:val="19"/>
          <w:szCs w:val="19"/>
          <w:color w:val="auto"/>
          <w:vertAlign w:val="superscript"/>
        </w:rPr>
      </w:pPr>
    </w:p>
    <w:p>
      <w:pPr>
        <w:ind w:left="1340" w:hanging="150"/>
        <w:spacing w:after="0" w:line="208" w:lineRule="auto"/>
        <w:tabs>
          <w:tab w:leader="none" w:pos="13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Natural gas price measured in dollars per million British thermal units (rounded to the nearest $0.01)</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43" w:lineRule="exact"/>
        <w:rPr>
          <w:sz w:val="20"/>
          <w:szCs w:val="20"/>
          <w:color w:val="auto"/>
        </w:rPr>
      </w:pPr>
    </w:p>
    <w:tbl>
      <w:tblPr>
        <w:tblLayout w:type="fixed"/>
        <w:tblInd w:w="1120" w:type="dxa"/>
        <w:tblCellMar>
          <w:top w:w="0" w:type="dxa"/>
          <w:left w:w="0" w:type="dxa"/>
          <w:bottom w:w="0" w:type="dxa"/>
          <w:right w:w="0" w:type="dxa"/>
        </w:tblCellMar>
      </w:tblPr>
      <w:tr>
        <w:trPr>
          <w:trHeight w:val="225"/>
        </w:trPr>
        <w:tc>
          <w:tcPr>
            <w:tcW w:w="4000" w:type="dxa"/>
            <w:vAlign w:val="bottom"/>
          </w:tcPr>
          <w:p>
            <w:pPr>
              <w:spacing w:after="0"/>
              <w:rPr>
                <w:sz w:val="19"/>
                <w:szCs w:val="19"/>
                <w:color w:val="auto"/>
              </w:rPr>
            </w:pP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2"/>
        </w:trPr>
        <w:tc>
          <w:tcPr>
            <w:tcW w:w="4000" w:type="dxa"/>
            <w:vAlign w:val="bottom"/>
          </w:tcPr>
          <w:p>
            <w:pPr>
              <w:spacing w:after="0"/>
              <w:rPr>
                <w:sz w:val="20"/>
                <w:szCs w:val="20"/>
                <w:color w:val="auto"/>
              </w:rPr>
            </w:pPr>
          </w:p>
        </w:tc>
        <w:tc>
          <w:tcPr>
            <w:tcW w:w="212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tcBorders>
              <w:bottom w:val="single" w:sz="8" w:color="auto"/>
            </w:tcBorders>
            <w:gridSpan w:val="2"/>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9"/>
        </w:trPr>
        <w:tc>
          <w:tcPr>
            <w:tcW w:w="40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796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spacing w:after="0"/>
              <w:rPr>
                <w:sz w:val="19"/>
                <w:szCs w:val="19"/>
                <w:color w:val="auto"/>
              </w:rPr>
            </w:pPr>
          </w:p>
        </w:tc>
        <w:tc>
          <w:tcPr>
            <w:tcW w:w="15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788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25"/>
        </w:trPr>
        <w:tc>
          <w:tcPr>
            <w:tcW w:w="4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937</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955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43"/>
        </w:trPr>
        <w:tc>
          <w:tcPr>
            <w:tcW w:w="48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13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93"/>
              </w:rPr>
              <w:t>1,733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1,787</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1,743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February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Revenues in Russia were approximately 6% and 5% of our total revenues for the three and nine months ended September 30, 2024, compared to 6% of our total revenues for both the three and nine months ended September 30, 2023. As of September 30, 2024, our Russia operations included $94 million in cash, $98 million in other current assets, $69 million in property, plant and equipment and other non-current assets, and $51 million in liabilities. As of December 31, 2023, our Russia operations included $62 million in cash, $94 million in other current assets, $76 million in property, plant and equipment and other non-current assets, and $62 million in liabilities.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204" w:lineRule="exact"/>
        <w:rPr>
          <w:sz w:val="20"/>
          <w:szCs w:val="20"/>
          <w:color w:val="auto"/>
        </w:rPr>
      </w:pPr>
    </w:p>
    <w:p>
      <w:pPr>
        <w:ind w:left="1280" w:hanging="320"/>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24" w:lineRule="exact"/>
        <w:rPr>
          <w:rFonts w:ascii="Times New Roman" w:cs="Times New Roman" w:eastAsia="Times New Roman" w:hAnsi="Times New Roman"/>
          <w:sz w:val="18"/>
          <w:szCs w:val="18"/>
          <w:color w:val="auto"/>
        </w:rPr>
      </w:pPr>
    </w:p>
    <w:p>
      <w:pPr>
        <w:ind w:left="1280" w:right="2320" w:hanging="320"/>
        <w:spacing w:after="0" w:line="245" w:lineRule="auto"/>
        <w:tabs>
          <w:tab w:leader="none" w:pos="1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spacing w:after="0" w:line="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5" w:lineRule="exact"/>
        <w:rPr>
          <w:rFonts w:ascii="Times New Roman" w:cs="Times New Roman" w:eastAsia="Times New Roman" w:hAnsi="Times New Roman"/>
          <w:sz w:val="18"/>
          <w:szCs w:val="18"/>
          <w:color w:val="auto"/>
        </w:rPr>
      </w:pPr>
    </w:p>
    <w:p>
      <w:pPr>
        <w:ind w:left="1280" w:hanging="320"/>
        <w:spacing w:after="0" w:line="245" w:lineRule="auto"/>
        <w:tabs>
          <w:tab w:leader="none" w:pos="1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spacing w:after="0" w:line="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in the Middle East</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are monitoring the recent escalation of conflicts in the Middle East as there is a renewed and heightened risk of operational disruption, including personnel movement, supply chain and logistics.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Summary</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Revenues of $1.4 billion and $4.2 billion in the three and nine months ended September 30, 2024, increased 7% and 11% compared to $1.3 billion and $3.8 billion in the three and nine months ended September 30, 2023, respectively. Year-over-year in the third quarter, product revenues increased 6% and service revenues increased 8%. WCC and DRE contributed 52% and 49% of the increase in revenues, respectively, with PRI essentially flat. Year-over-year in the nine months ended September 30, 2024, product revenues increased 10% and service revenues 11%. WCC, DRE, and PRI contributed 38%, 33%, and 1% of the increase in revenues, respectively. The remaining revenue increase year-over-year year-to-date was due to higher activity in integrated services and projects.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Geographically, the year-over-year third quarter revenue growth was led by improvements in the Middle East/North Africa/Asia, Europe/Sub-Sahara Africa/Russia and Latin America regions, which contributed to 74%, 28% and 1% of the increase, respectively, partly offset by a revenue decline in North America. Year-over-year in the nine months ended September 30, 2024, revenue growth was led by improvements in the Middle East/North Africa/Asia, Europe/Sub-Sahara Africa/Russia, and Latin America regions, which contributed to 78%, 21% and 9% of the increase, respectively, partly offset by a revenue decline in North America.</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Operating income of $243 million and $740 million in the three and nine months ended September 30, 2024, increased 11% and 23% compared to $218 million and $604 million in the three and nine months ended September 30, 2023, respectively, primarily driven by improved operational efficiencies from increased resource utilization in addition to gains on sales of used rental equipment. Cost of products and services of $917 million and $2.7 billion in the three and nine months ended September 30, 2024, increased 7% and 8% compared to $859 million and $2.5 billion in the three and nine months ended September 30, 2023, respectively. Our cost of products and services as a percentage of revenues was 65% in both the three and nine months ended September 30, 2024 compared to 65% and 66% in the three and nine months ended September 30, 2023, respectively.</w:t>
      </w:r>
    </w:p>
    <w:p>
      <w:pPr>
        <w:spacing w:after="0" w:line="21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Average oil prices in the three months ended September 30, 2024 decreased by 7% for West Texas Intermediate crude oil and 8% for Brent North Sea crude oil, and in the nine months ended September 30, 2024 increased by 1% for both West Texas Intermediate crude oil and Brent North Sea crude oil compared to the same periods in 2023, respectively. Average Henry Hub natural gas prices in the three months ended September 30, 2024 decreased by 19% and in the nine months ended September 30, 2024, decreased by 15%, compared to the same periods in 2023, respectively. Global rig counts for the three and nine months ended September 30, 2024 decreased by 3% and 5% compared to the same periods in 2023, respectively, driven by a decrease in North America. The year-over-year decrease in both the Henry Hub natural gas prices and North America rig count reflects the lower market demand and oversupply of natural gas in the region.</w:t>
      </w:r>
    </w:p>
    <w:p>
      <w:pPr>
        <w:spacing w:after="0" w:line="2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$236 million and $719 million in the three and nine months ended September 30, 2024, decreased 2% and increased 5% compared to $241 million and $682 million in the three and nine months ended September 30, 2023, respectively. The third quarter decrease year-over-year was primarily due to a decrease in employee incentive programs. The year-to-date increase year-over-year primarily reflects an increase in overhead to support organization growth and an increase in research and development on newer technologies. Selling, general, administrative and research and development costs as a percentage of revenues was 17% in both the three and nine months ended September 30, 2024, and 18% in both the three and nine months ended September 30, 2023.</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charges (credits) in the three and nine months ended September 30, 2024 were $13 million and $21 million in net charges, respectively, and primarily includes fees to third-party financial institutions to facilitate loans between those financial institutions and our largest customer in Mexico, who in turn paid certain of our outstanding receivables. Other charges (credits) in the three and nine months ended September 30, 2023 were $5 million and $9 million in net credits, respectively.</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net was $24 million and $77 million in the three and nine months ended September 30, 2024, respectively, and $30 million and $92 million in the three and nine months ended September 30, 2023, respectively. Interest expense, net is interest expense net of interest income.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Interest expense of $37 million and $121 million in the three and nine months ended September 30, 2024, respectively, and $45 million and $139 million in the three and nine months ended September 30, 2023, respectively, decreased primarily due to the reduction in our outstanding long-term debt. As of September 30, 2024, we have fully repaid our outstanding 2028 Senior Secured Notes. See “Note 6 – Borrowings and Other Debt Obligations” to our Condensed Consolidated Financial Statements for additional details. Interest income was $13 million and $44 million in the three and nine months ended September 30, 2024, respectively, and $15 million and $47 million in the three and nine months ended September 30, 2023.</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Loss on Blue Chip Swap Securities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 indirect foreign exchange mechanism known as the Blue Chip Swap (“BCS”) allows entities to remit U.S. dollars from operations in Argentina. No BCS transactions were executed during the third quarter of 2024 or 2023. During the second quarter of 2024 and 2023, we entered into a series of BCS securities transactions that resulted in a “Loss on Blue Chip Swap Securities” of $10 million in the nine months ended September 30, 2024 and $57 million in the nine months ended September 30, 2023, respectively. See “Note 12 – Blue Chip Swap Securities - Argentina” to our Condensed Consolidated Financial Statements for additional details.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Other expense, net was $41 million and $83 million in the three and nine months ended September 30, 2024, respectively, and $24 million and $98 million in the three and nine months ended September 30, 2023, respectively. Other expense, net primarily represents foreign exchange losses in countries with no or limited markets to hedge, letter of credit fees and other financing charges, including when applicable, bond redemption premiums partially offset by certain investment gains and losses. When economically advantageous, we enter into foreign currency forward contracts to mitigate the risk of future cash flows denominated in a foreign currency.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10 – Income Taxes” to our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842"/>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0"/>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information by segment is summarized below.</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7"/>
              </w:rPr>
              <w:t>Favorable</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2"/>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(Unfavorable)</w:t>
            </w:r>
          </w:p>
        </w:tc>
        <w:tc>
          <w:tcPr>
            <w:tcW w:w="240" w:type="dxa"/>
            <w:vAlign w:val="bottom"/>
            <w:tcBorders>
              <w:bottom w:val="single" w:sz="8" w:color="auto"/>
            </w:tcBorders>
          </w:tcPr>
          <w:p>
            <w:pPr>
              <w:spacing w:after="0"/>
              <w:rPr>
                <w:sz w:val="20"/>
                <w:szCs w:val="20"/>
                <w:color w:val="auto"/>
              </w:rPr>
            </w:pPr>
          </w:p>
        </w:tc>
      </w:tr>
      <w:tr>
        <w:trPr>
          <w:trHeight w:val="21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5"/>
              </w:rPr>
              <w:t>% or bps</w:t>
            </w:r>
          </w:p>
        </w:tc>
        <w:tc>
          <w:tcPr>
            <w:tcW w:w="24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4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 Revenues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435</w:t>
            </w:r>
          </w:p>
        </w:tc>
        <w:tc>
          <w:tcPr>
            <w:tcW w:w="62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WCC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509</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 Revenues</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371</w:t>
            </w:r>
          </w:p>
        </w:tc>
        <w:tc>
          <w:tcPr>
            <w:tcW w:w="6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1,409</w:t>
            </w:r>
          </w:p>
        </w:tc>
        <w:tc>
          <w:tcPr>
            <w:tcW w:w="62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1,313</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20" w:type="dxa"/>
            <w:vAlign w:val="bottom"/>
          </w:tcPr>
          <w:p>
            <w:pPr>
              <w:spacing w:after="0"/>
              <w:rPr>
                <w:sz w:val="23"/>
                <w:szCs w:val="23"/>
                <w:color w:val="auto"/>
              </w:rPr>
            </w:pPr>
          </w:p>
        </w:tc>
        <w:tc>
          <w:tcPr>
            <w:tcW w:w="426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shd w:val="clear" w:color="auto" w:fill="CCEEFF"/>
          </w:tcPr>
          <w:p>
            <w:pPr>
              <w:jc w:val="center"/>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w:t>
            </w:r>
          </w:p>
        </w:tc>
        <w:tc>
          <w:tcPr>
            <w:tcW w:w="6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(89)</w:t>
            </w:r>
          </w:p>
        </w:tc>
        <w:tc>
          <w:tcPr>
            <w:tcW w:w="62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Credits (Charges)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gridSpan w:val="2"/>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Borders>
              <w:bottom w:val="single" w:sz="8" w:color="auto"/>
            </w:tcBorders>
            <w:shd w:val="clear" w:color="auto" w:fill="CCEEFF"/>
          </w:tcPr>
          <w:p>
            <w:pPr>
              <w:jc w:val="right"/>
              <w:ind w:right="19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243</w:t>
            </w:r>
          </w:p>
        </w:tc>
        <w:tc>
          <w:tcPr>
            <w:tcW w:w="620" w:type="dxa"/>
            <w:vAlign w:val="bottom"/>
            <w:tcBorders>
              <w:bottom w:val="single" w:sz="8" w:color="auto"/>
            </w:tcBorders>
            <w:shd w:val="clear" w:color="auto" w:fill="CCEEFF"/>
          </w:tcPr>
          <w:p>
            <w:pPr>
              <w:jc w:val="center"/>
              <w:ind w:right="41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ind w:right="492"/>
              <w:spacing w:after="0" w:line="192" w:lineRule="exact"/>
              <w:rPr>
                <w:sz w:val="20"/>
                <w:szCs w:val="20"/>
                <w:color w:val="auto"/>
              </w:rPr>
            </w:pPr>
            <w:r>
              <w:rPr>
                <w:rFonts w:ascii="Times New Roman" w:cs="Times New Roman" w:eastAsia="Times New Roman" w:hAnsi="Times New Roman"/>
                <w:sz w:val="18"/>
                <w:szCs w:val="18"/>
                <w:b w:val="1"/>
                <w:bCs w:val="1"/>
                <w:color w:val="auto"/>
              </w:rPr>
              <w:t>25</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 Segment Adjusted EBITDA Margin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(309)bps</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WCC Segment Adjusted EBITDA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bps</w:t>
            </w:r>
          </w:p>
        </w:tc>
      </w:tr>
      <w:tr>
        <w:trPr>
          <w:trHeight w:val="231"/>
        </w:trPr>
        <w:tc>
          <w:tcPr>
            <w:tcW w:w="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 Segment Adjusted EBITDA Margin</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449" w:right="339" w:bottom="1440" w:gutter="0" w:footer="0" w:header="0"/>
        </w:sectPr>
      </w:pPr>
    </w:p>
    <w:bookmarkStart w:id="22" w:name="page23"/>
    <w:bookmarkEnd w:id="22"/>
    <w:tbl>
      <w:tblPr>
        <w:tblLayout w:type="fixed"/>
        <w:tblInd w:w="320" w:type="dxa"/>
        <w:tblCellMar>
          <w:top w:w="0" w:type="dxa"/>
          <w:left w:w="0" w:type="dxa"/>
          <w:bottom w:w="0" w:type="dxa"/>
          <w:right w:w="0" w:type="dxa"/>
        </w:tblCellMar>
      </w:tblPr>
      <w:tr>
        <w:trPr>
          <w:trHeight w:val="20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967"/>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(Unfavorable)</w:t>
            </w:r>
          </w:p>
        </w:tc>
        <w:tc>
          <w:tcPr>
            <w:tcW w:w="240" w:type="dxa"/>
            <w:vAlign w:val="bottom"/>
            <w:tcBorders>
              <w:bottom w:val="single" w:sz="8" w:color="auto"/>
            </w:tcBorders>
          </w:tcPr>
          <w:p>
            <w:pPr>
              <w:spacing w:after="0"/>
              <w:rPr>
                <w:sz w:val="20"/>
                <w:szCs w:val="20"/>
                <w:color w:val="auto"/>
              </w:rPr>
            </w:pPr>
          </w:p>
        </w:tc>
      </w:tr>
      <w:tr>
        <w:trPr>
          <w:trHeight w:val="21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5"/>
              </w:rPr>
              <w:t>% or bps</w:t>
            </w:r>
          </w:p>
        </w:tc>
        <w:tc>
          <w:tcPr>
            <w:tcW w:w="24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 Revenues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1,284</w:t>
            </w:r>
          </w:p>
        </w:tc>
        <w:tc>
          <w:tcPr>
            <w:tcW w:w="62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WCC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1,471</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151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 Revenues</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1,088</w:t>
            </w:r>
          </w:p>
        </w:tc>
        <w:tc>
          <w:tcPr>
            <w:tcW w:w="6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329</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116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4,172</w:t>
            </w:r>
          </w:p>
        </w:tc>
        <w:tc>
          <w:tcPr>
            <w:tcW w:w="62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3,773</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20" w:type="dxa"/>
            <w:vAlign w:val="bottom"/>
          </w:tcPr>
          <w:p>
            <w:pPr>
              <w:spacing w:after="0"/>
              <w:rPr>
                <w:sz w:val="23"/>
                <w:szCs w:val="23"/>
                <w:color w:val="auto"/>
              </w:rPr>
            </w:pPr>
          </w:p>
        </w:tc>
        <w:tc>
          <w:tcPr>
            <w:tcW w:w="426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371</w:t>
            </w:r>
          </w:p>
        </w:tc>
        <w:tc>
          <w:tcPr>
            <w:tcW w:w="620" w:type="dxa"/>
            <w:vAlign w:val="bottom"/>
            <w:shd w:val="clear" w:color="auto" w:fill="CCEEFF"/>
          </w:tcPr>
          <w:p>
            <w:pPr>
              <w:jc w:val="center"/>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416</w:t>
            </w:r>
          </w:p>
        </w:tc>
        <w:tc>
          <w:tcPr>
            <w:tcW w:w="6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6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(260)</w:t>
            </w:r>
          </w:p>
        </w:tc>
        <w:tc>
          <w:tcPr>
            <w:tcW w:w="6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Credits (Charges)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gridSpan w:val="2"/>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Borders>
              <w:bottom w:val="single" w:sz="8" w:color="auto"/>
            </w:tcBorders>
            <w:shd w:val="clear" w:color="auto" w:fill="CCEEFF"/>
          </w:tcPr>
          <w:p>
            <w:pPr>
              <w:jc w:val="right"/>
              <w:ind w:right="19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740</w:t>
            </w:r>
          </w:p>
        </w:tc>
        <w:tc>
          <w:tcPr>
            <w:tcW w:w="620" w:type="dxa"/>
            <w:vAlign w:val="bottom"/>
            <w:tcBorders>
              <w:bottom w:val="single" w:sz="8" w:color="auto"/>
            </w:tcBorders>
            <w:shd w:val="clear" w:color="auto" w:fill="CCEEFF"/>
          </w:tcPr>
          <w:p>
            <w:pPr>
              <w:jc w:val="center"/>
              <w:ind w:right="41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604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ind w:right="492"/>
              <w:spacing w:after="0" w:line="192" w:lineRule="exact"/>
              <w:rPr>
                <w:sz w:val="20"/>
                <w:szCs w:val="20"/>
                <w:color w:val="auto"/>
              </w:rPr>
            </w:pPr>
            <w:r>
              <w:rPr>
                <w:rFonts w:ascii="Times New Roman" w:cs="Times New Roman" w:eastAsia="Times New Roman" w:hAnsi="Times New Roman"/>
                <w:sz w:val="18"/>
                <w:szCs w:val="18"/>
                <w:b w:val="1"/>
                <w:bCs w:val="1"/>
                <w:color w:val="auto"/>
              </w:rPr>
              <w:t>136</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 Segment Adjusted EBITDA Margin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bps</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WCC Segment Adjusted EBITDA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bps</w:t>
            </w:r>
          </w:p>
        </w:tc>
      </w:tr>
      <w:tr>
        <w:trPr>
          <w:trHeight w:val="231"/>
        </w:trPr>
        <w:tc>
          <w:tcPr>
            <w:tcW w:w="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 Segment Adjusted EBITDA Margin</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bps</w:t>
            </w:r>
          </w:p>
        </w:tc>
      </w:tr>
    </w:tbl>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DRE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DRE revenues of $435 million and $1,284 million in the three and nine months ended September 30, 2024, increased $47 million or 12%, and increased $130 million or 11%, compared to $388 million and $1,154 million in the three and nine months ended September 30, 2023, respectively.</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third quarter year-over-year revenue increase, approximately 50% was from wireline activity after business acquisitions in the first quarter of 2024 and approximately 35% from drilling-related services activity. Geographically, the Middle East/North Africa/Asia and the North America regions contributed approximately 65% and 30%, respectively, partly offset by a revenue decline in the Latin America region.</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year-to-date year-over-year revenue increase, approximately 60% was from wireline activity and approximately 30% from drilling-related services. Geographically, the Middle East/North Africa/Asia and Europe/Sub-Sahara Africa/Russia regions contributed approximately 65% and 35%, respectively, partly offset by a revenue decline in the Latin America region.</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DRE segment adjusted EBITDA of $111 million and $371 million in the three and nine months ended September 30, 2024, was flat compared to $111 million in the three months ended September 30, 2023 and increased $46 million or 14%, compared to $325 million in the nine months ended September 30, 2023. DRE segment adjusted EBITDA margin was 25.5% and 28.9% in the three and nine months ended September 30, 2024 compared to 28.6% and 28.2% in the three and nine months ended September 30, 2023. The third quarter segment adjusted EBITDA remained flat with increased drilling-related services activity offset by lower margin fall through in wireline and managed pressure drilling. The year-to-date year-over-year improvement in segment adjusted EBITDA was primarily due to higher margin international managed pressure drilling activity, including</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sales of used rental equipment.</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WCC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WCC revenues of $509 million and $1,471 million in the three and nine months ended September 30, 2024, increased $50 million or 11%, and increased $151 million or 11%, compared to $459 million and $1,320 million in the three and nine months ended September 30, 2023, respectively.</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third quarter year-over-year revenue increase, approximately 55% was from completions activity and approximately 30% from liner hangers activity, partly offset by a revenue decline from lower cementation products activity. Geographically, international regions drove revenue growth and the Middle East/North Africa/Asia region contributed approximately 70% of the international growth and the Latin America and Europe/Sub-Sahara Africa/Russia regions contributed equally to remaining international growth. This was partly offset by a revenue decline in the North America region.</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year-to-date year-over-year revenue increase, approximately 45% was from completions activity and approximately 45% was from liner hangers and tubular running services activity. Geographically, international regions drove the revenue growth and the Middle East/North Africa/Asia region contributed approximately 80% of the international growth. This was partly offset by a revenue decline in the North America region.</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WCC segment adjusted EBITDA of $151 million and $416 million in the three and nine months ended September 30, 2024, increased $32 million or 27%, and increased $92 million or 28%, compared to $119 million and $324 million in the three and nine months ended September 30, 2023, respectively. WCC segment adjusted EBITDA margin was 29.7% and 28.3% in the three and nine months ended September 30, 2024, compared to 25.9% and 24.5% in the three and nine months ended September 30, 2023. The increase in revenue and segment adjusted EBITDA was primarily from higher activity.</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PRI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 revenues of $371 million and $1,088 million in the three and nine months ended September 30, 2024, was flat and increased $2 million, compared to $371 million and $1,086 million in the three and nine months ended September 30, 2023, respectively.</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 in the third quarter remained flat from prior year and consisted of intervention services and drilling tools activity, offset by a decline in pressure pumping activity. Geographically, revenue growth in the Europe/Sub-Sahara Africa/Russia region was offset by a decline primarily in the North America region.</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year-to-date year-over-year revenue increase, revenue growth in intervention services and drilling tools was partly offset by a decline in primarily pressure pumping as well as a decline in artificial lift activity. Geographically, revenue growth primarily in the Europe/Sub-Sahara Africa/Russia region as well as in the Middle East/North Africa/Asia region was offset by a decline in the North America region.</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PRI segment adjusted EBITDA of $83 million and $241 million in the three and nine months ended September 30, 2024, decreased $3 million or 3% and increased $6 million or 3% compared to $86 million and $235 million in the three and nine months ended September 30, 2023, respectively. PRI segment adjusted EBITDA margin was 22.4% and 22.2% in the three and nine months ended September 30, 2024, compared to 23.2% and 21.6% in the three and nine months ended September 30, 2023. The third quarter year-over-year decrease in segment adjusted EBITDA was primarily due to a decline in pressure pumping activity. The year-to-date year-over-year improvement in segment adjusted EBITDA was primarily from higher margin international artificial lift activity.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Other results were from non-core business activities that do not individually meet the criteria for segment reporting, including integrated services and projects, which includes pass through and project management services.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Other revenues of $94 million and $329 million in the three and nine months ended September 30, 2024, compared to $95 million and $213 million in the three and nine months ended September 30, 2023. The year-to-date year-over-year increase was primarily from of our integrated services and projects in the Middle East/North Africa/Asia and Latin America regions.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Corporate was a net expense of $13 million and $45 million in the three and nine months ended September 30, 2024 compared to $18 million and $44 million in the three and nine months ended September 30, 2023. The third quarter year-over-year decrease was primarily due to a decrease in certain professional fees and employee incentive programs.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Depreciation and amortization were $89 million and $260 million in the three and nine months ended September 30, 2024 compared to $83 million and $244 million in the three and nine months ended September 30, 2023. The year-over-year increase was primarily due to a larger asset base.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recognized $10 million and $35 million of share-based compensation in the three and nine months ended September 30, 2024 compared to $9 million and $26 million in the three and nine months ended September 30, 2023. The year-over-year increase was primarily due to an increase in equity awards granted.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Growth and spending in the energy services industry is highly dependent on many external factors. These include but are not limited to: inflation; geopolitical uncertainty; supply chain disruptions; energy policies at local and regional levels; rig counts; and the price of oil and natural gas. We continue to expect overall 2024 revenue to outpace 2023, led by international activity and global offshore activity. We expect there to be continued variability in economic conditions globally, driven primarily by geopolitical events. While the global macroeconomic conditions support continued activity and investments by our customers, there exists a significant risk of activity reduction in certain areas if commodity prices drop significantly. Alternately, there could be a curtailment of activity altogether if security infrastructure in certain regions is compromised due to the ongoing conflicts in multiple regions. At the same time, there could also be a significant uptick in activity if there is a positive shift in hydrocarbon fuel demand or a curtailment of supply due to geopolitical events in certain regions. We anticipate shifts in activity mix and evolution of demand for technology solutions and continue to align our business priorities with market demand trends. We remain constructive on the mid-to-long-term outlook which provides a pathway to a multi-year energy demand expansion. We continue to closely monitor macroeconomic and geopolitical conditions, potential supply chain disruptions, inflationary factors, and other labor and logistical constraints that could impact our operations and results.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September 30, 2024, we had cash and cash equivalents of $920 million and $58 million in restricted cash, compared to $958 million of cash and cash equivalents and $105 million in restricted cash at December 31, 2023.</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in) each type of business activity in the periods presented:</w:t>
      </w:r>
    </w:p>
    <w:p>
      <w:pPr>
        <w:spacing w:after="0" w:line="10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120" w:type="dxa"/>
            <w:vAlign w:val="bottom"/>
          </w:tcPr>
          <w:p>
            <w:pPr>
              <w:spacing w:after="0"/>
              <w:rPr>
                <w:sz w:val="18"/>
                <w:szCs w:val="18"/>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3"/>
        </w:trPr>
        <w:tc>
          <w:tcPr>
            <w:tcW w:w="7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24"/>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rPr>
              <w:t>543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6"/>
              </w:rPr>
              <w:t>457</w:t>
            </w: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7"/>
              </w:rPr>
              <w:t>(207)</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(158)</w:t>
            </w:r>
          </w:p>
        </w:tc>
      </w:tr>
      <w:tr>
        <w:trPr>
          <w:trHeight w:val="22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7"/>
              </w:rPr>
              <w:t>(378)</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(388)</w:t>
            </w:r>
          </w:p>
        </w:tc>
      </w:tr>
    </w:tbl>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$543 million for the nine months ended September 30, 2024 compared to cash provided by operating activities of $457 million for the nine months ended September 30, 2023. The primary operating sources of cash were from the timing of cash generated by our operations, offset by our operating spend, including payments to suppliers and employees. The increase in cash provided by operating activities in 2024 over 2023 was partly from revenue growth and its conversion to cash as well as from higher than average collections from our largest customer in Mexico.</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Cash used in investing activities was $207 million for the nine months ended September 30, 2024 compared to cash used in investing activities of $158 million for the nine months ended September 30, 2023. The primary investing uses of cash were for capital expenditures of $199 million and $142 million for the nine months ended September 30, 2024 and the nine months ended September 30, 2023, respectively. Cash used in investing activities also includes the use of the Blue Chip Swap mechanism in Argentina, of which the purchases more than offset the proceeds, resulting in a loss of $10 million and $57 million during the nine months ended September 30, 2024 and September 30, 2023 (see “Note 12 – Blue Chip Swap Securities - Argentina”), respectively. The increase in business acquisitions, net of cash acquired in the current period was primarily from our acquisitions completed in the first quarter of 2024 (see “Note 13 – Acquisitions”). Other investing activities include proceeds from the sale of investments from our marketable securities in Argentina and proceeds from the disposition of assets, offset by investing spend around other intangibles.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was $378 million for the nine months ended September 30, 2024 compared to cash used in financing activities of $388 million for the nine months ended September 30, 2023. The primary financing uses of cash were for repayments and repurchases of long-term debt of $264 million and $306 million for the nine months ended September 30, 2024 and nine months ended September 30, 2023, respectively (see “Note 6 – Borrowings and Other Debt Obligations”), cash dividends and share repurchases.</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23, 2024, we announced that our Board declared a cash dividend of $0.25 per share of the Company’s ordinary shares, payable on September 12, 2024 to shareholders of record as of August 13, 2024. In the third quarter of 2024, dividends paid were $18 million.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Also on July 23, 2024, we announced a $500 million share repurchase program. In the third quarter of 2024, share repurchases were $50 million.</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used in financing activities also includes tax remittances on equity awards vested, which were lower this period compared to the same period in the prior year due to a decrease in the quantity of shares vested and the increase in share price of those awards upon vesting. Other financing uses of cash primarily include distributions to noncontrolling interests and bond redemption premiums paid.</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principal and interest on our long-term debt, capital expenditures, payments on our finance and operating leases, payments for short-term working capital needs, operating costs and restructuring payments. As business activity continues to rise, we expect to utilize cash on capital assets and working capital growth.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2023 (“2023 Form 10-K”). The credit default swap agreement at “Note 11 – Credit Default Swap” was terminated on July 17, 2024 and the remaining notional balance was extinguished. Our cash requirements also include payments for our shareholder returns programs described in “Note 8 – Shareholders’ Equity.”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2024, the aggregate principal amount of our primary debt outstanding was $1.6 billion of our 2030 Senior Notes. We expect to pay $138 million in interest payments in 2024 specific to this note, of which we have paid $69 million during the nine months ended September 30, 2024. See “Note 6 – Borrowings and Other Debt Obligations” for additional information.</w:t>
      </w:r>
    </w:p>
    <w:p>
      <w:pPr>
        <w:spacing w:after="0" w:line="20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capital spend is expected to be 3-5% of revenue over a 12 to 18 month rolling period and our 2024 capital spend is projected to be within the same framework. Our payments on our operating and finance leases in 2024 are expected to be approximately $63 million and $26 million, respectively.</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September 30, 2024 and December 31, 2023, we had approximately $118 million and $92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losses.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December 31, 2023 have been maintained and upgraded through our current filing date as follows:</w:t>
      </w:r>
    </w:p>
    <w:p>
      <w:pPr>
        <w:spacing w:after="0" w:line="24" w:lineRule="exact"/>
        <w:rPr>
          <w:sz w:val="20"/>
          <w:szCs w:val="20"/>
          <w:color w:val="auto"/>
        </w:rPr>
      </w:pPr>
    </w:p>
    <w:p>
      <w:pPr>
        <w:ind w:left="640" w:right="120" w:hanging="316"/>
        <w:spacing w:after="0" w:line="24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 (“S&amp;P) and Fitch Ratings (“Fitch”) upgraded our issuer credit ratings from ‘B+’ to ‘BB-;’ there have been no updates to the S&amp;P and Fitch outlook since December 31, 2023</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There have been no updates to the Moody's Investors Service rating since December 31, 2023</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2024 and December 31, 2023, our net accounts receivables in the U.S. was 11% of total net accounts receivables for both periods.</w:t>
      </w:r>
    </w:p>
    <w:p>
      <w:pPr>
        <w:spacing w:after="0" w:line="2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net accounts receivables in Mexico were 26% and 27% of our total net accounts receivables, as of September 30, 2024 and December 31, 2023, respectively, of which our largest customer in the country accounted for 21% and 22% of our total net outstanding accounts receivables, respectively. We have experienced delays in payments from our largest customer in Mexico. The balances due are not in dispute, however, additional or continued delays in customer payments in the future could differ from historical practice and management’s current expectations, and failures to pay or defaults, if any, could negatively impact the future results of the Company.</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paid an immaterial amount of fees to third-party financial institutions to facilitate loans between those financial institutions and our largest customer in Mexico, who in turn paid certain of our outstanding receivables. Pursuant to such arrangements, we received $317 million and $459 million during the three and nine months ended September 30, 2024, respectively. As of September 30, 2024 we had no obligations under those loans.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for the above, no other country accounted for more than 10% of our net accounts receivables balance.</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discounts and hold-back. During the three and nine months ended September 30, 2024, we sold accounts receivable balances of $4 million and $55 million, and received cash proceeds of $4 million and $54 million, respectively, at the time of factoring.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and nine months ended September 30, 2023, we sold accounts receivable balances of $12 million and $121 million, and received cash proceeds of $11 million and $114 million, respectively, at the time of factoring.</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above factoring proceeds were included in Net Cash Provided by Operating Activities in the Condensed Consolidated Statements of Cash Flows.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The remaining principal of our 2028 Senior Secured Notes was redeemed and paid in full on May 23, 2024.</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2030 Senior Notes were issued by Weatherford Bermuda and guaranteed by the Company and other subsidiary guarantors party thereto. On December 1, 2022, the indenture related to our 2030 Senior Notes was amended and supplemented to add Weatherford Delaware as co-issuer and co-obligor, and concurrently released the guarantee of Weatherford Delaware.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0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On April 22, 2024, additional lenders joined the Credit Agreement, providing an increase in total commitments from $550 million to $680 million (performance letters of credit increased from $250 million to $309 million and borrowings or additional performance or financial letters of credit increased from $300 million to $371 million). On June 6, 2024, an additional lender joined the Credit Agreement, providing an increase in total commitments from $680 million to $720 million (performance letters of credit increased to $327 million and revolving loan borrowings or additional performance or financial letters of credit increased to $393 million). In addition, we amended the Credit Agreement to allow for future increases in total commitments of up to $1 billion.</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September 30, 2024, we had zero borrowings outstanding under the Credit Agreement and $386 million of letters of credit outstanding. The letters of credit consisted of 277 million for performance letters of credit, $40 million for financial letters of credit under the Credit Agreement and $69 million letters of credit under various uncommitted bi-lateral facilities ($44 million of which was cash collateral held and recorded in “Restricted Cash” on the Condensed Consolidated Balance Sheets).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The letters of credit consisted of $218 million for performance letters of credit and $52 million for financial letters of credit under the Credit Agreement and $106 million of letters of credit under various uncommitted bi-lateral facilities ($101 million of which was cash collateral held and recorded in “Restricted Cash” on the Condensed Consolidated Balance Sheets).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certain regions, primarily Latin America. As of September 30, 2024 and December 31, 2023, we had surety bonds outstanding of $546 million and $594 million, respectively. Any of our outstanding letters of credit or surety bonds could be called by the beneficiaries should we breach certain contractual or performance obligations and could reduce our available liquidity if we are unable to mitigate the issue.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a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spacing w:after="0" w:line="217" w:lineRule="exact"/>
        <w:rPr>
          <w:sz w:val="20"/>
          <w:szCs w:val="20"/>
          <w:color w:val="auto"/>
        </w:rPr>
      </w:pPr>
    </w:p>
    <w:p>
      <w:pPr>
        <w:ind w:left="640" w:hanging="316"/>
        <w:spacing w:after="0" w:line="25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 and conflicts in the Middle East);</w:t>
      </w:r>
    </w:p>
    <w:p>
      <w:pPr>
        <w:ind w:left="420" w:hanging="9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5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5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3"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5"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center"/>
        <w:ind w:left="640" w:hanging="316"/>
        <w:spacing w:after="0" w:line="260" w:lineRule="auto"/>
        <w:tabs>
          <w:tab w:leader="none" w:pos="57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ind w:left="420" w:hanging="9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lead times and lack of availability of our procured products and services;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16"/>
        <w:spacing w:after="0" w:line="253" w:lineRule="auto"/>
        <w:tabs>
          <w:tab w:leader="none" w:pos="4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ind w:left="640" w:hanging="316"/>
        <w:spacing w:after="0" w:line="245"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1"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December 31, 2023. For additional information, see “Note 6 – Borrowings and Other Debt Obligations”, “Note 11 – Credit Default Swap”, “Note 12 – Blue Chip Swap Securities - Argentina” in the Notes to Condensed Consolidated Financial Statements, as well as “Other Expense, Net” and “Liquidity and Capital Resources” under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4"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Disclosure controls and procedures (as defined in Rules 13a-15(e) and 15d-15(e) under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CEO and CFO, evaluated the effectiveness of the design and operation of our disclosure controls and procedures at September 30, 2024. Based on that evaluation, our CEO and CFO concluded that our disclosure controls and procedures were effective as of September 30, 2024.</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management identified no change in our internal control over financial reporting that occurred during the three months ended September 30, 2024 that has materially affected, or is reasonably likely to materially affect, our internal control over financial reporting.</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7 – Disputes, Litigation and Legal Contingencies” in our Notes to Condensed Consolidated Financial Statements for details regarding our ongoing disputes and litigation.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of the risk factors described in our 2023 Form 10-K, Part I, under the heading “Item 1A. Risk Factors” and other information included and incorporated by reference in this report. As of September 30, 2024, there have been no material changes in our assessment of our risk factors from the aforementioned.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Following is a summary of our repurchases of our ordinary shares during the three months ended September 30, 2024.</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Maximum Dollar Value of</w:t>
            </w:r>
          </w:p>
        </w:tc>
        <w:tc>
          <w:tcPr>
            <w:tcW w:w="0" w:type="dxa"/>
            <w:vAlign w:val="bottom"/>
          </w:tcPr>
          <w:p>
            <w:pPr>
              <w:spacing w:after="0"/>
              <w:rPr>
                <w:sz w:val="1"/>
                <w:szCs w:val="1"/>
                <w:color w:val="auto"/>
              </w:rPr>
            </w:pPr>
          </w:p>
        </w:tc>
      </w:tr>
      <w:tr>
        <w:trPr>
          <w:trHeight w:val="17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1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85"/>
        </w:trPr>
        <w:tc>
          <w:tcPr>
            <w:tcW w:w="18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Period</w:t>
            </w:r>
          </w:p>
        </w:tc>
        <w:tc>
          <w:tcPr>
            <w:tcW w:w="2540" w:type="dxa"/>
            <w:vAlign w:val="bottom"/>
          </w:tcPr>
          <w:p>
            <w:pPr>
              <w:jc w:val="right"/>
              <w:ind w:right="232"/>
              <w:spacing w:after="0" w:line="186" w:lineRule="exact"/>
              <w:rPr>
                <w:sz w:val="20"/>
                <w:szCs w:val="20"/>
                <w:color w:val="auto"/>
              </w:rPr>
            </w:pPr>
            <w:r>
              <w:rPr>
                <w:rFonts w:ascii="Times New Roman" w:cs="Times New Roman" w:eastAsia="Times New Roman" w:hAnsi="Times New Roman"/>
                <w:sz w:val="18"/>
                <w:szCs w:val="18"/>
                <w:color w:val="auto"/>
              </w:rPr>
              <w:t>Total Number of Shares</w:t>
            </w:r>
          </w:p>
        </w:tc>
        <w:tc>
          <w:tcPr>
            <w:tcW w:w="1980" w:type="dxa"/>
            <w:vAlign w:val="bottom"/>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Average Price Paid per</w:t>
            </w:r>
          </w:p>
        </w:tc>
        <w:tc>
          <w:tcPr>
            <w:tcW w:w="22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Purchased as Part of a Publicly</w:t>
            </w:r>
          </w:p>
        </w:tc>
        <w:tc>
          <w:tcPr>
            <w:tcW w:w="21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Purchased Under the Program</w:t>
            </w:r>
          </w:p>
        </w:tc>
        <w:tc>
          <w:tcPr>
            <w:tcW w:w="0" w:type="dxa"/>
            <w:vAlign w:val="bottom"/>
          </w:tcPr>
          <w:p>
            <w:pPr>
              <w:spacing w:after="0"/>
              <w:rPr>
                <w:sz w:val="1"/>
                <w:szCs w:val="1"/>
                <w:color w:val="auto"/>
              </w:rPr>
            </w:pPr>
          </w:p>
        </w:tc>
      </w:tr>
      <w:tr>
        <w:trPr>
          <w:trHeight w:val="199"/>
        </w:trPr>
        <w:tc>
          <w:tcPr>
            <w:tcW w:w="186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tcPr>
          <w:p>
            <w:pPr>
              <w:jc w:val="right"/>
              <w:ind w:right="712"/>
              <w:spacing w:after="0" w:line="199" w:lineRule="exact"/>
              <w:rPr>
                <w:sz w:val="20"/>
                <w:szCs w:val="20"/>
                <w:color w:val="auto"/>
              </w:rPr>
            </w:pPr>
            <w:r>
              <w:rPr>
                <w:rFonts w:ascii="Times New Roman" w:cs="Times New Roman" w:eastAsia="Times New Roman" w:hAnsi="Times New Roman"/>
                <w:sz w:val="18"/>
                <w:szCs w:val="18"/>
                <w:color w:val="auto"/>
              </w:rPr>
              <w:t>Purchased</w:t>
            </w:r>
          </w:p>
        </w:tc>
        <w:tc>
          <w:tcPr>
            <w:tcW w:w="1980" w:type="dxa"/>
            <w:vAlign w:val="bottom"/>
            <w:tcBorders>
              <w:bottom w:val="single" w:sz="8" w:color="auto"/>
            </w:tcBorders>
          </w:tcPr>
          <w:p>
            <w:pPr>
              <w:jc w:val="right"/>
              <w:ind w:right="752"/>
              <w:spacing w:after="0" w:line="199" w:lineRule="exact"/>
              <w:rPr>
                <w:sz w:val="20"/>
                <w:szCs w:val="20"/>
                <w:color w:val="auto"/>
              </w:rPr>
            </w:pPr>
            <w:r>
              <w:rPr>
                <w:rFonts w:ascii="Times New Roman" w:cs="Times New Roman" w:eastAsia="Times New Roman" w:hAnsi="Times New Roman"/>
                <w:sz w:val="18"/>
                <w:szCs w:val="18"/>
                <w:color w:val="auto"/>
              </w:rPr>
              <w:t>Share</w:t>
            </w:r>
          </w:p>
        </w:tc>
        <w:tc>
          <w:tcPr>
            <w:tcW w:w="228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 xml:space="preserve">Announced Program </w:t>
            </w:r>
            <w:r>
              <w:rPr>
                <w:rFonts w:ascii="Times New Roman" w:cs="Times New Roman" w:eastAsia="Times New Roman" w:hAnsi="Times New Roman"/>
                <w:sz w:val="14"/>
                <w:szCs w:val="14"/>
                <w:color w:val="auto"/>
                <w:w w:val="97"/>
              </w:rPr>
              <w:t>(1)</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18"/>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w:t>
            </w:r>
          </w:p>
        </w:tc>
        <w:tc>
          <w:tcPr>
            <w:tcW w:w="2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8,000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$499,078,640</w:t>
            </w:r>
          </w:p>
        </w:tc>
        <w:tc>
          <w:tcPr>
            <w:tcW w:w="0" w:type="dxa"/>
            <w:vAlign w:val="bottom"/>
          </w:tcPr>
          <w:p>
            <w:pPr>
              <w:spacing w:after="0"/>
              <w:rPr>
                <w:sz w:val="1"/>
                <w:szCs w:val="1"/>
                <w:color w:val="auto"/>
              </w:rPr>
            </w:pPr>
          </w:p>
        </w:tc>
      </w:tr>
      <w:tr>
        <w:trPr>
          <w:trHeight w:val="225"/>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w:t>
            </w:r>
          </w:p>
        </w:tc>
        <w:tc>
          <w:tcPr>
            <w:tcW w:w="2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279,621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279,621</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$468,971,847</w:t>
            </w:r>
          </w:p>
        </w:tc>
        <w:tc>
          <w:tcPr>
            <w:tcW w:w="0" w:type="dxa"/>
            <w:vAlign w:val="bottom"/>
          </w:tcPr>
          <w:p>
            <w:pPr>
              <w:spacing w:after="0"/>
              <w:rPr>
                <w:sz w:val="1"/>
                <w:szCs w:val="1"/>
                <w:color w:val="auto"/>
              </w:rPr>
            </w:pPr>
          </w:p>
        </w:tc>
      </w:tr>
      <w:tr>
        <w:trPr>
          <w:trHeight w:val="225"/>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w:t>
            </w:r>
          </w:p>
        </w:tc>
        <w:tc>
          <w:tcPr>
            <w:tcW w:w="25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209,246</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209,246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$449,792,359</w:t>
            </w:r>
          </w:p>
        </w:tc>
        <w:tc>
          <w:tcPr>
            <w:tcW w:w="0" w:type="dxa"/>
            <w:vAlign w:val="bottom"/>
          </w:tcPr>
          <w:p>
            <w:pPr>
              <w:spacing w:after="0"/>
              <w:rPr>
                <w:sz w:val="1"/>
                <w:szCs w:val="1"/>
                <w:color w:val="auto"/>
              </w:rPr>
            </w:pPr>
          </w:p>
        </w:tc>
      </w:tr>
      <w:tr>
        <w:trPr>
          <w:trHeight w:val="219"/>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496,867</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496,867</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ind w:left="500" w:right="140" w:hanging="158"/>
        <w:spacing w:after="0" w:line="207" w:lineRule="auto"/>
        <w:tabs>
          <w:tab w:leader="none" w:pos="53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23, 2024, we announced a program under which we may repurchase our ordinary shares from time to time, up to $500 million through June 2027. Approximately $450 million remained authorized for repurchases as of September 30, 2024. From the inception of this program through September 30, 2024, we have repurchased approximately 0.5 million ordinary shares for $50 million.</w:t>
      </w: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4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2024, the following executive officers of the Company adopted or terminated a “Rule 10b5-1 trading arrangement” or “non-Rule 10b5-1 trading arrangement,” as each term is defined in Item 408(a) of Regulation S-K. No trading arrangements were adopted or terminated by any of the Company’s non-employee directors.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2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Reporting Action</w:t>
            </w:r>
          </w:p>
        </w:tc>
        <w:tc>
          <w:tcPr>
            <w:tcW w:w="138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Plan End Date</w:t>
            </w:r>
            <w:r>
              <w:rPr>
                <w:rFonts w:ascii="Times New Roman" w:cs="Times New Roman" w:eastAsia="Times New Roman" w:hAnsi="Times New Roman"/>
                <w:sz w:val="22"/>
                <w:szCs w:val="22"/>
                <w:b w:val="1"/>
                <w:bCs w:val="1"/>
                <w:color w:val="auto"/>
                <w:w w:val="94"/>
                <w:vertAlign w:val="superscript"/>
              </w:rPr>
              <w:t>(1)</w:t>
            </w: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 Shares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Intended to Satisfy</w:t>
            </w:r>
          </w:p>
        </w:tc>
        <w:tc>
          <w:tcPr>
            <w:tcW w:w="0" w:type="dxa"/>
            <w:vAlign w:val="bottom"/>
          </w:tcPr>
          <w:p>
            <w:pPr>
              <w:spacing w:after="0"/>
              <w:rPr>
                <w:sz w:val="1"/>
                <w:szCs w:val="1"/>
                <w:color w:val="auto"/>
              </w:rPr>
            </w:pPr>
          </w:p>
        </w:tc>
      </w:tr>
      <w:tr>
        <w:trPr>
          <w:trHeight w:val="238"/>
        </w:trPr>
        <w:tc>
          <w:tcPr>
            <w:tcW w:w="1780" w:type="dxa"/>
            <w:vAlign w:val="bottom"/>
            <w:tcBorders>
              <w:bottom w:val="single" w:sz="8" w:color="auto"/>
            </w:tcBorders>
            <w:vMerge w:val="continue"/>
            <w:shd w:val="clear" w:color="auto" w:fill="CCEEFF"/>
          </w:tcPr>
          <w:p>
            <w:pPr>
              <w:spacing w:after="0"/>
              <w:rPr>
                <w:sz w:val="20"/>
                <w:szCs w:val="20"/>
                <w:color w:val="auto"/>
              </w:rPr>
            </w:pPr>
          </w:p>
        </w:tc>
        <w:tc>
          <w:tcPr>
            <w:tcW w:w="220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ind w:left="340"/>
              <w:spacing w:after="0" w:line="239" w:lineRule="exact"/>
              <w:rPr>
                <w:sz w:val="20"/>
                <w:szCs w:val="20"/>
                <w:color w:val="auto"/>
              </w:rPr>
            </w:pP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22"/>
                <w:szCs w:val="22"/>
                <w:b w:val="1"/>
                <w:bCs w:val="1"/>
                <w:color w:val="auto"/>
                <w:vertAlign w:val="superscript"/>
              </w:rPr>
              <w:t>(2)</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10b5-1?</w:t>
            </w:r>
          </w:p>
        </w:tc>
        <w:tc>
          <w:tcPr>
            <w:tcW w:w="0" w:type="dxa"/>
            <w:vAlign w:val="bottom"/>
          </w:tcPr>
          <w:p>
            <w:pPr>
              <w:spacing w:after="0"/>
              <w:rPr>
                <w:sz w:val="1"/>
                <w:szCs w:val="1"/>
                <w:color w:val="auto"/>
              </w:rPr>
            </w:pPr>
          </w:p>
        </w:tc>
      </w:tr>
      <w:tr>
        <w:trPr>
          <w:trHeight w:val="166"/>
        </w:trPr>
        <w:tc>
          <w:tcPr>
            <w:tcW w:w="178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Girishchandra K.</w:t>
            </w: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Saligram</w:t>
            </w:r>
          </w:p>
        </w:tc>
        <w:tc>
          <w:tcPr>
            <w:tcW w:w="22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Chief Executive Officer and</w:t>
            </w: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Adoption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7/31/2025</w:t>
            </w:r>
          </w:p>
        </w:tc>
        <w:tc>
          <w:tcPr>
            <w:tcW w:w="15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95,000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72"/>
        </w:trPr>
        <w:tc>
          <w:tcPr>
            <w:tcW w:w="1780" w:type="dxa"/>
            <w:vAlign w:val="bottom"/>
            <w:shd w:val="clear" w:color="auto" w:fill="CCEEFF"/>
          </w:tcPr>
          <w:p>
            <w:pPr>
              <w:spacing w:after="0"/>
              <w:rPr>
                <w:sz w:val="14"/>
                <w:szCs w:val="14"/>
                <w:color w:val="auto"/>
              </w:rPr>
            </w:pPr>
          </w:p>
        </w:tc>
        <w:tc>
          <w:tcPr>
            <w:tcW w:w="220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8"/>
                <w:szCs w:val="18"/>
                <w:color w:val="auto"/>
              </w:rPr>
              <w:t>EVP, General Counsel and</w:t>
            </w:r>
          </w:p>
        </w:tc>
        <w:tc>
          <w:tcPr>
            <w:tcW w:w="15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C. Weatherholt</w:t>
            </w:r>
          </w:p>
        </w:tc>
        <w:tc>
          <w:tcPr>
            <w:tcW w:w="2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Compliance Officer</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Adoption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1/30/2025</w:t>
            </w:r>
          </w:p>
        </w:tc>
        <w:tc>
          <w:tcPr>
            <w:tcW w:w="15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73,593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72"/>
        </w:trPr>
        <w:tc>
          <w:tcPr>
            <w:tcW w:w="1780" w:type="dxa"/>
            <w:vAlign w:val="bottom"/>
          </w:tcPr>
          <w:p>
            <w:pPr>
              <w:spacing w:after="0"/>
              <w:rPr>
                <w:sz w:val="14"/>
                <w:szCs w:val="14"/>
                <w:color w:val="auto"/>
              </w:rPr>
            </w:pPr>
          </w:p>
        </w:tc>
        <w:tc>
          <w:tcPr>
            <w:tcW w:w="2200" w:type="dxa"/>
            <w:vAlign w:val="bottom"/>
          </w:tcPr>
          <w:p>
            <w:pPr>
              <w:ind w:left="160"/>
              <w:spacing w:after="0" w:line="172" w:lineRule="exact"/>
              <w:rPr>
                <w:sz w:val="20"/>
                <w:szCs w:val="20"/>
                <w:color w:val="auto"/>
              </w:rPr>
            </w:pPr>
            <w:r>
              <w:rPr>
                <w:rFonts w:ascii="Times New Roman" w:cs="Times New Roman" w:eastAsia="Times New Roman" w:hAnsi="Times New Roman"/>
                <w:sz w:val="18"/>
                <w:szCs w:val="18"/>
                <w:color w:val="auto"/>
                <w:w w:val="99"/>
              </w:rPr>
              <w:t>EVP and Chief Commercial</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w w:val="97"/>
              </w:rPr>
              <w:t>9,608</w:t>
            </w:r>
            <w:r>
              <w:rPr>
                <w:rFonts w:ascii="Times New Roman" w:cs="Times New Roman" w:eastAsia="Times New Roman" w:hAnsi="Times New Roman"/>
                <w:sz w:val="22"/>
                <w:szCs w:val="22"/>
                <w:color w:val="auto"/>
                <w:w w:val="97"/>
                <w:vertAlign w:val="superscript"/>
              </w:rPr>
              <w:t>(3)</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Reed</w:t>
            </w:r>
          </w:p>
        </w:tc>
        <w:tc>
          <w:tcPr>
            <w:tcW w:w="2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Adoption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1/31/2025</w:t>
            </w:r>
          </w:p>
        </w:tc>
        <w:tc>
          <w:tcPr>
            <w:tcW w:w="1500" w:type="dxa"/>
            <w:vAlign w:val="bottom"/>
            <w:vMerge w:val="continue"/>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2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Depinder Sandhu</w:t>
            </w:r>
          </w:p>
        </w:tc>
        <w:tc>
          <w:tcPr>
            <w:tcW w:w="2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EVP, Global Product Lines</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Adoption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2/28/2025</w:t>
            </w:r>
          </w:p>
        </w:tc>
        <w:tc>
          <w:tcPr>
            <w:tcW w:w="15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18,385</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4"/>
        <w:spacing w:after="0" w:line="257" w:lineRule="auto"/>
        <w:tabs>
          <w:tab w:leader="none" w:pos="4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permits transactions through and including the earlier to occur of (i) the completion of all sales of shares subject to the arrangement, (ii) the date listed in the “Plan End Date” column, or (iii) the occurrence of such other termination event as specified in the arrangement.</w:t>
      </w:r>
    </w:p>
    <w:p>
      <w:pPr>
        <w:jc w:val="both"/>
        <w:ind w:left="320" w:hanging="314"/>
        <w:spacing w:after="0" w:line="245"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shares covered for Messrs. Weatherholt, Reed and Sandhu include ordinary shares underlying equity awards that may vest upon satisfaction of certain conditions. The actual number of shares released to the executive officer will be net of shares withheld by the Company to satisfy tax withholding obligations.</w:t>
      </w:r>
    </w:p>
    <w:p>
      <w:pPr>
        <w:spacing w:after="0" w:line="2" w:lineRule="exact"/>
        <w:rPr>
          <w:rFonts w:ascii="Times New Roman" w:cs="Times New Roman" w:eastAsia="Times New Roman" w:hAnsi="Times New Roman"/>
          <w:sz w:val="18"/>
          <w:szCs w:val="18"/>
          <w:color w:val="auto"/>
        </w:rPr>
      </w:pPr>
    </w:p>
    <w:p>
      <w:pPr>
        <w:ind w:left="320" w:hanging="314"/>
        <w:spacing w:after="0" w:line="251" w:lineRule="auto"/>
        <w:tabs>
          <w:tab w:leader="none" w:pos="3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shares covered for Mr. Reed includes 1,694 shares underlying an equity award subject to performance conditions and may vest at up to 200% of the target amount shown above.</w:t>
      </w: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5200" w:type="dxa"/>
            <w:vAlign w:val="bottom"/>
            <w:gridSpan w:val="8"/>
          </w:tcPr>
          <w:p>
            <w:pPr>
              <w:spacing w:after="0"/>
              <w:rPr>
                <w:sz w:val="17"/>
                <w:szCs w:val="17"/>
                <w:color w:val="auto"/>
              </w:rPr>
            </w:pPr>
          </w:p>
        </w:tc>
        <w:tc>
          <w:tcPr>
            <w:tcW w:w="2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2"/>
        </w:trPr>
        <w:tc>
          <w:tcPr>
            <w:tcW w:w="320" w:type="dxa"/>
            <w:vAlign w:val="bottom"/>
          </w:tcPr>
          <w:p>
            <w:pPr>
              <w:spacing w:after="0"/>
              <w:rPr>
                <w:sz w:val="24"/>
                <w:szCs w:val="24"/>
                <w:color w:val="auto"/>
              </w:rPr>
            </w:pPr>
          </w:p>
        </w:tc>
        <w:tc>
          <w:tcPr>
            <w:tcW w:w="64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20" w:type="dxa"/>
            <w:vAlign w:val="bottom"/>
          </w:tcPr>
          <w:p>
            <w:pPr>
              <w:spacing w:after="0"/>
              <w:rPr>
                <w:sz w:val="24"/>
                <w:szCs w:val="24"/>
                <w:color w:val="auto"/>
              </w:rPr>
            </w:pPr>
          </w:p>
        </w:tc>
        <w:tc>
          <w:tcPr>
            <w:tcW w:w="8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All exhibits designated with a dagger (†) are filed herewith or double dagger (††) are furnished herewith.</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42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0" w:type="dxa"/>
            <w:vAlign w:val="bottom"/>
          </w:tcPr>
          <w:p>
            <w:pPr>
              <w:spacing w:after="0"/>
              <w:rPr>
                <w:sz w:val="1"/>
                <w:szCs w:val="1"/>
                <w:color w:val="auto"/>
              </w:rPr>
            </w:pPr>
          </w:p>
        </w:tc>
      </w:tr>
      <w:tr>
        <w:trPr>
          <w:trHeight w:val="186"/>
        </w:trPr>
        <w:tc>
          <w:tcPr>
            <w:tcW w:w="136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6"/>
                <w:szCs w:val="16"/>
                <w:color w:val="auto"/>
              </w:rPr>
            </w:pPr>
          </w:p>
        </w:tc>
        <w:tc>
          <w:tcPr>
            <w:tcW w:w="5320" w:type="dxa"/>
            <w:vAlign w:val="bottom"/>
            <w:gridSpan w:val="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Form of Executive Officer Restricted Share Unit Award Agreement</w:t>
            </w:r>
          </w:p>
        </w:tc>
        <w:tc>
          <w:tcPr>
            <w:tcW w:w="236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4780" w:type="dxa"/>
            <w:vAlign w:val="bottom"/>
            <w:tcBorders>
              <w:top w:val="single" w:sz="8" w:color="0000FF"/>
            </w:tcBorders>
            <w:gridSpan w:val="6"/>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adopted January 18, 2024 and amended July 23, 2024.</w:t>
            </w:r>
          </w:p>
        </w:tc>
        <w:tc>
          <w:tcPr>
            <w:tcW w:w="540" w:type="dxa"/>
            <w:vAlign w:val="bottom"/>
            <w:tcBorders>
              <w:top w:val="single" w:sz="8" w:color="CCEEFF"/>
            </w:tcBorders>
            <w:gridSpan w:val="3"/>
            <w:vMerge w:val="restart"/>
            <w:shd w:val="clear" w:color="auto" w:fill="CCEEFF"/>
          </w:tcPr>
          <w:p>
            <w:pPr>
              <w:spacing w:after="0"/>
              <w:rPr>
                <w:sz w:val="8"/>
                <w:szCs w:val="8"/>
                <w:color w:val="auto"/>
              </w:rPr>
            </w:pPr>
          </w:p>
        </w:tc>
        <w:tc>
          <w:tcPr>
            <w:tcW w:w="2360" w:type="dxa"/>
            <w:vAlign w:val="bottom"/>
            <w:tcBorders>
              <w:top w:val="single" w:sz="8" w:color="CCEEFF"/>
            </w:tcBorders>
            <w:shd w:val="clear" w:color="auto" w:fill="CCEEFF"/>
          </w:tcPr>
          <w:p>
            <w:pPr>
              <w:spacing w:after="0"/>
              <w:rPr>
                <w:sz w:val="8"/>
                <w:szCs w:val="8"/>
                <w:color w:val="auto"/>
              </w:rPr>
            </w:pPr>
          </w:p>
        </w:tc>
        <w:tc>
          <w:tcPr>
            <w:tcW w:w="2100" w:type="dxa"/>
            <w:vAlign w:val="bottom"/>
            <w:tcBorders>
              <w:top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780" w:type="dxa"/>
            <w:vAlign w:val="bottom"/>
            <w:gridSpan w:val="6"/>
            <w:vMerge w:val="continue"/>
            <w:shd w:val="clear" w:color="auto" w:fill="CCEEFF"/>
          </w:tcPr>
          <w:p>
            <w:pPr>
              <w:spacing w:after="0"/>
              <w:rPr>
                <w:sz w:val="4"/>
                <w:szCs w:val="4"/>
                <w:color w:val="auto"/>
              </w:rPr>
            </w:pPr>
          </w:p>
        </w:tc>
        <w:tc>
          <w:tcPr>
            <w:tcW w:w="540" w:type="dxa"/>
            <w:vAlign w:val="bottom"/>
            <w:gridSpan w:val="3"/>
            <w:vMerge w:val="continue"/>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3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4980" w:type="dxa"/>
            <w:vAlign w:val="bottom"/>
            <w:tcBorders>
              <w:bottom w:val="single" w:sz="8" w:color="0000FF"/>
            </w:tcBorders>
            <w:gridSpan w:val="8"/>
          </w:tcPr>
          <w:p>
            <w:pPr>
              <w:spacing w:after="0" w:line="186" w:lineRule="exact"/>
              <w:rPr>
                <w:sz w:val="20"/>
                <w:szCs w:val="20"/>
                <w:color w:val="auto"/>
              </w:rPr>
            </w:pPr>
            <w:r>
              <w:rPr>
                <w:rFonts w:ascii="Times New Roman" w:cs="Times New Roman" w:eastAsia="Times New Roman" w:hAnsi="Times New Roman"/>
                <w:sz w:val="18"/>
                <w:szCs w:val="18"/>
                <w:color w:val="0000FF"/>
                <w:w w:val="97"/>
              </w:rPr>
              <w:t>Form of Executive Officer Performance Share Unit Award Agreement</w:t>
            </w:r>
          </w:p>
        </w:tc>
        <w:tc>
          <w:tcPr>
            <w:tcW w:w="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20" w:type="dxa"/>
            <w:vAlign w:val="bottom"/>
            <w:gridSpan w:val="10"/>
            <w:vMerge w:val="restart"/>
          </w:tcPr>
          <w:p>
            <w:pPr>
              <w:ind w:left="100"/>
              <w:spacing w:after="0" w:line="152" w:lineRule="exact"/>
              <w:rPr>
                <w:sz w:val="20"/>
                <w:szCs w:val="20"/>
                <w:color w:val="auto"/>
              </w:rPr>
            </w:pPr>
            <w:r>
              <w:rPr>
                <w:rFonts w:ascii="Times New Roman" w:cs="Times New Roman" w:eastAsia="Times New Roman" w:hAnsi="Times New Roman"/>
                <w:sz w:val="17"/>
                <w:szCs w:val="17"/>
                <w:color w:val="0000FF"/>
              </w:rPr>
              <w:t>adopted January 18, 2024 and amended July 23, 2024.</w:t>
            </w:r>
          </w:p>
        </w:tc>
        <w:tc>
          <w:tcPr>
            <w:tcW w:w="236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20" w:type="dxa"/>
            <w:vAlign w:val="bottom"/>
            <w:gridSpan w:val="10"/>
            <w:vMerge w:val="continue"/>
          </w:tcPr>
          <w:p>
            <w:pPr>
              <w:spacing w:after="0"/>
              <w:rPr>
                <w:sz w:val="4"/>
                <w:szCs w:val="4"/>
                <w:color w:val="auto"/>
              </w:rPr>
            </w:pPr>
          </w:p>
        </w:tc>
        <w:tc>
          <w:tcPr>
            <w:tcW w:w="2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tcBorders>
              <w:bottom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16"/>
                <w:szCs w:val="16"/>
                <w:color w:val="auto"/>
              </w:rPr>
            </w:pPr>
          </w:p>
        </w:tc>
        <w:tc>
          <w:tcPr>
            <w:tcW w:w="4740" w:type="dxa"/>
            <w:vAlign w:val="bottom"/>
            <w:tcBorders>
              <w:bottom w:val="single" w:sz="8" w:color="0000FF"/>
            </w:tcBorders>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w:t>
            </w:r>
          </w:p>
        </w:tc>
        <w:tc>
          <w:tcPr>
            <w:tcW w:w="580" w:type="dxa"/>
            <w:vAlign w:val="bottom"/>
            <w:tcBorders>
              <w:bottom w:val="single" w:sz="8" w:color="CCEEFF"/>
            </w:tcBorders>
            <w:gridSpan w:val="4"/>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5320" w:type="dxa"/>
            <w:vAlign w:val="bottom"/>
            <w:gridSpan w:val="9"/>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36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320" w:type="dxa"/>
            <w:vAlign w:val="bottom"/>
            <w:gridSpan w:val="9"/>
            <w:vMerge w:val="continue"/>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3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6"/>
                <w:szCs w:val="16"/>
                <w:color w:val="auto"/>
              </w:rPr>
            </w:pPr>
          </w:p>
        </w:tc>
        <w:tc>
          <w:tcPr>
            <w:tcW w:w="5320" w:type="dxa"/>
            <w:vAlign w:val="bottom"/>
            <w:gridSpan w:val="9"/>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w:t>
            </w:r>
          </w:p>
        </w:tc>
        <w:tc>
          <w:tcPr>
            <w:tcW w:w="2360" w:type="dxa"/>
            <w:vAlign w:val="bottom"/>
          </w:tcPr>
          <w:p>
            <w:pPr>
              <w:spacing w:after="0"/>
              <w:rPr>
                <w:sz w:val="16"/>
                <w:szCs w:val="16"/>
                <w:color w:val="auto"/>
              </w:rPr>
            </w:pPr>
          </w:p>
        </w:tc>
        <w:tc>
          <w:tcPr>
            <w:tcW w:w="2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4940" w:type="dxa"/>
            <w:vAlign w:val="bottom"/>
            <w:tcBorders>
              <w:top w:val="single" w:sz="8" w:color="0000FF"/>
            </w:tcBorders>
            <w:gridSpan w:val="7"/>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380" w:type="dxa"/>
            <w:vAlign w:val="bottom"/>
            <w:gridSpan w:val="2"/>
            <w:vMerge w:val="restart"/>
          </w:tcPr>
          <w:p>
            <w:pPr>
              <w:spacing w:after="0"/>
              <w:rPr>
                <w:sz w:val="8"/>
                <w:szCs w:val="8"/>
                <w:color w:val="auto"/>
              </w:rPr>
            </w:pPr>
          </w:p>
        </w:tc>
        <w:tc>
          <w:tcPr>
            <w:tcW w:w="236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940" w:type="dxa"/>
            <w:vAlign w:val="bottom"/>
            <w:gridSpan w:val="7"/>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2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360" w:type="dxa"/>
            <w:vAlign w:val="bottom"/>
            <w:tcBorders>
              <w:bottom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6"/>
                <w:szCs w:val="16"/>
                <w:color w:val="auto"/>
              </w:rPr>
            </w:pPr>
          </w:p>
        </w:tc>
        <w:tc>
          <w:tcPr>
            <w:tcW w:w="4740" w:type="dxa"/>
            <w:vAlign w:val="bottom"/>
            <w:tcBorders>
              <w:bottom w:val="single" w:sz="8" w:color="0000FF"/>
            </w:tcBorders>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906 of</w:t>
            </w:r>
          </w:p>
        </w:tc>
        <w:tc>
          <w:tcPr>
            <w:tcW w:w="580" w:type="dxa"/>
            <w:vAlign w:val="bottom"/>
            <w:tcBorders>
              <w:bottom w:val="single" w:sz="8" w:color="CCEEFF"/>
            </w:tcBorders>
            <w:gridSpan w:val="4"/>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5320" w:type="dxa"/>
            <w:vAlign w:val="bottom"/>
            <w:gridSpan w:val="9"/>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36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320" w:type="dxa"/>
            <w:vAlign w:val="bottom"/>
            <w:gridSpan w:val="9"/>
            <w:vMerge w:val="continue"/>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6"/>
                <w:szCs w:val="16"/>
                <w:color w:val="auto"/>
              </w:rPr>
            </w:pPr>
          </w:p>
        </w:tc>
        <w:tc>
          <w:tcPr>
            <w:tcW w:w="5320" w:type="dxa"/>
            <w:vAlign w:val="bottom"/>
            <w:gridSpan w:val="9"/>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2360" w:type="dxa"/>
            <w:vAlign w:val="bottom"/>
          </w:tcPr>
          <w:p>
            <w:pPr>
              <w:spacing w:after="0"/>
              <w:rPr>
                <w:sz w:val="16"/>
                <w:szCs w:val="16"/>
                <w:color w:val="auto"/>
              </w:rPr>
            </w:pPr>
          </w:p>
        </w:tc>
        <w:tc>
          <w:tcPr>
            <w:tcW w:w="2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4940" w:type="dxa"/>
            <w:vAlign w:val="bottom"/>
            <w:tcBorders>
              <w:top w:val="single" w:sz="8" w:color="0000FF"/>
            </w:tcBorders>
            <w:gridSpan w:val="7"/>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380" w:type="dxa"/>
            <w:vAlign w:val="bottom"/>
            <w:gridSpan w:val="2"/>
            <w:vMerge w:val="restart"/>
          </w:tcPr>
          <w:p>
            <w:pPr>
              <w:spacing w:after="0"/>
              <w:rPr>
                <w:sz w:val="8"/>
                <w:szCs w:val="8"/>
                <w:color w:val="auto"/>
              </w:rPr>
            </w:pPr>
          </w:p>
        </w:tc>
        <w:tc>
          <w:tcPr>
            <w:tcW w:w="236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940" w:type="dxa"/>
            <w:vAlign w:val="bottom"/>
            <w:gridSpan w:val="7"/>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2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3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2"/>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8"/>
        </w:trPr>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20" w:type="dxa"/>
            <w:vAlign w:val="bottom"/>
            <w:gridSpan w:val="1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3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4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420" w:type="dxa"/>
            <w:vAlign w:val="bottom"/>
            <w:gridSpan w:val="1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4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420" w:type="dxa"/>
            <w:vAlign w:val="bottom"/>
            <w:gridSpan w:val="1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4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460" w:hanging="143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right="76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tbl>
      <w:tblPr>
        <w:tblLayout w:type="fixed"/>
        <w:tblInd w:w="600" w:type="dxa"/>
        <w:tblCellMar>
          <w:top w:w="0" w:type="dxa"/>
          <w:left w:w="0" w:type="dxa"/>
          <w:bottom w:w="0" w:type="dxa"/>
          <w:right w:w="0" w:type="dxa"/>
        </w:tblCellMar>
      </w:tblPr>
      <w:tr>
        <w:trPr>
          <w:trHeight w:val="231"/>
        </w:trPr>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r>
      <w:tr>
        <w:trPr>
          <w:trHeight w:val="48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2024</w:t>
            </w:r>
          </w:p>
        </w:tc>
        <w:tc>
          <w:tcPr>
            <w:tcW w:w="72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Arunava Mitra</w:t>
            </w:r>
          </w:p>
        </w:tc>
      </w:tr>
      <w:tr>
        <w:trPr>
          <w:trHeight w:val="213"/>
        </w:trPr>
        <w:tc>
          <w:tcPr>
            <w:tcW w:w="3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Arunava Mitra</w:t>
            </w:r>
          </w:p>
        </w:tc>
      </w:tr>
      <w:tr>
        <w:trPr>
          <w:trHeight w:val="231"/>
        </w:trPr>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5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2024</w:t>
            </w:r>
          </w:p>
        </w:tc>
        <w:tc>
          <w:tcPr>
            <w:tcW w:w="72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Desmond J. Mills</w:t>
            </w:r>
          </w:p>
        </w:tc>
      </w:tr>
      <w:tr>
        <w:trPr>
          <w:trHeight w:val="213"/>
        </w:trPr>
        <w:tc>
          <w:tcPr>
            <w:tcW w:w="3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r>
      <w:tr>
        <w:trPr>
          <w:trHeight w:val="231"/>
        </w:trPr>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320" w:top="466" w:right="4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560" w:lineRule="auto"/>
        <w:rPr>
          <w:sz w:val="20"/>
          <w:szCs w:val="20"/>
          <w:color w:val="auto"/>
        </w:rPr>
      </w:pPr>
      <w:r>
        <w:rPr>
          <w:rFonts w:ascii="Times New Roman" w:cs="Times New Roman" w:eastAsia="Times New Roman" w:hAnsi="Times New Roman"/>
          <w:sz w:val="21"/>
          <w:szCs w:val="21"/>
          <w:b w:val="1"/>
          <w:bCs w:val="1"/>
          <w:color w:val="auto"/>
        </w:rPr>
        <w:t>WEATHERFORD INTERNATIONAL PLC AMENDED AND RESTATED RESTRICTED SHARE UNIT AWARD AGREEMENT PURSUANT TO THE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(TIME VESTING)</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-6350</wp:posOffset>
            </wp:positionV>
            <wp:extent cx="134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Number of Restricted Share Units Granted: </w:t>
      </w: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THIS RESTRICTED SHARE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the Grant Date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is entered into by and between WEATHERFORD INTERNATIONAL PLC, a public limited company organized under the laws of Ireland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you as the Participant specified below, pursuant to the Weatherford International plc Third Amended and Restated 2019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administered by the Committee (as defined in the Plan); and</w:t>
      </w:r>
    </w:p>
    <w:p>
      <w:pPr>
        <w:spacing w:after="0" w:line="16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it has been determined under the Plan that it would be in the best interests of the Company to grant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Share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provided herein to the Participant.</w:t>
      </w:r>
    </w:p>
    <w:p>
      <w:pPr>
        <w:spacing w:after="0" w:line="13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mutual covenants and promises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is hereby acknowledged, the parties hereto hereby mutually covenant and agree as follows:</w:t>
      </w:r>
    </w:p>
    <w:p>
      <w:pPr>
        <w:spacing w:after="0" w:line="147" w:lineRule="exact"/>
        <w:rPr>
          <w:sz w:val="20"/>
          <w:szCs w:val="20"/>
          <w:color w:val="auto"/>
        </w:rPr>
      </w:pPr>
    </w:p>
    <w:p>
      <w:pPr>
        <w:jc w:val="both"/>
        <w:ind w:firstLine="1278"/>
        <w:spacing w:after="0" w:line="263" w:lineRule="auto"/>
        <w:tabs>
          <w:tab w:leader="none" w:pos="190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 Plan Document Receipt</w:t>
      </w:r>
      <w:r>
        <w:rPr>
          <w:rFonts w:ascii="Times New Roman" w:cs="Times New Roman" w:eastAsia="Times New Roman" w:hAnsi="Times New Roman"/>
          <w:sz w:val="21"/>
          <w:szCs w:val="21"/>
          <w:color w:val="auto"/>
        </w:rPr>
        <w:t>. This Agreement is subject in all respects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21" w:right="339" w:bottom="1440" w:gutter="0" w:footer="0" w:header="0"/>
        </w:sectPr>
      </w:pPr>
    </w:p>
    <w:bookmarkStart w:id="35" w:name="page36"/>
    <w:bookmarkEnd w:id="35"/>
    <w:p>
      <w:pPr>
        <w:jc w:val="both"/>
        <w:spacing w:after="0" w:line="259" w:lineRule="auto"/>
        <w:rPr>
          <w:sz w:val="20"/>
          <w:szCs w:val="20"/>
          <w:color w:val="auto"/>
        </w:rPr>
      </w:pPr>
      <w:r>
        <w:rPr>
          <w:rFonts w:ascii="Times New Roman" w:cs="Times New Roman" w:eastAsia="Times New Roman" w:hAnsi="Times New Roman"/>
          <w:sz w:val="21"/>
          <w:szCs w:val="21"/>
          <w:color w:val="auto"/>
        </w:rPr>
        <w:t>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68" w:lineRule="exact"/>
        <w:rPr>
          <w:sz w:val="20"/>
          <w:szCs w:val="20"/>
          <w:color w:val="auto"/>
        </w:rPr>
      </w:pPr>
    </w:p>
    <w:p>
      <w:pPr>
        <w:jc w:val="both"/>
        <w:ind w:firstLine="1278"/>
        <w:spacing w:after="0" w:line="260" w:lineRule="auto"/>
        <w:tabs>
          <w:tab w:leader="none" w:pos="190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Share Unit Award</w:t>
      </w:r>
      <w:r>
        <w:rPr>
          <w:rFonts w:ascii="Times New Roman" w:cs="Times New Roman" w:eastAsia="Times New Roman" w:hAnsi="Times New Roman"/>
          <w:sz w:val="21"/>
          <w:szCs w:val="21"/>
          <w:color w:val="auto"/>
        </w:rPr>
        <w:t>. The Company hereby grants the number of RSUs specified above,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66"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b w:val="1"/>
          <w:bCs w:val="1"/>
          <w:color w:val="auto"/>
        </w:rPr>
        <w:t>.</w:t>
      </w:r>
    </w:p>
    <w:p>
      <w:pPr>
        <w:spacing w:after="0" w:line="226" w:lineRule="exact"/>
        <w:rPr>
          <w:sz w:val="20"/>
          <w:szCs w:val="20"/>
          <w:color w:val="auto"/>
        </w:rPr>
      </w:pPr>
    </w:p>
    <w:p>
      <w:pPr>
        <w:ind w:firstLine="1278"/>
        <w:spacing w:after="0" w:line="298" w:lineRule="auto"/>
        <w:tabs>
          <w:tab w:leader="none" w:pos="190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RSUs subject to this Award shall become vested as follows, provided that the Participant has not incurred a termination of Service prior to each such vesting date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67" w:lineRule="exact"/>
        <w:rPr>
          <w:sz w:val="20"/>
          <w:szCs w:val="20"/>
          <w:color w:val="auto"/>
        </w:rPr>
      </w:pPr>
    </w:p>
    <w:tbl>
      <w:tblPr>
        <w:tblLayout w:type="fixed"/>
        <w:tblInd w:w="1540" w:type="dxa"/>
        <w:tblCellMar>
          <w:top w:w="0" w:type="dxa"/>
          <w:left w:w="0" w:type="dxa"/>
          <w:bottom w:w="0" w:type="dxa"/>
          <w:right w:w="0" w:type="dxa"/>
        </w:tblCellMar>
      </w:tblPr>
      <w:tr>
        <w:trPr>
          <w:trHeight w:val="241"/>
        </w:trPr>
        <w:tc>
          <w:tcPr>
            <w:tcW w:w="1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Vesting Date</w:t>
            </w:r>
          </w:p>
        </w:tc>
        <w:tc>
          <w:tcPr>
            <w:tcW w:w="1740" w:type="dxa"/>
            <w:vAlign w:val="bottom"/>
          </w:tcPr>
          <w:p>
            <w:pPr>
              <w:spacing w:after="0"/>
              <w:rPr>
                <w:sz w:val="21"/>
                <w:szCs w:val="21"/>
                <w:color w:val="auto"/>
              </w:rPr>
            </w:pPr>
          </w:p>
        </w:tc>
        <w:tc>
          <w:tcPr>
            <w:tcW w:w="2280" w:type="dxa"/>
            <w:vAlign w:val="bottom"/>
            <w:gridSpan w:val="2"/>
          </w:tcPr>
          <w:p>
            <w:pPr>
              <w:jc w:val="center"/>
              <w:ind w:left="394"/>
              <w:spacing w:after="0"/>
              <w:rPr>
                <w:sz w:val="20"/>
                <w:szCs w:val="20"/>
                <w:color w:val="auto"/>
              </w:rPr>
            </w:pPr>
            <w:r>
              <w:rPr>
                <w:rFonts w:ascii="Times New Roman" w:cs="Times New Roman" w:eastAsia="Times New Roman" w:hAnsi="Times New Roman"/>
                <w:sz w:val="21"/>
                <w:szCs w:val="21"/>
                <w:b w:val="1"/>
                <w:bCs w:val="1"/>
                <w:color w:val="auto"/>
              </w:rPr>
              <w:t>Percentage of RSUs</w:t>
            </w:r>
          </w:p>
        </w:tc>
      </w:tr>
      <w:tr>
        <w:trPr>
          <w:trHeight w:val="20"/>
        </w:trPr>
        <w:tc>
          <w:tcPr>
            <w:tcW w:w="1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548"/>
        </w:trPr>
        <w:tc>
          <w:tcPr>
            <w:tcW w:w="412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[First Anniversary of the Grant Date]</w:t>
            </w:r>
          </w:p>
        </w:tc>
        <w:tc>
          <w:tcPr>
            <w:tcW w:w="5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r>
        <w:trPr>
          <w:trHeight w:val="517"/>
        </w:trPr>
        <w:tc>
          <w:tcPr>
            <w:tcW w:w="412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[Second Anniversary of the Grant Date]</w:t>
            </w:r>
          </w:p>
        </w:tc>
        <w:tc>
          <w:tcPr>
            <w:tcW w:w="5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r>
        <w:trPr>
          <w:trHeight w:val="490"/>
        </w:trPr>
        <w:tc>
          <w:tcPr>
            <w:tcW w:w="412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[Third Anniversary of the Grant Date]</w:t>
            </w:r>
          </w:p>
        </w:tc>
        <w:tc>
          <w:tcPr>
            <w:tcW w:w="5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bl>
    <w:p>
      <w:pPr>
        <w:spacing w:after="0" w:line="68" w:lineRule="exact"/>
        <w:rPr>
          <w:sz w:val="20"/>
          <w:szCs w:val="20"/>
          <w:color w:val="auto"/>
        </w:rPr>
      </w:pPr>
    </w:p>
    <w:p>
      <w:pPr>
        <w:jc w:val="both"/>
        <w:ind w:left="100" w:right="100"/>
        <w:spacing w:after="0" w:line="274" w:lineRule="auto"/>
        <w:rPr>
          <w:sz w:val="20"/>
          <w:szCs w:val="20"/>
          <w:color w:val="auto"/>
        </w:rPr>
      </w:pPr>
      <w:r>
        <w:rPr>
          <w:rFonts w:ascii="Times New Roman" w:cs="Times New Roman" w:eastAsia="Times New Roman" w:hAnsi="Times New Roman"/>
          <w:sz w:val="21"/>
          <w:szCs w:val="21"/>
          <w:color w:val="auto"/>
        </w:rPr>
        <w:t>There shall be no proportionate or partial vesting in the periods prior to each Vesting Date and all vesting shall occur only on the appropriate Vesting Date, subject to the Participant’s continued service with the Company or any of its Subsidiaries on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397" w:right="339" w:bottom="1440" w:gutter="0" w:footer="0" w:header="0"/>
        </w:sectPr>
      </w:pPr>
    </w:p>
    <w:bookmarkStart w:id="36" w:name="page37"/>
    <w:bookmarkEnd w:id="36"/>
    <w:p>
      <w:pPr>
        <w:jc w:val="both"/>
        <w:ind w:firstLine="1278"/>
        <w:spacing w:after="0" w:line="258" w:lineRule="auto"/>
        <w:tabs>
          <w:tab w:leader="none" w:pos="190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Resignation for Good Reason; Due to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 xml:space="preserve">, in the event the Participant’s Service is terminated by the Company without Cause or by the Participant for Good Reason (each, as defined in the Company’s Change in Control Severance Plan), all unvested RSUs shall become vested on each Vesting Date as if the Participant had not incurred a termination of Service prior to the applicable Vesting Date.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due to the Participant’s death or Disability, all unvested RSUs shall become fully vested as of the time immediately prior to such termination of Service, all remaining forfeiture restrictions shall immediately lapse as of the Vesting Date and the Vesting Date shall be deemed to be the date of such termination of Service.</w:t>
      </w:r>
    </w:p>
    <w:p>
      <w:pPr>
        <w:spacing w:after="0" w:line="170" w:lineRule="exact"/>
        <w:rPr>
          <w:rFonts w:ascii="Times New Roman" w:cs="Times New Roman" w:eastAsia="Times New Roman" w:hAnsi="Times New Roman"/>
          <w:sz w:val="21"/>
          <w:szCs w:val="21"/>
          <w:color w:val="auto"/>
        </w:rPr>
      </w:pPr>
    </w:p>
    <w:p>
      <w:pPr>
        <w:jc w:val="both"/>
        <w:ind w:firstLine="1278"/>
        <w:spacing w:after="0" w:line="244" w:lineRule="auto"/>
        <w:tabs>
          <w:tab w:leader="none" w:pos="190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Retirement</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by the Participant due to Retirement and the Participant’s date of termination due to Retirement occurs on or after the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anniversary of the Grant Date, all unvested RSUs shall continue to vest pursuant to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as though the Participant was fully employed through each Vesting Date. For purposes of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the Participant’s voluntary termination of Service after attainment of age 60, with at least ten years of Service and at least six months’ prior written notice to the Company.</w:t>
      </w:r>
    </w:p>
    <w:p>
      <w:pPr>
        <w:spacing w:after="0" w:line="186" w:lineRule="exact"/>
        <w:rPr>
          <w:rFonts w:ascii="Times New Roman" w:cs="Times New Roman" w:eastAsia="Times New Roman" w:hAnsi="Times New Roman"/>
          <w:sz w:val="21"/>
          <w:szCs w:val="21"/>
          <w:color w:val="auto"/>
        </w:rPr>
      </w:pPr>
    </w:p>
    <w:p>
      <w:pPr>
        <w:jc w:val="both"/>
        <w:ind w:firstLine="1278"/>
        <w:spacing w:after="0" w:line="258" w:lineRule="auto"/>
        <w:tabs>
          <w:tab w:leader="none" w:pos="190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if a Change in Control occurs, and the successor or purchaser in the Change in Control has assumed the Company’s obligations with respect to the RSUs or provided a substitute award and the Participant has a Qualifying 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 immediately prior to such Change in Control, all remaining forfeiture restrictions shall immediately lapse as immediately prior to such Change in Control and the Vesting Date shall be deemed to be the date of such Change in Control.</w:t>
      </w:r>
    </w:p>
    <w:p>
      <w:pPr>
        <w:spacing w:after="0" w:line="175" w:lineRule="exact"/>
        <w:rPr>
          <w:rFonts w:ascii="Times New Roman" w:cs="Times New Roman" w:eastAsia="Times New Roman" w:hAnsi="Times New Roman"/>
          <w:sz w:val="21"/>
          <w:szCs w:val="21"/>
          <w:color w:val="auto"/>
        </w:rPr>
      </w:pPr>
    </w:p>
    <w:p>
      <w:pPr>
        <w:ind w:firstLine="1278"/>
        <w:spacing w:after="0" w:line="285" w:lineRule="auto"/>
        <w:tabs>
          <w:tab w:leader="none" w:pos="190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 to Accelerate Vesting</w:t>
      </w:r>
      <w:r>
        <w:rPr>
          <w:rFonts w:ascii="Times New Roman" w:cs="Times New Roman" w:eastAsia="Times New Roman" w:hAnsi="Times New Roman"/>
          <w:sz w:val="21"/>
          <w:szCs w:val="21"/>
          <w:color w:val="auto"/>
        </w:rPr>
        <w:t>. In addition to the foregoing, the Committee may, in its sole discretion, accelerate vesting of the RSUs at any time and for any reason.</w:t>
      </w:r>
    </w:p>
    <w:p>
      <w:pPr>
        <w:spacing w:after="0" w:line="141" w:lineRule="exact"/>
        <w:rPr>
          <w:rFonts w:ascii="Times New Roman" w:cs="Times New Roman" w:eastAsia="Times New Roman" w:hAnsi="Times New Roman"/>
          <w:sz w:val="21"/>
          <w:szCs w:val="21"/>
          <w:color w:val="auto"/>
        </w:rPr>
      </w:pPr>
    </w:p>
    <w:p>
      <w:pPr>
        <w:jc w:val="both"/>
        <w:ind w:firstLine="1278"/>
        <w:spacing w:after="0" w:line="274" w:lineRule="auto"/>
        <w:tabs>
          <w:tab w:leader="none" w:pos="190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all unvested RSUs (taking into account any vesting that may occur upon the Participant’s termination of Service in accordance with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or (c) hereof) shall be immediately forfeited upon the Participant’s termination of Service for any reason.</w:t>
      </w:r>
    </w:p>
    <w:p>
      <w:pPr>
        <w:spacing w:after="0" w:line="149" w:lineRule="exact"/>
        <w:rPr>
          <w:sz w:val="20"/>
          <w:szCs w:val="20"/>
          <w:color w:val="auto"/>
        </w:rPr>
      </w:pPr>
    </w:p>
    <w:p>
      <w:pPr>
        <w:ind w:left="1920" w:hanging="642"/>
        <w:spacing w:after="0"/>
        <w:tabs>
          <w:tab w:leader="none" w:pos="19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Delivery of Shares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397" w:right="339" w:bottom="1440" w:gutter="0" w:footer="0" w:header="0"/>
        </w:sectPr>
      </w:pPr>
    </w:p>
    <w:bookmarkStart w:id="37" w:name="page38"/>
    <w:bookmarkEnd w:id="37"/>
    <w:p>
      <w:pPr>
        <w:jc w:val="both"/>
        <w:ind w:firstLine="1278"/>
        <w:spacing w:after="0" w:line="258" w:lineRule="auto"/>
        <w:tabs>
          <w:tab w:leader="none" w:pos="190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requirements of Section 409A of the Code, within ten days following the applicable Vesting Date of the RSUs the Participant shall receive the number of Shares that correspond to the number of RSUs that have become vested on the applicable Vesting Date, less any shares withheld by the Company for tax withholding purposes; provided, that, a Participant who (i) is a “specified employee” (within the meaning of Section 409A) on the date his or her “separation from service” (within the meaning of Section 409A) and (ii) who continues to vest due to Retirement pursuant to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shall have settlement under this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delayed to the date that is the first day of the seventh month following Participant’s separation from service, to the extent required by Section 409A.</w:t>
      </w:r>
    </w:p>
    <w:p>
      <w:pPr>
        <w:spacing w:after="0" w:line="170" w:lineRule="exact"/>
        <w:rPr>
          <w:rFonts w:ascii="Times New Roman" w:cs="Times New Roman" w:eastAsia="Times New Roman" w:hAnsi="Times New Roman"/>
          <w:sz w:val="21"/>
          <w:szCs w:val="21"/>
          <w:color w:val="auto"/>
        </w:rPr>
      </w:pPr>
    </w:p>
    <w:p>
      <w:pPr>
        <w:jc w:val="both"/>
        <w:ind w:firstLine="1278"/>
        <w:spacing w:after="0" w:line="274" w:lineRule="auto"/>
        <w:tabs>
          <w:tab w:leader="none" w:pos="190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receipt of Shares subject to the RSUs that are eligible to vest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shall be subject to the execution and nonrevocation of a general release of claims in favor of the Company, in a form reasonably satisfactory to the Company.</w:t>
      </w:r>
    </w:p>
    <w:p>
      <w:pPr>
        <w:spacing w:after="0" w:line="149" w:lineRule="exact"/>
        <w:rPr>
          <w:sz w:val="20"/>
          <w:szCs w:val="20"/>
          <w:color w:val="auto"/>
        </w:rPr>
      </w:pPr>
    </w:p>
    <w:p>
      <w:pPr>
        <w:jc w:val="both"/>
        <w:ind w:firstLine="1278"/>
        <w:spacing w:after="0" w:line="256" w:lineRule="auto"/>
        <w:tabs>
          <w:tab w:leader="none" w:pos="190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Rights as Shareholder</w:t>
      </w:r>
      <w:r>
        <w:rPr>
          <w:rFonts w:ascii="Times New Roman" w:cs="Times New Roman" w:eastAsia="Times New Roman" w:hAnsi="Times New Roman"/>
          <w:sz w:val="21"/>
          <w:szCs w:val="21"/>
          <w:color w:val="auto"/>
        </w:rPr>
        <w:t>. Cash Dividend Equivalent Rights on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issuable hereunder shall be credited to a dividend book entry account on behalf of the Participant with respect to each RSU granted to the Participant and shall be subject to the same vesting requirements as each RSU; provided that such cash Dividend Equivalent Rights shall not be deemed to be reinvested in Shares and shall be held uninvested and without interest and paid in cash at the same time that the Shares underlying the RSUs are delivered to the Participant in accordance with the provisions hereof. Stock Dividend Equivalent Rights on Shares shall be credited to a dividend book entry account on behalf of the Participant with respect to each RSU granted to the Participant and shall be subject to the same vesting requirements as each RSU; provided that such stock Dividend Equivalent Rights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RSUs vest and Participant has become the holder of record of such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397" w:right="339" w:bottom="1440" w:gutter="0" w:footer="0" w:header="0"/>
        </w:sectPr>
      </w:pPr>
    </w:p>
    <w:bookmarkStart w:id="38" w:name="page39"/>
    <w:bookmarkEnd w:id="38"/>
    <w:p>
      <w:pPr>
        <w:ind w:firstLine="636"/>
        <w:spacing w:after="0" w:line="285" w:lineRule="auto"/>
        <w:rPr>
          <w:sz w:val="20"/>
          <w:szCs w:val="20"/>
          <w:color w:val="auto"/>
        </w:rPr>
      </w:pPr>
      <w:r>
        <w:rPr>
          <w:rFonts w:ascii="Times New Roman" w:cs="Times New Roman" w:eastAsia="Times New Roman" w:hAnsi="Times New Roman"/>
          <w:sz w:val="21"/>
          <w:szCs w:val="21"/>
          <w:color w:val="auto"/>
        </w:rPr>
        <w:t>By signing below, the Participant hereby acknowledges receipt of the RSUs issued on the Grant Date indicated above, which have been issued under the terms and conditions of the Plan and this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wp:posOffset>
            </wp:positionV>
            <wp:extent cx="134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-24130</wp:posOffset>
            </wp:positionV>
            <wp:extent cx="1346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-24130</wp:posOffset>
            </wp:positionV>
            <wp:extent cx="134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134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of the Participant]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-8890</wp:posOffset>
            </wp:positionV>
            <wp:extent cx="1346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39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PERFORMANCE RESTRICTED SHARE UNIT AWARD AGREEMENT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THE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VESTING)</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Date:________________</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Number of Restricted Share Units Granted: </w:t>
      </w: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THIS PERFORMANCE RESTRICTED SHARE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Date specified above, is entered into by and between WEATHERFORD INTERNATIONAL PLC, a public limited company organized under the laws of Ireland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you as the Participant specified below, pursuant to the Weatherford International plc Third Amended and Restated 2019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administered by the Committee (as defined in the Plan); and</w:t>
      </w:r>
    </w:p>
    <w:p>
      <w:pPr>
        <w:spacing w:after="0" w:line="165"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WHEREAS, it has been determined under the Plan that it would be in the best interests of the Company to grant the Performance Restricted Share Units (“</w:t>
      </w:r>
      <w:r>
        <w:rPr>
          <w:rFonts w:ascii="Times New Roman" w:cs="Times New Roman" w:eastAsia="Times New Roman" w:hAnsi="Times New Roman"/>
          <w:sz w:val="21"/>
          <w:szCs w:val="21"/>
          <w:u w:val="single" w:color="auto"/>
          <w:color w:val="auto"/>
        </w:rPr>
        <w:t>PSUs</w:t>
      </w:r>
      <w:r>
        <w:rPr>
          <w:rFonts w:ascii="Times New Roman" w:cs="Times New Roman" w:eastAsia="Times New Roman" w:hAnsi="Times New Roman"/>
          <w:sz w:val="21"/>
          <w:szCs w:val="21"/>
          <w:color w:val="auto"/>
        </w:rPr>
        <w:t>”) provided herein to the Participant.</w:t>
      </w:r>
    </w:p>
    <w:p>
      <w:pPr>
        <w:spacing w:after="0" w:line="14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promises hereinafter set forth and for other good and valuable consideration, the receipt and sufficiency of which is hereby acknowledged, the parties hereto hereby mutually covenant and agree as follows:</w:t>
      </w:r>
    </w:p>
    <w:p>
      <w:pPr>
        <w:spacing w:after="0" w:line="149" w:lineRule="exact"/>
        <w:rPr>
          <w:sz w:val="20"/>
          <w:szCs w:val="20"/>
          <w:color w:val="auto"/>
        </w:rPr>
      </w:pPr>
    </w:p>
    <w:p>
      <w:pPr>
        <w:jc w:val="both"/>
        <w:ind w:firstLine="642"/>
        <w:spacing w:after="0" w:line="269" w:lineRule="auto"/>
        <w:tabs>
          <w:tab w:leader="none" w:pos="127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 Plan Document Receipt</w:t>
      </w:r>
      <w:r>
        <w:rPr>
          <w:rFonts w:ascii="Times New Roman" w:cs="Times New Roman" w:eastAsia="Times New Roman" w:hAnsi="Times New Roman"/>
          <w:sz w:val="21"/>
          <w:szCs w:val="21"/>
          <w:color w:val="auto"/>
        </w:rPr>
        <w:t>. This Agreement is subject in all respects to the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of the Plan (including, without limitation, any amendments thereto adopted at any time and from time to time unless such amendments are expressly intended not to apply to the Award provided hereunder), all of which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21"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21"/>
          <w:szCs w:val="21"/>
          <w:color w:val="auto"/>
        </w:rPr>
        <w:t>provisions are made a part of and incorporated into this Agreement as if they were each 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and the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xml:space="preserve">” shall mean the </w:t>
      </w:r>
      <w:r>
        <w:rPr>
          <w:rFonts w:ascii="Times New Roman" w:cs="Times New Roman" w:eastAsia="Times New Roman" w:hAnsi="Times New Roman"/>
          <w:sz w:val="21"/>
          <w:szCs w:val="21"/>
          <w:b w:val="1"/>
          <w:bCs w:val="1"/>
          <w:color w:val="auto"/>
        </w:rPr>
        <w:t>[one][two][three]</w:t>
      </w:r>
      <w:r>
        <w:rPr>
          <w:rFonts w:ascii="Times New Roman" w:cs="Times New Roman" w:eastAsia="Times New Roman" w:hAnsi="Times New Roman"/>
          <w:sz w:val="21"/>
          <w:szCs w:val="21"/>
          <w:color w:val="auto"/>
        </w:rPr>
        <w:t xml:space="preserve"> fiscal-year period commencing on the first day of the fiscal year of the Company in which the Grant Date occurs.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80" w:lineRule="exact"/>
        <w:rPr>
          <w:sz w:val="20"/>
          <w:szCs w:val="20"/>
          <w:color w:val="auto"/>
        </w:rPr>
      </w:pPr>
    </w:p>
    <w:p>
      <w:pPr>
        <w:jc w:val="both"/>
        <w:ind w:firstLine="642"/>
        <w:spacing w:after="0" w:line="258" w:lineRule="auto"/>
        <w:tabs>
          <w:tab w:leader="none" w:pos="127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Performance Restricted Share Unit Award</w:t>
      </w:r>
      <w:r>
        <w:rPr>
          <w:rFonts w:ascii="Times New Roman" w:cs="Times New Roman" w:eastAsia="Times New Roman" w:hAnsi="Times New Roman"/>
          <w:sz w:val="21"/>
          <w:szCs w:val="21"/>
          <w:color w:val="auto"/>
        </w:rPr>
        <w:t>. The Company hereby grants the target number of PSUs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specified above, as of the Grant Date stated above (the “</w:t>
      </w:r>
      <w:r>
        <w:rPr>
          <w:rFonts w:ascii="Times New Roman" w:cs="Times New Roman" w:eastAsia="Times New Roman" w:hAnsi="Times New Roman"/>
          <w:sz w:val="21"/>
          <w:szCs w:val="21"/>
          <w:u w:val="single" w:color="auto"/>
          <w:color w:val="auto"/>
        </w:rPr>
        <w:t>Target Award</w:t>
      </w:r>
      <w:r>
        <w:rPr>
          <w:rFonts w:ascii="Times New Roman" w:cs="Times New Roman" w:eastAsia="Times New Roman" w:hAnsi="Times New Roman"/>
          <w:sz w:val="21"/>
          <w:szCs w:val="21"/>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PSUs, except as otherwise specifically provided for in the Plan or this Agreement.</w:t>
      </w:r>
    </w:p>
    <w:p>
      <w:pPr>
        <w:spacing w:after="0" w:line="178"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firstLine="1278"/>
        <w:spacing w:after="0" w:line="285" w:lineRule="auto"/>
        <w:tabs>
          <w:tab w:leader="none" w:pos="1905"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PSUs subject to this Agreement shall be eligible to vest on the last day of the Performance Period, subject to the Participant’s continued Service with the Company on such date.</w:t>
      </w:r>
    </w:p>
    <w:p>
      <w:pPr>
        <w:spacing w:after="0" w:line="141" w:lineRule="exact"/>
        <w:rPr>
          <w:rFonts w:ascii="Times New Roman" w:cs="Times New Roman" w:eastAsia="Times New Roman" w:hAnsi="Times New Roman"/>
          <w:sz w:val="21"/>
          <w:szCs w:val="21"/>
          <w:color w:val="auto"/>
        </w:rPr>
      </w:pPr>
    </w:p>
    <w:p>
      <w:pPr>
        <w:jc w:val="both"/>
        <w:ind w:left="640" w:firstLine="1274"/>
        <w:spacing w:after="0" w:line="274" w:lineRule="auto"/>
        <w:tabs>
          <w:tab w:leader="none" w:pos="2536"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actual number of PSUs that are earned, if any, pursuant to the terms and conditions of this Agreement is subject to increase or decrease based on the Company’s actual performance against the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may range from [0% to [*]%] of the Target Award, rounded to the nearest whole Share.</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67" w:lineRule="auto"/>
        <w:tabs>
          <w:tab w:leader="none" w:pos="2542"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end of the Performance Period and no later than 60 days thereafter, the Committee will determine the number of PSUs that have been earned (the “</w:t>
      </w:r>
      <w:r>
        <w:rPr>
          <w:rFonts w:ascii="Times New Roman" w:cs="Times New Roman" w:eastAsia="Times New Roman" w:hAnsi="Times New Roman"/>
          <w:sz w:val="21"/>
          <w:szCs w:val="21"/>
          <w:u w:val="single" w:color="auto"/>
          <w:color w:val="auto"/>
        </w:rPr>
        <w:t>Earned PSUs</w:t>
      </w:r>
      <w:r>
        <w:rPr>
          <w:rFonts w:ascii="Times New Roman" w:cs="Times New Roman" w:eastAsia="Times New Roman" w:hAnsi="Times New Roman"/>
          <w:sz w:val="21"/>
          <w:szCs w:val="21"/>
          <w:color w:val="auto"/>
        </w:rPr>
        <w:t xml:space="preserve">”) in accordance with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(such date, the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firstLine="1278"/>
        <w:spacing w:after="0" w:line="266" w:lineRule="auto"/>
        <w:tabs>
          <w:tab w:leader="none" w:pos="1903"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for Good Reason; Due to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by the Company without Cause or by the Participant for Good Reason (each, as defined in the Company’s Change in Control Severance Plan during the [second][third] year of the Performance Period [, notwithstanding the definitions contained the Participant’s Offer Letter from the Company]),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397" w:right="339" w:bottom="1440" w:gutter="0" w:footer="0" w:header="0"/>
        </w:sectPr>
      </w:pPr>
    </w:p>
    <w:bookmarkStart w:id="41" w:name="page42"/>
    <w:bookmarkEnd w:id="41"/>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and the denominator of which is the number of days in the Performance Period. For the avoidance of doubt, in the event the Participant’s Service is terminated by the Company without Cause prior to the commencement of the [second][third] year of the Performance Period, the PSUs shall be immediately forfeited.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due to the Participant’s death or Disability, the Shares subject to the PSUs that have not yet vested shall become earned and vested at the end of the Performance Period based on actual performance.</w:t>
      </w:r>
    </w:p>
    <w:p>
      <w:pPr>
        <w:spacing w:after="0" w:line="184" w:lineRule="exact"/>
        <w:rPr>
          <w:sz w:val="20"/>
          <w:szCs w:val="20"/>
          <w:color w:val="auto"/>
        </w:rPr>
      </w:pPr>
    </w:p>
    <w:p>
      <w:pPr>
        <w:jc w:val="both"/>
        <w:ind w:firstLine="1278"/>
        <w:spacing w:after="0" w:line="239" w:lineRule="auto"/>
        <w:tabs>
          <w:tab w:leader="none" w:pos="1905"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Retirement</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by the Participant due to Retirement and the Participant’s date of termination due to Retirement occurs on or after the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anniversary of the Grant Date,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due to Retirement, and the denominator of which is the number of days in the Performance Period. For the avoidance of doubt, in the event the Participant’s termination of Service due to Retirement occurs prior to the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anniversary of the Grant Date, the PSUs shall be immediately forfeited. For purposes of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the Participant’s voluntary termination of Service after attainment of age 60, with at least ten years of Service and at least six months’ prior written notice to the Company.</w:t>
      </w:r>
    </w:p>
    <w:p>
      <w:pPr>
        <w:spacing w:after="0" w:line="189" w:lineRule="exact"/>
        <w:rPr>
          <w:rFonts w:ascii="Times New Roman" w:cs="Times New Roman" w:eastAsia="Times New Roman" w:hAnsi="Times New Roman"/>
          <w:sz w:val="21"/>
          <w:szCs w:val="21"/>
          <w:color w:val="auto"/>
        </w:rPr>
      </w:pPr>
    </w:p>
    <w:p>
      <w:pPr>
        <w:jc w:val="both"/>
        <w:ind w:firstLine="1278"/>
        <w:spacing w:after="0" w:line="257" w:lineRule="auto"/>
        <w:tabs>
          <w:tab w:leader="none" w:pos="1903"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and not withstanding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if a Change in Control occurs, the successor or purchaser in the Change in Control has assumed the Company’s obligations with respect to the PSUs or provided a substitute award and the Participant (i) has a Qualifying Termination (as defined in the Company’s Change in Control Severance Plan) or (ii) remains employed with the Company through the end of the Performance Period, then the PSUs shall become earned and vested as of the time immediately prior to the earlier of the Qualifying Termination and the Change in Control</w:t>
      </w:r>
    </w:p>
    <w:p>
      <w:pPr>
        <w:spacing w:after="0" w:line="3" w:lineRule="exact"/>
        <w:rPr>
          <w:rFonts w:ascii="Times New Roman" w:cs="Times New Roman" w:eastAsia="Times New Roman" w:hAnsi="Times New Roman"/>
          <w:sz w:val="21"/>
          <w:szCs w:val="21"/>
          <w:color w:val="auto"/>
        </w:rPr>
      </w:pPr>
    </w:p>
    <w:p>
      <w:pPr>
        <w:jc w:val="both"/>
        <w:ind w:firstLine="6"/>
        <w:spacing w:after="0" w:line="255" w:lineRule="auto"/>
        <w:tabs>
          <w:tab w:leader="none" w:pos="317"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Target achievement of the Performance Goals, if the Change in Control occurs within 12 months following the Grant Date hereunder, or (z) at the greater of Target achievement or the actual achievement of the Performance Goals through the date of the Change in Control, if such Change in Control occurs on or after 12 months following the Grant Date hereunder; provided that if such Qualifying Termination occurs prior to a Change in Control, then the PSUs shall become earned and vested as of the time immediately prior to the Qualifying Termination at the greater of Target achievement or the actual achievement of the Performance Goals through the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397" w:right="339" w:bottom="1440" w:gutter="0" w:footer="0" w:header="0"/>
        </w:sectPr>
      </w:pPr>
    </w:p>
    <w:bookmarkStart w:id="42" w:name="page43"/>
    <w:bookmarkEnd w:id="42"/>
    <w:p>
      <w:pPr>
        <w:ind w:firstLine="1278"/>
        <w:spacing w:after="0" w:line="285" w:lineRule="auto"/>
        <w:tabs>
          <w:tab w:leader="none" w:pos="1905"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 to Accelerate Vesting</w:t>
      </w:r>
      <w:r>
        <w:rPr>
          <w:rFonts w:ascii="Times New Roman" w:cs="Times New Roman" w:eastAsia="Times New Roman" w:hAnsi="Times New Roman"/>
          <w:sz w:val="21"/>
          <w:szCs w:val="21"/>
          <w:color w:val="auto"/>
        </w:rPr>
        <w:t>. In addition to the foregoing, the Committee may, in its sole discretion, accelerate vesting of the PSUs at any time and for any reason.</w:t>
      </w:r>
    </w:p>
    <w:p>
      <w:pPr>
        <w:spacing w:after="0" w:line="141" w:lineRule="exact"/>
        <w:rPr>
          <w:rFonts w:ascii="Times New Roman" w:cs="Times New Roman" w:eastAsia="Times New Roman" w:hAnsi="Times New Roman"/>
          <w:sz w:val="21"/>
          <w:szCs w:val="21"/>
          <w:color w:val="auto"/>
        </w:rPr>
      </w:pPr>
    </w:p>
    <w:p>
      <w:pPr>
        <w:jc w:val="both"/>
        <w:ind w:firstLine="1278"/>
        <w:spacing w:after="0" w:line="274" w:lineRule="auto"/>
        <w:tabs>
          <w:tab w:leader="none" w:pos="1908"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all unvested PSUs (taking into account any vesting that may occur upon the Participant’s termination of Service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shall be immediately forfeited upon the Participant’s termination of Service for any reason.</w:t>
      </w:r>
    </w:p>
    <w:p>
      <w:pPr>
        <w:spacing w:after="0" w:line="149"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Delivery of Shares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firstLine="1278"/>
        <w:spacing w:after="0" w:line="246" w:lineRule="auto"/>
        <w:tabs>
          <w:tab w:leader="none" w:pos="1905"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requirements of Section 409A of the Code, on the Determination Date (and no later than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third month following the end of the Performance Period), the Participant shall receive the number of Shares that correspond to the number of Earned PSUs, less any shares withheld by the Company for tax withholding purposes; provided, that, a Participant who (i) is a “specified employee” (within the meaning of Section 409A) on the date his or her “separation from service” (within the meaning of Section 409A) and (ii) who continues to vest due to Retirement pursuant to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shall have settlement under this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delayed to the date that is the first day of the seventh month following Participant’s separation from service, to the extent required by Section 409A.</w:t>
      </w:r>
    </w:p>
    <w:p>
      <w:pPr>
        <w:spacing w:after="0" w:line="184"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receipt of Shares subject to the Earned PSUs that are eligible to vest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w:t>
      </w:r>
    </w:p>
    <w:p>
      <w:pPr>
        <w:spacing w:after="0" w:line="35" w:lineRule="exact"/>
        <w:rPr>
          <w:rFonts w:ascii="Times New Roman" w:cs="Times New Roman" w:eastAsia="Times New Roman" w:hAnsi="Times New Roman"/>
          <w:sz w:val="21"/>
          <w:szCs w:val="21"/>
          <w:color w:val="auto"/>
        </w:rPr>
      </w:pPr>
    </w:p>
    <w:p>
      <w:pPr>
        <w:ind w:firstLine="6"/>
        <w:spacing w:after="0" w:line="273" w:lineRule="auto"/>
        <w:tabs>
          <w:tab w:leader="none" w:pos="308" w:val="left"/>
        </w:tabs>
        <w:numPr>
          <w:ilvl w:val="0"/>
          <w:numId w:val="2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shall be subject to the execution and nonrevocation of a general release of claims in favor of the Company, in a form reasonably satisfactory to the Company.</w:t>
      </w:r>
    </w:p>
    <w:p>
      <w:pPr>
        <w:spacing w:after="0" w:line="150" w:lineRule="exact"/>
        <w:rPr>
          <w:rFonts w:ascii="Times New Roman" w:cs="Times New Roman" w:eastAsia="Times New Roman" w:hAnsi="Times New Roman"/>
          <w:sz w:val="21"/>
          <w:szCs w:val="21"/>
          <w:u w:val="single" w:color="auto"/>
          <w:color w:val="auto"/>
        </w:rPr>
      </w:pPr>
    </w:p>
    <w:p>
      <w:pPr>
        <w:jc w:val="both"/>
        <w:ind w:firstLine="642"/>
        <w:spacing w:after="0" w:line="256" w:lineRule="auto"/>
        <w:tabs>
          <w:tab w:leader="none" w:pos="1272"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Rights as Shareholder</w:t>
      </w:r>
      <w:r>
        <w:rPr>
          <w:rFonts w:ascii="Times New Roman" w:cs="Times New Roman" w:eastAsia="Times New Roman" w:hAnsi="Times New Roman"/>
          <w:sz w:val="21"/>
          <w:szCs w:val="21"/>
          <w:color w:val="auto"/>
        </w:rPr>
        <w:t>. Cash Dividend Equivalent Rights on the number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issuable hereunder shall be credited to a dividend book entry account on behalf of the Participant with respect to each PSU granted to the Participant and shall be subject to the same vesting requirements as each PSU; provided that such cash Dividend Equivalent Rights shall not be deemed to be reinvested in Shares and shall be held uninvested and without interest and paid in cash at the same time that the Shares underlying the PSUs are delivered to the Participant in accordance with the provisions hereof. Stock Dividend Equivalent Rights on Shares shall be credited to a dividend book entry account on behalf of the Participant with respect to each PSU granted to the Participant and shall be subject to the same vesting requirements as each PSU; provided that such stock Dividend Equivalent Rights shall be paid in Shares at the same time that the Shares underlying the PSUs are delivered to the Participant in accordance with the provisions hereof. Except as otherwise provided herein, the Participant shall have no rights as a shareholder with respect to any Shares covered by any PSU unless and until the PSUs vest and Participant has become the holder of record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397" w:right="339" w:bottom="1440" w:gutter="0" w:footer="0" w:header="0"/>
        </w:sectPr>
      </w:pPr>
    </w:p>
    <w:bookmarkStart w:id="43" w:name="page44"/>
    <w:bookmarkEnd w:id="43"/>
    <w:p>
      <w:pPr>
        <w:spacing w:after="0" w:line="200" w:lineRule="exact"/>
        <w:rPr>
          <w:sz w:val="20"/>
          <w:szCs w:val="20"/>
          <w:color w:val="auto"/>
        </w:rPr>
      </w:pPr>
    </w:p>
    <w:p>
      <w:pPr>
        <w:spacing w:after="0" w:line="206"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0139"/>
          </w:cols>
          <w:pgMar w:left="320" w:top="1440" w:right="1440" w:bottom="1440" w:gutter="0" w:footer="0" w:header="0"/>
        </w:sectPr>
      </w:pPr>
    </w:p>
    <w:bookmarkStart w:id="44" w:name="page45"/>
    <w:bookmarkEnd w:id="44"/>
    <w:p>
      <w:pPr>
        <w:ind w:firstLine="636"/>
        <w:spacing w:after="0" w:line="285" w:lineRule="auto"/>
        <w:rPr>
          <w:sz w:val="20"/>
          <w:szCs w:val="20"/>
          <w:color w:val="auto"/>
        </w:rPr>
      </w:pPr>
      <w:r>
        <w:rPr>
          <w:rFonts w:ascii="Times New Roman" w:cs="Times New Roman" w:eastAsia="Times New Roman" w:hAnsi="Times New Roman"/>
          <w:sz w:val="21"/>
          <w:szCs w:val="21"/>
          <w:color w:val="auto"/>
        </w:rPr>
        <w:t>By signing below, the Participant hereby acknowledges receipt of the PSUs issued on the Grant Date indicated above, which have been issued under the terms and conditions of the Plan and this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wp:posOffset>
            </wp:positionV>
            <wp:extent cx="134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-24130</wp:posOffset>
            </wp:positionV>
            <wp:extent cx="1346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-24130</wp:posOffset>
            </wp:positionV>
            <wp:extent cx="1346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1346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of the Participant]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-8890</wp:posOffset>
            </wp:positionV>
            <wp:extent cx="1346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397" w:right="339" w:bottom="1440" w:gutter="0" w:footer="0" w:header="0"/>
        </w:sectPr>
      </w:pPr>
    </w:p>
    <w:bookmarkStart w:id="45" w:name="page46"/>
    <w:bookmarkEnd w:id="45"/>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0139"/>
          </w:cols>
          <w:pgMar w:left="320" w:top="1393"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48260</wp:posOffset>
            </wp:positionV>
            <wp:extent cx="35166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Arunava Mitra, certify that:</w:t>
      </w:r>
    </w:p>
    <w:p>
      <w:pPr>
        <w:spacing w:after="0" w:line="111"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48260</wp:posOffset>
            </wp:positionV>
            <wp:extent cx="28943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Arunava Mitra</w:t>
      </w:r>
    </w:p>
    <w:p>
      <w:pPr>
        <w:spacing w:after="0" w:line="2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September 30, 2024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14605</wp:posOffset>
            </wp:positionV>
            <wp:extent cx="26079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September 30, 2024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68" w:lineRule="auto"/>
        <w:tabs>
          <w:tab w:leader="none" w:pos="12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48260</wp:posOffset>
            </wp:positionV>
            <wp:extent cx="3458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Arunava Mitra</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04"/>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2"/>
    </w:lvl>
  </w:abstractNum>
  <w:abstractNum w:abstractNumId="17">
    <w:nsid w:val="8EDBDAB"/>
    <w:multiLevelType w:val="hybridMultilevel"/>
    <w:lvl w:ilvl="0">
      <w:lvlJc w:val="left"/>
      <w:lvlText w:val="%1."/>
      <w:numFmt w:val="decimal"/>
      <w:start w:val="4"/>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decimal"/>
      <w:start w:val="5"/>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
    <w:nsid w:val="54E49EB4"/>
    <w:multiLevelType w:val="hybridMultilevel"/>
    <w:lvl w:ilvl="0">
      <w:lvlJc w:val="left"/>
      <w:lvlText w:val="%1"/>
      <w:numFmt w:val="lowerLetter"/>
      <w:start w:val="1"/>
    </w:lvl>
    <w:lvl w:ilvl="1">
      <w:lvlJc w:val="left"/>
      <w:lvlText w:val="(%2)"/>
      <w:numFmt w:val="lowerLetter"/>
      <w:start w:val="3"/>
    </w:lvl>
  </w:abstractNum>
  <w:abstractNum w:abstractNumId="23">
    <w:nsid w:val="71F32454"/>
    <w:multiLevelType w:val="hybridMultilevel"/>
    <w:lvl w:ilvl="0">
      <w:lvlJc w:val="left"/>
      <w:lvlText w:val="(%1)"/>
      <w:numFmt w:val="lowerLetter"/>
      <w:start w:val="25"/>
    </w:lvl>
    <w:lvl w:ilvl="1">
      <w:lvlJc w:val="left"/>
      <w:lvlText w:val="%2"/>
      <w:numFmt w:val="lowerLetter"/>
      <w:start w:val="1"/>
    </w:lvl>
  </w:abstractNum>
  <w:abstractNum w:abstractNumId="24">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5">
    <w:nsid w:val="836C40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6">
    <w:nsid w:val="2901D82"/>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2024-10-23T15:50:49Z</dcterms:created>
  <dcterms:modified xsi:type="dcterms:W3CDTF">2024-10-23T15:50:49Z</dcterms:modified>
</cp:coreProperties>
</file>