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4,455,065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4,455,065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4,455,065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Weatherford International PLC</w:t>
      </w:r>
    </w:p>
    <w:p>
      <w:pPr>
        <w:spacing w:after="0" w:line="97" w:lineRule="exact"/>
        <w:rPr>
          <w:rFonts w:ascii="Times New Roman" w:cs="Times New Roman" w:eastAsia="Times New Roman" w:hAnsi="Times New Roman"/>
          <w:sz w:val="22"/>
          <w:szCs w:val="22"/>
          <w:b w:val="1"/>
          <w:bCs w:val="1"/>
          <w:color w:val="auto"/>
        </w:rPr>
      </w:pPr>
    </w:p>
    <w:p>
      <w:pPr>
        <w:ind w:left="1620" w:right="512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2000 St. James Place, Houston, TX 77056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 Research Global Investors</w:t>
      </w:r>
    </w:p>
    <w:p>
      <w:pPr>
        <w:spacing w:after="0" w:line="97" w:lineRule="exact"/>
        <w:rPr>
          <w:rFonts w:ascii="Times New Roman" w:cs="Times New Roman" w:eastAsia="Times New Roman" w:hAnsi="Times New Roman"/>
          <w:sz w:val="22"/>
          <w:szCs w:val="22"/>
          <w:b w:val="1"/>
          <w:bCs w:val="1"/>
          <w:color w:val="auto"/>
        </w:rPr>
      </w:pPr>
    </w:p>
    <w:p>
      <w:pPr>
        <w:ind w:left="1620" w:right="402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8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2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G48833118</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6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28"/>
          </w:cols>
          <w:pgMar w:left="400" w:top="419" w:right="459" w:bottom="0" w:gutter="0" w:footer="0" w:header="0"/>
          <w:type w:val="continuous"/>
        </w:sect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4,455,065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6.2%</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4,455,065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4,455,065</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80"/>
          </w:cols>
          <w:pgMar w:left="400" w:top="419" w:right="45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140"/>
        <w:spacing w:after="0" w:line="259" w:lineRule="auto"/>
        <w:rPr>
          <w:sz w:val="20"/>
          <w:szCs w:val="20"/>
          <w:color w:val="auto"/>
        </w:rPr>
      </w:pPr>
      <w:r>
        <w:rPr>
          <w:rFonts w:ascii="Times New Roman" w:cs="Times New Roman" w:eastAsia="Times New Roman" w:hAnsi="Times New Roman"/>
          <w:sz w:val="22"/>
          <w:szCs w:val="22"/>
          <w:color w:val="auto"/>
        </w:rPr>
        <w:t>the name "Capital Research Global Investors." CRGI is deemed to be the beneficial owner of 4,455,065 shares or 6.2% of the 72,118,595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Donald H. Rolfe</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2024-02-09T16:56:17Z</dcterms:created>
  <dcterms:modified xsi:type="dcterms:W3CDTF">2024-02-09T16:56:17Z</dcterms:modified>
</cp:coreProperties>
</file>