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295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295390"/>
                    </a:xfrm>
                    <a:prstGeom prst="rect">
                      <a:avLst/>
                    </a:prstGeom>
                    <a:noFill/>
                  </pic:spPr>
                </pic:pic>
              </a:graphicData>
            </a:graphic>
          </wp:anchor>
        </w:drawing>
      </w:r>
    </w:p>
    <w:p>
      <w:pPr>
        <w:sectPr>
          <w:pgSz w:w="11900" w:h="1688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Ruzicka Kristin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500" w:type="dxa"/>
            <w:vAlign w:val="bottom"/>
            <w:tcBorders>
              <w:top w:val="single" w:sz="8" w:color="0000EE"/>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01/22/2025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Weatherford International plc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WFRD</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80"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80" w:type="dxa"/>
            <w:vAlign w:val="bottom"/>
          </w:tcPr>
          <w:p>
            <w:pPr>
              <w:ind w:left="280"/>
              <w:spacing w:after="0"/>
              <w:rPr>
                <w:sz w:val="20"/>
                <w:szCs w:val="20"/>
                <w:color w:val="auto"/>
              </w:rPr>
            </w:pPr>
            <w:r>
              <w:rPr>
                <w:rFonts w:ascii="Arial" w:cs="Arial" w:eastAsia="Arial" w:hAnsi="Arial"/>
                <w:sz w:val="15"/>
                <w:szCs w:val="15"/>
                <w:color w:val="auto"/>
              </w:rPr>
              <w:t>(First)</w:t>
            </w:r>
          </w:p>
        </w:tc>
        <w:tc>
          <w:tcPr>
            <w:tcW w:w="1040" w:type="dxa"/>
            <w:vAlign w:val="bottom"/>
          </w:tcPr>
          <w:p>
            <w:pPr>
              <w:ind w:left="40"/>
              <w:spacing w:after="0"/>
              <w:rPr>
                <w:sz w:val="20"/>
                <w:szCs w:val="20"/>
                <w:color w:val="auto"/>
              </w:rPr>
            </w:pPr>
            <w:r>
              <w:rPr>
                <w:rFonts w:ascii="Arial" w:cs="Arial" w:eastAsia="Arial" w:hAnsi="Arial"/>
                <w:sz w:val="15"/>
                <w:szCs w:val="15"/>
                <w:color w:val="auto"/>
              </w:rPr>
              <w:t>(Middle)</w:t>
            </w:r>
          </w:p>
        </w:tc>
      </w:tr>
      <w:tr>
        <w:trPr>
          <w:trHeight w:val="310"/>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7"/>
              </w:rPr>
              <w:t>2000 ST JAMES PLACE</w:t>
            </w:r>
          </w:p>
        </w:tc>
        <w:tc>
          <w:tcPr>
            <w:tcW w:w="104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80" w:type="dxa"/>
            <w:vAlign w:val="bottom"/>
          </w:tcPr>
          <w:p>
            <w:pPr>
              <w:ind w:left="280"/>
              <w:spacing w:after="0"/>
              <w:rPr>
                <w:sz w:val="20"/>
                <w:szCs w:val="20"/>
                <w:color w:val="auto"/>
              </w:rPr>
            </w:pPr>
            <w:r>
              <w:rPr>
                <w:rFonts w:ascii="Arial" w:cs="Arial" w:eastAsia="Arial" w:hAnsi="Arial"/>
                <w:sz w:val="15"/>
                <w:szCs w:val="15"/>
                <w:color w:val="auto"/>
              </w:rPr>
              <w:t>(State)</w:t>
            </w:r>
          </w:p>
        </w:tc>
        <w:tc>
          <w:tcPr>
            <w:tcW w:w="1040" w:type="dxa"/>
            <w:vAlign w:val="bottom"/>
          </w:tcPr>
          <w:p>
            <w:pPr>
              <w:ind w:left="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23"/>
        <w:spacing w:after="0"/>
        <w:rPr>
          <w:sz w:val="20"/>
          <w:szCs w:val="20"/>
          <w:color w:val="auto"/>
        </w:rPr>
      </w:pPr>
      <w:r>
        <w:rPr>
          <w:rFonts w:ascii="Times New Roman" w:cs="Times New Roman" w:eastAsia="Times New Roman" w:hAnsi="Times New Roman"/>
          <w:sz w:val="20"/>
          <w:szCs w:val="20"/>
          <w:color w:val="0000FF"/>
        </w:rPr>
        <w:t>EVP Chief HR &amp; Sustainability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80"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20"/>
                <w:szCs w:val="20"/>
                <w:color w:val="0000FF"/>
              </w:rPr>
              <w:t>12,920</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42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jc w:val="right"/>
              <w:ind w:right="311"/>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center"/>
              <w:ind w:left="271"/>
              <w:spacing w:after="0"/>
              <w:rPr>
                <w:sz w:val="20"/>
                <w:szCs w:val="20"/>
                <w:color w:val="auto"/>
              </w:rPr>
            </w:pPr>
            <w:r>
              <w:rPr>
                <w:rFonts w:ascii="Times New Roman" w:cs="Times New Roman" w:eastAsia="Times New Roman" w:hAnsi="Times New Roman"/>
                <w:sz w:val="13"/>
                <w:szCs w:val="13"/>
                <w:color w:val="008000"/>
                <w:w w:val="92"/>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20"/>
                <w:szCs w:val="20"/>
                <w:color w:val="0000FF"/>
              </w:rPr>
              <w:t>1,165</w:t>
            </w:r>
          </w:p>
        </w:tc>
        <w:tc>
          <w:tcPr>
            <w:tcW w:w="6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gridSpan w:val="2"/>
          </w:tcPr>
          <w:p>
            <w:pPr>
              <w:jc w:val="center"/>
              <w:ind w:left="271"/>
              <w:spacing w:after="0"/>
              <w:rPr>
                <w:sz w:val="20"/>
                <w:szCs w:val="20"/>
                <w:color w:val="auto"/>
              </w:rPr>
            </w:pPr>
            <w:r>
              <w:rPr>
                <w:rFonts w:ascii="Times New Roman" w:cs="Times New Roman" w:eastAsia="Times New Roman" w:hAnsi="Times New Roman"/>
                <w:sz w:val="13"/>
                <w:szCs w:val="13"/>
                <w:color w:val="008000"/>
                <w:w w:val="92"/>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20"/>
                <w:szCs w:val="20"/>
                <w:color w:val="0000FF"/>
              </w:rPr>
              <w:t>1,561</w:t>
            </w:r>
          </w:p>
        </w:tc>
        <w:tc>
          <w:tcPr>
            <w:tcW w:w="60" w:type="dxa"/>
            <w:vAlign w:val="bottom"/>
          </w:tcPr>
          <w:p>
            <w:pPr>
              <w:spacing w:after="0"/>
              <w:rPr>
                <w:sz w:val="24"/>
                <w:szCs w:val="24"/>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20" w:type="dxa"/>
            <w:vAlign w:val="bottom"/>
            <w:tcBorders>
              <w:bottom w:val="single" w:sz="8" w:color="2C2C2C"/>
            </w:tcBorders>
            <w:gridSpan w:val="2"/>
          </w:tcPr>
          <w:p>
            <w:pPr>
              <w:jc w:val="center"/>
              <w:ind w:left="291"/>
              <w:spacing w:after="0"/>
              <w:rPr>
                <w:sz w:val="20"/>
                <w:szCs w:val="20"/>
                <w:color w:val="auto"/>
              </w:rPr>
            </w:pPr>
            <w:r>
              <w:rPr>
                <w:rFonts w:ascii="Times New Roman" w:cs="Times New Roman" w:eastAsia="Times New Roman" w:hAnsi="Times New Roman"/>
                <w:sz w:val="15"/>
                <w:szCs w:val="15"/>
                <w:color w:val="0000FF"/>
                <w:w w:val="95"/>
              </w:rPr>
              <w:t>01/18/2027</w:t>
            </w:r>
            <w:r>
              <w:rPr>
                <w:rFonts w:ascii="Times New Roman" w:cs="Times New Roman" w:eastAsia="Times New Roman" w:hAnsi="Times New Roman"/>
                <w:sz w:val="25"/>
                <w:szCs w:val="25"/>
                <w:color w:val="008000"/>
                <w:w w:val="95"/>
                <w:vertAlign w:val="superscript"/>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tcBorders>
              <w:bottom w:val="single" w:sz="8" w:color="2C2C2C"/>
            </w:tcBorders>
          </w:tcPr>
          <w:p>
            <w:pPr>
              <w:jc w:val="right"/>
              <w:ind w:right="52"/>
              <w:spacing w:after="0"/>
              <w:rPr>
                <w:sz w:val="20"/>
                <w:szCs w:val="20"/>
                <w:color w:val="auto"/>
              </w:rPr>
            </w:pPr>
            <w:r>
              <w:rPr>
                <w:rFonts w:ascii="Times New Roman" w:cs="Times New Roman" w:eastAsia="Times New Roman" w:hAnsi="Times New Roman"/>
                <w:sz w:val="20"/>
                <w:szCs w:val="20"/>
                <w:color w:val="0000FF"/>
              </w:rPr>
              <w:t>1,089</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2022 Annual Performance Share</w:t>
            </w:r>
          </w:p>
        </w:tc>
        <w:tc>
          <w:tcPr>
            <w:tcW w:w="1320" w:type="dxa"/>
            <w:vAlign w:val="bottom"/>
            <w:gridSpan w:val="2"/>
            <w:vMerge w:val="restart"/>
          </w:tcPr>
          <w:p>
            <w:pPr>
              <w:jc w:val="center"/>
              <w:ind w:left="271"/>
              <w:spacing w:after="0"/>
              <w:rPr>
                <w:sz w:val="20"/>
                <w:szCs w:val="20"/>
                <w:color w:val="auto"/>
              </w:rPr>
            </w:pPr>
            <w:r>
              <w:rPr>
                <w:rFonts w:ascii="Times New Roman" w:cs="Times New Roman" w:eastAsia="Times New Roman" w:hAnsi="Times New Roman"/>
                <w:sz w:val="13"/>
                <w:szCs w:val="13"/>
                <w:color w:val="008000"/>
                <w:w w:val="92"/>
              </w:rPr>
              <w:t>(4)</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20"/>
                <w:szCs w:val="20"/>
                <w:color w:val="0000FF"/>
              </w:rPr>
              <w:t>4,423</w:t>
            </w:r>
          </w:p>
        </w:tc>
        <w:tc>
          <w:tcPr>
            <w:tcW w:w="60" w:type="dxa"/>
            <w:vAlign w:val="bottom"/>
          </w:tcPr>
          <w:p>
            <w:pPr>
              <w:spacing w:after="0"/>
              <w:rPr>
                <w:sz w:val="24"/>
                <w:szCs w:val="2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2023 Annual Performance Share</w:t>
            </w:r>
          </w:p>
        </w:tc>
        <w:tc>
          <w:tcPr>
            <w:tcW w:w="1320" w:type="dxa"/>
            <w:vAlign w:val="bottom"/>
            <w:gridSpan w:val="2"/>
            <w:vMerge w:val="restart"/>
          </w:tcPr>
          <w:p>
            <w:pPr>
              <w:jc w:val="center"/>
              <w:ind w:left="271"/>
              <w:spacing w:after="0"/>
              <w:rPr>
                <w:sz w:val="20"/>
                <w:szCs w:val="20"/>
                <w:color w:val="auto"/>
              </w:rPr>
            </w:pPr>
            <w:r>
              <w:rPr>
                <w:rFonts w:ascii="Times New Roman" w:cs="Times New Roman" w:eastAsia="Times New Roman" w:hAnsi="Times New Roman"/>
                <w:sz w:val="13"/>
                <w:szCs w:val="13"/>
                <w:color w:val="008000"/>
                <w:w w:val="92"/>
              </w:rPr>
              <w:t>(5)</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20"/>
                <w:szCs w:val="20"/>
                <w:color w:val="0000FF"/>
              </w:rPr>
              <w:t>3,495</w:t>
            </w:r>
          </w:p>
        </w:tc>
        <w:tc>
          <w:tcPr>
            <w:tcW w:w="60" w:type="dxa"/>
            <w:vAlign w:val="bottom"/>
          </w:tcPr>
          <w:p>
            <w:pPr>
              <w:spacing w:after="0"/>
              <w:rPr>
                <w:sz w:val="24"/>
                <w:szCs w:val="2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2024 Annual Performance Share</w:t>
            </w:r>
          </w:p>
        </w:tc>
        <w:tc>
          <w:tcPr>
            <w:tcW w:w="1320" w:type="dxa"/>
            <w:vAlign w:val="bottom"/>
            <w:gridSpan w:val="2"/>
            <w:vMerge w:val="restart"/>
          </w:tcPr>
          <w:p>
            <w:pPr>
              <w:jc w:val="center"/>
              <w:ind w:left="271"/>
              <w:spacing w:after="0"/>
              <w:rPr>
                <w:sz w:val="20"/>
                <w:szCs w:val="20"/>
                <w:color w:val="auto"/>
              </w:rPr>
            </w:pPr>
            <w:r>
              <w:rPr>
                <w:rFonts w:ascii="Times New Roman" w:cs="Times New Roman" w:eastAsia="Times New Roman" w:hAnsi="Times New Roman"/>
                <w:sz w:val="13"/>
                <w:szCs w:val="13"/>
                <w:color w:val="008000"/>
                <w:w w:val="92"/>
              </w:rPr>
              <w:t>(6)</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820" w:type="dxa"/>
            <w:vAlign w:val="bottom"/>
            <w:vMerge w:val="restart"/>
          </w:tcPr>
          <w:p>
            <w:pPr>
              <w:jc w:val="right"/>
              <w:ind w:right="52"/>
              <w:spacing w:after="0"/>
              <w:rPr>
                <w:sz w:val="20"/>
                <w:szCs w:val="20"/>
                <w:color w:val="auto"/>
              </w:rPr>
            </w:pPr>
            <w:r>
              <w:rPr>
                <w:rFonts w:ascii="Times New Roman" w:cs="Times New Roman" w:eastAsia="Times New Roman" w:hAnsi="Times New Roman"/>
                <w:sz w:val="20"/>
                <w:szCs w:val="20"/>
                <w:color w:val="0000FF"/>
              </w:rPr>
              <w:t>2,342</w:t>
            </w:r>
          </w:p>
        </w:tc>
        <w:tc>
          <w:tcPr>
            <w:tcW w:w="60" w:type="dxa"/>
            <w:vAlign w:val="bottom"/>
          </w:tcPr>
          <w:p>
            <w:pPr>
              <w:spacing w:after="0"/>
              <w:rPr>
                <w:sz w:val="24"/>
                <w:szCs w:val="24"/>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3"/>
                <w:szCs w:val="13"/>
                <w:color w:val="008000"/>
              </w:rPr>
              <w:t>(6)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Units</w:t>
            </w:r>
          </w:p>
        </w:tc>
        <w:tc>
          <w:tcPr>
            <w:tcW w:w="132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share units ("RSUs") granted on January 18, 2023 pursuant to the Issuer's 2019 Equity Incentive Plan, as amended and restated (the "2019 EIP"). The RSUs vest in three equal annual installments over the three-year period following the grant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RSUs granted on January 18, 2024 pursuant to the 2019 EIP. The RSUs vest in three equal annual installments over the three-year period following the grant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RSUs granted on January 18, 2024 pursuant to the 2019 EIP. The RSUs vest in full on the third anniversary of the grant date.</w:t>
      </w:r>
    </w:p>
    <w:p>
      <w:pPr>
        <w:spacing w:after="0" w:line="52"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performance share units ("PSUs") granted on January 18, 2022 under 2019 EIP. The number of PSUs reported is the target award and may be subject to a payout ranging from 0% to 200% of target award depending on the actual achievement of certain performance goals during the performance period, which is the Issuer's three fiscal years beginning on January 1, 2022 and ending December 31, 2024.</w:t>
      </w:r>
    </w:p>
    <w:p>
      <w:pPr>
        <w:spacing w:after="0" w:line="29"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2023 under 2019 EIP. The number of PSUs reported is the target award and may be subject to a payout ranging from 0% to 200% of target award depending on the actual achievement of certain performance goals during the performance period, which is the Issuer's three fiscal years beginning on January 1, 2023 and ending December 31, 2025.</w:t>
      </w:r>
    </w:p>
    <w:p>
      <w:pPr>
        <w:spacing w:after="0" w:line="29" w:lineRule="exact"/>
        <w:rPr>
          <w:rFonts w:ascii="Times New Roman" w:cs="Times New Roman" w:eastAsia="Times New Roman" w:hAnsi="Times New Roman"/>
          <w:sz w:val="15"/>
          <w:szCs w:val="15"/>
          <w:color w:val="008000"/>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PSUs granted on January 18, 2024 under 2019 EIP. The number of PSUs reported is the target award and may be subject to a payout ranging from 0% to 200% of target award depending on the actual achievement of certain performance goals during the performance period, which is the Issuer's three fiscal years beginning on January 1, 2024 and ending December 31,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230"/>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Kathy Medford by Power</w:t>
            </w:r>
          </w:p>
        </w:tc>
        <w:tc>
          <w:tcPr>
            <w:tcW w:w="1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01/31/2025</w:t>
            </w:r>
          </w:p>
        </w:tc>
        <w:tc>
          <w:tcPr>
            <w:tcW w:w="0" w:type="dxa"/>
            <w:vAlign w:val="bottom"/>
          </w:tcPr>
          <w:p>
            <w:pPr>
              <w:spacing w:after="0"/>
              <w:rPr>
                <w:sz w:val="1"/>
                <w:szCs w:val="1"/>
                <w:color w:val="auto"/>
              </w:rPr>
            </w:pPr>
          </w:p>
        </w:tc>
      </w:tr>
      <w:tr>
        <w:trPr>
          <w:trHeight w:val="105"/>
        </w:trPr>
        <w:tc>
          <w:tcPr>
            <w:tcW w:w="90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of Attorney</w:t>
            </w:r>
          </w:p>
        </w:tc>
        <w:tc>
          <w:tcPr>
            <w:tcW w:w="128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900" w:type="dxa"/>
            <w:vAlign w:val="bottom"/>
            <w:tcBorders>
              <w:bottom w:val="single" w:sz="8" w:color="auto"/>
            </w:tcBorders>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p>
      <w:pPr>
        <w:sectPr>
          <w:pgSz w:w="11900" w:h="16880" w:orient="portrait"/>
          <w:cols w:equalWidth="0" w:num="1">
            <w:col w:w="10940"/>
          </w:cols>
          <w:pgMar w:left="480" w:top="230" w:right="479" w:bottom="0" w:gutter="0" w:footer="0" w:header="0"/>
          <w:type w:val="continuous"/>
        </w:sectPr>
      </w:pPr>
    </w:p>
    <w:tbl>
      <w:tblPr>
        <w:tblLayout w:type="fixed"/>
        <w:tblInd w:w="658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192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92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80"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40" w:right="559" w:bottom="1440" w:gutter="0" w:footer="0" w:header="0"/>
        </w:sectPr>
      </w:pPr>
    </w:p>
    <w:bookmarkStart w:id="2" w:name="page3"/>
    <w:bookmarkEnd w:id="2"/>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84"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Scott C. Weatherholt, Christine M. Morrison and Kathy Medford, or any of them signing singly, and with full power of substitution, as the undersigned's true and lawful attorney in fact to:</w:t>
      </w:r>
    </w:p>
    <w:p>
      <w:pPr>
        <w:spacing w:after="0" w:line="226" w:lineRule="exact"/>
        <w:rPr>
          <w:sz w:val="20"/>
          <w:szCs w:val="20"/>
          <w:color w:val="auto"/>
        </w:rPr>
      </w:pPr>
    </w:p>
    <w:p>
      <w:pPr>
        <w:jc w:val="both"/>
        <w:ind w:left="700" w:hanging="355"/>
        <w:spacing w:after="0" w:line="263"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 w:lineRule="exact"/>
        <w:rPr>
          <w:rFonts w:ascii="Times New Roman" w:cs="Times New Roman" w:eastAsia="Times New Roman" w:hAnsi="Times New Roman"/>
          <w:sz w:val="20"/>
          <w:szCs w:val="20"/>
          <w:color w:val="auto"/>
        </w:rPr>
      </w:pPr>
    </w:p>
    <w:p>
      <w:pPr>
        <w:jc w:val="both"/>
        <w:ind w:left="700" w:hanging="355"/>
        <w:spacing w:after="0" w:line="262"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or director of Weatherford International plc (the "Company”),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20"/>
          <w:szCs w:val="20"/>
          <w:color w:val="auto"/>
        </w:rPr>
      </w:pPr>
    </w:p>
    <w:p>
      <w:pPr>
        <w:jc w:val="both"/>
        <w:ind w:left="700" w:hanging="355"/>
        <w:spacing w:after="0" w:line="261"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700" w:hanging="355"/>
        <w:spacing w:after="0" w:line="264" w:lineRule="auto"/>
        <w:tabs>
          <w:tab w:leader="none" w:pos="7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38" w:lineRule="exact"/>
        <w:rPr>
          <w:sz w:val="20"/>
          <w:szCs w:val="20"/>
          <w:color w:val="auto"/>
        </w:rPr>
      </w:pPr>
    </w:p>
    <w:p>
      <w:pPr>
        <w:jc w:val="both"/>
        <w:ind w:firstLine="345"/>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240" w:lineRule="exact"/>
        <w:rPr>
          <w:sz w:val="20"/>
          <w:szCs w:val="20"/>
          <w:color w:val="auto"/>
        </w:rPr>
      </w:pPr>
    </w:p>
    <w:p>
      <w:pPr>
        <w:jc w:val="both"/>
        <w:ind w:firstLine="345"/>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day of January, 2025.</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Kristin Ruzicka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3335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33500" cy="952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Kristin Ruzicka</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53554"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2025-01-31T15:49:33Z</dcterms:created>
  <dcterms:modified xsi:type="dcterms:W3CDTF">2025-01-31T15:49:33Z</dcterms:modified>
</cp:coreProperties>
</file>