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12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Duster Benjamin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01/18/2023</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497" w:val="left"/>
          <w:tab w:leader="none" w:pos="209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200" w:space="622"/>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9"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01/18/2023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6,805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36,734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01/18/2023</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2,517</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53.59</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34,217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6,805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01/18/2023</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6,805</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4,101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01/18/2023</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4,101</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4,101</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the terms of the Issuer's 2019 Equity Incentive Plan, as amended and restated (the "2019 EIP"). The RSUs vest on the first anniversary of the date of grant.</w:t>
      </w:r>
    </w:p>
    <w:p>
      <w:pPr>
        <w:spacing w:after="0" w:line="18"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on January 18, 2023 pursuant to the 2019 EIP. RSUs vest on the first anniversary of the date of grant.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Jonathan B. Wolens by Power</w:t>
            </w:r>
          </w:p>
        </w:tc>
        <w:tc>
          <w:tcPr>
            <w:tcW w:w="180" w:type="dxa"/>
            <w:vAlign w:val="bottom"/>
          </w:tcPr>
          <w:p>
            <w:pPr>
              <w:spacing w:after="0"/>
              <w:rPr>
                <w:sz w:val="16"/>
                <w:szCs w:val="16"/>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01/20/2023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of Attorney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307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2023-01-20T20:42:08Z</dcterms:created>
  <dcterms:modified xsi:type="dcterms:W3CDTF">2023-01-20T20:42:08Z</dcterms:modified>
</cp:coreProperties>
</file>