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Weatherholt Scott C</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Weatherford International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380" w:type="dxa"/>
            <w:vAlign w:val="bottom"/>
            <w:tcBorders>
              <w:top w:val="single" w:sz="8" w:color="0000EE"/>
            </w:tcBorders>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6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02/08/2023</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660" w:type="dxa"/>
            <w:vAlign w:val="bottom"/>
            <w:gridSpan w:val="4"/>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7"/>
          <w:szCs w:val="17"/>
          <w:color w:val="0000FF"/>
        </w:rPr>
        <w:t>EVP, GC &amp; CCO</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237,232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290,715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93,350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197,365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a non-derivative performance restricted share unit award (the "PSU") under the 2019 Equity Incentive Plan, as amended and restated (the "2019 EIP"), that was originally granted on January 4, 2021. The PSU vested at 200% of Target based on the achievement of the Performance Goals (as defined in the 2019 EIP and the PSU agreement) at maximum achievement.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withholding obligations upon vesting, pursuant to the award agreement and the 2019 EIP under which the award was granted.</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Jonathan B. Wolens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2023-02-10T19:07:52Z</dcterms:created>
  <dcterms:modified xsi:type="dcterms:W3CDTF">2023-02-10T19:07:52Z</dcterms:modified>
</cp:coreProperties>
</file>