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335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33590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Mills Desmond J</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462"/>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3"/>
                <w:szCs w:val="3"/>
                <w:color w:val="auto"/>
              </w:rPr>
            </w:pP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40" w:type="dxa"/>
            <w:vAlign w:val="bottom"/>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7"/>
          </w:tcPr>
          <w:p>
            <w:pPr>
              <w:ind w:left="14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gridSpan w:val="3"/>
          </w:tcPr>
          <w:p>
            <w:pPr>
              <w:jc w:val="center"/>
              <w:ind w:left="48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02/06/2025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10,254</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41,359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02/06/2025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4,035</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37,324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02/07/2025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9,743</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w:t>
            </w:r>
            <w:r>
              <w:rPr>
                <w:rFonts w:ascii="Times New Roman" w:cs="Times New Roman" w:eastAsia="Times New Roman" w:hAnsi="Times New Roman"/>
                <w:sz w:val="21"/>
                <w:szCs w:val="21"/>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27,581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02/07/2025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9,682</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68.0322</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17,899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2022 Annual</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10,254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rPr>
              <w:t>02/06/2025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gridSpan w:val="2"/>
          </w:tcPr>
          <w:p>
            <w:pPr>
              <w:ind w:left="340"/>
              <w:spacing w:after="0" w:line="128" w:lineRule="exact"/>
              <w:rPr>
                <w:sz w:val="20"/>
                <w:szCs w:val="20"/>
                <w:color w:val="auto"/>
              </w:rPr>
            </w:pPr>
            <w:r>
              <w:rPr>
                <w:rFonts w:ascii="Times New Roman" w:cs="Times New Roman" w:eastAsia="Times New Roman" w:hAnsi="Times New Roman"/>
                <w:sz w:val="13"/>
                <w:szCs w:val="13"/>
                <w:color w:val="0000FF"/>
                <w:w w:val="94"/>
              </w:rPr>
              <w:t>10,254</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w w:val="97"/>
              </w:rPr>
              <w:t>Shares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-1996440</wp:posOffset>
            </wp:positionV>
            <wp:extent cx="29210" cy="2001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1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January 18, 2022 under the Issuer's 2019 Equity Incentive Plan, as amended and restated (the "2019 EIP"). The award vested at 182% based on achievement of performance metrics during the three-year performance period, which ended on December 31, 2024.</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2019 EIP and the relevant award agreements.</w:t>
      </w:r>
    </w:p>
    <w:p>
      <w:pPr>
        <w:spacing w:after="0" w:line="42"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$66.71 to $67.63. Details on the number of shares sold at each separate price will be provided to the staff of the Securities and Exchange Commission upon request.</w:t>
      </w:r>
    </w:p>
    <w:p>
      <w:pPr>
        <w:spacing w:after="0" w:line="19" w:lineRule="exact"/>
        <w:rPr>
          <w:rFonts w:ascii="Times New Roman" w:cs="Times New Roman" w:eastAsia="Times New Roman" w:hAnsi="Times New Roman"/>
          <w:sz w:val="13"/>
          <w:szCs w:val="13"/>
          <w:color w:val="008000"/>
        </w:rPr>
      </w:pPr>
    </w:p>
    <w:p>
      <w:pPr>
        <w:ind w:left="40" w:right="3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$67.74 to $68.03217. Details on the number of shares sold at each separate price will be provided to the staff of the Securities and Exchange Commission upon request.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96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2025-02-10T16:23:18Z</dcterms:created>
  <dcterms:modified xsi:type="dcterms:W3CDTF">2025-02-10T16:23:18Z</dcterms:modified>
</cp:coreProperties>
</file>