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483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83933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Weatherholt Scott C</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002"/>
        <w:spacing w:after="0"/>
        <w:rPr>
          <w:sz w:val="20"/>
          <w:szCs w:val="20"/>
          <w:color w:val="auto"/>
        </w:rPr>
      </w:pPr>
      <w:r>
        <w:rPr>
          <w:rFonts w:ascii="Times New Roman" w:cs="Times New Roman" w:eastAsia="Times New Roman" w:hAnsi="Times New Roman"/>
          <w:sz w:val="17"/>
          <w:szCs w:val="17"/>
          <w:color w:val="0000FF"/>
        </w:rPr>
        <w:t>EVP, GC &amp; CCO</w:t>
      </w:r>
    </w:p>
    <w:p>
      <w:pPr>
        <w:spacing w:after="0" w:line="308"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4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11,362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0000FF"/>
              </w:rPr>
              <w:t>03/07/2025</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11,362</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89"/>
              </w:rPr>
              <w:t>11,362</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17,043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0000FF"/>
              </w:rPr>
              <w:t>03/07/2025</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17,043</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89"/>
              </w:rPr>
              <w:t>17,043</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-2345690</wp:posOffset>
            </wp:positionV>
            <wp:extent cx="29210" cy="2351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514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6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March 7, 2025 pursuant to the Issuer's 2019 Equity Incentive Plan, as amended and restated (the "2019 EIP"). The RSUs vest in three equal annual installments over the three-year period following the grant date.</w:t>
      </w:r>
    </w:p>
    <w:p>
      <w:pPr>
        <w:spacing w:after="0" w:line="19" w:lineRule="exact"/>
        <w:rPr>
          <w:rFonts w:ascii="Times New Roman" w:cs="Times New Roman" w:eastAsia="Times New Roman" w:hAnsi="Times New Roman"/>
          <w:sz w:val="13"/>
          <w:szCs w:val="13"/>
          <w:color w:val="008000"/>
        </w:rPr>
      </w:pPr>
    </w:p>
    <w:p>
      <w:pPr>
        <w:ind w:left="40" w:right="3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March 7, 2025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2025 and ending December 31, 2027.</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03/11/2025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942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2025-03-11T15:56:53Z</dcterms:created>
  <dcterms:modified xsi:type="dcterms:W3CDTF">2025-03-11T15:56:53Z</dcterms:modified>
</cp:coreProperties>
</file>