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drawing>
          <wp:inline distT="0" distB="0" distL="0" distR="0">
            <wp:extent cx="5981700" cy="2686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81700" cy="26860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4" w:after="283"/>
        <w:jc w:val="left"/>
        <w:rPr/>
      </w:pPr>
      <w:r>
        <w:rPr/>
      </w:r>
    </w:p>
    <w:p>
      <w:pPr>
        <w:pStyle w:val="TextBody"/>
        <w:bidi w:val="0"/>
        <w:spacing w:before="0" w:after="0"/>
        <w:jc w:val="left"/>
        <w:rPr/>
      </w:pPr>
      <w:r>
        <w:rPr/>
      </w:r>
    </w:p>
    <w:tbl>
      <w:tblPr>
        <w:tblW w:w="5726" w:type="dxa"/>
        <w:jc w:val="left"/>
        <w:tblInd w:w="0" w:type="dxa"/>
        <w:tblLayout w:type="fixed"/>
        <w:tblCellMar>
          <w:top w:w="28" w:type="dxa"/>
          <w:left w:w="28" w:type="dxa"/>
          <w:bottom w:w="28" w:type="dxa"/>
          <w:right w:w="28" w:type="dxa"/>
        </w:tblCellMar>
      </w:tblPr>
      <w:tblGrid>
        <w:gridCol w:w="124"/>
        <w:gridCol w:w="109"/>
        <w:gridCol w:w="109"/>
        <w:gridCol w:w="1574"/>
        <w:gridCol w:w="1574"/>
        <w:gridCol w:w="2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UNITED STATES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SECURITIES AND EXCHANGE COMMISSION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Washington, D.C. 20549</w:t>
            </w:r>
          </w:p>
        </w:tc>
      </w:tr>
    </w:tbl>
    <w:p>
      <w:pPr>
        <w:pStyle w:val="TextBody"/>
        <w:bidi w:val="0"/>
        <w:spacing w:before="0" w:after="0"/>
        <w:jc w:val="center"/>
        <w:rPr/>
      </w:pPr>
      <w:r>
        <w:rPr/>
      </w:r>
    </w:p>
    <w:tbl>
      <w:tblPr>
        <w:tblW w:w="2316" w:type="dxa"/>
        <w:jc w:val="left"/>
        <w:tblInd w:w="0" w:type="dxa"/>
        <w:tblLayout w:type="fixed"/>
        <w:tblCellMar>
          <w:top w:w="28" w:type="dxa"/>
          <w:left w:w="28" w:type="dxa"/>
          <w:bottom w:w="28" w:type="dxa"/>
          <w:right w:w="28" w:type="dxa"/>
        </w:tblCellMar>
      </w:tblPr>
      <w:tblGrid>
        <w:gridCol w:w="124"/>
        <w:gridCol w:w="109"/>
        <w:gridCol w:w="109"/>
        <w:gridCol w:w="225"/>
        <w:gridCol w:w="225"/>
        <w:gridCol w:w="226"/>
        <w:gridCol w:w="199"/>
        <w:gridCol w:w="199"/>
        <w:gridCol w:w="201"/>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Form</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58"/>
        <w:gridCol w:w="1058"/>
        <w:gridCol w:w="1044"/>
        <w:gridCol w:w="1049"/>
        <w:gridCol w:w="1039"/>
        <w:gridCol w:w="1039"/>
        <w:gridCol w:w="1039"/>
        <w:gridCol w:w="1039"/>
        <w:gridCol w:w="14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ANNUAL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 the fiscal year ended</w:t>
            </w:r>
          </w:p>
        </w:tc>
        <w:tc>
          <w:tcPr>
            <w:tcW w:w="3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540"/>
              <w:jc w:val="center"/>
              <w:rPr>
                <w:rFonts w:ascii="Times New Roman;serif" w:hAnsi="Times New Roman;serif"/>
                <w:b w:val="false"/>
                <w:color w:val="000000"/>
                <w:sz w:val="19"/>
              </w:rPr>
            </w:pPr>
            <w:r>
              <w:rPr>
                <w:rFonts w:ascii="Times New Roman;serif" w:hAnsi="Times New Roman;serif"/>
                <w:b w:val="false"/>
                <w:color w:val="000000"/>
                <w:sz w:val="19"/>
              </w:rPr>
              <w:t>or</w:t>
            </w:r>
          </w:p>
        </w:tc>
        <w:tc>
          <w:tcPr>
            <w:tcW w:w="3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 the transition period from __________________________________to __________________________________</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Commission file number</w:t>
            </w:r>
          </w:p>
        </w:tc>
        <w:tc>
          <w:tcPr>
            <w:tcW w:w="3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001-36504</w:t>
            </w:r>
          </w:p>
        </w:tc>
        <w:tc>
          <w:tcPr>
            <w:tcW w:w="3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center"/>
        <w:rPr>
          <w:rFonts w:ascii="Times New Roman;serif" w:hAnsi="Times New Roman;serif"/>
          <w:b/>
          <w:color w:val="000000"/>
          <w:sz w:val="32"/>
        </w:rPr>
      </w:pPr>
      <w:r>
        <w:rPr>
          <w:rFonts w:ascii="Times New Roman;serif" w:hAnsi="Times New Roman;serif"/>
          <w:b/>
          <w:color w:val="000000"/>
          <w:sz w:val="32"/>
        </w:rPr>
        <w:t xml:space="preserve">Weatherford International plc </w:t>
      </w:r>
    </w:p>
    <w:p>
      <w:pPr>
        <w:pStyle w:val="TextBody"/>
        <w:bidi w:val="0"/>
        <w:spacing w:lineRule="auto" w:line="333" w:before="0" w:after="10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555" w:type="dxa"/>
        <w:jc w:val="left"/>
        <w:tblInd w:w="0" w:type="dxa"/>
        <w:tblLayout w:type="fixed"/>
        <w:tblCellMar>
          <w:top w:w="28" w:type="dxa"/>
          <w:left w:w="28" w:type="dxa"/>
          <w:bottom w:w="28" w:type="dxa"/>
          <w:right w:w="28" w:type="dxa"/>
        </w:tblCellMar>
      </w:tblPr>
      <w:tblGrid>
        <w:gridCol w:w="703"/>
        <w:gridCol w:w="616"/>
        <w:gridCol w:w="616"/>
        <w:gridCol w:w="540"/>
        <w:gridCol w:w="540"/>
        <w:gridCol w:w="540"/>
        <w:gridCol w:w="540"/>
        <w:gridCol w:w="540"/>
        <w:gridCol w:w="564"/>
        <w:gridCol w:w="109"/>
        <w:gridCol w:w="109"/>
        <w:gridCol w:w="109"/>
        <w:gridCol w:w="884"/>
        <w:gridCol w:w="884"/>
        <w:gridCol w:w="1261"/>
      </w:tblGrid>
      <w:tr>
        <w:trPr/>
        <w:tc>
          <w:tcPr>
            <w:tcW w:w="703"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5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98-0606750</w:t>
            </w:r>
          </w:p>
        </w:tc>
      </w:tr>
      <w:tr>
        <w:trPr/>
        <w:tc>
          <w:tcPr>
            <w:tcW w:w="5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2000 St. James Place,</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Houston,</w:t>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77056</w:t>
            </w:r>
          </w:p>
        </w:tc>
      </w:tr>
      <w:tr>
        <w:trPr/>
        <w:tc>
          <w:tcPr>
            <w:tcW w:w="5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333" w:before="12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713.836.4000 </w:t>
      </w:r>
    </w:p>
    <w:p>
      <w:pPr>
        <w:pStyle w:val="TextBody"/>
        <w:bidi w:val="0"/>
        <w:spacing w:lineRule="auto" w:line="333" w:before="0" w:after="10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99" w:type="dxa"/>
        <w:jc w:val="left"/>
        <w:tblInd w:w="0" w:type="dxa"/>
        <w:tblLayout w:type="fixed"/>
        <w:tblCellMar>
          <w:top w:w="28" w:type="dxa"/>
          <w:left w:w="28" w:type="dxa"/>
          <w:bottom w:w="28" w:type="dxa"/>
          <w:right w:w="28" w:type="dxa"/>
        </w:tblCellMar>
      </w:tblPr>
      <w:tblGrid>
        <w:gridCol w:w="1304"/>
        <w:gridCol w:w="1141"/>
        <w:gridCol w:w="1155"/>
        <w:gridCol w:w="564"/>
        <w:gridCol w:w="564"/>
        <w:gridCol w:w="566"/>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55" w:after="30"/>
              <w:jc w:val="center"/>
              <w:rPr>
                <w:rFonts w:ascii="Times New Roman;serif" w:hAnsi="Times New Roman;serif"/>
                <w:b w:val="false"/>
                <w:color w:val="000000"/>
                <w:sz w:val="20"/>
              </w:rPr>
            </w:pPr>
            <w:r>
              <w:rPr>
                <w:rFonts w:ascii="Times New Roman;serif" w:hAnsi="Times New Roman;serif"/>
                <w:b w:val="false"/>
                <w:color w:val="000000"/>
                <w:sz w:val="20"/>
              </w:rPr>
              <w:t>Ordinary shares, $0.001 par value per share</w:t>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WFRD</w:t>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55" w:after="30"/>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333" w:before="0" w:after="6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12(g) of the Act: None</w:t>
      </w:r>
    </w:p>
    <w:p>
      <w:pPr>
        <w:pStyle w:val="TextBody"/>
        <w:bidi w:val="0"/>
        <w:spacing w:lineRule="auto" w:line="333" w:before="0" w:after="0"/>
        <w:jc w:val="both"/>
        <w:rPr/>
      </w:pPr>
      <w:r>
        <w:rPr>
          <w:rFonts w:ascii="Times New Roman;serif" w:hAnsi="Times New Roman;serif"/>
          <w:b w:val="false"/>
          <w:color w:val="000000"/>
          <w:sz w:val="20"/>
        </w:rPr>
        <w:t xml:space="preserve">Indicate by check mark if the registrant is a well-known seasoned issuer, as defined in Rule 405 of the Securities Act.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333" w:before="0" w:after="0"/>
        <w:jc w:val="both"/>
        <w:rPr/>
      </w:pPr>
      <w:r>
        <w:rPr>
          <w:rFonts w:ascii="Times New Roman;serif" w:hAnsi="Times New Roman;serif"/>
          <w:b w:val="false"/>
          <w:color w:val="000000"/>
          <w:sz w:val="20"/>
        </w:rPr>
        <w:t xml:space="preserve">Indicate by check mark if the registrant is not required to file reports pursuant to Section 13 or Section 15(d) of the Act.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333" w:before="0" w:after="0"/>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333" w:before="0" w:after="0"/>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333" w:before="0" w:after="10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605"/>
        <w:gridCol w:w="532"/>
        <w:gridCol w:w="534"/>
        <w:gridCol w:w="109"/>
        <w:gridCol w:w="109"/>
        <w:gridCol w:w="109"/>
        <w:gridCol w:w="444"/>
        <w:gridCol w:w="444"/>
        <w:gridCol w:w="446"/>
        <w:gridCol w:w="109"/>
        <w:gridCol w:w="109"/>
        <w:gridCol w:w="109"/>
        <w:gridCol w:w="564"/>
        <w:gridCol w:w="564"/>
        <w:gridCol w:w="566"/>
        <w:gridCol w:w="109"/>
        <w:gridCol w:w="109"/>
        <w:gridCol w:w="109"/>
        <w:gridCol w:w="634"/>
        <w:gridCol w:w="634"/>
        <w:gridCol w:w="636"/>
        <w:gridCol w:w="109"/>
        <w:gridCol w:w="109"/>
        <w:gridCol w:w="109"/>
        <w:gridCol w:w="638"/>
        <w:gridCol w:w="638"/>
        <w:gridCol w:w="640"/>
        <w:gridCol w:w="109"/>
        <w:gridCol w:w="109"/>
        <w:gridCol w:w="160"/>
      </w:tblGrid>
      <w:tr>
        <w:trPr/>
        <w:tc>
          <w:tcPr>
            <w:tcW w:w="60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Emerging growth company</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333"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 No</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333"/>
        <w:jc w:val="both"/>
        <w:rPr/>
      </w:pPr>
      <w:r>
        <w:rPr>
          <w:rFonts w:ascii="Times New Roman;serif" w:hAnsi="Times New Roman;serif"/>
          <w:b w:val="false"/>
          <w:color w:val="000000"/>
          <w:sz w:val="20"/>
        </w:rPr>
        <w:t xml:space="preserve">Indicate by check mark whether the registrant is a shell company (as defined in Rule 12b-2 of the Act).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aggregate market value of the voting stock held by non-affiliates of the registrant as of June 30, 2025 was approximately $2.7 billion based upon the closing price on the Nasdaq Global Select Market as of such date. The registrant had 71,717,593 ordinary shares outstanding as of January 30, 2026.</w:t>
      </w:r>
    </w:p>
    <w:p>
      <w:pPr>
        <w:pStyle w:val="TextBody"/>
        <w:bidi w:val="0"/>
        <w:spacing w:before="0" w:after="0"/>
        <w:jc w:val="both"/>
        <w:rPr/>
      </w:pPr>
      <w:r>
        <w:rPr/>
      </w:r>
    </w:p>
    <w:p>
      <w:pPr>
        <w:pStyle w:val="TextBody"/>
        <w:bidi w:val="0"/>
        <w:spacing w:lineRule="auto" w:line="333" w:before="0" w:after="0"/>
        <w:jc w:val="center"/>
        <w:rPr>
          <w:rFonts w:ascii="Times New Roman;serif" w:hAnsi="Times New Roman;serif"/>
          <w:b w:val="false"/>
          <w:color w:val="000000"/>
          <w:sz w:val="19"/>
        </w:rPr>
      </w:pPr>
      <w:r>
        <w:rPr>
          <w:rFonts w:ascii="Times New Roman;serif" w:hAnsi="Times New Roman;serif"/>
          <w:b w:val="false"/>
          <w:color w:val="000000"/>
          <w:sz w:val="19"/>
        </w:rPr>
        <w:t>DOCUMENTS INCORPORATED BY REFERENCE</w:t>
      </w:r>
    </w:p>
    <w:p>
      <w:pPr>
        <w:pStyle w:val="TextBody"/>
        <w:bidi w:val="0"/>
        <w:spacing w:lineRule="auto" w:line="319" w:before="0" w:after="0"/>
        <w:jc w:val="both"/>
        <w:rPr>
          <w:rFonts w:ascii="Times New Roman;serif" w:hAnsi="Times New Roman;serif"/>
          <w:b w:val="false"/>
          <w:color w:val="000000"/>
          <w:sz w:val="20"/>
        </w:rPr>
      </w:pPr>
      <w:r>
        <w:rPr>
          <w:rFonts w:ascii="Times New Roman;serif" w:hAnsi="Times New Roman;serif"/>
          <w:b w:val="false"/>
          <w:color w:val="000000"/>
          <w:sz w:val="20"/>
        </w:rPr>
        <w:t>Certain information required to be furnished pursuant to Part III of this Form 10-K will be set forth in, and will be incorporated by reference from, Weatherford’s definitive proxy statement for the 2026 Annual General Meeting of Shareholders to be filed by Weatherford with the Securities and Exchange Commission (“SEC”) pursuant to Regulation 14A within 120 days after the registrant’s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60"/>
        <w:jc w:val="center"/>
        <w:rPr>
          <w:rFonts w:ascii="Times New Roman;serif" w:hAnsi="Times New Roman;serif"/>
          <w:b/>
          <w:color w:val="000000"/>
          <w:sz w:val="20"/>
        </w:rPr>
      </w:pPr>
      <w:r>
        <w:rPr>
          <w:rFonts w:ascii="Times New Roman;serif" w:hAnsi="Times New Roman;serif"/>
          <w:b/>
          <w:color w:val="000000"/>
          <w:sz w:val="20"/>
        </w:rPr>
        <w:t>Weatherford International plc</w:t>
      </w:r>
    </w:p>
    <w:p>
      <w:pPr>
        <w:pStyle w:val="TextBody"/>
        <w:bidi w:val="0"/>
        <w:spacing w:lineRule="auto" w:line="333" w:before="60" w:after="60"/>
        <w:jc w:val="center"/>
        <w:rPr>
          <w:rFonts w:ascii="Times New Roman;serif" w:hAnsi="Times New Roman;serif"/>
          <w:b/>
          <w:color w:val="000000"/>
          <w:sz w:val="20"/>
        </w:rPr>
      </w:pPr>
      <w:r>
        <w:rPr>
          <w:rFonts w:ascii="Times New Roman;serif" w:hAnsi="Times New Roman;serif"/>
          <w:b/>
          <w:color w:val="000000"/>
          <w:sz w:val="20"/>
        </w:rPr>
        <w:t xml:space="preserve">Form 10-K for the Year Ended December 31, 2025 </w:t>
      </w:r>
    </w:p>
    <w:p>
      <w:pPr>
        <w:pStyle w:val="TextBody"/>
        <w:bidi w:val="0"/>
        <w:spacing w:lineRule="auto" w:line="333" w:before="60" w:after="6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25"/>
        <w:gridCol w:w="285"/>
        <w:gridCol w:w="287"/>
        <w:gridCol w:w="2879"/>
        <w:gridCol w:w="2860"/>
        <w:gridCol w:w="2875"/>
        <w:gridCol w:w="202"/>
        <w:gridCol w:w="202"/>
        <w:gridCol w:w="290"/>
      </w:tblGrid>
      <w:tr>
        <w:trPr/>
        <w:tc>
          <w:tcPr>
            <w:tcW w:w="32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624ee9dc05491895f41cf713dbca93_7">
              <w:r>
                <w:rPr>
                  <w:rStyle w:val="InternetLink"/>
                  <w:rFonts w:ascii="Times New Roman;serif" w:hAnsi="Times New Roman;serif"/>
                  <w:b/>
                  <w:strike w:val="false"/>
                  <w:dstrike w:val="false"/>
                  <w:color w:val="000000"/>
                  <w:sz w:val="20"/>
                  <w:u w:val="none"/>
                  <w:effect w:val="none"/>
                </w:rPr>
                <w:t>PART I</w:t>
              </w:r>
            </w:hyperlink>
          </w:p>
        </w:tc>
        <w:tc>
          <w:tcPr>
            <w:tcW w:w="8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614" w:type="dxa"/>
            <w:gridSpan w:val="3"/>
            <w:tcBorders/>
            <w:shd w:fill="CCEE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Business</w:t>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614"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1B</w:t>
            </w:r>
          </w:p>
        </w:tc>
        <w:tc>
          <w:tcPr>
            <w:tcW w:w="8614" w:type="dxa"/>
            <w:gridSpan w:val="3"/>
            <w:tcBorders/>
            <w:shd w:fill="CCEE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Unresolved Staff Comments</w:t>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1C</w:t>
            </w:r>
          </w:p>
        </w:tc>
        <w:tc>
          <w:tcPr>
            <w:tcW w:w="8614"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Cybersecurity</w:t>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614" w:type="dxa"/>
            <w:gridSpan w:val="3"/>
            <w:tcBorders/>
            <w:shd w:fill="CCEE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Properties</w:t>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614"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Legal Proceedings</w:t>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614" w:type="dxa"/>
            <w:gridSpan w:val="3"/>
            <w:tcBorders/>
            <w:shd w:fill="CCEE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Mine Safety Disclosures</w:t>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1624ee9dc05491895f41cf713dbca93_46">
              <w:r>
                <w:rPr>
                  <w:rStyle w:val="InternetLink"/>
                  <w:rFonts w:ascii="Times New Roman;serif" w:hAnsi="Times New Roman;serif"/>
                  <w:b/>
                  <w:strike w:val="false"/>
                  <w:dstrike w:val="false"/>
                  <w:color w:val="000000"/>
                  <w:sz w:val="20"/>
                  <w:u w:val="none"/>
                  <w:effect w:val="none"/>
                </w:rPr>
                <w:t>PART II</w:t>
              </w:r>
            </w:hyperlink>
          </w:p>
        </w:tc>
        <w:tc>
          <w:tcPr>
            <w:tcW w:w="8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614"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Market for Registrant's Common Equity, Related Shareholder Matters and Issuer Purchases of Equity Securities</w:t>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614" w:type="dxa"/>
            <w:gridSpan w:val="3"/>
            <w:tcBorders/>
            <w:shd w:fill="CCEE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[Reserved]</w:t>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w:t>
            </w:r>
          </w:p>
        </w:tc>
        <w:tc>
          <w:tcPr>
            <w:tcW w:w="8614"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w:t>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shd w:fill="CCEE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Financial Results Overview</w:t>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r>
      <w:tr>
        <w:trPr/>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Business Outlook</w:t>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r>
      <w:tr>
        <w:trPr/>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shd w:fill="CCEE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Liquidity and Capital Resources</w:t>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r>
      <w:tr>
        <w:trPr/>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1624ee9dc05491895f41cf713dbca93_115">
              <w:r>
                <w:rPr>
                  <w:rStyle w:val="InternetLink"/>
                  <w:rFonts w:ascii="Times New Roman;serif" w:hAnsi="Times New Roman;serif"/>
                  <w:b w:val="false"/>
                  <w:strike w:val="false"/>
                  <w:dstrike w:val="false"/>
                  <w:color w:val="000000"/>
                  <w:sz w:val="20"/>
                  <w:u w:val="none"/>
                  <w:effect w:val="none"/>
                </w:rPr>
                <w:t>Critical Accounting Estimates</w:t>
              </w:r>
            </w:hyperlink>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r>
      <w:tr>
        <w:trPr/>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7A</w:t>
            </w:r>
          </w:p>
        </w:tc>
        <w:tc>
          <w:tcPr>
            <w:tcW w:w="8614" w:type="dxa"/>
            <w:gridSpan w:val="3"/>
            <w:tcBorders/>
            <w:shd w:fill="CCEE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Quantitative and Qualitative Disclosures About Market Risk</w:t>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8</w:t>
            </w:r>
          </w:p>
        </w:tc>
        <w:tc>
          <w:tcPr>
            <w:tcW w:w="8614"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Financial Statements and Supplementary Data</w:t>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1624ee9dc05491895f41cf713dbca93_133">
              <w:r>
                <w:rPr>
                  <w:rStyle w:val="InternetLink"/>
                  <w:rFonts w:ascii="Times New Roman;serif" w:hAnsi="Times New Roman;serif"/>
                  <w:b w:val="false"/>
                  <w:strike w:val="false"/>
                  <w:dstrike w:val="false"/>
                  <w:color w:val="000000"/>
                  <w:sz w:val="20"/>
                  <w:u w:val="none"/>
                  <w:effect w:val="none"/>
                </w:rPr>
                <w:t>42</w:t>
              </w:r>
            </w:hyperlink>
          </w:p>
        </w:tc>
      </w:tr>
      <w:tr>
        <w:trPr/>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w:t>
            </w:r>
          </w:p>
        </w:tc>
        <w:tc>
          <w:tcPr>
            <w:tcW w:w="8614" w:type="dxa"/>
            <w:gridSpan w:val="3"/>
            <w:tcBorders/>
            <w:shd w:fill="CCEE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and Disagreements with Accountants on Accounting and Financial Disclosure</w:t>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1624ee9dc05491895f41cf713dbca93_217">
              <w:r>
                <w:rPr>
                  <w:rStyle w:val="InternetLink"/>
                  <w:rFonts w:ascii="Times New Roman;serif" w:hAnsi="Times New Roman;serif"/>
                  <w:b w:val="false"/>
                  <w:strike w:val="false"/>
                  <w:dstrike w:val="false"/>
                  <w:color w:val="000000"/>
                  <w:sz w:val="20"/>
                  <w:u w:val="none"/>
                  <w:effect w:val="none"/>
                </w:rPr>
                <w:t>85</w:t>
              </w:r>
            </w:hyperlink>
          </w:p>
        </w:tc>
      </w:tr>
      <w:tr>
        <w:trPr/>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9A</w:t>
            </w:r>
          </w:p>
        </w:tc>
        <w:tc>
          <w:tcPr>
            <w:tcW w:w="8614"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Controls and Procedures</w:t>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1624ee9dc05491895f41cf713dbca93_220">
              <w:r>
                <w:rPr>
                  <w:rStyle w:val="InternetLink"/>
                  <w:rFonts w:ascii="Times New Roman;serif" w:hAnsi="Times New Roman;serif"/>
                  <w:b w:val="false"/>
                  <w:strike w:val="false"/>
                  <w:dstrike w:val="false"/>
                  <w:color w:val="000000"/>
                  <w:sz w:val="20"/>
                  <w:u w:val="none"/>
                  <w:effect w:val="none"/>
                </w:rPr>
                <w:t>85</w:t>
              </w:r>
            </w:hyperlink>
          </w:p>
        </w:tc>
      </w:tr>
      <w:tr>
        <w:trPr/>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9B</w:t>
            </w:r>
          </w:p>
        </w:tc>
        <w:tc>
          <w:tcPr>
            <w:tcW w:w="8614" w:type="dxa"/>
            <w:gridSpan w:val="3"/>
            <w:tcBorders/>
            <w:shd w:fill="CCEE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1624ee9dc05491895f41cf713dbca93_223">
              <w:r>
                <w:rPr>
                  <w:rStyle w:val="InternetLink"/>
                  <w:rFonts w:ascii="Times New Roman;serif" w:hAnsi="Times New Roman;serif"/>
                  <w:b w:val="false"/>
                  <w:strike w:val="false"/>
                  <w:dstrike w:val="false"/>
                  <w:color w:val="000000"/>
                  <w:sz w:val="20"/>
                  <w:u w:val="none"/>
                  <w:effect w:val="none"/>
                </w:rPr>
                <w:t>85</w:t>
              </w:r>
            </w:hyperlink>
          </w:p>
        </w:tc>
      </w:tr>
      <w:tr>
        <w:trPr/>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9C</w:t>
            </w:r>
          </w:p>
        </w:tc>
        <w:tc>
          <w:tcPr>
            <w:tcW w:w="8614"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Disclosure Regarding Foreign Jurisdictions that Prevent Inspections</w:t>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1624ee9dc05491895f41cf713dbca93_226">
              <w:r>
                <w:rPr>
                  <w:rStyle w:val="InternetLink"/>
                  <w:rFonts w:ascii="Times New Roman;serif" w:hAnsi="Times New Roman;serif"/>
                  <w:b w:val="false"/>
                  <w:strike w:val="false"/>
                  <w:dstrike w:val="false"/>
                  <w:color w:val="000000"/>
                  <w:sz w:val="20"/>
                  <w:u w:val="none"/>
                  <w:effect w:val="none"/>
                </w:rPr>
                <w:t>86</w:t>
              </w:r>
            </w:hyperlink>
          </w:p>
        </w:tc>
      </w:tr>
      <w:tr>
        <w:trPr/>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1624ee9dc05491895f41cf713dbca93_229">
              <w:r>
                <w:rPr>
                  <w:rStyle w:val="InternetLink"/>
                  <w:rFonts w:ascii="Times New Roman;serif" w:hAnsi="Times New Roman;serif"/>
                  <w:b/>
                  <w:strike w:val="false"/>
                  <w:dstrike w:val="false"/>
                  <w:color w:val="000000"/>
                  <w:sz w:val="20"/>
                  <w:u w:val="none"/>
                  <w:effect w:val="none"/>
                </w:rPr>
                <w:t>PART III</w:t>
              </w:r>
            </w:hyperlink>
          </w:p>
        </w:tc>
        <w:tc>
          <w:tcPr>
            <w:tcW w:w="8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10</w:t>
            </w:r>
          </w:p>
        </w:tc>
        <w:tc>
          <w:tcPr>
            <w:tcW w:w="8614" w:type="dxa"/>
            <w:gridSpan w:val="3"/>
            <w:tcBorders/>
            <w:shd w:fill="CCEE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Directors, Executive Officers and Corporate Governance</w:t>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1624ee9dc05491895f41cf713dbca93_232">
              <w:r>
                <w:rPr>
                  <w:rStyle w:val="InternetLink"/>
                  <w:rFonts w:ascii="Times New Roman;serif" w:hAnsi="Times New Roman;serif"/>
                  <w:b w:val="false"/>
                  <w:strike w:val="false"/>
                  <w:dstrike w:val="false"/>
                  <w:color w:val="000000"/>
                  <w:sz w:val="20"/>
                  <w:u w:val="none"/>
                  <w:effect w:val="none"/>
                </w:rPr>
                <w:t>86</w:t>
              </w:r>
            </w:hyperlink>
          </w:p>
        </w:tc>
      </w:tr>
      <w:tr>
        <w:trPr/>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11</w:t>
            </w:r>
          </w:p>
        </w:tc>
        <w:tc>
          <w:tcPr>
            <w:tcW w:w="8614"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Executive Compensation</w:t>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1624ee9dc05491895f41cf713dbca93_235">
              <w:r>
                <w:rPr>
                  <w:rStyle w:val="InternetLink"/>
                  <w:rFonts w:ascii="Times New Roman;serif" w:hAnsi="Times New Roman;serif"/>
                  <w:b w:val="false"/>
                  <w:strike w:val="false"/>
                  <w:dstrike w:val="false"/>
                  <w:color w:val="000000"/>
                  <w:sz w:val="20"/>
                  <w:u w:val="none"/>
                  <w:effect w:val="none"/>
                </w:rPr>
                <w:t>86</w:t>
              </w:r>
            </w:hyperlink>
          </w:p>
        </w:tc>
      </w:tr>
      <w:tr>
        <w:trPr/>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12</w:t>
            </w:r>
          </w:p>
        </w:tc>
        <w:tc>
          <w:tcPr>
            <w:tcW w:w="8614" w:type="dxa"/>
            <w:gridSpan w:val="3"/>
            <w:tcBorders/>
            <w:shd w:fill="CCEE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Security Ownership of Certain Beneficial Owners and Management and Related Stockholder Matters</w:t>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1624ee9dc05491895f41cf713dbca93_238">
              <w:r>
                <w:rPr>
                  <w:rStyle w:val="InternetLink"/>
                  <w:rFonts w:ascii="Times New Roman;serif" w:hAnsi="Times New Roman;serif"/>
                  <w:b w:val="false"/>
                  <w:strike w:val="false"/>
                  <w:dstrike w:val="false"/>
                  <w:color w:val="000000"/>
                  <w:sz w:val="20"/>
                  <w:u w:val="none"/>
                  <w:effect w:val="none"/>
                </w:rPr>
                <w:t>86</w:t>
              </w:r>
            </w:hyperlink>
          </w:p>
        </w:tc>
      </w:tr>
      <w:tr>
        <w:trPr/>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13</w:t>
            </w:r>
          </w:p>
        </w:tc>
        <w:tc>
          <w:tcPr>
            <w:tcW w:w="8614"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Certain Relationships and Related Transactions, and Director Independence</w:t>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1624ee9dc05491895f41cf713dbca93_241">
              <w:r>
                <w:rPr>
                  <w:rStyle w:val="InternetLink"/>
                  <w:rFonts w:ascii="Times New Roman;serif" w:hAnsi="Times New Roman;serif"/>
                  <w:b w:val="false"/>
                  <w:strike w:val="false"/>
                  <w:dstrike w:val="false"/>
                  <w:color w:val="000000"/>
                  <w:sz w:val="20"/>
                  <w:u w:val="none"/>
                  <w:effect w:val="none"/>
                </w:rPr>
                <w:t>87</w:t>
              </w:r>
            </w:hyperlink>
          </w:p>
        </w:tc>
      </w:tr>
      <w:tr>
        <w:trPr/>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14</w:t>
            </w:r>
          </w:p>
        </w:tc>
        <w:tc>
          <w:tcPr>
            <w:tcW w:w="8614" w:type="dxa"/>
            <w:gridSpan w:val="3"/>
            <w:tcBorders/>
            <w:shd w:fill="CCEE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Principal Accounting Fees and Services</w:t>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1624ee9dc05491895f41cf713dbca93_244">
              <w:r>
                <w:rPr>
                  <w:rStyle w:val="InternetLink"/>
                  <w:rFonts w:ascii="Times New Roman;serif" w:hAnsi="Times New Roman;serif"/>
                  <w:b w:val="false"/>
                  <w:strike w:val="false"/>
                  <w:dstrike w:val="false"/>
                  <w:color w:val="000000"/>
                  <w:sz w:val="20"/>
                  <w:u w:val="none"/>
                  <w:effect w:val="none"/>
                </w:rPr>
                <w:t>87</w:t>
              </w:r>
            </w:hyperlink>
          </w:p>
        </w:tc>
      </w:tr>
      <w:tr>
        <w:trPr/>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1624ee9dc05491895f41cf713dbca93_247">
              <w:r>
                <w:rPr>
                  <w:rStyle w:val="InternetLink"/>
                  <w:rFonts w:ascii="Times New Roman;serif" w:hAnsi="Times New Roman;serif"/>
                  <w:b/>
                  <w:strike w:val="false"/>
                  <w:dstrike w:val="false"/>
                  <w:color w:val="000000"/>
                  <w:sz w:val="20"/>
                  <w:u w:val="none"/>
                  <w:effect w:val="none"/>
                </w:rPr>
                <w:t>PART IV</w:t>
              </w:r>
            </w:hyperlink>
          </w:p>
        </w:tc>
        <w:tc>
          <w:tcPr>
            <w:tcW w:w="8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15</w:t>
            </w:r>
          </w:p>
        </w:tc>
        <w:tc>
          <w:tcPr>
            <w:tcW w:w="8614"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Exhibits and Financial Statement Schedules</w:t>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1624ee9dc05491895f41cf713dbca93_250">
              <w:r>
                <w:rPr>
                  <w:rStyle w:val="InternetLink"/>
                  <w:rFonts w:ascii="Times New Roman;serif" w:hAnsi="Times New Roman;serif"/>
                  <w:b w:val="false"/>
                  <w:strike w:val="false"/>
                  <w:dstrike w:val="false"/>
                  <w:color w:val="000000"/>
                  <w:sz w:val="20"/>
                  <w:u w:val="none"/>
                  <w:effect w:val="none"/>
                </w:rPr>
                <w:t>87</w:t>
              </w:r>
            </w:hyperlink>
          </w:p>
        </w:tc>
      </w:tr>
      <w:tr>
        <w:trPr/>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16</w:t>
            </w:r>
          </w:p>
        </w:tc>
        <w:tc>
          <w:tcPr>
            <w:tcW w:w="8614" w:type="dxa"/>
            <w:gridSpan w:val="3"/>
            <w:tcBorders/>
            <w:shd w:fill="CCEEFF" w:val="clear"/>
            <w:tcMar>
              <w:top w:w="0" w:type="dxa"/>
              <w:left w:w="0" w:type="dxa"/>
              <w:bottom w:w="0" w:type="dxa"/>
              <w:right w:w="0" w:type="dxa"/>
            </w:tcMar>
            <w:vAlign w:val="center"/>
          </w:tcPr>
          <w:p>
            <w:pPr>
              <w:pStyle w:val="TableContents"/>
              <w:bidi w:val="0"/>
              <w:spacing w:lineRule="auto" w:line="333" w:before="75" w:after="30"/>
              <w:jc w:val="both"/>
              <w:rPr>
                <w:rFonts w:ascii="Times New Roman;serif" w:hAnsi="Times New Roman;serif"/>
                <w:b w:val="false"/>
                <w:color w:val="000000"/>
                <w:sz w:val="20"/>
              </w:rPr>
            </w:pPr>
            <w:r>
              <w:rPr>
                <w:rFonts w:ascii="Times New Roman;serif" w:hAnsi="Times New Roman;serif"/>
                <w:b w:val="false"/>
                <w:color w:val="000000"/>
                <w:sz w:val="20"/>
              </w:rPr>
              <w:t>Form 10-K Summary</w:t>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1624ee9dc05491895f41cf713dbca93_253">
              <w:r>
                <w:rPr>
                  <w:rStyle w:val="InternetLink"/>
                  <w:rFonts w:ascii="Times New Roman;serif" w:hAnsi="Times New Roman;serif"/>
                  <w:b w:val="false"/>
                  <w:strike w:val="false"/>
                  <w:dstrike w:val="false"/>
                  <w:color w:val="000000"/>
                  <w:sz w:val="20"/>
                  <w:u w:val="none"/>
                  <w:effect w:val="none"/>
                </w:rPr>
                <w:t>93</w:t>
              </w:r>
            </w:hyperlink>
          </w:p>
        </w:tc>
      </w:tr>
      <w:tr>
        <w:trPr/>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SIGNATURES</w:t>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1624ee9dc05491895f41cf713dbca93_256">
              <w:r>
                <w:rPr>
                  <w:rStyle w:val="InternetLink"/>
                  <w:rFonts w:ascii="Times New Roman;serif" w:hAnsi="Times New Roman;serif"/>
                  <w:b w:val="false"/>
                  <w:strike w:val="false"/>
                  <w:dstrike w:val="false"/>
                  <w:color w:val="000000"/>
                  <w:sz w:val="20"/>
                  <w:u w:val="none"/>
                  <w:effect w:val="none"/>
                </w:rPr>
                <w:t>94</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1</w:t>
                      </w:r>
                    </w:p>
                  </w:txbxContent>
                </v:textbox>
                <w10:wrap type="none"/>
              </v:rect>
            </w:pict>
          </mc:Fallback>
        </mc:AlternateContent>
      </w:r>
    </w:p>
    <w:p>
      <w:pPr>
        <w:pStyle w:val="TextBody"/>
        <w:bidi w:val="0"/>
        <w:spacing w:lineRule="auto" w:line="333" w:before="60" w:after="283"/>
        <w:jc w:val="left"/>
        <w:rPr>
          <w:color w:val="000000"/>
        </w:rPr>
      </w:pPr>
      <w:r>
        <w:rPr>
          <w:color w:val="000000"/>
        </w:rPr>
        <w:t>    </w:t>
      </w:r>
      <w:r>
        <w:rPr>
          <w:rFonts w:ascii="Times New Roman;serif" w:hAnsi="Times New Roman;serif"/>
          <w:b w:val="false"/>
          <w:color w:val="000000"/>
          <w:sz w:val="20"/>
        </w:rPr>
        <w:t>Item 1 | Business</w:t>
      </w:r>
    </w:p>
    <w:p>
      <w:pPr>
        <w:pStyle w:val="TextBody"/>
        <w:bidi w:val="0"/>
        <w:spacing w:lineRule="auto" w:line="333" w:before="0" w:after="6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color w:val="000000"/>
          <w:sz w:val="20"/>
        </w:rPr>
        <w:t>Item 1. Business.</w:t>
      </w:r>
      <w:r>
        <w:rPr>
          <w:color w:val="000000"/>
        </w:rPr>
        <w:t xml:space="preserve"> </w:t>
      </w:r>
    </w:p>
    <w:p>
      <w:pPr>
        <w:pStyle w:val="TextBody"/>
        <w:bidi w:val="0"/>
        <w:spacing w:before="0" w:after="0"/>
        <w:jc w:val="left"/>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Weatherford International plc, an Irish public limited company, together with its subsidiaries (“Weatherford,” the “Company,” “we,” “us” and “our”), is a leading global energy services company providing equipment and services used in the drilling, evaluation, well construction, completion, production, intervention, and responsible abandonment of wells in the oil and natural gas exploration and production industry as well as new energy platforms. </w:t>
      </w:r>
    </w:p>
    <w:p>
      <w:pPr>
        <w:pStyle w:val="TextBody"/>
        <w:bidi w:val="0"/>
        <w:spacing w:lineRule="auto" w:line="333" w:before="0" w:after="0"/>
        <w:ind w:left="0" w:right="0" w:firstLine="360"/>
        <w:jc w:val="both"/>
        <w:rPr>
          <w:color w:val="000000"/>
        </w:rPr>
      </w:pPr>
      <w:r>
        <w:rPr>
          <w:color w:val="000000"/>
        </w:rPr>
        <w:t> </w:t>
      </w:r>
    </w:p>
    <w:p>
      <w:pPr>
        <w:pStyle w:val="TextBody"/>
        <w:bidi w:val="0"/>
        <w:spacing w:lineRule="auto" w:line="312" w:before="0" w:after="0"/>
        <w:ind w:left="0" w:right="0" w:firstLine="360"/>
        <w:jc w:val="both"/>
        <w:rPr/>
      </w:pPr>
      <w:r>
        <w:rPr>
          <w:rFonts w:ascii="Times New Roman;serif" w:hAnsi="Times New Roman;serif"/>
          <w:b w:val="false"/>
          <w:color w:val="000000"/>
          <w:sz w:val="20"/>
        </w:rPr>
        <w:t>We conduct business in approximately 75 countries, answering the challenges of the energy industry with approximately 305 operating locations including manufacturing, research and development, service, and training facilities. Our operational performance is reviewed and managed across the life cycle of the well,</w:t>
      </w:r>
      <w:r>
        <w:rPr>
          <w:color w:val="000000"/>
        </w:rPr>
        <w:t xml:space="preserve"> </w:t>
      </w:r>
      <w:r>
        <w:rPr>
          <w:rFonts w:ascii="Times New Roman;serif" w:hAnsi="Times New Roman;serif"/>
          <w:b w:val="false"/>
          <w:color w:val="000000"/>
          <w:sz w:val="20"/>
        </w:rPr>
        <w:t>and we report in three segments (1) Drilling and Evaluation, (2) Well Construction and Completions, and (3) Production and Intervention.</w:t>
      </w:r>
    </w:p>
    <w:p>
      <w:pPr>
        <w:pStyle w:val="TextBody"/>
        <w:bidi w:val="0"/>
        <w:spacing w:before="0" w:after="0"/>
        <w:ind w:left="0" w:right="0" w:firstLine="360"/>
        <w:jc w:val="both"/>
        <w:rPr/>
      </w:pPr>
      <w:r>
        <w:rPr/>
      </w:r>
    </w:p>
    <w:p>
      <w:pPr>
        <w:pStyle w:val="TextBody"/>
        <w:bidi w:val="0"/>
        <w:spacing w:lineRule="auto" w:line="319"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principal executive offices are located at 2000 St. James Place, Houston, Texas 77056, and our telephone number at that location is +1.713.836.4000. Our internet address is www.weatherford.com. General information about us, including our corporate governance policies, code of business conduct and charters for the committees of our Board of Directors, can be found on our website, and such information provided on our website, is not incorporated by reference into this Form 10-K. On our website we make available, free of charge, our annual reports on Form 10-K, quarterly reports on Form 10-Q, current reports on Form 8-K, proxy statements and amendments to those reports filed or furnished as soon as reasonably practicable after we electronically file or furnish them to the Securities and Exchange Commission (“SEC”). The SEC maintains a website that contains our reports, proxy and information statements, and our other SEC filings. The address of that site is www.sec.gov. </w:t>
      </w:r>
    </w:p>
    <w:p>
      <w:pPr>
        <w:pStyle w:val="TextBody"/>
        <w:bidi w:val="0"/>
        <w:spacing w:before="0" w:after="0"/>
        <w:ind w:left="0" w:right="0" w:firstLine="360"/>
        <w:jc w:val="both"/>
        <w:rPr/>
      </w:pPr>
      <w:r>
        <w:rPr/>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 xml:space="preserve">Strategy </w:t>
      </w:r>
    </w:p>
    <w:p>
      <w:pPr>
        <w:pStyle w:val="TextBody"/>
        <w:bidi w:val="0"/>
        <w:spacing w:lineRule="auto" w:line="333" w:before="0" w:after="0"/>
        <w:jc w:val="left"/>
        <w:rPr>
          <w:color w:val="000000"/>
        </w:rPr>
      </w:pPr>
      <w:r>
        <w:rPr>
          <w:color w:val="000000"/>
        </w:rPr>
        <w:t> </w:t>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objective is to create value for our shareholders across industry cycles by ensuring sustainable profitability and cash flow generation. We aim to accomplish this goal with a comprehensive suite of products and services, differentiated technologies, strong customer focus, operational rigor, disciplined capital management, and a commitment to safety and operational efficiency.</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customers’ objectives are continually evolving and are currently focused on disciplined capital and operational expenditures, generating investor and shareholder returns, reducing emissions, participating in the energy transition, and enhancing safety. We have aligned our technology development, capital spending and operations around these objectives and expanded our role as a market leading provider of solutions that assist our customers in addressing their key operational challenges, not just in conventional reservoirs but also in mature fields, unconventionals, offshore, and in digitalization and automation.</w:t>
      </w:r>
    </w:p>
    <w:p>
      <w:pPr>
        <w:pStyle w:val="TextBody"/>
        <w:bidi w:val="0"/>
        <w:spacing w:before="0" w:after="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focus is on the deployment of our five strategic priorities of:</w:t>
      </w:r>
    </w:p>
    <w:p>
      <w:pPr>
        <w:pStyle w:val="TextBody"/>
        <w:bidi w:val="0"/>
        <w:spacing w:lineRule="auto" w:line="333" w:before="0" w:after="0"/>
        <w:ind w:left="0" w:right="0" w:hanging="720"/>
        <w:jc w:val="both"/>
        <w:rPr/>
      </w:pPr>
      <w:r>
        <w:rPr>
          <w:color w:val="000000"/>
        </w:rPr>
        <w:t>•</w:t>
      </w:r>
      <w:r>
        <w:rPr>
          <w:rFonts w:ascii="Times New Roman;serif" w:hAnsi="Times New Roman;serif"/>
          <w:b w:val="false"/>
          <w:i/>
          <w:color w:val="000000"/>
          <w:sz w:val="20"/>
        </w:rPr>
        <w:t xml:space="preserve">Customer Experience </w:t>
      </w:r>
      <w:r>
        <w:rPr>
          <w:rFonts w:ascii="Times New Roman;serif" w:hAnsi="Times New Roman;serif"/>
          <w:b w:val="false"/>
          <w:color w:val="000000"/>
          <w:sz w:val="20"/>
        </w:rPr>
        <w:t>enhancement by directly addressing customer needs of improved efficiency, value creation and safety;</w:t>
      </w:r>
    </w:p>
    <w:p>
      <w:pPr>
        <w:pStyle w:val="TextBody"/>
        <w:bidi w:val="0"/>
        <w:spacing w:lineRule="auto" w:line="333" w:before="0" w:after="0"/>
        <w:jc w:val="both"/>
        <w:rPr/>
      </w:pPr>
      <w:r>
        <w:rPr>
          <w:color w:val="000000"/>
        </w:rPr>
        <w:t>•</w:t>
      </w:r>
      <w:r>
        <w:rPr>
          <w:rFonts w:ascii="Times New Roman;serif" w:hAnsi="Times New Roman;serif"/>
          <w:b w:val="false"/>
          <w:i/>
          <w:color w:val="000000"/>
          <w:sz w:val="20"/>
        </w:rPr>
        <w:t xml:space="preserve">Creating the Future </w:t>
      </w:r>
      <w:r>
        <w:rPr>
          <w:rFonts w:ascii="Times New Roman;serif" w:hAnsi="Times New Roman;serif"/>
          <w:b w:val="false"/>
          <w:color w:val="000000"/>
          <w:sz w:val="20"/>
        </w:rPr>
        <w:t xml:space="preserve">through continued investment in research and development and building our Digital &amp; New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Energy portfolio and capabilities; </w:t>
      </w:r>
    </w:p>
    <w:p>
      <w:pPr>
        <w:pStyle w:val="TextBody"/>
        <w:bidi w:val="0"/>
        <w:spacing w:lineRule="auto" w:line="333" w:before="0" w:after="0"/>
        <w:jc w:val="both"/>
        <w:rPr/>
      </w:pPr>
      <w:r>
        <w:rPr>
          <w:color w:val="000000"/>
        </w:rPr>
        <w:t>•</w:t>
      </w:r>
      <w:r>
        <w:rPr>
          <w:rFonts w:ascii="Times New Roman;serif" w:hAnsi="Times New Roman;serif"/>
          <w:b w:val="false"/>
          <w:i/>
          <w:color w:val="000000"/>
          <w:sz w:val="20"/>
        </w:rPr>
        <w:t>Organizational Vitality</w:t>
      </w:r>
      <w:r>
        <w:rPr>
          <w:color w:val="000000"/>
        </w:rPr>
        <w:t xml:space="preserve"> </w:t>
      </w:r>
      <w:r>
        <w:rPr>
          <w:rFonts w:ascii="Times New Roman;serif" w:hAnsi="Times New Roman;serif"/>
          <w:b w:val="false"/>
          <w:color w:val="000000"/>
          <w:sz w:val="20"/>
        </w:rPr>
        <w:t>to harness employee engagement, attract and retain talent, develop our people and         </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increase leadership effectiveness; </w:t>
      </w:r>
    </w:p>
    <w:p>
      <w:pPr>
        <w:pStyle w:val="TextBody"/>
        <w:bidi w:val="0"/>
        <w:spacing w:lineRule="auto" w:line="333" w:before="0" w:after="0"/>
        <w:jc w:val="both"/>
        <w:rPr/>
      </w:pPr>
      <w:r>
        <w:rPr>
          <w:color w:val="000000"/>
        </w:rPr>
        <w:t>•</w:t>
      </w:r>
      <w:r>
        <w:rPr>
          <w:rFonts w:ascii="Times New Roman;serif" w:hAnsi="Times New Roman;serif"/>
          <w:b w:val="false"/>
          <w:i/>
          <w:color w:val="000000"/>
          <w:sz w:val="20"/>
        </w:rPr>
        <w:t>Lean Operations</w:t>
      </w:r>
      <w:r>
        <w:rPr>
          <w:color w:val="000000"/>
        </w:rPr>
        <w:t xml:space="preserve"> </w:t>
      </w:r>
      <w:r>
        <w:rPr>
          <w:rFonts w:ascii="Times New Roman;serif" w:hAnsi="Times New Roman;serif"/>
          <w:b w:val="false"/>
          <w:color w:val="000000"/>
          <w:sz w:val="20"/>
        </w:rPr>
        <w:t xml:space="preserve">to simplify and drive waste out of the business for increased productivity, quality and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improved service levels; and</w:t>
      </w:r>
    </w:p>
    <w:p>
      <w:pPr>
        <w:pStyle w:val="TextBody"/>
        <w:bidi w:val="0"/>
        <w:spacing w:lineRule="auto" w:line="333" w:before="0" w:after="0"/>
        <w:ind w:left="0" w:right="0" w:hanging="720"/>
        <w:jc w:val="both"/>
        <w:rPr/>
      </w:pPr>
      <w:r>
        <w:rPr>
          <w:color w:val="000000"/>
        </w:rPr>
        <w:t>•</w:t>
      </w:r>
      <w:r>
        <w:rPr>
          <w:rFonts w:ascii="Times New Roman;serif" w:hAnsi="Times New Roman;serif"/>
          <w:b w:val="false"/>
          <w:i/>
          <w:color w:val="000000"/>
          <w:sz w:val="20"/>
        </w:rPr>
        <w:t>Financial Performance</w:t>
      </w:r>
      <w:r>
        <w:rPr>
          <w:color w:val="000000"/>
        </w:rPr>
        <w:t xml:space="preserve"> </w:t>
      </w:r>
      <w:r>
        <w:rPr>
          <w:rFonts w:ascii="Times New Roman;serif" w:hAnsi="Times New Roman;serif"/>
          <w:b w:val="false"/>
          <w:color w:val="000000"/>
          <w:sz w:val="20"/>
        </w:rPr>
        <w:t>that drives value creation across economic cycles with sustainable profitability, cash flow generation and top-tier return on capital.</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strategic focus is enabled by a comprehensive capital allocation framework that includes: </w:t>
      </w:r>
    </w:p>
    <w:p>
      <w:pPr>
        <w:pStyle w:val="TextBody"/>
        <w:bidi w:val="0"/>
        <w:spacing w:lineRule="auto" w:line="333"/>
        <w:jc w:val="both"/>
        <w:rPr/>
      </w:pPr>
      <w:r>
        <w:rPr>
          <w:color w:val="000000"/>
        </w:rPr>
        <w:t>•</w:t>
      </w:r>
      <w:r>
        <w:rPr>
          <w:rFonts w:ascii="Times New Roman;serif" w:hAnsi="Times New Roman;serif"/>
          <w:b w:val="false"/>
          <w:color w:val="000000"/>
          <w:sz w:val="20"/>
        </w:rPr>
        <w:t>Improved through-cycle resilience from a strong balance sheet;</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2</w:t>
                      </w:r>
                    </w:p>
                  </w:txbxContent>
                </v:textbox>
                <w10:wrap type="none"/>
              </v:rect>
            </w:pict>
          </mc:Fallback>
        </mc:AlternateContent>
      </w:r>
    </w:p>
    <w:p>
      <w:pPr>
        <w:pStyle w:val="TextBody"/>
        <w:bidi w:val="0"/>
        <w:spacing w:lineRule="auto" w:line="333" w:before="60" w:after="283"/>
        <w:jc w:val="left"/>
        <w:rPr>
          <w:color w:val="000000"/>
        </w:rPr>
      </w:pPr>
      <w:r>
        <w:rPr>
          <w:color w:val="000000"/>
        </w:rPr>
        <w:t>    </w:t>
      </w:r>
      <w:r>
        <w:rPr>
          <w:rFonts w:ascii="Times New Roman;serif" w:hAnsi="Times New Roman;serif"/>
          <w:b w:val="false"/>
          <w:color w:val="000000"/>
          <w:sz w:val="20"/>
        </w:rPr>
        <w:t>Item 1 | Business</w:t>
      </w:r>
    </w:p>
    <w:p>
      <w:pPr>
        <w:pStyle w:val="TextBody"/>
        <w:bidi w:val="0"/>
        <w:spacing w:lineRule="auto" w:line="333" w:before="0" w:after="0"/>
        <w:jc w:val="both"/>
        <w:rPr/>
      </w:pPr>
      <w:r>
        <w:rPr>
          <w:color w:val="000000"/>
        </w:rPr>
        <w:t>•</w:t>
      </w:r>
      <w:r>
        <w:rPr>
          <w:rFonts w:ascii="Times New Roman;serif" w:hAnsi="Times New Roman;serif"/>
          <w:b w:val="false"/>
          <w:color w:val="000000"/>
          <w:sz w:val="20"/>
        </w:rPr>
        <w:t xml:space="preserve">Judicious business investments in technology and infrastructure upgrades to drive portfolio differentiation and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structural cost efficiencies leading to improved returns; </w:t>
      </w:r>
    </w:p>
    <w:p>
      <w:pPr>
        <w:pStyle w:val="TextBody"/>
        <w:bidi w:val="0"/>
        <w:spacing w:lineRule="auto" w:line="333" w:before="0" w:after="0"/>
        <w:jc w:val="both"/>
        <w:rPr/>
      </w:pPr>
      <w:r>
        <w:rPr>
          <w:color w:val="000000"/>
        </w:rPr>
        <w:t>•</w:t>
      </w:r>
      <w:r>
        <w:rPr>
          <w:rFonts w:ascii="Times New Roman;serif" w:hAnsi="Times New Roman;serif"/>
          <w:b w:val="false"/>
          <w:color w:val="000000"/>
          <w:sz w:val="20"/>
        </w:rPr>
        <w:t>Strategic and disciplined mergers and acquisitions that align with our portfolio strategy; and</w:t>
      </w:r>
    </w:p>
    <w:p>
      <w:pPr>
        <w:pStyle w:val="TextBody"/>
        <w:bidi w:val="0"/>
        <w:spacing w:lineRule="auto" w:line="333" w:before="0" w:after="0"/>
        <w:jc w:val="both"/>
        <w:rPr/>
      </w:pPr>
      <w:r>
        <w:rPr>
          <w:color w:val="000000"/>
        </w:rPr>
        <w:t>•</w:t>
      </w:r>
      <w:r>
        <w:rPr>
          <w:rFonts w:ascii="Times New Roman;serif" w:hAnsi="Times New Roman;serif"/>
          <w:b w:val="false"/>
          <w:color w:val="000000"/>
          <w:sz w:val="20"/>
        </w:rPr>
        <w:t xml:space="preserve">Shareholder returns program as introduced in 2024 with a $500 million share repurchase authorization over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three years. Annual dividend program recently increased from $1.00 to $1.10 per share.</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 xml:space="preserve">Markets </w:t>
      </w:r>
    </w:p>
    <w:p>
      <w:pPr>
        <w:pStyle w:val="TextBody"/>
        <w:bidi w:val="0"/>
        <w:spacing w:before="0" w:after="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Demand for our industry’s products and services is driven by many factors, including commodity prices, the number of oil and gas rigs and wells drilled, depth and drilling conditions of wells, number of well completions, age of existing wells, reservoir depletion, regulatory environments and the level of workover activity worldwide.</w:t>
      </w:r>
    </w:p>
    <w:p>
      <w:pPr>
        <w:pStyle w:val="TextBody"/>
        <w:bidi w:val="0"/>
        <w:spacing w:before="0" w:after="0"/>
        <w:ind w:left="0" w:right="0" w:firstLine="360"/>
        <w:jc w:val="both"/>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Technology is critical to the energy services marketplace as a result of the maturity of the world’s oil and natural gas reservoirs, declining production rates and the nature of complex well designs, in both land and offshore markets. Customers continue to seek, test and use technologies that accelerate and optimize production at an increasing rate. We invest substantial resources into building our technology offerings, which enable our customers to evaluate, develop and produce from their oil and natural gas reservoirs more efficiently. Our products and services are designed to enable our customers to increase production rates while reducing their costs of drilling and production.</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Reportable Segments</w:t>
      </w:r>
    </w:p>
    <w:p>
      <w:pPr>
        <w:pStyle w:val="TextBody"/>
        <w:bidi w:val="0"/>
        <w:spacing w:before="0" w:after="0"/>
        <w:jc w:val="left"/>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offer our services and technologies in relation to the well life cycle and have three reportable segments: (1) Drilling and Evaluation (2) Well Construction and Completions, and (3) Production and Intervention. All of our segments are enabled by a suite of digital monitoring, control and optimization solutions using advanced analytics to provide safe, reliable and efficient solutions throughout the well life cycle, including responsible abandonment at the end of the well’s productive life.</w:t>
      </w:r>
    </w:p>
    <w:p>
      <w:pPr>
        <w:pStyle w:val="TextBody"/>
        <w:bidi w:val="0"/>
        <w:spacing w:lineRule="auto" w:line="333"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Products and Services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pPr>
      <w:r>
        <w:rPr>
          <w:rFonts w:ascii="Times New Roman;serif" w:hAnsi="Times New Roman;serif"/>
          <w:b/>
          <w:i/>
          <w:color w:val="000000"/>
          <w:sz w:val="20"/>
        </w:rPr>
        <w:t>Drilling and Evaluation</w:t>
      </w:r>
      <w:r>
        <w:rPr>
          <w:color w:val="000000"/>
        </w:rPr>
        <w:t xml:space="preserve"> </w:t>
      </w:r>
      <w:r>
        <w:rPr>
          <w:rFonts w:ascii="Times New Roman;serif" w:hAnsi="Times New Roman;serif"/>
          <w:b/>
          <w:i/>
          <w:color w:val="000000"/>
          <w:sz w:val="20"/>
        </w:rPr>
        <w:t>(“DRE”)</w:t>
      </w:r>
      <w:r>
        <w:rPr>
          <w:color w:val="000000"/>
        </w:rPr>
        <w:t xml:space="preserve"> </w:t>
      </w:r>
      <w:r>
        <w:rPr>
          <w:rFonts w:ascii="Times New Roman;serif" w:hAnsi="Times New Roman;serif"/>
          <w:b w:val="false"/>
          <w:color w:val="000000"/>
          <w:sz w:val="20"/>
        </w:rPr>
        <w:t xml:space="preserve">offers a suite of services including managed pressure drilling, drilling services, wireline and drilling fluids. DRE offerings range from early well planning to reservoir management through innovative tools and expert engineering to optimize reservoir access, formation evaluation and productivity. </w:t>
      </w:r>
    </w:p>
    <w:p>
      <w:pPr>
        <w:pStyle w:val="TextBody"/>
        <w:bidi w:val="0"/>
        <w:spacing w:before="0" w:after="0"/>
        <w:ind w:left="0" w:right="0" w:firstLine="270"/>
        <w:jc w:val="both"/>
        <w:rPr/>
      </w:pPr>
      <w:r>
        <w:rPr/>
      </w:r>
    </w:p>
    <w:p>
      <w:pPr>
        <w:pStyle w:val="TextBody"/>
        <w:bidi w:val="0"/>
        <w:spacing w:lineRule="auto" w:line="333" w:before="0" w:after="0"/>
        <w:jc w:val="both"/>
        <w:rPr/>
      </w:pPr>
      <w:r>
        <w:rPr>
          <w:rFonts w:ascii="Times New Roman;serif" w:hAnsi="Times New Roman;serif"/>
          <w:b/>
          <w:i/>
          <w:color w:val="000000"/>
          <w:sz w:val="20"/>
        </w:rPr>
        <w:t>Managed Pressure Drilling</w:t>
      </w:r>
      <w:r>
        <w:rPr>
          <w:color w:val="000000"/>
        </w:rPr>
        <w:t xml:space="preserve"> </w:t>
      </w:r>
      <w:r>
        <w:rPr>
          <w:rFonts w:ascii="Times New Roman;serif" w:hAnsi="Times New Roman;serif"/>
          <w:b w:val="false"/>
          <w:color w:val="000000"/>
          <w:sz w:val="20"/>
        </w:rPr>
        <w:t>helps to manage wellbore pressures to optimize drilling performance. We incorporate various technologies, including rotating control devices and advanced automated control systems, as well as several drilling techniques, such as closed-loop drilling, air drilling, managed-pressure drilling and underbalanced drilling.</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i/>
          <w:color w:val="000000"/>
          <w:sz w:val="20"/>
        </w:rPr>
        <w:t>Drilling Services</w:t>
      </w:r>
      <w:r>
        <w:rPr>
          <w:color w:val="000000"/>
        </w:rPr>
        <w:t xml:space="preserve"> </w:t>
      </w:r>
      <w:r>
        <w:rPr>
          <w:rFonts w:ascii="Times New Roman;serif" w:hAnsi="Times New Roman;serif"/>
          <w:b w:val="false"/>
          <w:color w:val="000000"/>
          <w:sz w:val="20"/>
        </w:rPr>
        <w:t>includes directional drilling, logging while drilling, measurement while drilling and rotary-steerable systems. We provide a full range of downhole equipment, including high-temperature and high-pressure sensors, drilling reamers and circulation subs.</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i/>
          <w:color w:val="000000"/>
          <w:sz w:val="20"/>
        </w:rPr>
        <w:t>Wireline</w:t>
      </w:r>
      <w:r>
        <w:rPr>
          <w:color w:val="000000"/>
        </w:rPr>
        <w:t xml:space="preserve"> </w:t>
      </w:r>
      <w:r>
        <w:rPr>
          <w:rFonts w:ascii="Times New Roman;serif" w:hAnsi="Times New Roman;serif"/>
          <w:b w:val="false"/>
          <w:color w:val="000000"/>
          <w:sz w:val="20"/>
        </w:rPr>
        <w:t>includes open-hole and cased-hole logging services that measure the geophysical properties of subsurface formations to determine production potential, locate resources and detect cement and casing integrity issues. We also execute well intervention and remediation operations by conveying equipment via cable into existing wells.</w:t>
      </w:r>
    </w:p>
    <w:p>
      <w:pPr>
        <w:pStyle w:val="TextBody"/>
        <w:bidi w:val="0"/>
        <w:spacing w:before="0" w:after="0"/>
        <w:jc w:val="both"/>
        <w:rPr/>
      </w:pPr>
      <w:r>
        <w:rPr/>
      </w:r>
    </w:p>
    <w:p>
      <w:pPr>
        <w:pStyle w:val="TextBody"/>
        <w:bidi w:val="0"/>
        <w:spacing w:lineRule="auto" w:line="297" w:before="0" w:after="0"/>
        <w:jc w:val="left"/>
        <w:rPr/>
      </w:pPr>
      <w:r>
        <w:rPr>
          <w:rFonts w:ascii="Times New Roman;serif" w:hAnsi="Times New Roman;serif"/>
          <w:b/>
          <w:i/>
          <w:color w:val="000000"/>
          <w:sz w:val="20"/>
        </w:rPr>
        <w:t>Drilling Fluids</w:t>
      </w:r>
      <w:r>
        <w:rPr>
          <w:color w:val="000000"/>
        </w:rPr>
        <w:t xml:space="preserve"> </w:t>
      </w:r>
      <w:r>
        <w:rPr>
          <w:rFonts w:ascii="Times New Roman;serif" w:hAnsi="Times New Roman;serif"/>
          <w:b w:val="false"/>
          <w:color w:val="000000"/>
          <w:sz w:val="20"/>
        </w:rPr>
        <w:t xml:space="preserve">provides fluids and chemicals essential to the drilling process. </w:t>
      </w:r>
    </w:p>
    <w:p>
      <w:pPr>
        <w:pStyle w:val="TextBody"/>
        <w:bidi w:val="0"/>
        <w:spacing w:before="0" w:after="0"/>
        <w:jc w:val="both"/>
        <w:rPr/>
      </w:pPr>
      <w:r>
        <w:rPr/>
      </w:r>
    </w:p>
    <w:p>
      <w:pPr>
        <w:pStyle w:val="TextBody"/>
        <w:bidi w:val="0"/>
        <w:spacing w:lineRule="auto" w:line="333"/>
        <w:ind w:left="0" w:right="0" w:firstLine="360"/>
        <w:jc w:val="both"/>
        <w:rPr/>
      </w:pPr>
      <w:r>
        <w:rPr>
          <w:rFonts w:ascii="Times New Roman;serif" w:hAnsi="Times New Roman;serif"/>
          <w:b/>
          <w:i/>
          <w:color w:val="000000"/>
          <w:sz w:val="20"/>
        </w:rPr>
        <w:t>Well Construction and Completions (“WCC”)</w:t>
      </w:r>
      <w:r>
        <w:rPr>
          <w:color w:val="000000"/>
        </w:rPr>
        <w:t xml:space="preserve"> </w:t>
      </w:r>
      <w:r>
        <w:rPr>
          <w:rFonts w:ascii="Times New Roman;serif" w:hAnsi="Times New Roman;serif"/>
          <w:b w:val="false"/>
          <w:color w:val="000000"/>
          <w:sz w:val="20"/>
        </w:rPr>
        <w:t>offers products and services for well integrity assurance across the full life cycle of the well. The primary offerings are tubular running services, cementation products, completions, liner hangers and well services. WCC deploys conventional to advanced technologies, providing safe and efficient services in any environment during the well construction production phase.</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3</w:t>
                      </w:r>
                    </w:p>
                  </w:txbxContent>
                </v:textbox>
                <w10:wrap type="none"/>
              </v:rect>
            </w:pict>
          </mc:Fallback>
        </mc:AlternateContent>
      </w:r>
    </w:p>
    <w:p>
      <w:pPr>
        <w:pStyle w:val="TextBody"/>
        <w:bidi w:val="0"/>
        <w:spacing w:lineRule="auto" w:line="333" w:before="60" w:after="283"/>
        <w:jc w:val="left"/>
        <w:rPr>
          <w:color w:val="000000"/>
        </w:rPr>
      </w:pPr>
      <w:r>
        <w:rPr>
          <w:color w:val="000000"/>
        </w:rPr>
        <w:t>    </w:t>
      </w:r>
      <w:r>
        <w:rPr>
          <w:rFonts w:ascii="Times New Roman;serif" w:hAnsi="Times New Roman;serif"/>
          <w:b w:val="false"/>
          <w:color w:val="000000"/>
          <w:sz w:val="20"/>
        </w:rPr>
        <w:t>Item 1 | Business</w:t>
      </w:r>
    </w:p>
    <w:p>
      <w:pPr>
        <w:pStyle w:val="TextBody"/>
        <w:bidi w:val="0"/>
        <w:spacing w:before="0" w:after="0"/>
        <w:ind w:left="0" w:right="0" w:firstLine="270"/>
        <w:jc w:val="both"/>
        <w:rPr/>
      </w:pPr>
      <w:r>
        <w:rPr/>
      </w:r>
    </w:p>
    <w:p>
      <w:pPr>
        <w:pStyle w:val="TextBody"/>
        <w:bidi w:val="0"/>
        <w:spacing w:lineRule="auto" w:line="333" w:before="0" w:after="0"/>
        <w:jc w:val="both"/>
        <w:rPr/>
      </w:pPr>
      <w:r>
        <w:rPr>
          <w:rFonts w:ascii="Times New Roman;serif" w:hAnsi="Times New Roman;serif"/>
          <w:b/>
          <w:i/>
          <w:color w:val="000000"/>
          <w:sz w:val="20"/>
        </w:rPr>
        <w:t>Tubular Running Services</w:t>
      </w:r>
      <w:r>
        <w:rPr>
          <w:color w:val="000000"/>
        </w:rPr>
        <w:t xml:space="preserve"> </w:t>
      </w:r>
      <w:r>
        <w:rPr>
          <w:rFonts w:ascii="Times New Roman;serif" w:hAnsi="Times New Roman;serif"/>
          <w:b w:val="false"/>
          <w:color w:val="000000"/>
          <w:sz w:val="20"/>
        </w:rPr>
        <w:t>provides equipment, tubular handling, tubular management and tubular connection services for the drilling, completions, and workover of various types of wells. We include conventional rig services, automated rig systems, real-time torque-monitoring, and remote viewing of the makeup and breakout verification process, all underscored by our technology and procedural protocols to provide casing and tubular running operations with superior efficiency, and reduced health, safety, and environmental risks.</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i/>
          <w:color w:val="000000"/>
          <w:sz w:val="20"/>
        </w:rPr>
        <w:t>Cementation Products</w:t>
      </w:r>
      <w:r>
        <w:rPr>
          <w:color w:val="000000"/>
        </w:rPr>
        <w:t xml:space="preserve"> </w:t>
      </w:r>
      <w:r>
        <w:rPr>
          <w:rFonts w:ascii="Times New Roman;serif" w:hAnsi="Times New Roman;serif"/>
          <w:b w:val="false"/>
          <w:color w:val="000000"/>
          <w:sz w:val="20"/>
        </w:rPr>
        <w:t>enable operators to centralize the casing throughout the wellbore and control the displacement of cement and other fluids for proper zonal isolation. Specialized equipment includes plugs, float and stage equipment and torque-and-drag reduction technology. Our cementation engineers analyze customer requirements and provide software enabled design input from pre-job planning to installation.</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i/>
          <w:color w:val="000000"/>
          <w:sz w:val="20"/>
        </w:rPr>
        <w:t>Completions</w:t>
      </w:r>
      <w:r>
        <w:rPr>
          <w:color w:val="000000"/>
        </w:rPr>
        <w:t xml:space="preserve"> </w:t>
      </w:r>
      <w:r>
        <w:rPr>
          <w:rFonts w:ascii="Times New Roman;serif" w:hAnsi="Times New Roman;serif"/>
          <w:b w:val="false"/>
          <w:color w:val="000000"/>
          <w:sz w:val="20"/>
        </w:rPr>
        <w:t>offer customers a comprehensive portfolio of completion tools, such as safety valves, production packers, downhole reservoir monitoring, flow control, isolation packers, multistage fracturing systems and sand-control technologies that not only allow our customers to produce optimally from their reservoirs but also monitor and control the reservoirs throughout their productive life.</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i/>
          <w:color w:val="000000"/>
          <w:sz w:val="20"/>
        </w:rPr>
        <w:t>Liner Hangers</w:t>
      </w:r>
      <w:r>
        <w:rPr>
          <w:color w:val="000000"/>
        </w:rPr>
        <w:t xml:space="preserve"> </w:t>
      </w:r>
      <w:r>
        <w:rPr>
          <w:rFonts w:ascii="Times New Roman;serif" w:hAnsi="Times New Roman;serif"/>
          <w:b w:val="false"/>
          <w:color w:val="000000"/>
          <w:sz w:val="20"/>
        </w:rPr>
        <w:t>suspend a casing string within a previous casing string thereby eliminating the need to run casing to the surface. We offer a comprehensive liner-hanger portfolio, along with engineering and execution experience, for a wide range of applications that include high-temperature and high-pressure wells.</w:t>
      </w:r>
    </w:p>
    <w:p>
      <w:pPr>
        <w:pStyle w:val="TextBody"/>
        <w:bidi w:val="0"/>
        <w:spacing w:before="0" w:after="0"/>
        <w:jc w:val="both"/>
        <w:rPr/>
      </w:pPr>
      <w:r>
        <w:rPr/>
      </w:r>
    </w:p>
    <w:p>
      <w:pPr>
        <w:pStyle w:val="TextBody"/>
        <w:bidi w:val="0"/>
        <w:spacing w:lineRule="auto" w:line="297" w:before="0" w:after="0"/>
        <w:jc w:val="left"/>
        <w:rPr/>
      </w:pPr>
      <w:r>
        <w:rPr>
          <w:rFonts w:ascii="Times New Roman;serif" w:hAnsi="Times New Roman;serif"/>
          <w:b/>
          <w:i/>
          <w:color w:val="000000"/>
          <w:sz w:val="20"/>
        </w:rPr>
        <w:t xml:space="preserve">Well Services </w:t>
      </w:r>
      <w:r>
        <w:rPr>
          <w:rFonts w:ascii="Times New Roman;serif" w:hAnsi="Times New Roman;serif"/>
          <w:b w:val="false"/>
          <w:color w:val="000000"/>
          <w:sz w:val="20"/>
        </w:rPr>
        <w:t>provides through tubing products and services which ensure consistent delivery of well solutions that extend the economic life of our customer's assets.</w:t>
      </w:r>
    </w:p>
    <w:p>
      <w:pPr>
        <w:pStyle w:val="TextBody"/>
        <w:bidi w:val="0"/>
        <w:spacing w:before="0" w:after="0"/>
        <w:ind w:left="0" w:right="0" w:firstLine="270"/>
        <w:jc w:val="both"/>
        <w:rPr/>
      </w:pPr>
      <w:r>
        <w:rPr/>
      </w:r>
    </w:p>
    <w:p>
      <w:pPr>
        <w:pStyle w:val="TextBody"/>
        <w:bidi w:val="0"/>
        <w:spacing w:lineRule="auto" w:line="333" w:before="0" w:after="0"/>
        <w:ind w:left="0" w:right="0" w:firstLine="360"/>
        <w:jc w:val="both"/>
        <w:rPr/>
      </w:pPr>
      <w:r>
        <w:rPr>
          <w:rFonts w:ascii="Times New Roman;serif" w:hAnsi="Times New Roman;serif"/>
          <w:b/>
          <w:i/>
          <w:color w:val="000000"/>
          <w:sz w:val="20"/>
        </w:rPr>
        <w:t>Production and Intervention (“PRI”)</w:t>
      </w:r>
      <w:r>
        <w:rPr>
          <w:color w:val="000000"/>
        </w:rPr>
        <w:t xml:space="preserve"> </w:t>
      </w:r>
      <w:r>
        <w:rPr>
          <w:rFonts w:ascii="Times New Roman;serif" w:hAnsi="Times New Roman;serif"/>
          <w:b w:val="false"/>
          <w:color w:val="000000"/>
          <w:sz w:val="20"/>
        </w:rPr>
        <w:t>includes technologies that deliver a complete production ecosystem ranging from boosting productivity to responsible well abandonment for our customers. The primary offerings are intervention services &amp; drilling tools, artificial lift, digital solutions, sub-sea intervention and pressure pumping services in select markets. PRI utilizes a suite of reservoir stimulation designs, and engineering capabilities that isolate zones and unlock reserves in conventional and unconventional wells, deep water, and mature reservoirs.</w:t>
      </w:r>
    </w:p>
    <w:p>
      <w:pPr>
        <w:pStyle w:val="TextBody"/>
        <w:bidi w:val="0"/>
        <w:spacing w:before="0" w:after="0"/>
        <w:ind w:left="0" w:right="0" w:firstLine="270"/>
        <w:jc w:val="both"/>
        <w:rPr/>
      </w:pPr>
      <w:r>
        <w:rPr/>
      </w:r>
    </w:p>
    <w:p>
      <w:pPr>
        <w:pStyle w:val="TextBody"/>
        <w:bidi w:val="0"/>
        <w:spacing w:lineRule="auto" w:line="297" w:before="0" w:after="0"/>
        <w:jc w:val="both"/>
        <w:rPr/>
      </w:pPr>
      <w:r>
        <w:rPr>
          <w:rFonts w:ascii="Times New Roman;serif" w:hAnsi="Times New Roman;serif"/>
          <w:b/>
          <w:i/>
          <w:color w:val="000000"/>
          <w:sz w:val="20"/>
        </w:rPr>
        <w:t>Intervention Services &amp; Drilling Tools</w:t>
      </w:r>
      <w:r>
        <w:rPr>
          <w:color w:val="000000"/>
        </w:rPr>
        <w:t xml:space="preserve"> </w:t>
      </w:r>
      <w:r>
        <w:rPr>
          <w:rFonts w:ascii="Times New Roman;serif" w:hAnsi="Times New Roman;serif"/>
          <w:b w:val="false"/>
          <w:color w:val="000000"/>
          <w:sz w:val="20"/>
        </w:rPr>
        <w:t xml:space="preserve">provides re-entry, fishing and well abandonment services as well as patented downhole tools, tubular-handling equipment, pressure-control equipment and drill pipe and tubulars for various types of wells. </w:t>
      </w:r>
    </w:p>
    <w:p>
      <w:pPr>
        <w:pStyle w:val="TextBody"/>
        <w:bidi w:val="0"/>
        <w:spacing w:before="0" w:after="0"/>
        <w:jc w:val="left"/>
        <w:rPr/>
      </w:pPr>
      <w:r>
        <w:rPr/>
      </w:r>
    </w:p>
    <w:p>
      <w:pPr>
        <w:pStyle w:val="TextBody"/>
        <w:bidi w:val="0"/>
        <w:spacing w:lineRule="auto" w:line="333" w:before="0" w:after="0"/>
        <w:jc w:val="both"/>
        <w:rPr/>
      </w:pPr>
      <w:r>
        <w:rPr>
          <w:rFonts w:ascii="Times New Roman;serif" w:hAnsi="Times New Roman;serif"/>
          <w:b/>
          <w:i/>
          <w:color w:val="000000"/>
          <w:sz w:val="20"/>
        </w:rPr>
        <w:t xml:space="preserve">Artificial Lift </w:t>
      </w:r>
      <w:r>
        <w:rPr>
          <w:rFonts w:ascii="Times New Roman;serif" w:hAnsi="Times New Roman;serif"/>
          <w:b w:val="false"/>
          <w:color w:val="000000"/>
          <w:sz w:val="20"/>
        </w:rPr>
        <w:t>provides pressure enabling methods to produce reservoir fluids from wells lacking sufficient reservoir pressure for natural flow. We provide most forms of lift, including reciprocating rod lift systems, progressing cavity pumping, gas-lift systems, hydraulic-lift systems, plunger-lift systems and hybrid lift systems for special applications. We also offer related automation and control systems.</w:t>
      </w:r>
    </w:p>
    <w:p>
      <w:pPr>
        <w:pStyle w:val="TextBody"/>
        <w:bidi w:val="0"/>
        <w:spacing w:before="0" w:after="0"/>
        <w:jc w:val="both"/>
        <w:rPr/>
      </w:pPr>
      <w:r>
        <w:rPr/>
      </w:r>
    </w:p>
    <w:p>
      <w:pPr>
        <w:pStyle w:val="TextBody"/>
        <w:bidi w:val="0"/>
        <w:spacing w:lineRule="auto" w:line="297" w:before="0" w:after="0"/>
        <w:jc w:val="both"/>
        <w:rPr/>
      </w:pPr>
      <w:r>
        <w:rPr>
          <w:rFonts w:ascii="Times New Roman;serif" w:hAnsi="Times New Roman;serif"/>
          <w:b/>
          <w:i/>
          <w:color w:val="000000"/>
          <w:sz w:val="20"/>
        </w:rPr>
        <w:t xml:space="preserve">Digital Solutions </w:t>
      </w:r>
      <w:r>
        <w:rPr>
          <w:rFonts w:ascii="Times New Roman;serif" w:hAnsi="Times New Roman;serif"/>
          <w:b w:val="false"/>
          <w:color w:val="000000"/>
          <w:sz w:val="20"/>
        </w:rPr>
        <w:t xml:space="preserve">provides software, automation, and flow measurement solutions. For our customers’ drilling operations, the solutions deliver data aggregation, engineering, and optimization including performance analytics in real-time. For our customers’ production operations, we provide flow measurement, surveillance, and control to deliver production optimization by integrating workflows and data for the well, surface facilities and the reservoir. </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i/>
          <w:color w:val="000000"/>
          <w:sz w:val="20"/>
        </w:rPr>
        <w:t xml:space="preserve">Sub-Sea Intervention </w:t>
      </w:r>
      <w:r>
        <w:rPr>
          <w:rFonts w:ascii="Times New Roman;serif" w:hAnsi="Times New Roman;serif"/>
          <w:b w:val="false"/>
          <w:color w:val="000000"/>
          <w:sz w:val="20"/>
        </w:rPr>
        <w:t>provides electrical and hydraulic power transmission to subsea equipment in order to facilitate workovers and abandonment in deep and ultra-deep-water operations in select markets.</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i/>
          <w:color w:val="000000"/>
          <w:sz w:val="20"/>
        </w:rPr>
        <w:t>Pressure Pumping Services</w:t>
      </w:r>
      <w:r>
        <w:rPr>
          <w:color w:val="000000"/>
        </w:rPr>
        <w:t xml:space="preserve"> </w:t>
      </w:r>
      <w:r>
        <w:rPr>
          <w:rFonts w:ascii="Times New Roman;serif" w:hAnsi="Times New Roman;serif"/>
          <w:b w:val="false"/>
          <w:color w:val="000000"/>
          <w:sz w:val="20"/>
        </w:rPr>
        <w:t>offers advanced engineered fluid chemistry products and solutions and associated pumping services for safe and effective production enhancement. In select international markets, we provide pressure pumping and reservoir stimulation services, including acidizing, fracturing, cementing, and coiled-tubing intervention.</w:t>
      </w:r>
    </w:p>
    <w:p>
      <w:pPr>
        <w:pStyle w:val="TextBody"/>
        <w:bidi w:val="0"/>
        <w:ind w:left="0" w:right="0" w:firstLine="3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4</w:t>
                      </w:r>
                    </w:p>
                  </w:txbxContent>
                </v:textbox>
                <w10:wrap type="none"/>
              </v:rect>
            </w:pict>
          </mc:Fallback>
        </mc:AlternateContent>
      </w:r>
    </w:p>
    <w:p>
      <w:pPr>
        <w:pStyle w:val="TextBody"/>
        <w:bidi w:val="0"/>
        <w:spacing w:lineRule="auto" w:line="333" w:before="60" w:after="283"/>
        <w:jc w:val="left"/>
        <w:rPr>
          <w:color w:val="000000"/>
        </w:rPr>
      </w:pPr>
      <w:r>
        <w:rPr>
          <w:color w:val="000000"/>
        </w:rPr>
        <w:t>    </w:t>
      </w:r>
      <w:r>
        <w:rPr>
          <w:rFonts w:ascii="Times New Roman;serif" w:hAnsi="Times New Roman;serif"/>
          <w:b w:val="false"/>
          <w:color w:val="000000"/>
          <w:sz w:val="20"/>
        </w:rPr>
        <w:t>Item 1 | Business</w: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before="0" w:after="0"/>
        <w:jc w:val="left"/>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provide our products and services worldwide and compete with a number of global and regional competitors. Our principal competitors include SLB, Halliburton, Baker Hughes and Expro Group Holdings. We also compete with various other suppliers who provide products and services within a smaller cross section of our product line portfolio either locally, regionally, or globally. Competition is based on a number of factors, including performance, safety, quality, reliability, service, price, response time and, in some cases, depth and breadth of products. The energy services business is highly competitive, which may adversely affect our ability to succeed. Additionally, the consolidations of and acquisitions by our competitors are difficult to predict and may impact our business as a result.</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Raw Materials</w:t>
      </w:r>
    </w:p>
    <w:p>
      <w:pPr>
        <w:pStyle w:val="TextBody"/>
        <w:bidi w:val="0"/>
        <w:spacing w:lineRule="auto" w:line="333" w:before="0" w:after="0"/>
        <w:ind w:left="0" w:right="0" w:firstLine="360"/>
        <w:jc w:val="both"/>
        <w:rPr>
          <w:color w:val="000000"/>
        </w:rPr>
      </w:pPr>
      <w:r>
        <w:rPr>
          <w:color w:val="000000"/>
        </w:rPr>
        <w:t> </w:t>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purchase a wide variety of raw materials, as well as parts and components. We integrate products and components produced by other parties into the products and systems we offer for sale or service. We continually evaluate and invest in our integrated supply chain in order to reduce materials constraints and impacts from inflationary pressures, while improving lead times and supporting our sustainability efforts.</w:t>
      </w:r>
    </w:p>
    <w:p>
      <w:pPr>
        <w:pStyle w:val="TextBody"/>
        <w:bidi w:val="0"/>
        <w:spacing w:before="0" w:after="0"/>
        <w:ind w:left="0" w:right="0" w:firstLine="360"/>
        <w:jc w:val="both"/>
        <w:rPr/>
      </w:pPr>
      <w:r>
        <w:rPr/>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Customers</w:t>
      </w:r>
    </w:p>
    <w:p>
      <w:pPr>
        <w:pStyle w:val="TextBody"/>
        <w:bidi w:val="0"/>
        <w:spacing w:lineRule="auto" w:line="333" w:before="0" w:after="0"/>
        <w:ind w:left="0" w:right="0" w:firstLine="360"/>
        <w:jc w:val="both"/>
        <w:rPr>
          <w:color w:val="000000"/>
        </w:rPr>
      </w:pPr>
      <w:r>
        <w:rPr>
          <w:color w:val="000000"/>
        </w:rPr>
        <w:t> </w:t>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Substantially all of our customers are engaged in the energy industry and include national oil companies, international and independent oil and natural gas companies as well as new energy companies. </w:t>
      </w:r>
    </w:p>
    <w:p>
      <w:pPr>
        <w:pStyle w:val="TextBody"/>
        <w:bidi w:val="0"/>
        <w:spacing w:before="0" w:after="0"/>
        <w:ind w:left="0" w:right="0" w:firstLine="360"/>
        <w:jc w:val="both"/>
        <w:rPr/>
      </w:pPr>
      <w:r>
        <w:rPr/>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 xml:space="preserve">Research, Development and Patents </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maintaining world-class technology and training centers throughout the world, we have research, development, and engineering teams focused on developing new technologies and improving existing products and services to meet customer demands for improved drilling performance, well integrity, and enhanced reservoir productivity, with emphasis on efficiency, reliability, safety and the environment. We also develop technologies for new energy markets, in addition to the existing oil and gas markets in which we traditionally operate. Weatherford has significant expertise, trade secrets, intellectual property and know-how with respect to the design, manufacturing, and use of our equipment and the provision of our services. As many areas of our business rely on proprietary technology, we seek to protect and defend our intellectual property through trade secrets and patent protection both inside and outside the U.S. for products and methods that we believe have commercial significance. Although in the aggregate our patents are important to the manufacturing and marketing of many of our products and services, we do not believe that the expiration of any one of our patents would have a materially adverse effect on our business. </w:t>
      </w:r>
    </w:p>
    <w:p>
      <w:pPr>
        <w:pStyle w:val="TextBody"/>
        <w:bidi w:val="0"/>
        <w:spacing w:before="0" w:after="0"/>
        <w:ind w:left="0" w:right="0" w:firstLine="360"/>
        <w:jc w:val="both"/>
        <w:rPr/>
      </w:pPr>
      <w:r>
        <w:rPr/>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 xml:space="preserve">Seasonality </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Weather and natural phenomena can temporarily affect the level of demand for our products and services; however, the widespread geographical locations of our operations serve to mitigate the overall impact on our business in any particular geographic region. Spring months in Canada, summer in the Southern hemisphere, and winter months in the North Sea and Russia typically have lower demand, driving a negative impact on operations. Additionally, heavy rains, hurricanes, unusual wildfires, extreme freezes or other unpredictable or unusually harsh natural phenomena could lengthen the periods of reduced activity and have a detrimental impact on our operations. In addition, customer spending patterns for our products and services may result in higher activity in the fourth quarter of each calendar year as our customers seek to fully utilize their annual budgets. </w:t>
      </w:r>
    </w:p>
    <w:p>
      <w:pPr>
        <w:pStyle w:val="TextBody"/>
        <w:bidi w:val="0"/>
        <w:ind w:left="0" w:right="0" w:firstLine="3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5</w:t>
                      </w:r>
                    </w:p>
                  </w:txbxContent>
                </v:textbox>
                <w10:wrap type="none"/>
              </v:rect>
            </w:pict>
          </mc:Fallback>
        </mc:AlternateContent>
      </w:r>
    </w:p>
    <w:p>
      <w:pPr>
        <w:pStyle w:val="TextBody"/>
        <w:bidi w:val="0"/>
        <w:spacing w:lineRule="auto" w:line="333" w:before="60" w:after="283"/>
        <w:jc w:val="left"/>
        <w:rPr>
          <w:color w:val="000000"/>
        </w:rPr>
      </w:pPr>
      <w:r>
        <w:rPr>
          <w:color w:val="000000"/>
        </w:rPr>
        <w:t>    </w:t>
      </w:r>
      <w:r>
        <w:rPr>
          <w:rFonts w:ascii="Times New Roman;serif" w:hAnsi="Times New Roman;serif"/>
          <w:b w:val="false"/>
          <w:color w:val="000000"/>
          <w:sz w:val="20"/>
        </w:rPr>
        <w:t>Item 1 | Business</w: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Russia Ukraine Conflict</w:t>
      </w:r>
    </w:p>
    <w:p>
      <w:pPr>
        <w:pStyle w:val="TextBody"/>
        <w:bidi w:val="0"/>
        <w:spacing w:before="0" w:after="0"/>
        <w:jc w:val="left"/>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24, 2022, the military conflict between Russia and Ukraine (“Russia Ukraine Conflict”) began and in response we evaluated, and continue to evaluate, our operations, with the priority being centered on the safety and well-being of our employees in the impacted regions, as well as operating in full compliance with applicable international laws and sanctions. </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Revenues in Russia were approximately 7% of our total revenue for the year ended December 31, 2025, and were approximately 5% of our total revenues for the year ended December 31, 2024 and 6% for the year ended December 31, 2023. As of December 31, 2025, our Russia operations included $107 million in cash, $152 million in other current assets, $91 million in property, plant and equipment, net and other non-current assets, and $80 million in liabilities. As of December 31, 2024, our Russia operations included $82 million in cash, $95 million in other current assets, $56 million in property, plant and equipment, net and other non-current assets, and $45 million in liabilities. Our total revenues in Russia, in addition to our assets and liabilities in country, are subject to volatility based on foreign currency movements and may fluctuate accordingly. </w:t>
      </w:r>
    </w:p>
    <w:p>
      <w:pPr>
        <w:pStyle w:val="TextBody"/>
        <w:bidi w:val="0"/>
        <w:spacing w:before="0" w:after="0"/>
        <w:ind w:left="0" w:right="0" w:firstLine="360"/>
        <w:jc w:val="both"/>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continue to closely monitor and evaluate the developments in Russia as well as any changes in international laws and sanctions. We believe that operational complexity may continue to increase over time and therefore continually evaluate these potential impacts on our business. As such, we continue to actively evaluate various options, strategies and contingencies with respect to our business in Russia, including, but not limited to:</w:t>
      </w:r>
    </w:p>
    <w:p>
      <w:pPr>
        <w:pStyle w:val="TextBody"/>
        <w:bidi w:val="0"/>
        <w:spacing w:before="0" w:after="0"/>
        <w:ind w:left="0" w:right="0" w:firstLine="360"/>
        <w:jc w:val="both"/>
        <w:rPr/>
      </w:pPr>
      <w:r>
        <w:rPr/>
      </w:r>
    </w:p>
    <w:p>
      <w:pPr>
        <w:pStyle w:val="TextBody"/>
        <w:bidi w:val="0"/>
        <w:spacing w:lineRule="auto" w:line="333" w:before="0" w:after="0"/>
        <w:jc w:val="both"/>
        <w:rPr/>
      </w:pPr>
      <w:r>
        <w:rPr>
          <w:color w:val="000000"/>
        </w:rPr>
        <w:t>•</w:t>
      </w:r>
      <w:r>
        <w:rPr>
          <w:rFonts w:ascii="Times New Roman;serif" w:hAnsi="Times New Roman;serif"/>
          <w:b w:val="false"/>
          <w:color w:val="000000"/>
          <w:sz w:val="20"/>
        </w:rPr>
        <w:t xml:space="preserve">continuing the business in compliance with applicable laws and sanctions; </w:t>
      </w:r>
    </w:p>
    <w:p>
      <w:pPr>
        <w:pStyle w:val="TextBody"/>
        <w:bidi w:val="0"/>
        <w:spacing w:lineRule="auto" w:line="333" w:before="0" w:after="0"/>
        <w:jc w:val="both"/>
        <w:rPr/>
      </w:pPr>
      <w:r>
        <w:rPr>
          <w:color w:val="000000"/>
        </w:rPr>
        <w:t>•</w:t>
      </w:r>
      <w:r>
        <w:rPr>
          <w:rFonts w:ascii="Times New Roman;serif" w:hAnsi="Times New Roman;serif"/>
          <w:b w:val="false"/>
          <w:color w:val="000000"/>
          <w:sz w:val="20"/>
        </w:rPr>
        <w:t xml:space="preserve">evaluating the continued use or change in products, equipment and service offerings we currently provide in </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Russia; </w:t>
      </w:r>
    </w:p>
    <w:p>
      <w:pPr>
        <w:pStyle w:val="TextBody"/>
        <w:bidi w:val="0"/>
        <w:spacing w:lineRule="auto" w:line="333" w:before="0" w:after="0"/>
        <w:jc w:val="both"/>
        <w:rPr/>
      </w:pPr>
      <w:r>
        <w:rPr>
          <w:color w:val="000000"/>
        </w:rPr>
        <w:t>•</w:t>
      </w:r>
      <w:r>
        <w:rPr>
          <w:rFonts w:ascii="Times New Roman;serif" w:hAnsi="Times New Roman;serif"/>
          <w:b w:val="false"/>
          <w:color w:val="000000"/>
          <w:sz w:val="20"/>
        </w:rPr>
        <w:t xml:space="preserve">curtailing or winding down our activities over time; </w:t>
      </w:r>
    </w:p>
    <w:p>
      <w:pPr>
        <w:pStyle w:val="TextBody"/>
        <w:bidi w:val="0"/>
        <w:spacing w:lineRule="auto" w:line="333" w:before="0" w:after="0"/>
        <w:ind w:left="0" w:right="0" w:hanging="720"/>
        <w:jc w:val="both"/>
        <w:rPr/>
      </w:pPr>
      <w:r>
        <w:rPr>
          <w:color w:val="000000"/>
        </w:rPr>
        <w:t>•</w:t>
      </w:r>
      <w:r>
        <w:rPr>
          <w:rFonts w:ascii="Times New Roman;serif" w:hAnsi="Times New Roman;serif"/>
          <w:b w:val="false"/>
          <w:color w:val="000000"/>
          <w:sz w:val="20"/>
        </w:rPr>
        <w:t>potentially divesting some or all of our assets or businesses in Russia, which could include the option of re-entering the country if and when sanctions or applicable laws would allow for the same; and</w:t>
      </w:r>
    </w:p>
    <w:p>
      <w:pPr>
        <w:pStyle w:val="TextBody"/>
        <w:bidi w:val="0"/>
        <w:spacing w:lineRule="auto" w:line="333" w:before="0" w:after="0"/>
        <w:jc w:val="both"/>
        <w:rPr/>
      </w:pPr>
      <w:r>
        <w:rPr>
          <w:color w:val="000000"/>
        </w:rPr>
        <w:t>•</w:t>
      </w:r>
      <w:r>
        <w:rPr>
          <w:rFonts w:ascii="Times New Roman;serif" w:hAnsi="Times New Roman;serif"/>
          <w:b w:val="false"/>
          <w:color w:val="000000"/>
          <w:sz w:val="20"/>
        </w:rPr>
        <w:t>potential nationalization of the business.</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Federal Regulation and Environmental Matters</w:t>
      </w:r>
    </w:p>
    <w:p>
      <w:pPr>
        <w:pStyle w:val="TextBody"/>
        <w:bidi w:val="0"/>
        <w:spacing w:lineRule="auto" w:line="333" w:before="0" w:after="0"/>
        <w:ind w:left="0" w:right="0" w:firstLine="360"/>
        <w:jc w:val="both"/>
        <w:rPr>
          <w:color w:val="000000"/>
        </w:rPr>
      </w:pPr>
      <w:r>
        <w:rPr>
          <w:color w:val="000000"/>
        </w:rPr>
        <w:t> </w:t>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operations are subject to federal, state and local laws and regulations in the U.S. and globally relating to the energy industry in general and the environment in particular. Our 2025 expenditures to comply with environmental laws and regulations were not material, and we currently do not expect the cost of compliance with environmental laws and regulations for 2026 to be material. We continuously monitor and strive to maintain compliance with changes in laws and regulations that impact our business.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obligations and expect to incur capital, operating and maintenance, and remediation expenditures, as a result of compliance with environmental laws and regulations. Among those obligations, are the current requirements imposed by the Texas Commission on Environmental Quality (“TCEQ”) at a former facility in Midland, Texas where we are performing a TCEQ-approved Remedial Action Plan (“RAP”) to address contaminated ground water. The performance of the RAP and related expenses are scheduled to be performed over a twenty to thirty-year period and may cost as much as $11 million, recorded as an undiscounted obligation, with balances of $10 million and $11 million as of December 31, 2025 and 2024, respectively, on the Consolidated Balance Sheets. </w:t>
      </w:r>
    </w:p>
    <w:p>
      <w:pPr>
        <w:pStyle w:val="TextBody"/>
        <w:bidi w:val="0"/>
        <w:spacing w:lineRule="auto" w:line="333" w:before="0" w:after="0"/>
        <w:ind w:left="0" w:right="0" w:firstLine="360"/>
        <w:jc w:val="both"/>
        <w:rPr>
          <w:color w:val="000000"/>
        </w:rPr>
      </w:pPr>
      <w:r>
        <w:rPr>
          <w:color w:val="000000"/>
        </w:rPr>
        <w:t> </w:t>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Human Capital Management</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Focus on People and Culture</w:t>
      </w:r>
    </w:p>
    <w:p>
      <w:pPr>
        <w:pStyle w:val="TextBody"/>
        <w:bidi w:val="0"/>
        <w:spacing w:before="0" w:after="0"/>
        <w:jc w:val="left"/>
        <w:rPr/>
      </w:pPr>
      <w:r>
        <w:rPr/>
      </w:r>
    </w:p>
    <w:p>
      <w:pPr>
        <w:pStyle w:val="TextBody"/>
        <w:bidi w:val="0"/>
        <w:spacing w:lineRule="auto" w:line="312"/>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At Weatherford, our global team is driven to further our mission – producing energy for today and tomorrow. Pivotal to our culture and ensuring we fulfill our mission and vision is our “One Weatherford” spirit – individually, we are impressive, and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6</w:t>
                      </w:r>
                    </w:p>
                  </w:txbxContent>
                </v:textbox>
                <w10:wrap type="none"/>
              </v:rect>
            </w:pict>
          </mc:Fallback>
        </mc:AlternateContent>
      </w:r>
    </w:p>
    <w:p>
      <w:pPr>
        <w:pStyle w:val="TextBody"/>
        <w:bidi w:val="0"/>
        <w:spacing w:lineRule="auto" w:line="333" w:before="60" w:after="283"/>
        <w:jc w:val="left"/>
        <w:rPr>
          <w:color w:val="000000"/>
        </w:rPr>
      </w:pPr>
      <w:r>
        <w:rPr>
          <w:color w:val="000000"/>
        </w:rPr>
        <w:t>    </w:t>
      </w:r>
      <w:r>
        <w:rPr>
          <w:rFonts w:ascii="Times New Roman;serif" w:hAnsi="Times New Roman;serif"/>
          <w:b w:val="false"/>
          <w:color w:val="000000"/>
          <w:sz w:val="20"/>
        </w:rPr>
        <w:t>Item 1 | Business</w:t>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together, we are unstoppable. Our One Weatherford spirit motivates our global teams to collaborate for shared success and to seek out unique perspectives, fostering a culture where everyone can grow and contribute.</w:t>
      </w:r>
    </w:p>
    <w:p>
      <w:pPr>
        <w:pStyle w:val="TextBody"/>
        <w:bidi w:val="0"/>
        <w:spacing w:before="0" w:after="0"/>
        <w:jc w:val="left"/>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global team comprises experts in various disciplines, including engineering, oilfield services support, and multiple corporate functions. In addition to our commitment to operating sustainably with safety, quality, and integrity, we are also focused on recruiting, developing, and promoting an employee culture that revolves around the following Core Values: </w:t>
      </w:r>
    </w:p>
    <w:p>
      <w:pPr>
        <w:pStyle w:val="TextBody"/>
        <w:bidi w:val="0"/>
        <w:spacing w:before="0" w:after="0"/>
        <w:jc w:val="both"/>
        <w:rPr/>
      </w:pPr>
      <w:r>
        <w:rPr/>
      </w:r>
    </w:p>
    <w:p>
      <w:pPr>
        <w:pStyle w:val="TextBody"/>
        <w:bidi w:val="0"/>
        <w:spacing w:lineRule="auto" w:line="292" w:before="0" w:after="0"/>
        <w:ind w:left="0" w:right="0" w:hanging="360"/>
        <w:jc w:val="both"/>
        <w:rPr/>
      </w:pPr>
      <w:r>
        <w:rPr>
          <w:color w:val="000000"/>
        </w:rPr>
        <w:t>•</w:t>
      </w:r>
      <w:r>
        <w:rPr>
          <w:rFonts w:ascii="Times New Roman;serif" w:hAnsi="Times New Roman;serif"/>
          <w:b w:val="false"/>
          <w:color w:val="000000"/>
          <w:sz w:val="20"/>
        </w:rPr>
        <w:t>Passion: We are energized by our work and inspired to make a positive impact in our industry, for our customers, across our Company, and in our communities;</w:t>
      </w:r>
    </w:p>
    <w:p>
      <w:pPr>
        <w:pStyle w:val="TextBody"/>
        <w:bidi w:val="0"/>
        <w:spacing w:lineRule="auto" w:line="292" w:before="0" w:after="0"/>
        <w:ind w:left="0" w:right="0" w:hanging="360"/>
        <w:jc w:val="both"/>
        <w:rPr/>
      </w:pPr>
      <w:r>
        <w:rPr>
          <w:color w:val="000000"/>
        </w:rPr>
        <w:t>•</w:t>
      </w:r>
      <w:r>
        <w:rPr>
          <w:rFonts w:ascii="Times New Roman;serif" w:hAnsi="Times New Roman;serif"/>
          <w:b w:val="false"/>
          <w:color w:val="000000"/>
          <w:sz w:val="20"/>
        </w:rPr>
        <w:t>Accountability: We operate with integrity, enable our people and teams to be successful, and aim to be true to our word;</w:t>
      </w:r>
    </w:p>
    <w:p>
      <w:pPr>
        <w:pStyle w:val="TextBody"/>
        <w:bidi w:val="0"/>
        <w:spacing w:lineRule="auto" w:line="292" w:before="0" w:after="0"/>
        <w:ind w:left="0" w:right="0" w:hanging="360"/>
        <w:jc w:val="both"/>
        <w:rPr/>
      </w:pPr>
      <w:r>
        <w:rPr>
          <w:color w:val="000000"/>
        </w:rPr>
        <w:t>•</w:t>
      </w:r>
      <w:r>
        <w:rPr>
          <w:rFonts w:ascii="Times New Roman;serif" w:hAnsi="Times New Roman;serif"/>
          <w:b w:val="false"/>
          <w:color w:val="000000"/>
          <w:sz w:val="20"/>
        </w:rPr>
        <w:t>Innovation: We are driven to deliver advancements that propel our Company, industry, and customers forward; and</w:t>
      </w:r>
    </w:p>
    <w:p>
      <w:pPr>
        <w:pStyle w:val="TextBody"/>
        <w:bidi w:val="0"/>
        <w:spacing w:lineRule="auto" w:line="292" w:before="0" w:after="0"/>
        <w:ind w:left="0" w:right="0" w:hanging="360"/>
        <w:jc w:val="both"/>
        <w:rPr/>
      </w:pPr>
      <w:r>
        <w:rPr>
          <w:color w:val="000000"/>
        </w:rPr>
        <w:t>•</w:t>
      </w:r>
      <w:r>
        <w:rPr>
          <w:rFonts w:ascii="Times New Roman;serif" w:hAnsi="Times New Roman;serif"/>
          <w:b w:val="false"/>
          <w:color w:val="000000"/>
          <w:sz w:val="20"/>
        </w:rPr>
        <w:t>Value Creation: We aspire to achieving long-term value for all our stakeholders by providing compelling and unique benefits through technology differentiation and operational excellence.</w:t>
      </w:r>
    </w:p>
    <w:p>
      <w:pPr>
        <w:pStyle w:val="TextBody"/>
        <w:bidi w:val="0"/>
        <w:spacing w:before="0" w:after="0"/>
        <w:jc w:val="both"/>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ensuring we have the right talent in place is essential to delivering positive results for the business. We remain focused on developing our talent through training, competency, and mentoring, as well as attracting qualified individuals who will bring fresh perspectives and skill sets to the team. Through role-specific competency-based training and leadership development programs, we seek to expand our employees’ expertise and regularly reinforce important topics that align with our Core Values and strategic priorities.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Focus on Safety</w:t>
      </w:r>
    </w:p>
    <w:p>
      <w:pPr>
        <w:pStyle w:val="TextBody"/>
        <w:bidi w:val="0"/>
        <w:spacing w:before="0" w:after="0"/>
        <w:jc w:val="left"/>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Weatherford upholds a strong commitment to the health, safety, and overall well-being of our employees, customers, and the communities where we operate. We aim to foster an incident-free workplace, consistently honor our responsibilities, and ensure that the environments and communities we interact with are improved through our actions. Our company values are deeply rooted in safety, recognizing that effective safety practices contribute to operational efficiency.</w:t>
      </w:r>
    </w:p>
    <w:p>
      <w:pPr>
        <w:pStyle w:val="TextBody"/>
        <w:bidi w:val="0"/>
        <w:spacing w:before="0" w:after="0"/>
        <w:ind w:left="0" w:right="0" w:firstLine="360"/>
        <w:jc w:val="both"/>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commitment is reflected across all aspects of our organization. Our integrated management system, the Operational Excellence and Performance System (“OEPS”), addresses quality, health, safety, security, and environmental standards, meeting requirements such as ISO 45001. OEPS equips our employees in the field with the tools and support they need to fulfill customer expectations while maintaining high standards in every area. We also offer educational programs on best safety practices, and empower our workforce through the Stop Work Authority program to take action whenever unsafe behaviors or conditions are identified, ensuring that safety and service quality remain central to our operations.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Compensation</w:t>
      </w:r>
    </w:p>
    <w:p>
      <w:pPr>
        <w:pStyle w:val="TextBody"/>
        <w:bidi w:val="0"/>
        <w:spacing w:before="0" w:after="0"/>
        <w:ind w:left="0" w:right="0" w:firstLine="360"/>
        <w:jc w:val="both"/>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in aligning our employees’ compensation with the positive performance of our Company and returns realized for our shareholders. The goal of our compensation programs is to provide competitive compensation opportunities to each of our employees that are well-balanced between our current and long-term strategic priorities, that discourage excessive or unnecessary risk taking, and that reward our employees appropriately for their efforts. We are committed to maintaining and fostering a culture grounded in the principles inherent in pay-for-performance over the short and long-term for our employees eligible to receive a bonus. Through this culture, we strive to attract, motivate, retain, and reward our employees for their work that contributes to building our brand and to sustaining our success in the marketplace. We believe our culture of aligning our compensation programs with our strategic priorities supports a cohesive drive towards value creation for all our stakeholders.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Company Culture</w:t>
      </w:r>
    </w:p>
    <w:p>
      <w:pPr>
        <w:pStyle w:val="TextBody"/>
        <w:bidi w:val="0"/>
        <w:spacing w:before="0" w:after="0"/>
        <w:ind w:left="0" w:right="0" w:firstLine="360"/>
        <w:jc w:val="both"/>
        <w:rPr/>
      </w:pPr>
      <w:r>
        <w:rPr/>
      </w:r>
    </w:p>
    <w:p>
      <w:pPr>
        <w:pStyle w:val="TextBody"/>
        <w:bidi w:val="0"/>
        <w:spacing w:lineRule="auto" w:line="33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in a highly collaborative, global organization, and our workplaces must therefore support effective execution, employee engagement, and long-term business performance. Our approach emphasizes respect, collaboration, and the ability for employees at all levels to contribute effectively, leveraging a broad range of perspectives, experiences, and skills across the Company. These principles are embedded in our One Weatherford culture and inform how we attract, develop, and retain talent.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7</w:t>
                      </w:r>
                    </w:p>
                  </w:txbxContent>
                </v:textbox>
                <w10:wrap type="none"/>
              </v:rect>
            </w:pict>
          </mc:Fallback>
        </mc:AlternateContent>
      </w:r>
    </w:p>
    <w:p>
      <w:pPr>
        <w:pStyle w:val="TextBody"/>
        <w:bidi w:val="0"/>
        <w:spacing w:lineRule="auto" w:line="333" w:before="60" w:after="283"/>
        <w:jc w:val="left"/>
        <w:rPr>
          <w:color w:val="000000"/>
        </w:rPr>
      </w:pPr>
      <w:r>
        <w:rPr>
          <w:color w:val="000000"/>
        </w:rPr>
        <w:t>    </w:t>
      </w:r>
      <w:r>
        <w:rPr>
          <w:rFonts w:ascii="Times New Roman;serif" w:hAnsi="Times New Roman;serif"/>
          <w:b w:val="false"/>
          <w:color w:val="000000"/>
          <w:sz w:val="20"/>
        </w:rPr>
        <w:t>Item 1 | Business</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We aim to provide learning, engagement, and philanthropic opportunities to help our people and communities flourish. In 2025, we continued these efforts throughout the organization, including conducting celebrations across the Company that foster collaboration and meaningful conversations and connections. We continued our focus on talent development programs, including NextGen, our field engineering graduate program, which accelerates the development of technical and leadership capabilities for future roles. We also continued localization programs to develop local talent in support of customer operations. In addition, we continued to expand participation in the Women of Weatherford (“WOW”), an employee resource group that seeks to engage, support, empower, and inspire women to foster professional growth and advancement across our regions and employee levels, while also promoting volunteerism and giving back to our local communities.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Community Impact and Volunteering </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investing in our employees, we are committed to making a positive impact in the communities in which we live and work. Across our global operations, employees support community organizations through a range of activities, including volunteering time, donating goods, and providing financial contributions. These efforts focus on causes aligned with community needs, such as health and wellness, education, and support for vulnerable populations. Our community engagement initiatives are led locally and reflect the priorities of the regions in which we operate, reinforcing our commitment to responsible corporate citizenship and positive social impact.</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Employee Statistics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Weatherford had approximately 16,700 employees globally. Some of our operations are subject to union contracts and these contracts cover approximately 9% of our employees.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Executive Officers of Weatherford</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as of February 4, 2026, the names and ages of the executive officers of Weatherford, including all offices and positions held by each for at least the past five years. There are no family relationships between the executive officers of the Company or between any director and any executive officer of the Company.</w:t>
      </w:r>
    </w:p>
    <w:tbl>
      <w:tblPr>
        <w:tblW w:w="10205" w:type="dxa"/>
        <w:jc w:val="left"/>
        <w:tblInd w:w="0" w:type="dxa"/>
        <w:tblLayout w:type="fixed"/>
        <w:tblCellMar>
          <w:top w:w="28" w:type="dxa"/>
          <w:left w:w="28" w:type="dxa"/>
          <w:bottom w:w="28" w:type="dxa"/>
          <w:right w:w="28" w:type="dxa"/>
        </w:tblCellMar>
      </w:tblPr>
      <w:tblGrid>
        <w:gridCol w:w="643"/>
        <w:gridCol w:w="565"/>
        <w:gridCol w:w="570"/>
        <w:gridCol w:w="145"/>
        <w:gridCol w:w="145"/>
        <w:gridCol w:w="146"/>
        <w:gridCol w:w="2438"/>
        <w:gridCol w:w="2295"/>
        <w:gridCol w:w="3258"/>
      </w:tblGrid>
      <w:tr>
        <w:trPr/>
        <w:tc>
          <w:tcPr>
            <w:tcW w:w="64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3258" w:type="dxa"/>
            <w:tcBorders/>
            <w:vAlign w:val="center"/>
          </w:tcPr>
          <w:p>
            <w:pPr>
              <w:pStyle w:val="TableContents"/>
              <w:bidi w:val="0"/>
              <w:spacing w:before="0" w:after="283"/>
              <w:jc w:val="left"/>
              <w:rPr>
                <w:sz w:val="4"/>
                <w:szCs w:val="4"/>
              </w:rPr>
            </w:pPr>
            <w:r>
              <w:rPr>
                <w:sz w:val="4"/>
                <w:szCs w:val="4"/>
              </w:rPr>
            </w:r>
          </w:p>
        </w:tc>
      </w:tr>
      <w:tr>
        <w:trPr/>
        <w:tc>
          <w:tcPr>
            <w:tcW w:w="1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Age</w:t>
            </w:r>
          </w:p>
        </w:tc>
        <w:tc>
          <w:tcPr>
            <w:tcW w:w="7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Position and Five-Year Business Experience</w:t>
            </w:r>
          </w:p>
        </w:tc>
      </w:tr>
      <w:tr>
        <w:trPr/>
        <w:tc>
          <w:tcPr>
            <w:tcW w:w="1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Girishchandra K. Saligram</w:t>
            </w:r>
          </w:p>
        </w:tc>
        <w:tc>
          <w:tcPr>
            <w:tcW w:w="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54</w:t>
            </w:r>
          </w:p>
        </w:tc>
        <w:tc>
          <w:tcPr>
            <w:tcW w:w="7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President and Chief Executive Officer of Weatherford International plc since October 2020</w:t>
            </w:r>
          </w:p>
        </w:tc>
      </w:tr>
      <w:tr>
        <w:trPr/>
        <w:tc>
          <w:tcPr>
            <w:tcW w:w="1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Anuj Dhruv</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7991" w:type="dxa"/>
            <w:gridSpan w:val="3"/>
            <w:tcBorders/>
            <w:tcMar>
              <w:top w:w="0" w:type="dxa"/>
              <w:left w:w="0" w:type="dxa"/>
              <w:bottom w:w="0" w:type="dxa"/>
              <w:right w:w="0" w:type="dxa"/>
            </w:tcMar>
            <w:vAlign w:val="center"/>
          </w:tcPr>
          <w:p>
            <w:pPr>
              <w:pStyle w:val="TableContents"/>
              <w:bidi w:val="0"/>
              <w:spacing w:lineRule="auto" w:line="312" w:before="75" w:after="30"/>
              <w:jc w:val="both"/>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 of Weatherford International plc, since April 2025</w:t>
            </w:r>
          </w:p>
        </w:tc>
      </w:tr>
      <w:tr>
        <w:trPr/>
        <w:tc>
          <w:tcPr>
            <w:tcW w:w="1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1" w:type="dxa"/>
            <w:gridSpan w:val="3"/>
            <w:tcBorders/>
            <w:tcMar>
              <w:top w:w="0" w:type="dxa"/>
              <w:left w:w="0" w:type="dxa"/>
              <w:bottom w:w="0" w:type="dxa"/>
              <w:right w:w="0" w:type="dxa"/>
            </w:tcMar>
            <w:vAlign w:val="center"/>
          </w:tcPr>
          <w:p>
            <w:pPr>
              <w:pStyle w:val="TableContents"/>
              <w:bidi w:val="0"/>
              <w:spacing w:lineRule="auto" w:line="312" w:before="75" w:after="30"/>
              <w:jc w:val="both"/>
              <w:rPr>
                <w:rFonts w:ascii="Times New Roman;serif" w:hAnsi="Times New Roman;serif"/>
                <w:b w:val="false"/>
                <w:color w:val="000000"/>
                <w:sz w:val="20"/>
              </w:rPr>
            </w:pPr>
            <w:r>
              <w:rPr>
                <w:rFonts w:ascii="Times New Roman;serif" w:hAnsi="Times New Roman;serif"/>
                <w:b w:val="false"/>
                <w:color w:val="000000"/>
                <w:sz w:val="20"/>
              </w:rPr>
              <w:t>Vice President of Finance and Strategy for the Global Olefins and Polyolefins segment at LyondellBasell from November 2022 to April 2025</w:t>
            </w:r>
          </w:p>
        </w:tc>
      </w:tr>
      <w:tr>
        <w:trPr/>
        <w:tc>
          <w:tcPr>
            <w:tcW w:w="1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1" w:type="dxa"/>
            <w:gridSpan w:val="3"/>
            <w:tcBorders/>
            <w:tcMar>
              <w:top w:w="0" w:type="dxa"/>
              <w:left w:w="0" w:type="dxa"/>
              <w:bottom w:w="0" w:type="dxa"/>
              <w:right w:w="0" w:type="dxa"/>
            </w:tcMar>
            <w:vAlign w:val="center"/>
          </w:tcPr>
          <w:p>
            <w:pPr>
              <w:pStyle w:val="TableContents"/>
              <w:bidi w:val="0"/>
              <w:spacing w:lineRule="auto" w:line="312" w:before="75" w:after="30"/>
              <w:jc w:val="both"/>
              <w:rPr>
                <w:rFonts w:ascii="Times New Roman;serif" w:hAnsi="Times New Roman;serif"/>
                <w:b w:val="false"/>
                <w:color w:val="000000"/>
                <w:sz w:val="20"/>
              </w:rPr>
            </w:pPr>
            <w:r>
              <w:rPr>
                <w:rFonts w:ascii="Times New Roman;serif" w:hAnsi="Times New Roman;serif"/>
                <w:b w:val="false"/>
                <w:color w:val="000000"/>
                <w:sz w:val="20"/>
              </w:rPr>
              <w:t>Vice President and Treasurer at LyondellBasell beginning in February 2020</w:t>
            </w:r>
          </w:p>
        </w:tc>
      </w:tr>
      <w:tr>
        <w:trPr/>
        <w:tc>
          <w:tcPr>
            <w:tcW w:w="1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C. Weatherholt</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48</w:t>
            </w:r>
          </w:p>
        </w:tc>
        <w:tc>
          <w:tcPr>
            <w:tcW w:w="79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Executive Vice President, General Counsel, and Chief Compliance Officer of Weatherford International plc, since July 2020</w:t>
            </w:r>
          </w:p>
        </w:tc>
      </w:tr>
      <w:tr>
        <w:trPr/>
        <w:tc>
          <w:tcPr>
            <w:tcW w:w="1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D. Ward</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57</w:t>
            </w:r>
          </w:p>
        </w:tc>
        <w:tc>
          <w:tcPr>
            <w:tcW w:w="7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Executive Vice President, Global Field Operations of Weatherford International plc, since January 2024</w:t>
            </w:r>
          </w:p>
        </w:tc>
      </w:tr>
      <w:tr>
        <w:trPr/>
        <w:tc>
          <w:tcPr>
            <w:tcW w:w="1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Senior Vice President, Subsea Production Systems of Baker Hughes Co, from May 2021 to December 2022</w:t>
            </w:r>
          </w:p>
        </w:tc>
      </w:tr>
      <w:tr>
        <w:trPr/>
        <w:tc>
          <w:tcPr>
            <w:tcW w:w="1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Senior Vice President, Strategic Planning &amp; Solutions of Baker Hughes Co, from October 2019 to May 2021</w:t>
            </w:r>
          </w:p>
        </w:tc>
      </w:tr>
      <w:tr>
        <w:trPr/>
        <w:tc>
          <w:tcPr>
            <w:tcW w:w="1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Desmond J. Mills</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53</w:t>
            </w:r>
          </w:p>
        </w:tc>
        <w:tc>
          <w:tcPr>
            <w:tcW w:w="79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Senior Vice President and Chief Accounting Officer of Weatherford International plc, since November 2021 (Interim Chief Financial Officer August 2022 to January 2023)</w:t>
            </w:r>
          </w:p>
        </w:tc>
      </w:tr>
      <w:tr>
        <w:trPr/>
        <w:tc>
          <w:tcPr>
            <w:tcW w:w="1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Vice President and Chief Accounting Officer of Weatherford International plc, from March 2021 to November 2021</w:t>
            </w:r>
          </w:p>
        </w:tc>
      </w:tr>
      <w:tr>
        <w:trPr/>
        <w:tc>
          <w:tcPr>
            <w:tcW w:w="1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1" w:type="dxa"/>
            <w:gridSpan w:val="3"/>
            <w:tcBorders/>
            <w:tcMar>
              <w:top w:w="0" w:type="dxa"/>
              <w:left w:w="0" w:type="dxa"/>
              <w:bottom w:w="0" w:type="dxa"/>
              <w:right w:w="0" w:type="dxa"/>
            </w:tcMar>
            <w:vAlign w:val="center"/>
          </w:tcPr>
          <w:p>
            <w:pPr>
              <w:pStyle w:val="TableContents"/>
              <w:bidi w:val="0"/>
              <w:spacing w:lineRule="auto" w:line="312" w:before="75" w:after="30"/>
              <w:jc w:val="both"/>
              <w:rPr>
                <w:rFonts w:ascii="Times New Roman;serif" w:hAnsi="Times New Roman;serif"/>
                <w:b w:val="false"/>
                <w:color w:val="000000"/>
                <w:sz w:val="20"/>
              </w:rPr>
            </w:pPr>
            <w:r>
              <w:rPr>
                <w:rFonts w:ascii="Times New Roman;serif" w:hAnsi="Times New Roman;serif"/>
                <w:b w:val="false"/>
                <w:color w:val="000000"/>
                <w:sz w:val="20"/>
              </w:rPr>
              <w:t>Segment Compliance Manager, Construction Industries Segment, Caterpillar Inc., from July 2020 to March 2021</w:t>
            </w:r>
          </w:p>
        </w:tc>
      </w:tr>
    </w:tbl>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8</w:t>
                      </w:r>
                    </w:p>
                  </w:txbxContent>
                </v:textbox>
                <w10:wrap type="none"/>
              </v:rect>
            </w:pict>
          </mc:Fallback>
        </mc:AlternateContent>
      </w:r>
    </w:p>
    <w:p>
      <w:pPr>
        <w:pStyle w:val="TextBody"/>
        <w:bidi w:val="0"/>
        <w:spacing w:lineRule="auto" w:line="333" w:before="60" w:after="283"/>
        <w:jc w:val="left"/>
        <w:rPr>
          <w:color w:val="000000"/>
        </w:rPr>
      </w:pPr>
      <w:r>
        <w:rPr>
          <w:color w:val="000000"/>
        </w:rPr>
        <w:t>    </w:t>
      </w:r>
      <w:r>
        <w:rPr>
          <w:rFonts w:ascii="Times New Roman;serif" w:hAnsi="Times New Roman;serif"/>
          <w:b w:val="false"/>
          <w:color w:val="000000"/>
          <w:sz w:val="20"/>
        </w:rPr>
        <w:t>Item 1 | Business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left"/>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 investment in our securities involves various risks. You should consider carefully all the risk factors described below, the matters discussed herein under “Forward-Looking Statements” and other information included and incorporated by reference in this Form 10-K, as well as in other reports and materials that we file with the SEC. If any of the risks described below, or elsewhere in this Form 10-K, were to materialize, our business, financial condition, results of operations, cash flows and or prospects could be materially adversely affected. In such case, the trading price of our ordinary shares could decline, and investors could lose part or all of their investment. Additional risks and uncertainties not currently known to us or that we currently deem immaterial may also materially adversely affect our financial condition, results of operations and cash flows.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color w:val="000000"/>
          <w:sz w:val="20"/>
          <w:u w:val="single"/>
        </w:rPr>
      </w:pPr>
      <w:r>
        <w:rPr>
          <w:rFonts w:ascii="Times New Roman;serif" w:hAnsi="Times New Roman;serif"/>
          <w:b/>
          <w:color w:val="000000"/>
          <w:sz w:val="20"/>
          <w:u w:val="single"/>
        </w:rPr>
        <w:t>Energy Services Industry Risks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Our business is dependent on capital spending by our customers which is greatly affected by fluctuations in oil and natural gas prices and the availability and cost of capital; reductions in capital spending by our customers has had, and could continue to have, an adverse effect on our business, financial condition and results of operations.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Demand for our products and services is tied to the level of exploration, development and production activity and the corresponding capital and operating spending by oil and natural gas exploration and production companies, including national oil companies. The level of exploration, development and production activity is directly affected by fluctuations in oil and natural gas prices, which historically have been volatile and are likely to continue to be volatile in the future, especially given current geopolitical and economic conditions. Low oil and natural gas prices and decline in global demand for oil and natural gas, including reduced demand as a result of a pandemic, have previously led to our customers, including national oil companies and large oil and natural gas exploration and production companies, to greatly reduce planned future capital expenditures. Factors affecting the prices of oil and natural gas include, but are not limited to: </w:t>
      </w:r>
    </w:p>
    <w:p>
      <w:pPr>
        <w:pStyle w:val="TextBody"/>
        <w:bidi w:val="0"/>
        <w:spacing w:before="0" w:after="0"/>
        <w:ind w:left="0" w:right="0" w:firstLine="360"/>
        <w:jc w:val="both"/>
        <w:rPr/>
      </w:pPr>
      <w:r>
        <w:rPr/>
      </w:r>
    </w:p>
    <w:p>
      <w:pPr>
        <w:pStyle w:val="TextBody"/>
        <w:bidi w:val="0"/>
        <w:spacing w:lineRule="auto" w:line="319" w:before="0" w:after="0"/>
        <w:ind w:left="0" w:right="0" w:hanging="360"/>
        <w:jc w:val="both"/>
        <w:rPr/>
      </w:pPr>
      <w:r>
        <w:rPr>
          <w:color w:val="000000"/>
        </w:rPr>
        <w:t>•</w:t>
      </w:r>
      <w:r>
        <w:rPr>
          <w:rFonts w:ascii="Times New Roman;serif" w:hAnsi="Times New Roman;serif"/>
          <w:b w:val="false"/>
          <w:color w:val="000000"/>
          <w:sz w:val="20"/>
        </w:rPr>
        <w:t xml:space="preserve">the level of supply and demand for oil and natural gas; </w:t>
      </w:r>
    </w:p>
    <w:p>
      <w:pPr>
        <w:pStyle w:val="TextBody"/>
        <w:bidi w:val="0"/>
        <w:spacing w:lineRule="auto" w:line="319" w:before="0" w:after="0"/>
        <w:ind w:left="0" w:right="0" w:hanging="360"/>
        <w:jc w:val="both"/>
        <w:rPr/>
      </w:pPr>
      <w:r>
        <w:rPr>
          <w:color w:val="000000"/>
        </w:rPr>
        <w:t>•</w:t>
      </w:r>
      <w:r>
        <w:rPr>
          <w:rFonts w:ascii="Times New Roman;serif" w:hAnsi="Times New Roman;serif"/>
          <w:b w:val="false"/>
          <w:color w:val="000000"/>
          <w:sz w:val="20"/>
        </w:rPr>
        <w:t xml:space="preserve">the ability or willingness of the Organization of Petroleum Exporting Countries (“OPEC”) and the expanded alliance (“OPEC+”) and other high oil exporting non-OPEC+ nations to set and maintain oil production levels; </w:t>
      </w:r>
    </w:p>
    <w:p>
      <w:pPr>
        <w:pStyle w:val="TextBody"/>
        <w:bidi w:val="0"/>
        <w:spacing w:lineRule="auto" w:line="319" w:before="0" w:after="0"/>
        <w:ind w:left="0" w:right="0" w:hanging="360"/>
        <w:jc w:val="both"/>
        <w:rPr/>
      </w:pPr>
      <w:r>
        <w:rPr>
          <w:color w:val="000000"/>
        </w:rPr>
        <w:t>•</w:t>
      </w:r>
      <w:r>
        <w:rPr>
          <w:rFonts w:ascii="Times New Roman;serif" w:hAnsi="Times New Roman;serif"/>
          <w:b w:val="false"/>
          <w:color w:val="000000"/>
          <w:sz w:val="20"/>
        </w:rPr>
        <w:t xml:space="preserve">the level of oil and natural gas production in the U.S. and by other non-OPEC+ countries; </w:t>
      </w:r>
    </w:p>
    <w:p>
      <w:pPr>
        <w:pStyle w:val="TextBody"/>
        <w:bidi w:val="0"/>
        <w:spacing w:lineRule="auto" w:line="319" w:before="0" w:after="0"/>
        <w:ind w:left="0" w:right="0" w:hanging="360"/>
        <w:jc w:val="both"/>
        <w:rPr/>
      </w:pPr>
      <w:r>
        <w:rPr>
          <w:color w:val="000000"/>
        </w:rPr>
        <w:t>•</w:t>
      </w:r>
      <w:r>
        <w:rPr>
          <w:rFonts w:ascii="Times New Roman;serif" w:hAnsi="Times New Roman;serif"/>
          <w:b w:val="false"/>
          <w:color w:val="000000"/>
          <w:sz w:val="20"/>
        </w:rPr>
        <w:t xml:space="preserve">oil refining capacity; </w:t>
      </w:r>
    </w:p>
    <w:p>
      <w:pPr>
        <w:pStyle w:val="TextBody"/>
        <w:bidi w:val="0"/>
        <w:spacing w:lineRule="auto" w:line="319" w:before="0" w:after="0"/>
        <w:ind w:left="0" w:right="0" w:hanging="360"/>
        <w:jc w:val="both"/>
        <w:rPr/>
      </w:pPr>
      <w:r>
        <w:rPr>
          <w:color w:val="000000"/>
        </w:rPr>
        <w:t>•</w:t>
      </w:r>
      <w:r>
        <w:rPr>
          <w:rFonts w:ascii="Times New Roman;serif" w:hAnsi="Times New Roman;serif"/>
          <w:b w:val="false"/>
          <w:color w:val="000000"/>
          <w:sz w:val="20"/>
        </w:rPr>
        <w:t xml:space="preserve">shifts in end-customer preferences toward sustainable energy sources, fuel efficiency and the use of natural gas; </w:t>
      </w:r>
    </w:p>
    <w:p>
      <w:pPr>
        <w:pStyle w:val="TextBody"/>
        <w:bidi w:val="0"/>
        <w:spacing w:lineRule="auto" w:line="319" w:before="0" w:after="0"/>
        <w:ind w:left="0" w:right="0" w:hanging="360"/>
        <w:jc w:val="both"/>
        <w:rPr/>
      </w:pPr>
      <w:r>
        <w:rPr>
          <w:color w:val="000000"/>
        </w:rPr>
        <w:t>•</w:t>
      </w:r>
      <w:r>
        <w:rPr>
          <w:rFonts w:ascii="Times New Roman;serif" w:hAnsi="Times New Roman;serif"/>
          <w:b w:val="false"/>
          <w:color w:val="000000"/>
          <w:sz w:val="20"/>
        </w:rPr>
        <w:t xml:space="preserve">the cost of, and constraints associated with, producing and delivering oil and natural gas; </w:t>
      </w:r>
    </w:p>
    <w:p>
      <w:pPr>
        <w:pStyle w:val="TextBody"/>
        <w:bidi w:val="0"/>
        <w:spacing w:lineRule="auto" w:line="319" w:before="0" w:after="0"/>
        <w:ind w:left="0" w:right="0" w:hanging="360"/>
        <w:jc w:val="both"/>
        <w:rPr/>
      </w:pPr>
      <w:r>
        <w:rPr>
          <w:color w:val="000000"/>
        </w:rPr>
        <w:t>•</w:t>
      </w:r>
      <w:r>
        <w:rPr>
          <w:rFonts w:ascii="Times New Roman;serif" w:hAnsi="Times New Roman;serif"/>
          <w:b w:val="false"/>
          <w:color w:val="000000"/>
          <w:sz w:val="20"/>
        </w:rPr>
        <w:t xml:space="preserve">governmental regulations, including the policies of governments regarding the exploration for and production and </w:t>
      </w:r>
    </w:p>
    <w:p>
      <w:pPr>
        <w:pStyle w:val="TextBody"/>
        <w:bidi w:val="0"/>
        <w:spacing w:lineRule="auto" w:line="333"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development of their oil and natural gas reserves;</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0"/>
        </w:rPr>
        <w:t xml:space="preserve">weather conditions, unusual wildfires, natural disasters, and health or similar issues, such as pandemics or epidemics; </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0"/>
        </w:rPr>
        <w:t>worldwide political, military, and economic conditions; and</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0"/>
        </w:rPr>
        <w:t xml:space="preserve">increased demand for alternative energy and electric vehicles, including government initiatives to promote the use of </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sustainable, renewable energy sources and public sentiment around alternatives to oil and natural gas.</w:t>
      </w:r>
    </w:p>
    <w:p>
      <w:pPr>
        <w:pStyle w:val="TextBody"/>
        <w:bidi w:val="0"/>
        <w:spacing w:before="0" w:after="0"/>
        <w:jc w:val="both"/>
        <w:rPr/>
      </w:pPr>
      <w:r>
        <w:rPr/>
      </w:r>
    </w:p>
    <w:p>
      <w:pPr>
        <w:pStyle w:val="TextBody"/>
        <w:bidi w:val="0"/>
        <w:spacing w:lineRule="auto" w:line="33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Reductions in capital spending or reductions in the prices we receive for our products and services provided to our customers could have a material adverse effect on our business, financial condition and results of operations. Spending by exploration and production companies can also be impacted by conditions in the capital markets, which may be volatile at times. Limitations on the availability of capital or higher costs of capital may cause exploration and production companies to make additional reductions to their capital budgets even if oil and natural gas prices increase from current levels. In addition, the transition of the global energy sector from primarily a fossil fuel-based system to renewable energy sources could affect our customers' levels of expenditures on products and services related to fossil fuels. Any such reductions in spending could curtail drilling programs, as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9</w:t>
                      </w:r>
                    </w:p>
                  </w:txbxContent>
                </v:textbox>
                <w10:wrap type="none"/>
              </v:rect>
            </w:pict>
          </mc:Fallback>
        </mc:AlternateContent>
      </w:r>
    </w:p>
    <w:p>
      <w:pPr>
        <w:pStyle w:val="TextBody"/>
        <w:bidi w:val="0"/>
        <w:spacing w:lineRule="auto" w:line="333" w:before="60" w:after="283"/>
        <w:jc w:val="left"/>
        <w:rPr>
          <w:color w:val="000000"/>
        </w:rPr>
      </w:pPr>
      <w:r>
        <w:rPr>
          <w:color w:val="000000"/>
        </w:rPr>
        <w:t>    </w:t>
      </w:r>
      <w:r>
        <w:rPr>
          <w:rFonts w:ascii="Times New Roman;serif" w:hAnsi="Times New Roman;serif"/>
          <w:b w:val="false"/>
          <w:color w:val="000000"/>
          <w:sz w:val="20"/>
        </w:rPr>
        <w:t>Item 1 | Business</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well as discretionary spending on well services, which may result in a reduction in the demand for certain of our products and services, the rates we can charge for and the utilization of our assets, any or all of which could have a material adverse effect on our business, financial condition and results of operations. </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Our fulfillment system relies on a global network of external suppliers and service providers, which may be impacted by macroeconomic conditions, and geopolitical conflict and instability. Shortages, supplier capacity constraints, supplier production disruptions, supplier quality and sourcing issues or price increases could have a material adverse effect on our business, financial condition and results of operations.</w:t>
      </w:r>
    </w:p>
    <w:p>
      <w:pPr>
        <w:pStyle w:val="TextBody"/>
        <w:bidi w:val="0"/>
        <w:spacing w:before="0" w:after="0"/>
        <w:jc w:val="left"/>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purchase a variety of raw materials, as well as parts and components made by other manufacturers and suppliers for use in our manufacturing facilities. Our global supply chain is also subject to macroeconomic conditions and political risks. Adverse macroeconomic conditions, including inflation, slower growth or recession and higher interest rates could create disruptions in our supply chain. Similarly, geopolitical risks, including instability resulting from civil unrest, political demonstrations, strikes and armed conflict or other crises in the oil and gas producing regions, and the resulting sanctions, could change the global supply chain dynamics and demand. A disruption in deliveries to or from suppliers, or decreased availability of materials at acceptable prices or at all, could have an adverse effect on our ability to meet our commitments to customers or increase our operating costs. Also, certain parts and equipment that we use in our operations may be available only from a small number of suppliers, manufacturers or service providers. A disruption in the deliveries from such third</w:t>
        <w:noBreakHyphen/>
        <w:t>party suppliers, manufacturers or service providers, capacity constraints, production disruptions, price increases, quality control issues, recalls or other decreased availability of parts and equipment could adversely affect our ability to meet our commitments to customers and have a material adverse effect on our business, financial condition and results of operations.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Climate change, environmental, social and governance (“ESG”) and other sustainability initiatives may result in regulatory or structural industry changes that could require significant operational changes and expenditures, reduce demand for our products and services and adversely affect our business, financial condition, results of operations, stock price or access to capital markets.</w:t>
      </w:r>
    </w:p>
    <w:p>
      <w:pPr>
        <w:pStyle w:val="TextBody"/>
        <w:bidi w:val="0"/>
        <w:spacing w:before="0" w:after="0"/>
        <w:jc w:val="left"/>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Sustainability initiatives are a growing global movement. Continuing political and social attention to these issues has resulted in both existing and pending international agreements and national, regional and local legislation, regulatory measures, reporting obligations and policy changes, including to reduce the reliance upon oil and natural gas. Also, there is increasing societal pressure in some of the areas where we operate, to limit greenhouse gas emissions as well as other global initiatives. These agreements and measures, including the Paris Climate Accord, may require, or could result in future legislation, regulatory measures or policy changes that would require, significant equipment modifications, operational changes, taxes, or purchases of emission credits to reduce emission of greenhouse gases from our operations or those of our customers, which may result in substantial capital expenditures and compliance, operating, maintenance and remediation costs. As a result, demand for hydrocarbons may be reduced, which could have an adverse effect on our business, financial condition, and results of operations. The imposition and enforcement of stringent greenhouse gas emissions reduction requirements could severely and adversely impact the oil and natural gas industry and therefore significantly reduce the value of our business.</w:t>
      </w:r>
    </w:p>
    <w:p>
      <w:pPr>
        <w:pStyle w:val="TextBody"/>
        <w:bidi w:val="0"/>
        <w:spacing w:before="0" w:after="0"/>
        <w:ind w:left="0" w:right="0" w:firstLine="360"/>
        <w:jc w:val="both"/>
        <w:rPr/>
      </w:pPr>
      <w:r>
        <w:rPr/>
      </w:r>
    </w:p>
    <w:p>
      <w:pPr>
        <w:pStyle w:val="TextBody"/>
        <w:bidi w:val="0"/>
        <w:spacing w:lineRule="auto" w:line="297"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Certain financial institutions, institutional investors and other sources of capital may limit or eliminate their investment in financing of conventional energy-related activities due to concerns about climate change, which could make it more difficult for our customers and for us to finance our respective businesses. Increasing attention to climate change, ESG and sustainability may result in governmental investigations, and public and private litigation, which could increase our costs or otherwise adversely affect our business or results of operations. </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organizations that provide information to investors on corporate governance and related matters have developed ratings processes for evaluating companies on their approach to ESG matters. Such ratings are used by some investors to inform their investment and voting decisions. Unfavorable ESG ratings may lead to increased negative investor sentiment toward us and our industry and to the diversion of investment to other companies or industries, which could have a negative impact on the price of our securities and our access to and costs of capital.</w:t>
      </w:r>
    </w:p>
    <w:p>
      <w:pPr>
        <w:pStyle w:val="TextBody"/>
        <w:bidi w:val="0"/>
        <w:ind w:left="0" w:right="0" w:firstLine="3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10</w:t>
                      </w:r>
                    </w:p>
                  </w:txbxContent>
                </v:textbox>
                <w10:wrap type="none"/>
              </v:rect>
            </w:pict>
          </mc:Fallback>
        </mc:AlternateContent>
      </w:r>
    </w:p>
    <w:p>
      <w:pPr>
        <w:pStyle w:val="TextBody"/>
        <w:bidi w:val="0"/>
        <w:spacing w:lineRule="auto" w:line="333" w:before="60" w:after="283"/>
        <w:jc w:val="left"/>
        <w:rPr>
          <w:color w:val="000000"/>
        </w:rPr>
      </w:pPr>
      <w:r>
        <w:rPr>
          <w:color w:val="000000"/>
        </w:rPr>
        <w:t>    </w:t>
      </w:r>
      <w:r>
        <w:rPr>
          <w:rFonts w:ascii="Times New Roman;serif" w:hAnsi="Times New Roman;serif"/>
          <w:b w:val="false"/>
          <w:color w:val="000000"/>
          <w:sz w:val="20"/>
        </w:rPr>
        <w:t>Item 1 | Business</w:t>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or all of these ESG and sustainability initiatives may result in significant operational changes and expenditures, reduced demand for our products and services, and could materially adversely affect our business, financial condition, results of operations, stock price or access to capital markets.</w:t>
      </w:r>
    </w:p>
    <w:p>
      <w:pPr>
        <w:pStyle w:val="TextBody"/>
        <w:bidi w:val="0"/>
        <w:spacing w:before="0" w:after="0"/>
        <w:ind w:left="0" w:right="0" w:firstLine="360"/>
        <w:jc w:val="both"/>
        <w:rPr/>
      </w:pPr>
      <w:r>
        <w:rPr/>
      </w:r>
    </w:p>
    <w:p>
      <w:pPr>
        <w:pStyle w:val="TextBody"/>
        <w:bidi w:val="0"/>
        <w:spacing w:lineRule="auto" w:line="312"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Failure to effectively and timely address the need to operate more sustainably and with a lower carbon footprint and impact could adversely affect our business, results of operations and cash flows.</w:t>
      </w:r>
    </w:p>
    <w:p>
      <w:pPr>
        <w:pStyle w:val="TextBody"/>
        <w:bidi w:val="0"/>
        <w:spacing w:before="0" w:after="0"/>
        <w:jc w:val="left"/>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long-term success may depend on our ability to effectively lower the carbon impact of how we deliver our products and services to our customers as well as adapting our technology portfolio for potentially changing government requirements and customer preferences towards more sustainable competitors. We may also consider engaging with our customers to develop solutions to decarbonize our customers’ oil and natural gas operations. We could potentially lose engagement with customers, investors and/or certain financial institutions if we fail or are perceived to fail at effectively and timely addressing the need to conduct our operations and provision of services to our customers more sustainably and with a lower carbon footprint which could materially adversely affect our business, financial condition and results of operations.</w:t>
      </w:r>
    </w:p>
    <w:p>
      <w:pPr>
        <w:pStyle w:val="TextBody"/>
        <w:bidi w:val="0"/>
        <w:spacing w:before="0" w:after="0"/>
        <w:jc w:val="left"/>
        <w:rPr/>
      </w:pPr>
      <w:r>
        <w:rPr/>
      </w:r>
    </w:p>
    <w:p>
      <w:pPr>
        <w:pStyle w:val="TextBody"/>
        <w:bidi w:val="0"/>
        <w:spacing w:lineRule="auto" w:line="333"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Failure to effectively and timely address the energy transition could materially adversely affect our business, financial condition and results of operations.</w:t>
      </w:r>
    </w:p>
    <w:p>
      <w:pPr>
        <w:pStyle w:val="TextBody"/>
        <w:bidi w:val="0"/>
        <w:spacing w:before="0" w:after="0"/>
        <w:jc w:val="left"/>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long-term success depends on our ability to effectively participate in the energy transition, which will require adapting our technology portfolio to potentially changing market demand for products and services and to support the production of energy from sources other than hydrocarbons (e.g., geothermal, carbon capture, responsible abandonment, wind, solar and hydrogen). If the energy transition landscape changes faster than anticipated or in a manner that we do not anticipate, demand for our products and services could be adversely affected. Furthermore, if we fail or are perceived to not effectively implement an energy transition strategy, or if investors or financial institutions shift funding away from companies focused primarily or solely in fossil fuel-related industries, it could materially adversely affect our business, financial condition, results of operations and our access to capital or the market for our securities.</w:t>
      </w:r>
    </w:p>
    <w:p>
      <w:pPr>
        <w:pStyle w:val="TextBody"/>
        <w:bidi w:val="0"/>
        <w:spacing w:before="0" w:after="0"/>
        <w:jc w:val="left"/>
        <w:rPr/>
      </w:pPr>
      <w:r>
        <w:rPr/>
      </w:r>
    </w:p>
    <w:p>
      <w:pPr>
        <w:pStyle w:val="TextBody"/>
        <w:bidi w:val="0"/>
        <w:spacing w:lineRule="auto" w:line="333"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Severe weather, including extreme weather conditions and unusual wildfires, has in the past, and could in the future, adversely affect our business and results of operations.</w:t>
      </w:r>
    </w:p>
    <w:p>
      <w:pPr>
        <w:pStyle w:val="TextBody"/>
        <w:bidi w:val="0"/>
        <w:spacing w:before="0" w:after="0"/>
        <w:jc w:val="left"/>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has been, and in the future will likely be, affected by severe weather and unusual wildfires in areas where we operate, which could materially adversely affect our operations. In addition, the frequency and severity of these events may also materially affect our operations and financial results. Any such events could have a material adverse effect on our business, financial condition and results of operations.</w:t>
      </w:r>
    </w:p>
    <w:p>
      <w:pPr>
        <w:pStyle w:val="TextBody"/>
        <w:bidi w:val="0"/>
        <w:spacing w:before="0" w:after="0"/>
        <w:ind w:left="0" w:right="0" w:firstLine="360"/>
        <w:jc w:val="both"/>
        <w:rPr/>
      </w:pPr>
      <w:r>
        <w:rPr/>
      </w:r>
    </w:p>
    <w:p>
      <w:pPr>
        <w:pStyle w:val="TextBody"/>
        <w:bidi w:val="0"/>
        <w:spacing w:lineRule="auto" w:line="333"/>
        <w:ind w:left="0" w:right="0" w:firstLine="360"/>
        <w:jc w:val="both"/>
        <w:rPr>
          <w:rFonts w:ascii="Times New Roman;serif" w:hAnsi="Times New Roman;serif"/>
          <w:b/>
          <w:color w:val="000000"/>
          <w:sz w:val="20"/>
        </w:rPr>
      </w:pPr>
      <w:r>
        <w:rPr>
          <w:rFonts w:ascii="Times New Roman;serif" w:hAnsi="Times New Roman;serif"/>
          <w:b/>
          <w:color w:val="000000"/>
          <w:sz w:val="20"/>
        </w:rPr>
        <w:t>Liability claims resulting from catastrophic incidents could have a material adverse effect on our business, financial condition and results of operations.</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11</w:t>
                      </w:r>
                    </w:p>
                  </w:txbxContent>
                </v:textbox>
                <w10:wrap type="none"/>
              </v:rect>
            </w:pict>
          </mc:Fallback>
        </mc:AlternateContent>
      </w:r>
    </w:p>
    <w:p>
      <w:pPr>
        <w:pStyle w:val="TextBody"/>
        <w:bidi w:val="0"/>
        <w:spacing w:lineRule="auto" w:line="333" w:before="60" w:after="283"/>
        <w:jc w:val="left"/>
        <w:rPr>
          <w:color w:val="000000"/>
        </w:rPr>
      </w:pPr>
      <w:r>
        <w:rPr>
          <w:color w:val="000000"/>
        </w:rPr>
        <w:t>    </w:t>
      </w:r>
      <w:r>
        <w:rPr>
          <w:rFonts w:ascii="Times New Roman;serif" w:hAnsi="Times New Roman;serif"/>
          <w:b w:val="false"/>
          <w:color w:val="000000"/>
          <w:sz w:val="20"/>
        </w:rPr>
        <w:t>Item 1 | Business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Drilling for and producing hydrocarbons, and the associated products and services that we provide, include inherent dangers that may lead to property damage, personal injury, death or the discharge of hazardous materials into the environment. Many of these events are outside our control. Typically, we provide products and services at a well site where our personnel and equipment are located together with personnel and equipment of our customer and third parties, such as other service providers. At many sites, we depend on other companies and personnel to conduct drilling and other operations in accordance with appropriate safety standards. From time to time, personnel are injured, or equipment or property is damaged or destroyed, as a result of accidents, equipment failures, faulty products or services, failure of safety measures, uncontained formation pressures or other dangers inherent in drilling for or producing oil and natural gas. Any of these events can be the result of human error. With increasing frequency, our products and services are deployed on more challenging prospects both onshore and offshore, where the occurrence of the types of events mentioned above can have an even more catastrophic impact on people, equipment or the environment. Such events may expose us to significant potential losses which could have a material adverse effect on our business, financial condition and results of operations.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Consolidation in our industry may impact our results of operations.</w:t>
      </w:r>
    </w:p>
    <w:p>
      <w:pPr>
        <w:pStyle w:val="TextBody"/>
        <w:bidi w:val="0"/>
        <w:spacing w:before="0" w:after="0"/>
        <w:ind w:left="0" w:right="0" w:firstLine="360"/>
        <w:jc w:val="both"/>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significant business consolidations within the oil and gas industry in recent years. Continuing consolidation within the industry may result in reduced capital spending by some of our customers or the acquisition of one or more of our primary customers, which may lead to decreased demand for our products and services.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ind w:left="0" w:right="0" w:firstLine="360"/>
        <w:jc w:val="both"/>
        <w:rPr>
          <w:rFonts w:ascii="Times New Roman;serif" w:hAnsi="Times New Roman;serif"/>
          <w:b/>
          <w:color w:val="000000"/>
          <w:sz w:val="20"/>
          <w:u w:val="single"/>
        </w:rPr>
      </w:pPr>
      <w:r>
        <w:rPr>
          <w:rFonts w:ascii="Times New Roman;serif" w:hAnsi="Times New Roman;serif"/>
          <w:b/>
          <w:color w:val="000000"/>
          <w:sz w:val="20"/>
          <w:u w:val="single"/>
        </w:rPr>
        <w:t xml:space="preserve">Business and Operational Risks </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 xml:space="preserve">A significant portion of our revenue is derived from our operations outside the U.S., which exposes us to risks inherent in doing business in each of the approximately 75 countries in which we operate. </w:t>
      </w:r>
    </w:p>
    <w:p>
      <w:pPr>
        <w:pStyle w:val="TextBody"/>
        <w:bidi w:val="0"/>
        <w:spacing w:lineRule="auto" w:line="297"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U.S. accounted for 15%, 15% and 16% of revenues in 2025, 2024 and 2023, respectively. The rest of our revenues were from non-U.S. operations. Operations in countries other than the U.S. are subject to various risks, including: </w:t>
      </w:r>
    </w:p>
    <w:p>
      <w:pPr>
        <w:pStyle w:val="TextBody"/>
        <w:bidi w:val="0"/>
        <w:spacing w:before="0" w:after="0"/>
        <w:ind w:left="0" w:right="0" w:firstLine="360"/>
        <w:jc w:val="both"/>
        <w:rPr/>
      </w:pPr>
      <w:r>
        <w:rPr/>
      </w:r>
    </w:p>
    <w:p>
      <w:pPr>
        <w:pStyle w:val="TextBody"/>
        <w:bidi w:val="0"/>
        <w:spacing w:lineRule="auto" w:line="319" w:before="0" w:after="0"/>
        <w:ind w:left="0" w:right="0" w:hanging="360"/>
        <w:jc w:val="both"/>
        <w:rPr/>
      </w:pPr>
      <w:r>
        <w:rPr>
          <w:color w:val="000000"/>
        </w:rPr>
        <w:t>•</w:t>
      </w:r>
      <w:r>
        <w:rPr>
          <w:rFonts w:ascii="Times New Roman;serif" w:hAnsi="Times New Roman;serif"/>
          <w:b w:val="false"/>
          <w:color w:val="000000"/>
          <w:sz w:val="20"/>
        </w:rPr>
        <w:t>global political, economic and market conditions, political disturbances, war, terrorist attacks, changes in global trade policies and tariffs, weak local economic conditions and international currency fluctuations (including the Russia Ukraine Conflict, conflicts in the Middle East and instability in Latin America);</w:t>
      </w:r>
    </w:p>
    <w:p>
      <w:pPr>
        <w:pStyle w:val="TextBody"/>
        <w:bidi w:val="0"/>
        <w:spacing w:lineRule="auto" w:line="319" w:before="0" w:after="0"/>
        <w:ind w:left="0" w:right="0" w:hanging="360"/>
        <w:jc w:val="both"/>
        <w:rPr/>
      </w:pPr>
      <w:r>
        <w:rPr>
          <w:color w:val="000000"/>
        </w:rPr>
        <w:t>•</w:t>
      </w:r>
      <w:r>
        <w:rPr>
          <w:rFonts w:ascii="Times New Roman;serif" w:hAnsi="Times New Roman;serif"/>
          <w:b w:val="false"/>
          <w:color w:val="000000"/>
          <w:sz w:val="20"/>
        </w:rPr>
        <w:t>failure to meet local standards and requirements from national oil companies;</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0"/>
        </w:rPr>
        <w:t>general global economic repercussions related to U.S. and global inflationary pressures and potential recessionary concerns;</w:t>
      </w:r>
    </w:p>
    <w:p>
      <w:pPr>
        <w:pStyle w:val="TextBody"/>
        <w:bidi w:val="0"/>
        <w:spacing w:lineRule="auto" w:line="319" w:before="0" w:after="0"/>
        <w:ind w:left="0" w:right="0" w:hanging="360"/>
        <w:jc w:val="both"/>
        <w:rPr/>
      </w:pPr>
      <w:r>
        <w:rPr>
          <w:color w:val="000000"/>
        </w:rPr>
        <w:t>•</w:t>
      </w:r>
      <w:r>
        <w:rPr>
          <w:rFonts w:ascii="Times New Roman;serif" w:hAnsi="Times New Roman;serif"/>
          <w:b w:val="false"/>
          <w:color w:val="000000"/>
          <w:sz w:val="20"/>
        </w:rPr>
        <w:t>failure to ensure on-going compliance with current and future laws and government regulations, including but not limited to those related to the Russia Ukraine Conflict, and environmental and tax and accounting laws, rules and regulations;</w:t>
      </w:r>
    </w:p>
    <w:p>
      <w:pPr>
        <w:pStyle w:val="TextBody"/>
        <w:bidi w:val="0"/>
        <w:spacing w:lineRule="auto" w:line="319" w:before="0" w:after="0"/>
        <w:ind w:left="0" w:right="0" w:hanging="360"/>
        <w:jc w:val="both"/>
        <w:rPr/>
      </w:pPr>
      <w:r>
        <w:rPr>
          <w:color w:val="000000"/>
        </w:rPr>
        <w:t>•</w:t>
      </w:r>
      <w:r>
        <w:rPr>
          <w:rFonts w:ascii="Times New Roman;serif" w:hAnsi="Times New Roman;serif"/>
          <w:b w:val="false"/>
          <w:color w:val="000000"/>
          <w:sz w:val="20"/>
        </w:rPr>
        <w:t>changes in, and the administration of, treaties, laws, and regulations, including in response to issues related to the Russia Ukraine Conflict or conflicts in the Middle East or Latin America and the potential for such issues to exacerbate other risks we face;</w:t>
      </w:r>
    </w:p>
    <w:p>
      <w:pPr>
        <w:pStyle w:val="TextBody"/>
        <w:bidi w:val="0"/>
        <w:spacing w:lineRule="auto" w:line="319" w:before="0" w:after="0"/>
        <w:ind w:left="0" w:right="0" w:hanging="360"/>
        <w:jc w:val="both"/>
        <w:rPr/>
      </w:pPr>
      <w:r>
        <w:rPr>
          <w:color w:val="000000"/>
        </w:rPr>
        <w:t>•</w:t>
      </w:r>
      <w:r>
        <w:rPr>
          <w:rFonts w:ascii="Times New Roman;serif" w:hAnsi="Times New Roman;serif"/>
          <w:b w:val="false"/>
          <w:color w:val="000000"/>
          <w:sz w:val="20"/>
        </w:rPr>
        <w:t>exposure to expropriation of our assets, deprivation of contract rights or other governmental actions;</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0"/>
        </w:rPr>
        <w:t>social unrest, acts of terrorism, war or other armed conflict;</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0"/>
        </w:rPr>
        <w:t>fraud and political corruption;</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0"/>
        </w:rPr>
        <w:t>varying international laws and regulations;</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0"/>
        </w:rPr>
        <w:t>confiscatory taxation or other adverse tax policies;</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0"/>
        </w:rPr>
        <w:t>trade and economic sanctions or other restrictions imposed by the European Union, the United Kingdom, the U.S. or other countries, including in response to the Russia Ukraine Conflict;</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0"/>
        </w:rPr>
        <w:t>exposure under the U.S. Foreign Corrupt Practices Act or similar governmental legislation in other countries; and</w:t>
      </w:r>
    </w:p>
    <w:p>
      <w:pPr>
        <w:pStyle w:val="TextBody"/>
        <w:bidi w:val="0"/>
        <w:spacing w:lineRule="auto" w:line="333"/>
        <w:ind w:left="0" w:right="0" w:hanging="360"/>
        <w:jc w:val="both"/>
        <w:rPr/>
      </w:pPr>
      <w:r>
        <w:rPr>
          <w:color w:val="000000"/>
        </w:rPr>
        <w:t>•</w:t>
      </w:r>
      <w:r>
        <w:rPr>
          <w:rFonts w:ascii="Times New Roman;serif" w:hAnsi="Times New Roman;serif"/>
          <w:b w:val="false"/>
          <w:color w:val="000000"/>
          <w:sz w:val="20"/>
        </w:rPr>
        <w:t>restrictions on the repatriation of income or capital.</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12</w:t>
                      </w:r>
                    </w:p>
                  </w:txbxContent>
                </v:textbox>
                <w10:wrap type="none"/>
              </v:rect>
            </w:pict>
          </mc:Fallback>
        </mc:AlternateContent>
      </w:r>
    </w:p>
    <w:p>
      <w:pPr>
        <w:pStyle w:val="TextBody"/>
        <w:bidi w:val="0"/>
        <w:spacing w:lineRule="auto" w:line="333" w:before="60" w:after="283"/>
        <w:jc w:val="left"/>
        <w:rPr>
          <w:color w:val="000000"/>
        </w:rPr>
      </w:pPr>
      <w:r>
        <w:rPr>
          <w:color w:val="000000"/>
        </w:rPr>
        <w:t>    </w:t>
      </w:r>
      <w:r>
        <w:rPr>
          <w:rFonts w:ascii="Times New Roman;serif" w:hAnsi="Times New Roman;serif"/>
          <w:b w:val="false"/>
          <w:color w:val="000000"/>
          <w:sz w:val="20"/>
        </w:rPr>
        <w:t>Item 1 | Business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 xml:space="preserve">Changes in trade policy and uncertainties related to tariffs could adversely affect our business. </w:t>
      </w:r>
    </w:p>
    <w:p>
      <w:pPr>
        <w:pStyle w:val="TextBody"/>
        <w:bidi w:val="0"/>
        <w:spacing w:before="0" w:after="0"/>
        <w:ind w:left="0" w:right="0" w:firstLine="360"/>
        <w:jc w:val="both"/>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Tariffs imposed by the United States and retaliatory measures from other countries have and may continue to lead to higher prices for, or reduced availability of, raw materials and finished goods, making products less attractive to customers and potentially reducing demand. Further, these actions have and may continue to create uncertainty in financial markets, impact capital spending, and result in operational disruptions, inflation, and diminished profitability. The unpredictable nature of tariff changes and trade restrictions makes it difficult to anticipate and mitigate risks, which could materially affect our business operations, financial condition, and results of operations. While they created some degree of margin dilution, tariffs did not have a material impact on the Company during the year ended December 31, 2025.</w:t>
      </w:r>
    </w:p>
    <w:p>
      <w:pPr>
        <w:pStyle w:val="TextBody"/>
        <w:bidi w:val="0"/>
        <w:spacing w:before="0" w:after="0"/>
        <w:ind w:left="0" w:right="0" w:firstLine="360"/>
        <w:jc w:val="both"/>
        <w:rPr/>
      </w:pPr>
      <w:r>
        <w:rPr/>
      </w:r>
    </w:p>
    <w:p>
      <w:pPr>
        <w:pStyle w:val="TextBody"/>
        <w:bidi w:val="0"/>
        <w:spacing w:lineRule="auto" w:line="312"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A concentration of our accounts receivable was related to one customer and significant changes to the demand or health of the customer could adversely impact our consolidated results of operations, financial condition and statements of cashflows.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Approximately 24% of our December 31, 2025 accounts receivables were related to our largest customer in Mexico, which comprised 5% of our revenue during the twelve months ended December 31, 2025. Our largest customer in Mexico has a history of making late payments and, in more recent periods, has utilized third-party financial institutions to pay certain of our receivables. The balances due are not in dispute, however, additional or continued delays in customer payments in the future could differ from historical practice and management’s current expectations; and delays or failures to pay or defaults, if any, could negatively impact the future results of the Company. Additionally, business slowdowns or other items impacting the financial health of the customer could potentially have an adverse impact on our results of operations.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Our business could be negatively affected by cybersecurity incidents and other technology disruptions.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rely heavily on information systems and other digital technology to conduct and protect our business. These information systems and other digital technology are subject to the risk of increasingly sophisticated cybersecurity attacks, incursions or other incidents such as unauthorized access to data and systems, loss or destruction of data (including confidential customer, supplier and employee information), computer viruses, or other malicious code, phishing and cyberattacks, and other similar events. These incidents could arise from numerous sources, including those outside our control, including fraud or malice on the part of third parties, governmental actors, accidental technological failure, electrical or telecommunication outages, failures of computer servers or other damage to our property or assets, human error, complications encountered as existing systems are maintained, repaired, replaced, or upgraded or outbreaks of hostilities or terrorist acts.</w:t>
      </w:r>
    </w:p>
    <w:p>
      <w:pPr>
        <w:pStyle w:val="TextBody"/>
        <w:bidi w:val="0"/>
        <w:spacing w:before="0" w:after="0"/>
        <w:ind w:left="0" w:right="0" w:firstLine="360"/>
        <w:jc w:val="both"/>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Given the rapidly evolving nature of cybersecurity incidents, there can be no assurance that the controls we have designed and implemented to prevent or limit the effects of cybersecurity incidents or attacks will be sufficient in preventing or limiting the effects of all such incidents or attacks or be able to avoid a material impact to our systems should such incidents or attacks occur. Recent widespread cybersecurity incidents and attacks in the U.S. and elsewhere have affected many companies. Cybersecurity incidents can result in the disclosure of confidential or proprietary customer, supplier or employee information; theft or loss of intellectual property; impairment in our ability to operate or conduct our business; damage to our reputation with our customers, suppliers, employees and the market; failure to meet customer requirements or result in customer dissatisfaction; legal and regulatory exposure, including fines or legal proceedings (including as a result of our failure to make adequate or timely disclosures to the public, government agencies or affected individuals); damage to equipment (which could cause environmental or safety issues) and other financial costs and losses, including as a result of any remediation efforts. While Weatherford imposes controls on third-party system connectivity to our systems, the risks from an attack via a third-party remain.</w:t>
      </w:r>
    </w:p>
    <w:p>
      <w:pPr>
        <w:pStyle w:val="TextBody"/>
        <w:bidi w:val="0"/>
        <w:spacing w:before="0" w:after="0"/>
        <w:ind w:left="0" w:right="0" w:firstLine="360"/>
        <w:jc w:val="both"/>
        <w:rPr/>
      </w:pPr>
      <w:r>
        <w:rPr/>
      </w:r>
    </w:p>
    <w:p>
      <w:pPr>
        <w:pStyle w:val="TextBody"/>
        <w:bidi w:val="0"/>
        <w:spacing w:lineRule="auto" w:line="312"/>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occurrence of a cybersecurity incident can go unnoticed for a period of time despite efforts to detect and respond in a timely manner. Any investigation of a cybersecurity incident is inherently unpredictable, and it takes time before the completion of any investigation and before there is availability of full and reliable information. Even when an attack has been detected, it is not always immediately apparent what the full nature and scope of any potential harm may be, or how best to remediate it, and certain errors or actions could be repeated or compounded before they are discovered and remediated, all or any of which further increase the risks, costs and consequences of a cybersecurity event or other technology disruption. As cybersecurity incidents and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13</w:t>
                      </w:r>
                    </w:p>
                  </w:txbxContent>
                </v:textbox>
                <w10:wrap type="none"/>
              </v:rect>
            </w:pict>
          </mc:Fallback>
        </mc:AlternateContent>
      </w:r>
    </w:p>
    <w:p>
      <w:pPr>
        <w:pStyle w:val="TextBody"/>
        <w:bidi w:val="0"/>
        <w:spacing w:lineRule="auto" w:line="333" w:before="60" w:after="283"/>
        <w:jc w:val="left"/>
        <w:rPr>
          <w:color w:val="000000"/>
        </w:rPr>
      </w:pPr>
      <w:r>
        <w:rPr>
          <w:color w:val="000000"/>
        </w:rPr>
        <w:t>    </w:t>
      </w:r>
      <w:r>
        <w:rPr>
          <w:rFonts w:ascii="Times New Roman;serif" w:hAnsi="Times New Roman;serif"/>
          <w:b w:val="false"/>
          <w:color w:val="000000"/>
          <w:sz w:val="20"/>
        </w:rPr>
        <w:t>Item 1 | Business</w:t>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attacks continue to evolve, we may be required to expend significant additional resources and incur significant expenses to continue to modify or enhance our protective measures or to investigate, respond to or remediate any information security vulnerabilities.</w:t>
      </w:r>
    </w:p>
    <w:p>
      <w:pPr>
        <w:pStyle w:val="TextBody"/>
        <w:bidi w:val="0"/>
        <w:spacing w:before="0" w:after="0"/>
        <w:jc w:val="left"/>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Depending on the nature and scope of the cybersecurity incident, it could have a material adverse effect on our business, reputation, financial condition and results of operations. </w:t>
      </w:r>
    </w:p>
    <w:p>
      <w:pPr>
        <w:pStyle w:val="TextBody"/>
        <w:bidi w:val="0"/>
        <w:spacing w:before="0" w:after="0"/>
        <w:ind w:left="0" w:right="0" w:firstLine="360"/>
        <w:jc w:val="both"/>
        <w:rPr/>
      </w:pPr>
      <w:r>
        <w:rPr/>
      </w:r>
    </w:p>
    <w:p>
      <w:pPr>
        <w:pStyle w:val="TextBody"/>
        <w:bidi w:val="0"/>
        <w:spacing w:lineRule="auto" w:line="312"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A pandemic could significantly weaken demand for our products and services and have a substantial negative impact on our business, financial condition, results of operations and cash flows.</w:t>
      </w:r>
    </w:p>
    <w:p>
      <w:pPr>
        <w:pStyle w:val="TextBody"/>
        <w:bidi w:val="0"/>
        <w:spacing w:before="0" w:after="0"/>
        <w:jc w:val="left"/>
        <w:rPr/>
      </w:pPr>
      <w:r>
        <w:rPr/>
      </w:r>
    </w:p>
    <w:p>
      <w:pPr>
        <w:pStyle w:val="TextBody"/>
        <w:bidi w:val="0"/>
        <w:spacing w:lineRule="auto" w:line="319"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Pandemics have caused and could again cause volatile regional and global economic conditions that exacerbate the potential negative impact from many of the other risks we face. We believe that a future pandemic may result in significant reduction in the demand for oil and gas, instability in the global work force, increased cybersecurity vulnerability from remote work and the heightening of geopolitical tensions. Our insurance policies may not cover losses associated with pandemics or similar global health threats.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14</w:t>
                      </w:r>
                    </w:p>
                  </w:txbxContent>
                </v:textbox>
                <w10:wrap type="none"/>
              </v:rect>
            </w:pict>
          </mc:Fallback>
        </mc:AlternateContent>
      </w:r>
    </w:p>
    <w:p>
      <w:pPr>
        <w:pStyle w:val="TextBody"/>
        <w:bidi w:val="0"/>
        <w:spacing w:lineRule="auto" w:line="333" w:before="60" w:after="283"/>
        <w:jc w:val="left"/>
        <w:rPr>
          <w:color w:val="000000"/>
        </w:rPr>
      </w:pPr>
      <w:r>
        <w:rPr>
          <w:color w:val="000000"/>
        </w:rPr>
        <w:t>    </w:t>
      </w:r>
      <w:r>
        <w:rPr>
          <w:rFonts w:ascii="Times New Roman;serif" w:hAnsi="Times New Roman;serif"/>
          <w:b w:val="false"/>
          <w:color w:val="000000"/>
          <w:sz w:val="20"/>
        </w:rPr>
        <w:t>Item 1 | Business</w:t>
      </w:r>
    </w:p>
    <w:p>
      <w:pPr>
        <w:pStyle w:val="TextBody"/>
        <w:bidi w:val="0"/>
        <w:spacing w:lineRule="auto" w:line="312"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Our business is dependent upon our ability to efficiently and effectively deliver for our customers. As such, we are subject to risks associated with cost over-runs, operating cost inflation, supply chain disruptions, inventory management, labor availability, supplier and contractor pricing and performance, and our need to continually improve and invest in our people, processes and systems. Our inability to efficiently and effectively mitigate these risks, or our inability to make timely investments could have an adverse effect on our business, financial condition and results of operations.</w:t>
      </w:r>
    </w:p>
    <w:p>
      <w:pPr>
        <w:pStyle w:val="TextBody"/>
        <w:bidi w:val="0"/>
        <w:spacing w:before="0" w:after="0"/>
        <w:ind w:left="0" w:right="0" w:firstLine="360"/>
        <w:jc w:val="both"/>
        <w:rPr/>
      </w:pPr>
      <w:r>
        <w:rPr/>
      </w:r>
    </w:p>
    <w:p>
      <w:pPr>
        <w:pStyle w:val="TextBody"/>
        <w:bidi w:val="0"/>
        <w:spacing w:lineRule="auto" w:line="319"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customers rely on our ability to efficiently perform and execute on the delivery of our products and services, and a low success rate could adversely impact margins and our ability to obtain market share. Additionally, we continuously identify opportunities to invest in our people, processes and systems, however, we may not be able to adjust quickly enough to capitalize on market share during times of industry growth, or the returns on our investments may not outpace margin deterioration at times of slower activity. </w:t>
      </w:r>
    </w:p>
    <w:p>
      <w:pPr>
        <w:pStyle w:val="TextBody"/>
        <w:bidi w:val="0"/>
        <w:spacing w:before="0" w:after="0"/>
        <w:ind w:left="0" w:right="0" w:firstLine="360"/>
        <w:jc w:val="both"/>
        <w:rPr/>
      </w:pPr>
      <w:r>
        <w:rPr/>
      </w:r>
    </w:p>
    <w:p>
      <w:pPr>
        <w:pStyle w:val="TextBody"/>
        <w:bidi w:val="0"/>
        <w:spacing w:lineRule="auto" w:line="319"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sometimes provide integrated project management services in the form of long-term, fixed price contracts where we are both the project manager and service provider. Accordingly, under these contracts, we assume additional risks associated with engaging with certain third-party subcontractors, operating cost inflation, labor availability and productivity, global supply chain disruptions, supplier pricing and performance, and potential claims for liquidated damages. If we are unable to complete these contracts effectively and timely, it could potentially have an adverse impact on our results of operations.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Our operational and financial growth, in part, is dependent upon our ability to meet our liquidity requirements and the adequacy of our capital resources.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liquidity, including our ability to meet our ongoing operational obligations, as well as service our debt, is dependent upon, among other things: (i) our ability to maintain adequate cash on hand; (ii) our ability to generate cash flow from operations; (iii) our ability to access the capital markets; and (iv) changes in market conditions that would negatively impact our revenue or our profits.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Changes in economic and/or market conditions such as the condition of capital and equity markets may impact the price of our ordinary shares and our ability to borrow. Furthermore, if our credit rating is downgraded, it could increase our cost of borrowing.</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times, the energy industry has faced negative sentiment in the capital markets which has impacted the ability of participants to access appropriate amounts of capital upon suitable terms. This negative sentiment has not only impacted our customers in North America, it has also affected the availability and the pricing for most credit lines and other capital resources extended to participants in the industry, including us.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We may not be fully indemnified against financial losses in all circumstances where damage to or loss of property, personal injury, death or environmental harm occur.</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is customary in our industry, our contracts typically require that our customers indemnify us for claims arising from the injury or death of their employees (and those of their other contractors), the loss or damage of their equipment (and that of their other contractors), damage to the well or reservoir and environmental impacts originating from the customer’s equipment or from the reservoir (including uncontained oil flow from a reservoir), claims arising from catastrophic events, such as a well blowout, fire, explosion and from environmental impacts below the surface. Conversely, we typically indemnify our customers for claims arising from the injury or death of our employees, the loss or damage of our equipment (other than equipment lost in the hole) or environmental impacts originating from our equipment above the surface of the earth or water.</w:t>
      </w:r>
    </w:p>
    <w:p>
      <w:pPr>
        <w:pStyle w:val="TextBody"/>
        <w:bidi w:val="0"/>
        <w:spacing w:before="0" w:after="0"/>
        <w:ind w:left="0" w:right="0" w:firstLine="360"/>
        <w:jc w:val="both"/>
        <w:rPr/>
      </w:pPr>
      <w:r>
        <w:rPr/>
      </w:r>
    </w:p>
    <w:p>
      <w:pPr>
        <w:pStyle w:val="TextBody"/>
        <w:bidi w:val="0"/>
        <w:spacing w:lineRule="auto" w:line="33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indemnification arrangements may not protect us in every case. For example, our indemnity arrangements may be held to be overly broad in some courts and/or contrary to public policy in some jurisdictions, and to that extent may be unenforceable. Additionally, some jurisdictions which permit indemnification nonetheless limit its scope by applicable law, rule, order or statute. We may be subject to claims brought by third parties or government agencies with respect to which we are not indemnified.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15</w:t>
                      </w:r>
                    </w:p>
                  </w:txbxContent>
                </v:textbox>
                <w10:wrap type="none"/>
              </v:rect>
            </w:pict>
          </mc:Fallback>
        </mc:AlternateContent>
      </w:r>
    </w:p>
    <w:p>
      <w:pPr>
        <w:pStyle w:val="TextBody"/>
        <w:bidi w:val="0"/>
        <w:spacing w:lineRule="auto" w:line="333" w:before="60" w:after="283"/>
        <w:jc w:val="left"/>
        <w:rPr>
          <w:color w:val="000000"/>
        </w:rPr>
      </w:pPr>
      <w:r>
        <w:rPr>
          <w:color w:val="000000"/>
        </w:rPr>
        <w:t>    </w:t>
      </w:r>
      <w:r>
        <w:rPr>
          <w:rFonts w:ascii="Times New Roman;serif" w:hAnsi="Times New Roman;serif"/>
          <w:b w:val="false"/>
          <w:color w:val="000000"/>
          <w:sz w:val="20"/>
        </w:rPr>
        <w:t>Item 1 | Business</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Furthermore, the parties from which we seek indemnity may not be solvent, may become bankrupt, may lack resources or insurance to honor their indemnities or may not otherwise be able to satisfy their indemnity obligations to us. The lack of enforceable indemnification could expose us to significant potential losses.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our assets generally are not insured against loss from political violence such as war, terrorism or civil unrest. If any of our assets are damaged or destroyed as a result of an uninsured cause, we could recognize a loss of those assets.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Our indebtedness and liabilities could limit cash flow available for our operations, expose us to risks that could adversely affect our business, financial condition and results of operations.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$30 million of short-term and $1.5 billion of long-term debt, all accruing interest. If business activity declines, or otherwise does not increase, our level of indebtedness could have negative consequences for our business, financial condition and results of operations, including:</w:t>
      </w:r>
    </w:p>
    <w:p>
      <w:pPr>
        <w:pStyle w:val="TextBody"/>
        <w:bidi w:val="0"/>
        <w:spacing w:before="0" w:after="0"/>
        <w:ind w:left="0" w:right="0" w:firstLine="360"/>
        <w:jc w:val="left"/>
        <w:rPr/>
      </w:pPr>
      <w:r>
        <w:rPr/>
      </w:r>
    </w:p>
    <w:p>
      <w:pPr>
        <w:pStyle w:val="TextBody"/>
        <w:bidi w:val="0"/>
        <w:spacing w:lineRule="auto" w:line="333" w:before="0" w:after="60"/>
        <w:ind w:left="0" w:right="0" w:hanging="360"/>
        <w:jc w:val="both"/>
        <w:rPr/>
      </w:pPr>
      <w:r>
        <w:rPr>
          <w:color w:val="000000"/>
        </w:rPr>
        <w:t>•</w:t>
      </w:r>
      <w:r>
        <w:rPr>
          <w:rFonts w:ascii="Times New Roman;serif" w:hAnsi="Times New Roman;serif"/>
          <w:b w:val="false"/>
          <w:color w:val="000000"/>
          <w:sz w:val="20"/>
        </w:rPr>
        <w:t>limiting our ability to obtain additional financing, or refinance our existing debt, on terms that are commercially acceptable to us;</w:t>
      </w:r>
    </w:p>
    <w:p>
      <w:pPr>
        <w:pStyle w:val="TextBody"/>
        <w:bidi w:val="0"/>
        <w:spacing w:lineRule="auto" w:line="333" w:before="0" w:after="60"/>
        <w:ind w:left="0" w:right="0" w:hanging="360"/>
        <w:jc w:val="both"/>
        <w:rPr/>
      </w:pPr>
      <w:r>
        <w:rPr>
          <w:color w:val="000000"/>
        </w:rPr>
        <w:t>•</w:t>
      </w:r>
      <w:r>
        <w:rPr>
          <w:rFonts w:ascii="Times New Roman;serif" w:hAnsi="Times New Roman;serif"/>
          <w:b w:val="false"/>
          <w:color w:val="000000"/>
          <w:sz w:val="20"/>
        </w:rPr>
        <w:t>requiring the dedication of a substantial portion of our cash flow from operations to service our indebtedness, thereby reducing our free cash flow and the amount of our cash flow available for other purposes;</w:t>
      </w:r>
    </w:p>
    <w:p>
      <w:pPr>
        <w:pStyle w:val="TextBody"/>
        <w:bidi w:val="0"/>
        <w:spacing w:lineRule="auto" w:line="333" w:before="0" w:after="60"/>
        <w:ind w:left="0" w:right="0" w:hanging="360"/>
        <w:jc w:val="both"/>
        <w:rPr/>
      </w:pPr>
      <w:r>
        <w:rPr>
          <w:color w:val="000000"/>
        </w:rPr>
        <w:t>•</w:t>
      </w:r>
      <w:r>
        <w:rPr>
          <w:rFonts w:ascii="Times New Roman;serif" w:hAnsi="Times New Roman;serif"/>
          <w:b w:val="false"/>
          <w:color w:val="000000"/>
          <w:sz w:val="20"/>
        </w:rPr>
        <w:t xml:space="preserve">limiting our flexibility in planning for, or reacting to, changes in our business; </w:t>
      </w:r>
    </w:p>
    <w:p>
      <w:pPr>
        <w:pStyle w:val="TextBody"/>
        <w:bidi w:val="0"/>
        <w:spacing w:lineRule="auto" w:line="333" w:before="0" w:after="60"/>
        <w:ind w:left="0" w:right="0" w:hanging="360"/>
        <w:jc w:val="both"/>
        <w:rPr/>
      </w:pPr>
      <w:r>
        <w:rPr>
          <w:color w:val="000000"/>
        </w:rPr>
        <w:t>•</w:t>
      </w:r>
      <w:r>
        <w:rPr>
          <w:rFonts w:ascii="Times New Roman;serif" w:hAnsi="Times New Roman;serif"/>
          <w:b w:val="false"/>
          <w:color w:val="000000"/>
          <w:sz w:val="20"/>
        </w:rPr>
        <w:t>placing us at a possible competitive disadvantage with less leveraged competitors or competitors that may have better access to capital resources; and</w:t>
      </w:r>
    </w:p>
    <w:p>
      <w:pPr>
        <w:pStyle w:val="TextBody"/>
        <w:bidi w:val="0"/>
        <w:spacing w:lineRule="auto" w:line="333" w:before="0" w:after="60"/>
        <w:ind w:left="0" w:right="0" w:hanging="360"/>
        <w:jc w:val="both"/>
        <w:rPr/>
      </w:pPr>
      <w:r>
        <w:rPr>
          <w:color w:val="000000"/>
        </w:rPr>
        <w:t>•</w:t>
      </w:r>
      <w:r>
        <w:rPr>
          <w:rFonts w:ascii="Times New Roman;serif" w:hAnsi="Times New Roman;serif"/>
          <w:b w:val="false"/>
          <w:color w:val="000000"/>
          <w:sz w:val="20"/>
        </w:rPr>
        <w:t>increasing our vulnerability to adverse economic and industry conditions.</w:t>
      </w:r>
    </w:p>
    <w:p>
      <w:pPr>
        <w:pStyle w:val="TextBody"/>
        <w:bidi w:val="0"/>
        <w:spacing w:before="0" w:after="0"/>
        <w:ind w:left="0" w:right="0" w:firstLine="360"/>
        <w:jc w:val="both"/>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ability to make scheduled payments on our debt obligations will depend on our financial and operating performance, which is subject to prevailing economic and competitive conditions and certain financial, business and other factors beyond our control. In the past, lower commodity prices and in turn lower demand for our products and services have negatively impacted our revenues, earnings and cash flows, and as a result, could adversely impact our liquidity position. Any harm to our business and operations resulting from our current or future level of indebtedness could adversely affect our ability to pay amounts due to our lenders and noteholders.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Our business may be exposed to uninsured claims and, as a result, litigation might result in significant potential losses. The cost of our insured risk management program may increase.</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we become the subject of various claims and litigation. We maintain liability insurance, which includes insurance against damage to people, property and the environment, in commercially reasonable amounts, subject to self-insured retentions and deductibles.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insurance policies are subject to exclusions, limitations and other conditions and may not apply in all cases, for example where willful wrongdoing on our part is alleged. It is possible an unexpected judgment could be rendered against us in cases in which we could be uninsured and beyond the amounts we currently have reserved or anticipate incurring, and in some cases those potential losses could be material.</w:t>
      </w:r>
    </w:p>
    <w:p>
      <w:pPr>
        <w:pStyle w:val="TextBody"/>
        <w:bidi w:val="0"/>
        <w:spacing w:before="0" w:after="0"/>
        <w:ind w:left="0" w:right="0" w:firstLine="360"/>
        <w:jc w:val="both"/>
        <w:rPr/>
      </w:pPr>
      <w:r>
        <w:rPr/>
      </w:r>
    </w:p>
    <w:p>
      <w:pPr>
        <w:pStyle w:val="TextBody"/>
        <w:bidi w:val="0"/>
        <w:spacing w:lineRule="auto" w:line="33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insurance may not be sufficient to cover any particular loss, or our insurance may not cover all losses. For example, although we maintain product liability insurance, this type of insurance is limited in coverage, and it is possible an adverse claim could arise in excess of our coverage. Additionally, insurance rates have in the past been subject to wide fluctuation and may be unavailable on terms that we or our customers believe are economically acceptable. Reductions in coverage, changes in the insurance markets and accidents affecting our industry may result in further increases in our cost and higher deductibles and retentions in future years and may also result in reduced activity levels in certain markets. As a result, we may not be able to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16</w:t>
                      </w:r>
                    </w:p>
                  </w:txbxContent>
                </v:textbox>
                <w10:wrap type="none"/>
              </v:rect>
            </w:pict>
          </mc:Fallback>
        </mc:AlternateContent>
      </w:r>
    </w:p>
    <w:p>
      <w:pPr>
        <w:pStyle w:val="TextBody"/>
        <w:bidi w:val="0"/>
        <w:spacing w:lineRule="auto" w:line="333" w:before="60" w:after="283"/>
        <w:jc w:val="left"/>
        <w:rPr>
          <w:color w:val="000000"/>
        </w:rPr>
      </w:pPr>
      <w:r>
        <w:rPr>
          <w:color w:val="000000"/>
        </w:rPr>
        <w:t>    </w:t>
      </w:r>
      <w:r>
        <w:rPr>
          <w:rFonts w:ascii="Times New Roman;serif" w:hAnsi="Times New Roman;serif"/>
          <w:b w:val="false"/>
          <w:color w:val="000000"/>
          <w:sz w:val="20"/>
        </w:rPr>
        <w:t>Item 1 | Business</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continue to obtain insurance on commercially reasonable terms. Any of these events could have an adverse impact on our business, financial condition and results of operations.</w:t>
      </w:r>
    </w:p>
    <w:p>
      <w:pPr>
        <w:pStyle w:val="TextBody"/>
        <w:bidi w:val="0"/>
        <w:spacing w:before="0" w:after="0"/>
        <w:jc w:val="left"/>
        <w:rPr/>
      </w:pPr>
      <w:r>
        <w:rPr/>
      </w:r>
    </w:p>
    <w:p>
      <w:pPr>
        <w:pStyle w:val="TextBody"/>
        <w:bidi w:val="0"/>
        <w:spacing w:lineRule="auto" w:line="333"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The terms of our indebtedness may restrict our current and future operations, particularly our ability to respond to changes or to pursue our business strategies.</w:t>
      </w:r>
    </w:p>
    <w:p>
      <w:pPr>
        <w:pStyle w:val="TextBody"/>
        <w:bidi w:val="0"/>
        <w:spacing w:before="0" w:after="0"/>
        <w:ind w:left="0" w:right="0" w:firstLine="360"/>
        <w:jc w:val="both"/>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Credit Agreement and the indentures governing our 6.75% Senior Notes maturing October 2033 (the “2033 Senior Notes”) and 8.625% Senior Notes maturing April 30, 2030 (the “2030 Senior Notes”), contain certain restrictive or limiting covenants that may impose significant operating and financial restrictions on us and may limit our ability to engage in acts that we may believe to be in our long-term best interest, including the following:</w:t>
      </w:r>
    </w:p>
    <w:p>
      <w:pPr>
        <w:pStyle w:val="TextBody"/>
        <w:bidi w:val="0"/>
        <w:spacing w:before="0" w:after="0"/>
        <w:ind w:left="0" w:right="0" w:firstLine="360"/>
        <w:jc w:val="both"/>
        <w:rPr/>
      </w:pPr>
      <w:r>
        <w:rPr/>
      </w:r>
    </w:p>
    <w:p>
      <w:pPr>
        <w:pStyle w:val="TextBody"/>
        <w:bidi w:val="0"/>
        <w:spacing w:lineRule="auto" w:line="333" w:before="0" w:after="60"/>
        <w:ind w:left="0" w:right="0" w:hanging="360"/>
        <w:jc w:val="both"/>
        <w:rPr/>
      </w:pPr>
      <w:r>
        <w:rPr>
          <w:color w:val="000000"/>
        </w:rPr>
        <w:t>•</w:t>
      </w:r>
      <w:r>
        <w:rPr>
          <w:rFonts w:ascii="Times New Roman;serif" w:hAnsi="Times New Roman;serif"/>
          <w:b w:val="false"/>
          <w:color w:val="000000"/>
          <w:sz w:val="20"/>
        </w:rPr>
        <w:t>restricting additional indebtedness;</w:t>
      </w:r>
    </w:p>
    <w:p>
      <w:pPr>
        <w:pStyle w:val="TextBody"/>
        <w:bidi w:val="0"/>
        <w:spacing w:lineRule="auto" w:line="333" w:before="0" w:after="60"/>
        <w:ind w:left="0" w:right="0" w:hanging="360"/>
        <w:jc w:val="both"/>
        <w:rPr/>
      </w:pPr>
      <w:r>
        <w:rPr>
          <w:color w:val="000000"/>
        </w:rPr>
        <w:t>•</w:t>
      </w:r>
      <w:r>
        <w:rPr>
          <w:rFonts w:ascii="Times New Roman;serif" w:hAnsi="Times New Roman;serif"/>
          <w:b w:val="false"/>
          <w:color w:val="000000"/>
          <w:sz w:val="20"/>
        </w:rPr>
        <w:t>restricting or limiting payment of dividends and other distributions;</w:t>
      </w:r>
    </w:p>
    <w:p>
      <w:pPr>
        <w:pStyle w:val="TextBody"/>
        <w:bidi w:val="0"/>
        <w:spacing w:lineRule="auto" w:line="333" w:before="0" w:after="60"/>
        <w:ind w:left="0" w:right="0" w:hanging="360"/>
        <w:jc w:val="both"/>
        <w:rPr/>
      </w:pPr>
      <w:r>
        <w:rPr>
          <w:color w:val="000000"/>
        </w:rPr>
        <w:t>•</w:t>
      </w:r>
      <w:r>
        <w:rPr>
          <w:rFonts w:ascii="Times New Roman;serif" w:hAnsi="Times New Roman;serif"/>
          <w:b w:val="false"/>
          <w:color w:val="000000"/>
          <w:sz w:val="20"/>
        </w:rPr>
        <w:t>limiting prepayment, redemption or repurchase certain debt;</w:t>
      </w:r>
    </w:p>
    <w:p>
      <w:pPr>
        <w:pStyle w:val="TextBody"/>
        <w:bidi w:val="0"/>
        <w:spacing w:lineRule="auto" w:line="333" w:before="0" w:after="60"/>
        <w:ind w:left="0" w:right="0" w:hanging="360"/>
        <w:jc w:val="both"/>
        <w:rPr/>
      </w:pPr>
      <w:r>
        <w:rPr>
          <w:color w:val="000000"/>
        </w:rPr>
        <w:t>•</w:t>
      </w:r>
      <w:r>
        <w:rPr>
          <w:rFonts w:ascii="Times New Roman;serif" w:hAnsi="Times New Roman;serif"/>
          <w:b w:val="false"/>
          <w:color w:val="000000"/>
          <w:sz w:val="20"/>
        </w:rPr>
        <w:t>limiting making loans and assets; and</w:t>
      </w:r>
    </w:p>
    <w:p>
      <w:pPr>
        <w:pStyle w:val="TextBody"/>
        <w:bidi w:val="0"/>
        <w:spacing w:lineRule="auto" w:line="333" w:before="0" w:after="60"/>
        <w:ind w:left="0" w:right="0" w:hanging="360"/>
        <w:jc w:val="both"/>
        <w:rPr/>
      </w:pPr>
      <w:r>
        <w:rPr>
          <w:color w:val="000000"/>
        </w:rPr>
        <w:t>•</w:t>
      </w:r>
      <w:r>
        <w:rPr>
          <w:rFonts w:ascii="Times New Roman;serif" w:hAnsi="Times New Roman;serif"/>
          <w:b w:val="false"/>
          <w:color w:val="000000"/>
          <w:sz w:val="20"/>
        </w:rPr>
        <w:t>limiting selling assets and incur liens</w:t>
      </w:r>
    </w:p>
    <w:p>
      <w:pPr>
        <w:pStyle w:val="TextBody"/>
        <w:bidi w:val="0"/>
        <w:spacing w:before="0" w:after="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covenants and other restrictions may limit our ability to effectively operate our business, and to execute our growth strategy or take advantage of new business opportunities. These covenants and restrictions include minimum liquidity covenants, minimum interest coverage ratio, maximum ratio of funded debt, and certain other financial ratios, which may apply in certain circumstances, and other restrictions. Our ability to meet the liquidity thresholds or those financial ratios could be affected by events beyond our control.</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breach of the covenants and other restrictions in any of our indebtedness could result in an event of default thereunder. Such a default may allow the lenders, holders or the trustee, as applicable, to accelerate the related indebtedness which may result in the acceleration of any other indebtedness or to foreclose on our assets, of which substantially all of our assets are secured by certain lenders. In addition, an event of default under the Credit Agreement would permit the lenders thereunder to terminate all commitments. </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Failure to attract, retain and develop qualified personnel could impede our operations.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future success depends on our ability to attract, retain and develop qualified personnel to operate and to provide services and support for our business. In addition, we operate in jurisdictions with localization requirements where we rely on the local availability of skilled workers. We may experience employee turnover or labor shortages if our business requirements and/or expectations are inconsistent with the expectations of our employees or if our employees or potential employees decide to pursue employment in fields with less volatility than in the energy industry. Additionally, during periods of increased demand for products and services in our industry, competition for qualified personnel may increase and the availability of qualified personnel may be further constrained. Failure to attract, retain and develop qualified personnel could have an adverse effect on our results of operations, financial condition and cash flows.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Failure to make timely investments in technology and to utilize artificial intelligence appropriately and safely could adversely affect our ability to successfully compete with other companies in our industry, and challenges with properly managing such technologies could result in reputational harm and legal liability that could adversely affect our business, financial condition or results of operations.</w:t>
      </w:r>
    </w:p>
    <w:p>
      <w:pPr>
        <w:pStyle w:val="TextBody"/>
        <w:bidi w:val="0"/>
        <w:spacing w:before="0" w:after="0"/>
        <w:ind w:left="0" w:right="0" w:firstLine="360"/>
        <w:jc w:val="both"/>
        <w:rPr/>
      </w:pPr>
      <w:r>
        <w:rPr/>
      </w:r>
    </w:p>
    <w:p>
      <w:pPr>
        <w:pStyle w:val="TextBody"/>
        <w:bidi w:val="0"/>
        <w:spacing w:lineRule="auto" w:line="297"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business in which we operate is highly competitive and rapidly evolving. Our business may be adversely affected if we fail to make timely investments in new technology, such as artificial intelligence (“AI”), or if we fail to manage such technologies appropriately. </w:t>
      </w:r>
    </w:p>
    <w:p>
      <w:pPr>
        <w:pStyle w:val="TextBody"/>
        <w:bidi w:val="0"/>
        <w:ind w:left="0" w:right="0" w:firstLine="3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17</w:t>
                      </w:r>
                    </w:p>
                  </w:txbxContent>
                </v:textbox>
                <w10:wrap type="none"/>
              </v:rect>
            </w:pict>
          </mc:Fallback>
        </mc:AlternateContent>
      </w:r>
    </w:p>
    <w:p>
      <w:pPr>
        <w:pStyle w:val="TextBody"/>
        <w:bidi w:val="0"/>
        <w:spacing w:lineRule="auto" w:line="333" w:before="60" w:after="283"/>
        <w:jc w:val="left"/>
        <w:rPr>
          <w:color w:val="000000"/>
        </w:rPr>
      </w:pPr>
      <w:r>
        <w:rPr>
          <w:color w:val="000000"/>
        </w:rPr>
        <w:t>    </w:t>
      </w:r>
      <w:r>
        <w:rPr>
          <w:rFonts w:ascii="Times New Roman;serif" w:hAnsi="Times New Roman;serif"/>
          <w:b w:val="false"/>
          <w:color w:val="000000"/>
          <w:sz w:val="20"/>
        </w:rPr>
        <w:t>Item 1 | Business</w:t>
      </w:r>
    </w:p>
    <w:p>
      <w:pPr>
        <w:pStyle w:val="TextBody"/>
        <w:bidi w:val="0"/>
        <w:spacing w:lineRule="auto" w:line="297"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integrating AI tools into our systems and certain products, and many of our third-party service providers, as well as our competitors, are also developing and using such tools. AI may become increasingly important to our operations or to our future growth over time. There can be no assurance that we will realize the desired or anticipated benefits, or any benefits, and we may fail to properly implement such technology. </w:t>
      </w:r>
    </w:p>
    <w:p>
      <w:pPr>
        <w:pStyle w:val="TextBody"/>
        <w:bidi w:val="0"/>
        <w:spacing w:before="0" w:after="0"/>
        <w:ind w:left="0" w:right="0" w:firstLine="360"/>
        <w:jc w:val="both"/>
        <w:rPr/>
      </w:pPr>
      <w:r>
        <w:rPr/>
      </w:r>
    </w:p>
    <w:p>
      <w:pPr>
        <w:pStyle w:val="TextBody"/>
        <w:bidi w:val="0"/>
        <w:spacing w:lineRule="auto" w:line="297"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our, and our third-party service providers’, AI tools may not meet existing or rapidly evolving regulatory or industry standards with respect to privacy and data protection, compliance, and transparency, among others, which could inhibit our or our service providers’ ability to maintain an adequate level of functionality or service. AI tools used by us or by our service providers could produce inaccurate or unexpected results or behaviors that could harm our business, customers, or reputation. Furthermore, the deployment of AI systems could expose us to increased cybersecurity threats, such as data breaches and unauthorized access leading to financial losses, legal liabilities, and reputational damage. </w:t>
      </w:r>
    </w:p>
    <w:p>
      <w:pPr>
        <w:pStyle w:val="TextBody"/>
        <w:bidi w:val="0"/>
        <w:spacing w:before="0" w:after="0"/>
        <w:ind w:left="0" w:right="0" w:firstLine="360"/>
        <w:jc w:val="both"/>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competitors may incorporate AI in their business operations and products more rapidly or more successfully than we do. Additionally, the complex and rapidly evolving legal and regulatory landscape around AI may expose us to claims, inquiries, demands and proceedings by private parties and global regulatory authorities or subject us to legal liability as well as reputational harm and compliance may impose significant operational costs and may limit our ability to develop, deploy or use AI tools.</w:t>
      </w:r>
    </w:p>
    <w:p>
      <w:pPr>
        <w:pStyle w:val="TextBody"/>
        <w:bidi w:val="0"/>
        <w:spacing w:lineRule="auto" w:line="333"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There may be circumstances that adversely affect our ability to declare and pay dividends or repurchase shares.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2024, we announced our shareholder returns program under which we intend to pay regular quarterly cash dividends and have the authorization to repurchase up to $500 million shares over a three year period. Dividends and share repurchases are authorized and determined by our Board of Directors at its sole discretion and depend upon a number of factors, including our financial results, cash requirements, capital management plans, changes in applicable laws, contractual restrictions such as financial or operating covenants, and future prospects, as well as such other factors deemed relevant by our Board of Directors. We can provide no assurance that we will pay dividends or make share repurchases at current levels or at all. Any elimination of, or downward revision in, our dividend payout or share repurchase program could have an adverse effect on the market price of our ordinary shares.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Our acquisitions may not result in anticipated benefits and may present risks not originally contemplated, which may have an adverse affect on our business.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acquisition of additional businesses and assets is part of our growth strategy. We may experience difficulties completing acquisitions or integrating new businesses and properties, and we may be unable to achieve the expected benefits from future acquisitions. Additionally, we cannot provide any assurance that we will be able to find complementary acquisition targets or complete such acquisitions, or achieve the desired results from such acquisitions. Any acquired businesses or assets will be subject to many of the same risks as our existing businesses and may not achieve the levels of performance that we anticipate.</w:t>
      </w:r>
    </w:p>
    <w:p>
      <w:pPr>
        <w:pStyle w:val="TextBody"/>
        <w:bidi w:val="0"/>
        <w:spacing w:before="0" w:after="0"/>
        <w:jc w:val="left"/>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may not realize anticipated operating advantages and cost savings. Future acquisitions may require us to structure new financing arrangements, assume additional liabilities and expenses, as well as incur subsequent write-downs of acquired assets. In addition, the integration of acquired businesses or assets involves a number of risks, including (i) the loss of key customers of the acquired business; (ii) demands on management related to the increase in our size; (iii) the diversion of management’s attention from the management of daily operations; (iv) difficulties in implementing or unanticipated costs of accounting, budgeting, reporting, internal controls, cybersecurity and other information technology systems; and (v) difficulties in the retention and assimilation of necessary employees. Difficulties in integration may be magnified if we make multiple acquisitions over a relatively short period of time. </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Because of difficulties in combining and expanding operations, we may not be able to achieve the cost savings and other benefits that we hoped to achieve after these acquisitions, which could negatively impact our financial condition and results of operations.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18</w:t>
                      </w:r>
                    </w:p>
                  </w:txbxContent>
                </v:textbox>
                <w10:wrap type="none"/>
              </v:rect>
            </w:pict>
          </mc:Fallback>
        </mc:AlternateContent>
      </w:r>
    </w:p>
    <w:p>
      <w:pPr>
        <w:pStyle w:val="TextBody"/>
        <w:bidi w:val="0"/>
        <w:spacing w:lineRule="auto" w:line="333" w:before="60" w:after="283"/>
        <w:jc w:val="left"/>
        <w:rPr>
          <w:color w:val="000000"/>
        </w:rPr>
      </w:pPr>
      <w:r>
        <w:rPr>
          <w:color w:val="000000"/>
        </w:rPr>
        <w:t>    </w:t>
      </w:r>
      <w:r>
        <w:rPr>
          <w:rFonts w:ascii="Times New Roman;serif" w:hAnsi="Times New Roman;serif"/>
          <w:b w:val="false"/>
          <w:color w:val="000000"/>
          <w:sz w:val="20"/>
        </w:rPr>
        <w:t>Item 1 | Business</w:t>
      </w:r>
    </w:p>
    <w:p>
      <w:pPr>
        <w:pStyle w:val="TextBody"/>
        <w:bidi w:val="0"/>
        <w:spacing w:lineRule="auto" w:line="333" w:before="0" w:after="0"/>
        <w:ind w:left="0" w:right="0" w:firstLine="360"/>
        <w:jc w:val="both"/>
        <w:rPr>
          <w:rFonts w:ascii="Times New Roman;serif" w:hAnsi="Times New Roman;serif"/>
          <w:b/>
          <w:color w:val="000000"/>
          <w:sz w:val="20"/>
          <w:u w:val="single"/>
        </w:rPr>
      </w:pPr>
      <w:r>
        <w:rPr>
          <w:rFonts w:ascii="Times New Roman;serif" w:hAnsi="Times New Roman;serif"/>
          <w:b/>
          <w:color w:val="000000"/>
          <w:sz w:val="20"/>
          <w:u w:val="single"/>
        </w:rPr>
        <w:t>Legal, Tax and Regulatory Risks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Our operations are subject to numerous current and future social and governance related legislative and regulatory measures both globally and in the specific geographic regions in which we and our customers operate, including treaties and international agreements related to “sustainability” initiatives like greenhouse gases, climate change and renewable energy sources. Our ability to comply with, and respond to current and future changes may expose us to significant liabilities, result in additional compliance costs and could reduce our business opportunities and revenues.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various laws and regulations applicable to the energy industry related to pollution, protection of the environment and natural resources, public and worker health and safety, and treaties and international agreements related to climate change and the regulation of greenhouse gasses. These laws and regulations sometimes provide for strict liability for remediation costs, damages to natural resources, or threats to public health and safety. Strict liability can render us liable for damages without regard to our degree of care or fault. Some environmental laws also provide for joint and several strict liability for remediation of spills and releases of hazardous substances, and, as a result, we could be liable for the actions of others. Thus, an environmental claim could arise with respect to one or more of our current or former businesses, operations, products or services, or a business or property that one of our predecessors owned or used, and such claims could involve material expenditures. Generally, environmental laws have in recent years become more stringent and have sought to impose greater liability on a larger number of potentially responsible parties and have required increased costs to comply with their requirements. The scope of regulation of our industry and our products and services may increase further, including possible increases in liabilities, financial assurance, or funding requirements imposed by governmental agencies. Additional regulations on deepwater drilling could be imposed, and those regulations could limit our business where they are imposed.</w:t>
      </w:r>
    </w:p>
    <w:p>
      <w:pPr>
        <w:pStyle w:val="TextBody"/>
        <w:bidi w:val="0"/>
        <w:spacing w:before="0" w:after="0"/>
        <w:ind w:left="0" w:right="0" w:firstLine="360"/>
        <w:jc w:val="both"/>
        <w:rPr/>
      </w:pPr>
      <w:r>
        <w:rPr/>
      </w:r>
    </w:p>
    <w:p>
      <w:pPr>
        <w:pStyle w:val="TextBody"/>
        <w:bidi w:val="0"/>
        <w:spacing w:lineRule="auto" w:line="312"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Our environmental, social and governance commitments and disclosures may expose us to reputational risks and legal liability.</w:t>
      </w:r>
    </w:p>
    <w:p>
      <w:pPr>
        <w:pStyle w:val="TextBody"/>
        <w:bidi w:val="0"/>
        <w:spacing w:before="0" w:after="0"/>
        <w:jc w:val="left"/>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Increasing focus on ESG factors has led to enhanced interest in, and review of performance results by investors and other stakeholders, and the potential for litigation and reputational risk. In 2022, we made certain public commitments to various corporate ESG initiatives, including our commitment to achieve net-zero emissions for Scope 1 and 2 by 2050 and signing on to the UN Global Compact. Any failure, or perceived failure, to achieve or accurately report on our commitments in our disclosures, including our annual Sustainability Report and our other disclosures on these matters, could harm our reputation and adversely affect our client relationships or our recruitment and retention efforts, as well as expose us to potential legal liability. In addition, positions we take or do not take on social issues may be unpopular with some of our employees, our clients or potential clients, shareholders, investors, governments or advocacy groups, which may impact our ability to attract or retain employees or the demand for our services.</w:t>
      </w:r>
    </w:p>
    <w:p>
      <w:pPr>
        <w:pStyle w:val="TextBody"/>
        <w:bidi w:val="0"/>
        <w:spacing w:before="0" w:after="0"/>
        <w:jc w:val="left"/>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Increasing focus on ESG matters has resulted in the adoption of legal and regulatory requirements designed to mitigate the effects of climate change on the environment, as well as legal and regulatory requirements requiring climate, human rights and supply chain-related disclosures. We expect these types of regulatory requirements related to ESG matters to continue to expand globally. If new laws or regulations are more stringent than current legal or regulatory requirements or involve reporting information according to differing standards and frameworks in the countries in which we operate, we may experience increased compliance burdens and costs to meet such obligations. In addition, our selection of voluntary disclosure frameworks and standards, and the interpretation or application of those frameworks and standards, may change from time to time or may not satisfy varying regulatory requirements or the expectations of investors or other stakeholders.</w:t>
      </w:r>
    </w:p>
    <w:p>
      <w:pPr>
        <w:pStyle w:val="TextBody"/>
        <w:bidi w:val="0"/>
        <w:spacing w:before="0" w:after="0"/>
        <w:jc w:val="left"/>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ability to achieve our ESG commitments, including our goals relating to sustainability and inclusion and diversity, is subject to numerous risks, many of which are outside of our control. Examples of such risks include: (1) our ability to operate more sustainably and with a lower carbon footprint; (2) the availability and cost of low- or non-carbon-based energy sources and technologies; (3) evolving and potentially conflicting global regulatory requirements affecting ESG standards or disclosures; (4) the availability of suppliers that can meet our sustainability, diversity and other standards; and (5) our ability to recruit, develop, and retain diverse talent.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19</w:t>
                      </w:r>
                    </w:p>
                  </w:txbxContent>
                </v:textbox>
                <w10:wrap type="none"/>
              </v:rect>
            </w:pict>
          </mc:Fallback>
        </mc:AlternateContent>
      </w:r>
    </w:p>
    <w:p>
      <w:pPr>
        <w:pStyle w:val="TextBody"/>
        <w:bidi w:val="0"/>
        <w:spacing w:lineRule="auto" w:line="333" w:before="60" w:after="283"/>
        <w:jc w:val="left"/>
        <w:rPr>
          <w:color w:val="000000"/>
        </w:rPr>
      </w:pPr>
      <w:r>
        <w:rPr>
          <w:color w:val="000000"/>
        </w:rPr>
        <w:t>    </w:t>
      </w:r>
      <w:r>
        <w:rPr>
          <w:rFonts w:ascii="Times New Roman;serif" w:hAnsi="Times New Roman;serif"/>
          <w:b w:val="false"/>
          <w:color w:val="000000"/>
          <w:sz w:val="20"/>
        </w:rPr>
        <w:t>Item 1 | Business</w:t>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standards for tracking and reporting on ESG matters, including climate change and human rights related matters, have not been harmonized and continue to evolve. Methodologies for reporting ESG data may be updated requiring that previously reported ESG data be adjusted to reflect improvement in availability and quality of third-party data, changing assumptions, changes in the nature and scope of our operations and other changes in circumstances. Our processes and controls for reporting ESG matters across our operations and supply chain are evolving to address obtaining information that resides in multiple internal systems and responding to multiple disparate standards for identifying, measuring, and reporting ESG metrics, including ESG-related disclosures that may be required by the SEC, European and other regulators. Such standards are currently not consistent and may change over time, which could result in significant revisions to our current goals, reported progress in achieving such goals, or ability to achieve such goals in the future.</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Adverse changes in tax laws both in the U.S. and abroad, changes in tax rates or exposure to additional income tax liabilities could have a material adverse effect on our results of operations.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tax laws could significantly increase our tax expense and require us to take actions, at potential significant expense, to seek to preserve our current level of tax expense. </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2002, we reorganized from the U.S. to a foreign jurisdiction. There are frequent legislative proposals in the United States that attempt to treat companies that have undertaken similar transactions as U.S. corporations subject to U.S. taxes or to limit the tax deductions or tax credits available to United States subsidiaries of these corporations. Our tax expense could be impacted by changes in tax laws, tax treaties or tax regulations or the interpretation or enforcement thereof or differing interpretation or enforcement of applicable law by the U.S. Internal Revenue Service and other taxing jurisdictions, acting in unison or separately. The inability to reduce our tax expense could have a material impact on our consolidated financial statements.</w:t>
      </w:r>
    </w:p>
    <w:p>
      <w:pPr>
        <w:pStyle w:val="TextBody"/>
        <w:bidi w:val="0"/>
        <w:spacing w:before="0" w:after="0"/>
        <w:ind w:left="0" w:right="0" w:firstLine="360"/>
        <w:jc w:val="both"/>
        <w:rPr/>
      </w:pPr>
      <w:r>
        <w:rPr/>
      </w:r>
    </w:p>
    <w:p>
      <w:pPr>
        <w:pStyle w:val="TextBody"/>
        <w:bidi w:val="0"/>
        <w:spacing w:lineRule="auto" w:line="319"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October 2021, the Organization of Economic Cooperation and Development (“OECD”), which represents a coalition of member countries, advanced reforms focused on global profit allocation and implementing a global minimum tax rate of at least 15% for large multinational corporations on a jurisdiction-by-jurisdiction basis, known as “Pillar Two.” The reform has been agreed upon by the majority of OECD members. The OECD has since issued administrative guidance providing transition and safe harbor rules around the implementation of the Pillar Two Global Minimum Tax. In December 2022, the European Council formally adopted a European Union directive on the implementation of the plan by January 1, 2024. Numerous countries, including Ireland, have enacted legislation implementing Pillar Two effective January 1, 2024. However, the OECD and countries are continuing to evaluate and adjust the Global Minimum Tax rules through administrative guidance, including legislative updates and adoption by additional countries, which could result in an increase in our effective tax rate.</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effective tax rate has fluctuated in the past and may fluctuate in the future. Future effective tax rates could be affected by changes in the composition of earnings in countries in which we operate with differing tax rates, non-income-based taxes, changes in tax laws, or changes in deferred tax assets and liabilities. We assess our deferred tax assets on a quarterly basis to determine whether a valuation allowance may be required. We have recorded a valuation allowance on approximately 88% of our deferred tax assets. </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The United States could treat Weatherford International plc (our parent corporation) as a United States taxpayer under IRC Section 7874.</w:t>
      </w:r>
    </w:p>
    <w:p>
      <w:pPr>
        <w:pStyle w:val="TextBody"/>
        <w:bidi w:val="0"/>
        <w:spacing w:before="0" w:after="0"/>
        <w:jc w:val="left"/>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Because Weatherford International plc is organized under the laws of Ireland, we would generally be classified as a foreign corporation for U.S. tax purposes under the general rule that a corporation is considered tax resident in the jurisdiction of its organization or incorporation for U.S. federal income tax purposes. However, the IRS may assert that we should be treated as a U.S. corporation (and therefore, a U.S. tax resident) for U.S. federal income tax purposes pursuant to Section 7874 of the U.S. Internal Revenue Code of 1986, as amended. In addition, a retroactive change to U.S. tax laws in this area could change this classification. If we are to be treated as a U.S. corporation for federal tax purposes, we could be subject to substantially greater U.S. tax liability than currently contemplated as a non-U.S. corporation.</w:t>
      </w:r>
    </w:p>
    <w:p>
      <w:pPr>
        <w:pStyle w:val="TextBody"/>
        <w:bidi w:val="0"/>
        <w:ind w:left="0" w:right="0" w:firstLine="3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20</w:t>
                      </w:r>
                    </w:p>
                  </w:txbxContent>
                </v:textbox>
                <w10:wrap type="none"/>
              </v:rect>
            </w:pict>
          </mc:Fallback>
        </mc:AlternateContent>
      </w:r>
    </w:p>
    <w:p>
      <w:pPr>
        <w:pStyle w:val="TextBody"/>
        <w:bidi w:val="0"/>
        <w:spacing w:lineRule="auto" w:line="333" w:before="60" w:after="283"/>
        <w:jc w:val="left"/>
        <w:rPr>
          <w:color w:val="000000"/>
        </w:rPr>
      </w:pPr>
      <w:r>
        <w:rPr>
          <w:color w:val="000000"/>
        </w:rPr>
        <w:t>    </w:t>
      </w:r>
      <w:r>
        <w:rPr>
          <w:rFonts w:ascii="Times New Roman;serif" w:hAnsi="Times New Roman;serif"/>
          <w:b w:val="false"/>
          <w:color w:val="000000"/>
          <w:sz w:val="20"/>
        </w:rPr>
        <w:t>Item 1 | Business</w:t>
      </w:r>
    </w:p>
    <w:p>
      <w:pPr>
        <w:pStyle w:val="TextBody"/>
        <w:bidi w:val="0"/>
        <w:spacing w:lineRule="auto" w:line="333"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The rights of our shareholders are governed by Irish law; Irish law differs from the laws in effect in the United States and may afford less protection and increased obligations to holders of our securities.</w:t>
      </w:r>
    </w:p>
    <w:p>
      <w:pPr>
        <w:pStyle w:val="TextBody"/>
        <w:bidi w:val="0"/>
        <w:spacing w:before="0" w:after="0"/>
        <w:ind w:left="0" w:right="0" w:firstLine="360"/>
        <w:jc w:val="both"/>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an Irish company, we are governed by the Irish Companies Act, which differs in some material respects from laws generally applicable to U.S. corporations and shareholders, including, among others, provisions relating to interested directors, mergers and acquisitions, takeovers, shareholder lawsuits and indemnification of directors. Likewise,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jurisdiction of the United States. In addition, depending on the circumstances, the acquisition, ownership and/or disposition of our ordinary shares may subject shareholders to different or additional tax consequences under Irish law including, but not limited to, Irish stamp duty, dividend withholding taxes and capital acquisitions taxes.</w:t>
      </w:r>
    </w:p>
    <w:p>
      <w:pPr>
        <w:pStyle w:val="TextBody"/>
        <w:bidi w:val="0"/>
        <w:spacing w:before="0" w:after="0"/>
        <w:jc w:val="left"/>
        <w:rPr/>
      </w:pPr>
      <w:r>
        <w:rPr/>
      </w:r>
    </w:p>
    <w:p>
      <w:pPr>
        <w:pStyle w:val="TextBody"/>
        <w:bidi w:val="0"/>
        <w:spacing w:lineRule="auto" w:line="333"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 xml:space="preserve">We are incorporated in Ireland and a significant portion of our assets are located outside the United States. As a result, it might not be possible for shareholders to enforce civil liability provisions of the federal or state securities laws of the United States. </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organized under the laws of Ireland, and a significant portion of our assets are located outside the United States. The United States currently does not have a treaty with Ireland providing for the reciprocal recognition and enforcement of judgments in civil and commercial matters. As such, a shareholder who obtains a court judgment based on the civil liability provisions of U.S. federal or state securities laws may be unable to enforce the judgment against us in Ireland. In addition, there is some doubt as to whether the courts of Ireland and other countries would recognize or enforce judgments of U.S. courts obtained against us or our directors or officers based on the civil liabilities provisions of the federal or state securities laws of the United States or would hear actions against us or those persons based on those laws. The laws of Ireland do, however, as a general rule, provide that the judgments of the courts of the United States have the same validity in Ireland as if rendered by Irish Courts. Certain important requirements must be satisfied before the Irish Courts will recognize the U.S. judgment. The originating court must have been a court of competent jurisdiction, the judgment must be final and conclusive, and the judgment may not be recognized if it was obtained by fraud, or its recognition would be contrary to Irish public policy. Any judgment obtained in contravention of the rules of natural justice or that is irreconcilable with an earlier foreign judgment would not be enforced in Ireland. </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Similarly, judgments might not be enforceable in countries other than the United States where we have assets.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ind w:left="0" w:right="0" w:firstLine="360"/>
        <w:jc w:val="both"/>
        <w:rPr>
          <w:rFonts w:ascii="Times New Roman;serif" w:hAnsi="Times New Roman;serif"/>
          <w:b/>
          <w:color w:val="000000"/>
          <w:sz w:val="20"/>
          <w:u w:val="single"/>
        </w:rPr>
      </w:pPr>
      <w:r>
        <w:rPr>
          <w:rFonts w:ascii="Times New Roman;serif" w:hAnsi="Times New Roman;serif"/>
          <w:b/>
          <w:color w:val="000000"/>
          <w:sz w:val="20"/>
          <w:u w:val="single"/>
        </w:rPr>
        <w:t>General Risks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 xml:space="preserve">A failure of our information systems, including the implementation of our new enterprise resource planning system, or other issues with our systems could have a material adverse affect on our business, financial condition, results of operations and cash flows and could adversely impact the effectiveness of our internal control over financial reporting. </w:t>
      </w:r>
    </w:p>
    <w:p>
      <w:pPr>
        <w:pStyle w:val="TextBody"/>
        <w:bidi w:val="0"/>
        <w:spacing w:before="0" w:after="0"/>
        <w:jc w:val="left"/>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rely extensively on our information systems to manage our business, data, communications, supply chain, ordering, pricing, billing, inventory replenishment, accounting functions, and other processes. Our information systems are subject to damage or interruption from various sources, including obsolescence, power outages, computer and telecommunications failures, computer viruses, cyber security breaches, vandalism, severe weather conditions, catastrophic events, terrorism, and human error, and our disaster recovery planning cannot account for all eventualities. Our disaster recovery measures may or may not address all potential contingencies. If our infrastructure becomes damaged, fails to function properly, or otherwise becomes compromised or unavailable, we may incur substantial costs to repair or replace them, and we may experience loss of critical data or interruptions or delays in our ability to perform critical functions, which could adversely affect our business, operating results, or financial condition. </w:t>
      </w:r>
    </w:p>
    <w:p>
      <w:pPr>
        <w:pStyle w:val="TextBody"/>
        <w:bidi w:val="0"/>
        <w:ind w:left="0" w:right="0" w:firstLine="3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21</w:t>
                      </w:r>
                    </w:p>
                  </w:txbxContent>
                </v:textbox>
                <w10:wrap type="none"/>
              </v:rect>
            </w:pict>
          </mc:Fallback>
        </mc:AlternateContent>
      </w:r>
    </w:p>
    <w:p>
      <w:pPr>
        <w:pStyle w:val="TextBody"/>
        <w:bidi w:val="0"/>
        <w:spacing w:lineRule="auto" w:line="333" w:before="60" w:after="283"/>
        <w:jc w:val="left"/>
        <w:rPr>
          <w:color w:val="000000"/>
        </w:rPr>
      </w:pPr>
      <w:r>
        <w:rPr>
          <w:color w:val="000000"/>
        </w:rPr>
        <w:t>    </w:t>
      </w:r>
      <w:r>
        <w:rPr>
          <w:rFonts w:ascii="Times New Roman;serif" w:hAnsi="Times New Roman;serif"/>
          <w:b w:val="false"/>
          <w:color w:val="000000"/>
          <w:sz w:val="20"/>
        </w:rPr>
        <w:t>Item 1 | Business</w:t>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begun a multi-year process of implementing a cloud-based enterprise resource planning (“ERP”) system that will assist with the collection, storage, management and interpretation of data from our business activities to support future growth and to integrate significant processes.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ERP system implementations are complex and time-consuming and involve substantial expenditures on system software and implementation activities, as well as changes to business processes and internal control over financial reporting. The implementation of the ERP system may prove to be more difficult, costly, or time consuming than expected, and there can be no assurance that this system will continue to be beneficial to the extent anticipated. Any disruptions, delays or deficiencies in the design and implementation of our new ERP system, particularly ones that impact our financial reporting and accounting systems or our ability to provide services, send invoices, track payments or fulfill contractual obligations, could adversely affect our business, financial condition, results of operations and cash flows. Additionally, if the ERP system does not operate as intended, the effectiveness of our internal control over financial reporting could be adversely affected or our ability to assess it adequately could be impacted, which could cause us to fail to meet our reporting obligations.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Furthermore, certain of our existing information infrastructure is aged and may require periodic modifications, upgrades, and replacements which may subject us to risks, including operating disruptions, substantial capital expenditures, or additional cost to implement. Any of the aforementioned interruptions, as well as the failure to properly or efficiently modify, upgrade, replace or implement our infrastructure on a timely basis could materially disrupt our operations, and have a material adverse effect on our financial results.</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312" w:before="0" w:after="0"/>
        <w:jc w:val="both"/>
        <w:rPr>
          <w:rFonts w:ascii="Times New Roman;serif" w:hAnsi="Times New Roman;serif"/>
          <w:b/>
          <w:color w:val="000000"/>
          <w:sz w:val="20"/>
        </w:rPr>
      </w:pPr>
      <w:r>
        <w:rPr>
          <w:rFonts w:ascii="Times New Roman;serif" w:hAnsi="Times New Roman;serif"/>
          <w:b/>
          <w:color w:val="000000"/>
          <w:sz w:val="20"/>
        </w:rPr>
        <w:br/>
        <w:t>Cybersecurity Oversight and Governance</w:t>
      </w:r>
    </w:p>
    <w:p>
      <w:pPr>
        <w:pStyle w:val="TextBody"/>
        <w:bidi w:val="0"/>
        <w:spacing w:before="0" w:after="0"/>
        <w:jc w:val="left"/>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Weatherford is committed to protecting its information systems. These efforts are led by the Chief Information Officer (“CIO”). Our program is designed to align with international best practices used in our industry, such as the Cyber Security Framework from the National Institute of Standards and Technology (“NIST”).</w:t>
      </w:r>
    </w:p>
    <w:p>
      <w:pPr>
        <w:pStyle w:val="TextBody"/>
        <w:bidi w:val="0"/>
        <w:spacing w:before="0" w:after="0"/>
        <w:ind w:left="0" w:right="0" w:firstLine="360"/>
        <w:jc w:val="both"/>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Weatherford’s cybersecurity program has been developed by the CIO and the information security team with oversight from our Board of Directors and in coordination with key members of our finance, assurance and legal teams. The information security team is comprised of specialists with a mix of government and public-sector cybersecurity experience. Combined, they have years of experience selecting, deploying and operating cybersecurity technologies and initiatives globally, including our CIO, who has over 25 years of experience in engineering and information technology. Many of our professionals hold university degrees in cybersecurity, information technology, management of information systems and related fields, along with industry-recognized certifications such as CISSP, CASP+, CEH and other related certifications. The team leverages a risk-based approach in an effort to facilitate protection, detection and rapid response to threats. We seek to validate our approach through NIST Cyber Security Risk Assessments conducted by third parties and tested through penetration tests and tabletop exercises, as well as internal and external audits. </w:t>
      </w:r>
    </w:p>
    <w:p>
      <w:pPr>
        <w:pStyle w:val="TextBody"/>
        <w:bidi w:val="0"/>
        <w:spacing w:before="0" w:after="0"/>
        <w:ind w:left="0" w:right="0" w:firstLine="360"/>
        <w:jc w:val="both"/>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Information security is a key part of the Company’s Enterprise Risk Management (“ERM”) program, which is designed to identify and evaluate potentially material risks, the potential impact of these risks on the enterprise, as well as steps to control and mitigate those risks. The Company has established an ERM Committee that meets regularly to evaluate risks and coordinate a consistent approach to risk mitigation across the enterprise, including risks related to cybersecurity. The ERM Committee is comprised of certain members of our cross-functional executive leadership team. </w:t>
      </w:r>
    </w:p>
    <w:p>
      <w:pPr>
        <w:pStyle w:val="TextBody"/>
        <w:bidi w:val="0"/>
        <w:ind w:left="0" w:right="0" w:firstLine="3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w:t>
                      </w:r>
                    </w:p>
                  </w:txbxContent>
                </v:textbox>
                <w10:wrap type="none"/>
              </v:rect>
            </w:pict>
          </mc:Fallback>
        </mc:AlternateContent>
      </w:r>
    </w:p>
    <w:p>
      <w:pPr>
        <w:pStyle w:val="TextBody"/>
        <w:bidi w:val="0"/>
        <w:spacing w:lineRule="auto" w:line="333" w:before="0" w:after="0"/>
        <w:jc w:val="left"/>
        <w:rPr>
          <w:color w:val="000000"/>
        </w:rPr>
      </w:pPr>
      <w:r>
        <w:rPr>
          <w:color w:val="000000"/>
        </w:rPr>
        <w:t xml:space="preserve">         </w:t>
      </w:r>
      <w:r>
        <w:rPr>
          <w:rFonts w:ascii="Times New Roman;serif" w:hAnsi="Times New Roman;serif"/>
          <w:b w:val="false"/>
          <w:color w:val="000000"/>
          <w:sz w:val="20"/>
        </w:rPr>
        <w:t>Item 1B through Item 4 | Unresolved Staff Comments through Mine Safety</w:t>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CIO reports quarterly to senior management, including the Chief Executive Officer, Chief Financial Officer, Chief Accounting Officer and General Counsel, among others, on the status of company-wide cybersecurity initiatives, risks and other developments. The CIO or key members of the executive leadership team update the audit committee of our Board of Directors periodically on the cybersecurity landscape, the status of ongoing initiatives and any threats or other issues. The audit committee has ultimate oversight over the cybersecurity of the organization. </w:t>
      </w:r>
    </w:p>
    <w:p>
      <w:pPr>
        <w:pStyle w:val="TextBody"/>
        <w:bidi w:val="0"/>
        <w:spacing w:before="0" w:after="0"/>
        <w:jc w:val="left"/>
        <w:rPr/>
      </w:pPr>
      <w:r>
        <w:rPr/>
      </w:r>
    </w:p>
    <w:p>
      <w:pPr>
        <w:pStyle w:val="TextBody"/>
        <w:bidi w:val="0"/>
        <w:spacing w:lineRule="auto" w:line="312" w:before="0" w:after="0"/>
        <w:jc w:val="both"/>
        <w:rPr>
          <w:rFonts w:ascii="Times New Roman;serif" w:hAnsi="Times New Roman;serif"/>
          <w:b/>
          <w:color w:val="000000"/>
          <w:sz w:val="20"/>
        </w:rPr>
      </w:pPr>
      <w:r>
        <w:rPr>
          <w:rFonts w:ascii="Times New Roman;serif" w:hAnsi="Times New Roman;serif"/>
          <w:b/>
          <w:color w:val="000000"/>
          <w:sz w:val="20"/>
        </w:rPr>
        <w:t>Protection</w:t>
      </w:r>
    </w:p>
    <w:p>
      <w:pPr>
        <w:pStyle w:val="TextBody"/>
        <w:bidi w:val="0"/>
        <w:spacing w:before="0" w:after="0"/>
        <w:jc w:val="left"/>
        <w:rPr/>
      </w:pPr>
      <w:r>
        <w:rPr/>
      </w:r>
    </w:p>
    <w:p>
      <w:pPr>
        <w:pStyle w:val="TextBody"/>
        <w:bidi w:val="0"/>
        <w:spacing w:lineRule="auto" w:line="312"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Employee Awareness and Training</w:t>
      </w:r>
    </w:p>
    <w:p>
      <w:pPr>
        <w:pStyle w:val="TextBody"/>
        <w:bidi w:val="0"/>
        <w:spacing w:before="0" w:after="0"/>
        <w:jc w:val="left"/>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Weatherford offers multilingual training sessions and awareness campaigns to better equip our employees with knowledge and tools to safeguard our information systems. Cybersecurity training is an integral part of our employee development program, beginning with comprehensive onboarding sessions to establish foundational knowledge. To ensure ongoing awareness and preparedness, employees complete annual refresher courses, which reinforce best practices and address emerging cybersecurity threats. Additionally, Weatherford performs periodic phishing simulations and training to enhance employee vigilance against social engineering attacks. We also provide industry-specific cybersecurity training to relevant employees to address sector-specific risks and strengthen our organization’s overall security posture. Employees are encouraged to report on cybersecurity threats, data privacy incidents, or any other concerns.</w:t>
      </w:r>
    </w:p>
    <w:p>
      <w:pPr>
        <w:pStyle w:val="TextBody"/>
        <w:bidi w:val="0"/>
        <w:spacing w:before="0" w:after="0"/>
        <w:ind w:left="0" w:right="0" w:firstLine="360"/>
        <w:jc w:val="both"/>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Weatherford also provides guidance to support employees on acceptable use, remote access, encryption, cloud security, and anti-virus best practices. Weatherford has long included a safety moment at the beginning of major internal meetings, and cyber safety is an occasional topic.</w:t>
      </w:r>
    </w:p>
    <w:p>
      <w:pPr>
        <w:pStyle w:val="TextBody"/>
        <w:bidi w:val="0"/>
        <w:spacing w:before="0" w:after="0"/>
        <w:ind w:left="0" w:right="0" w:firstLine="360"/>
        <w:jc w:val="both"/>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our ongoing training and awareness campaigns reinforce the importance of employees in preventing cybersecurity incidents, and further the goal of continuously promoting Weatherford’s culture of safety, security and compliance. </w:t>
      </w:r>
    </w:p>
    <w:p>
      <w:pPr>
        <w:pStyle w:val="TextBody"/>
        <w:bidi w:val="0"/>
        <w:spacing w:before="0" w:after="0"/>
        <w:jc w:val="left"/>
        <w:rPr/>
      </w:pPr>
      <w:r>
        <w:rPr/>
      </w:r>
    </w:p>
    <w:p>
      <w:pPr>
        <w:pStyle w:val="TextBody"/>
        <w:bidi w:val="0"/>
        <w:spacing w:lineRule="auto" w:line="312"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Protection Systems</w:t>
      </w:r>
    </w:p>
    <w:p>
      <w:pPr>
        <w:pStyle w:val="TextBody"/>
        <w:bidi w:val="0"/>
        <w:spacing w:before="0" w:after="0"/>
        <w:jc w:val="left"/>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Weatherford has made significant investments in cyber protection systems, including by engaging third party service providers to actively search and monitor information systems for vulnerabilities through penetration testing and other means. In addition, we use a comprehensive suite of cybersecurity tools and software, aligned with government and industry best practices, including multi-factor authentication, complex passwords and advanced security controls, across all major Weatherford systems in an effort to strengthen defenses and prevent unauthorized access.</w:t>
      </w:r>
    </w:p>
    <w:p>
      <w:pPr>
        <w:pStyle w:val="TextBody"/>
        <w:bidi w:val="0"/>
        <w:spacing w:before="0" w:after="0"/>
        <w:ind w:left="0" w:right="0" w:firstLine="360"/>
        <w:jc w:val="both"/>
        <w:rPr/>
      </w:pPr>
      <w:r>
        <w:rPr/>
      </w:r>
    </w:p>
    <w:p>
      <w:pPr>
        <w:pStyle w:val="TextBody"/>
        <w:bidi w:val="0"/>
        <w:spacing w:lineRule="auto" w:line="312" w:before="0" w:after="0"/>
        <w:ind w:left="0" w:right="0" w:firstLine="360"/>
        <w:jc w:val="both"/>
        <w:rPr/>
      </w:pPr>
      <w:r>
        <w:rPr>
          <w:rFonts w:ascii="Times New Roman;serif" w:hAnsi="Times New Roman;serif"/>
          <w:b w:val="false"/>
          <w:color w:val="000000"/>
          <w:sz w:val="20"/>
        </w:rPr>
        <w:t>Weatherford personnel conduct risk assessments on third-party products and platforms through a structured checklist-based review and interview process that aim to validate implemented security controls and mitigate risk to our organization. This process includes evaluating security architecture, verifying certifications and reviewing results of external security assessments. Additional documentation may be requested to clarify technical measures, compliance reports or risk treatment plans. Cybersecurity approval is a key factor in approving a new third-party product or platform.</w:t>
      </w:r>
      <w:r>
        <w:rPr>
          <w:color w:val="FF0000"/>
        </w:rPr>
        <w:t xml:space="preserve"> </w:t>
      </w:r>
    </w:p>
    <w:p>
      <w:pPr>
        <w:pStyle w:val="TextBody"/>
        <w:bidi w:val="0"/>
        <w:spacing w:before="0" w:after="0"/>
        <w:jc w:val="left"/>
        <w:rPr/>
      </w:pPr>
      <w:r>
        <w:rPr/>
      </w:r>
    </w:p>
    <w:p>
      <w:pPr>
        <w:pStyle w:val="TextBody"/>
        <w:bidi w:val="0"/>
        <w:spacing w:lineRule="auto" w:line="312" w:before="0" w:after="0"/>
        <w:jc w:val="both"/>
        <w:rPr>
          <w:rFonts w:ascii="Times New Roman;serif" w:hAnsi="Times New Roman;serif"/>
          <w:b/>
          <w:color w:val="000000"/>
          <w:sz w:val="20"/>
        </w:rPr>
      </w:pPr>
      <w:r>
        <w:rPr>
          <w:rFonts w:ascii="Times New Roman;serif" w:hAnsi="Times New Roman;serif"/>
          <w:b/>
          <w:color w:val="000000"/>
          <w:sz w:val="20"/>
        </w:rPr>
        <w:t>Detection and Response</w:t>
      </w:r>
    </w:p>
    <w:p>
      <w:pPr>
        <w:pStyle w:val="TextBody"/>
        <w:bidi w:val="0"/>
        <w:spacing w:before="0" w:after="0"/>
        <w:jc w:val="left"/>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Weatherford uses multiple internal and external resources to continuously monitor our information systems for evidence of a threat, breach or other incident. </w:t>
      </w:r>
    </w:p>
    <w:p>
      <w:pPr>
        <w:pStyle w:val="TextBody"/>
        <w:bidi w:val="0"/>
        <w:spacing w:before="0" w:after="0"/>
        <w:ind w:left="0" w:right="0" w:firstLine="360"/>
        <w:jc w:val="both"/>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When a threat or other issue is identified, the information security team follows an incident response plan that outlines the process for investigating and addressing the issue. The incident response plan is focused on prompt interdisciplinary communication and coordination between the information security team and key members of the finance, legal, and communication teams, as well as senior management. The information security team also utilizes specific runbooks for various types of threats that are updated and expanded based on lessons learned and emerging best practices. Our incident response plan also provides for consideration of whether an incident is material, requiring disclosure to shareholders in SEC filings. Our team also has a disaster recovery plan, under which recovery testing occurs annually. </w:t>
      </w:r>
    </w:p>
    <w:p>
      <w:pPr>
        <w:pStyle w:val="TextBody"/>
        <w:bidi w:val="0"/>
        <w:ind w:left="0" w:right="0" w:firstLine="3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23</w:t>
                      </w:r>
                    </w:p>
                  </w:txbxContent>
                </v:textbox>
                <w10:wrap type="none"/>
              </v:rect>
            </w:pict>
          </mc:Fallback>
        </mc:AlternateContent>
      </w:r>
    </w:p>
    <w:p>
      <w:pPr>
        <w:pStyle w:val="TextBody"/>
        <w:bidi w:val="0"/>
        <w:spacing w:lineRule="auto" w:line="333" w:before="0" w:after="0"/>
        <w:jc w:val="left"/>
        <w:rPr>
          <w:color w:val="000000"/>
        </w:rPr>
      </w:pPr>
      <w:r>
        <w:rPr>
          <w:color w:val="000000"/>
        </w:rPr>
        <w:t xml:space="preserve">         </w:t>
      </w:r>
      <w:r>
        <w:rPr>
          <w:rFonts w:ascii="Times New Roman;serif" w:hAnsi="Times New Roman;serif"/>
          <w:b w:val="false"/>
          <w:color w:val="000000"/>
          <w:sz w:val="20"/>
        </w:rPr>
        <w:t>Item 1B through Item 4 | Unresolved Staff Comments through Mine Safety</w:t>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Weatherford expects to continually invest in the improvement of cybersecurity infrastructure, as systems and needs evolve and as the threat landscape changes. Because we employ a prevention-based improvement cycle that requires the response team for each threat or incident to consider the root cause of the issue and any lessons learned throughout the response process, we strive to make corrections and improvements in our policies and procedures that are designed to safeguard against future threats. </w:t>
      </w:r>
    </w:p>
    <w:p>
      <w:pPr>
        <w:pStyle w:val="TextBody"/>
        <w:bidi w:val="0"/>
        <w:spacing w:before="0" w:after="0"/>
        <w:ind w:left="0" w:right="0" w:firstLine="360"/>
        <w:jc w:val="both"/>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While we believe our approach to cybersecurity is reasonable, given the rapidly evolving nature of cybersecurity incidents, there can be no assurance that the controls we have designed and implemented will be sufficient in preventing future incidents or attacks. To date, no cybersecurity incident or issue has had a material impact on us. See “Item 1A –Risk Factors – Our business could be negatively affected by cybersecurity incidents and other technology disruptions” for more information about cybersecurity risk.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before="0" w:after="0"/>
        <w:jc w:val="left"/>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conduct business in approximately 75 countries and have manufacturing facilities, research and technology centers, fluids and processing centers and sales, service and distribution locations throughout the world. Our principal executive offices are in Houston, Texas, U.S. We own or lease numerous other facilities such as service centers, shops, sales and administrative offices throughout the geographic regions in which we operate. The major service centers where we support our segment operations are located in Dhahran, Saudi Arabia; Abu Dhabi, United Arab Emirates; Mina Abdulla, Kuwait; Nimr, Oman; Neuquen, Argentina; Al Khobar, Saudi Arabia; Odessa, Texas, U.S.; Doha, Qatar; Broussard, Louisiana, U.S.; and Villavicencio, Colombia. We operate research and technology centers in Houston, Texas, U.S.; Loughborough, United Kingdom; and Mumbai, India and have major manufacturing centers in JiangSu, China; Abu Dhabi, United Arab Emirates; Huntsville, Texas, U.S. and Vadodara, India.</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of our owned material real property located in the U.S. and Canada are mortgaged to the lenders under our Credit Agreement. Our remaining owned real property is unencumbered under the Credit Agreement; however, the lenders could require we mortgage certain owned real property located in the U.S., Canada and the United Kingdom if any such real property were to exceed the materiality threshold specified in the Credit Agreement. We believe the facilities that we currently occupy are suitable for their intended use.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 xml:space="preserve">Item 3. Legal Proceedings. </w:t>
      </w:r>
    </w:p>
    <w:p>
      <w:pPr>
        <w:pStyle w:val="TextBody"/>
        <w:bidi w:val="0"/>
        <w:spacing w:before="0" w:after="0"/>
        <w:jc w:val="left"/>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we are the subject of various claims and litigation. We maintain insurance to cover many of our potential losses, and we are subject to various self-retention limits and deductibles with respect to our insurance. Please see the following:</w:t>
      </w:r>
    </w:p>
    <w:p>
      <w:pPr>
        <w:pStyle w:val="TextBody"/>
        <w:bidi w:val="0"/>
        <w:spacing w:before="0" w:after="0"/>
        <w:ind w:left="0" w:right="0" w:firstLine="360"/>
        <w:jc w:val="both"/>
        <w:rPr/>
      </w:pPr>
      <w:r>
        <w:rPr/>
      </w:r>
    </w:p>
    <w:p>
      <w:pPr>
        <w:pStyle w:val="TextBody"/>
        <w:bidi w:val="0"/>
        <w:spacing w:lineRule="auto" w:line="333" w:before="0" w:after="60"/>
        <w:ind w:left="0" w:right="0" w:hanging="360"/>
        <w:jc w:val="both"/>
        <w:rPr/>
      </w:pPr>
      <w:r>
        <w:rPr>
          <w:color w:val="000000"/>
        </w:rPr>
        <w:t>•</w:t>
      </w:r>
      <w:r>
        <w:rPr>
          <w:rFonts w:ascii="Times New Roman;serif" w:hAnsi="Times New Roman;serif"/>
          <w:b w:val="false"/>
          <w:color w:val="000000"/>
          <w:sz w:val="20"/>
        </w:rPr>
        <w:t>If we are the subject of governmental and internal investigations related to alleged misconduct and violations of U.S. or international laws in the future, it could have a material adverse effect on our business, financial condition and results of operations. For additional information, see Item 1A. Risk Factors- Legal, Tax and Regulatory Risks.</w:t>
      </w:r>
    </w:p>
    <w:p>
      <w:pPr>
        <w:pStyle w:val="TextBody"/>
        <w:bidi w:val="0"/>
        <w:spacing w:lineRule="auto" w:line="333" w:before="0" w:after="60"/>
        <w:ind w:left="0" w:right="0" w:hanging="360"/>
        <w:jc w:val="both"/>
        <w:rPr/>
      </w:pPr>
      <w:r>
        <w:rPr>
          <w:color w:val="000000"/>
        </w:rPr>
        <w:t>•</w:t>
      </w:r>
      <w:r>
        <w:rPr>
          <w:rFonts w:ascii="Times New Roman;serif" w:hAnsi="Times New Roman;serif"/>
          <w:b w:val="false"/>
          <w:color w:val="000000"/>
          <w:sz w:val="20"/>
        </w:rPr>
        <w:t xml:space="preserve">See also “Item 1. Business” and “Item 8. Financial Statements and Supplementary Data – Notes to Consolidated Financial Statements – Note 13 – Disputes, Litigation and Legal Contingencies.” </w:t>
      </w:r>
    </w:p>
    <w:p>
      <w:pPr>
        <w:pStyle w:val="TextBody"/>
        <w:bidi w:val="0"/>
        <w:spacing w:lineRule="auto" w:line="333" w:before="0" w:after="0"/>
        <w:jc w:val="left"/>
        <w:rPr>
          <w:color w:val="000000"/>
        </w:rPr>
      </w:pPr>
      <w:r>
        <w:rPr>
          <w:color w:val="000000"/>
        </w:rPr>
        <w:t> </w:t>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It is possible that an unexpected judgment could be rendered against us, or we could decide to resolve a case or cases that would result in a liability that could be uninsured and beyond the amounts we currently have reserved and in some cases those losses could be material.</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333" w:before="0" w:after="0"/>
        <w:ind w:left="0" w:right="0" w:firstLine="360"/>
        <w:jc w:val="both"/>
        <w:rPr>
          <w:color w:val="000000"/>
        </w:rPr>
      </w:pPr>
      <w:r>
        <w:rPr>
          <w:color w:val="000000"/>
        </w:rPr>
        <w:t> </w:t>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24</w:t>
                      </w:r>
                    </w:p>
                  </w:txbxContent>
                </v:textbox>
                <w10:wrap type="none"/>
              </v:rect>
            </w:pict>
          </mc:Fallback>
        </mc:AlternateContent>
      </w:r>
    </w:p>
    <w:p>
      <w:pPr>
        <w:pStyle w:val="TextBody"/>
        <w:bidi w:val="0"/>
        <w:spacing w:lineRule="auto" w:line="333" w:before="0" w:after="0"/>
        <w:jc w:val="left"/>
        <w:rPr>
          <w:color w:val="000000"/>
        </w:rPr>
      </w:pPr>
      <w:r>
        <w:rPr>
          <w:color w:val="000000"/>
        </w:rPr>
        <w:t>    </w:t>
      </w:r>
      <w:r>
        <w:rPr>
          <w:rFonts w:ascii="Times New Roman;serif" w:hAnsi="Times New Roman;serif"/>
          <w:b w:val="false"/>
          <w:color w:val="000000"/>
          <w:sz w:val="20"/>
        </w:rPr>
        <w:t>Item 5 | Market for Registrants Ordinary Shares</w:t>
      </w:r>
    </w:p>
    <w:p>
      <w:pPr>
        <w:pStyle w:val="TextBody"/>
        <w:bidi w:val="0"/>
        <w:spacing w:before="0" w:after="0"/>
        <w:jc w:val="left"/>
        <w:rPr/>
      </w:pPr>
      <w:r>
        <w:rPr/>
      </w:r>
    </w:p>
    <w:p>
      <w:pPr>
        <w:pStyle w:val="TextBody"/>
        <w:bidi w:val="0"/>
        <w:spacing w:lineRule="auto" w:line="333" w:before="0" w:after="6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60" w:after="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before="0" w:after="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June 2021, we became subject to the reporting requirements of the Securities Exchange Act of 1934 (as amended, the “Exchange Act”). Our ordinary shares began trading on the Nasdaq Global Select Market on June 2, 2021 under the ticker symbol “WFRD.” As of January 30, 2026, we had 66 shareholders of record. The actual number of shareholders is considerably greater than the number of shareholders of record and includes shareholders who are beneficial owners but whose shares are held in street name by brokers and other nominees.</w:t>
      </w:r>
    </w:p>
    <w:p>
      <w:pPr>
        <w:pStyle w:val="TextBody"/>
        <w:bidi w:val="0"/>
        <w:spacing w:before="0" w:after="0"/>
        <w:ind w:left="0" w:right="0" w:firstLine="360"/>
        <w:jc w:val="both"/>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Information related to dividend payments can be found in “Note 15 – Shareholders’ Equity”. Dividends are authorized and determined by our Board of Directors at its sole discretion and depend upon a number of factors, including our financial results, cash requirements, capital management plans, changes in applicable laws, contractual restrictions, such as financial or operating covenants, and future prospects, as well as such other factors deemed relevant by our Board of Directors. We can provide no assurance that we will pay dividends at current levels or at all. See “Note 19 – Subsequent Events” for details regarding our latest declared dividend. </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graph shows a comparison of cumulative total shareholder return on our ordinary shares, the Dow Jones U.S. Index (“DJI”), the Dow Jones U.S. Oil Equipment and Services Index (“DJUSOI”), the Philadelphia Oil Service Index (“OSX”), the VanEck Oil Services ETF (“OIH”) and the Standard &amp; Poor’s 500 Index (“S&amp;P 500”) from June 2, 2021 (date we began trading on NASDAQ) through 2025. The graph assumes $100 was invested in each of the Company’s ordinary shares, in the aforementioned indices, as well as reinvestment of all dividends. Note that past stock price performance is not necessarily indicative of future stock price performance.</w:t>
      </w:r>
    </w:p>
    <w:p>
      <w:pPr>
        <w:pStyle w:val="TextBody"/>
        <w:bidi w:val="0"/>
        <w:ind w:left="0" w:right="0" w:firstLine="3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25</w:t>
                      </w:r>
                    </w:p>
                  </w:txbxContent>
                </v:textbox>
                <w10:wrap type="none"/>
              </v:rect>
            </w:pict>
          </mc:Fallback>
        </mc:AlternateContent>
      </w:r>
    </w:p>
    <w:p>
      <w:pPr>
        <w:pStyle w:val="TextBody"/>
        <w:bidi w:val="0"/>
        <w:spacing w:lineRule="auto" w:line="333" w:before="0" w:after="0"/>
        <w:jc w:val="left"/>
        <w:rPr>
          <w:color w:val="000000"/>
        </w:rPr>
      </w:pPr>
      <w:r>
        <w:rPr>
          <w:color w:val="000000"/>
        </w:rPr>
        <w:t>    </w:t>
      </w:r>
      <w:r>
        <w:rPr>
          <w:rFonts w:ascii="Times New Roman;serif" w:hAnsi="Times New Roman;serif"/>
          <w:b w:val="false"/>
          <w:color w:val="000000"/>
          <w:sz w:val="20"/>
        </w:rPr>
        <w:t>Item 5 | Market for Registrants Ordinary Shares</w:t>
      </w:r>
    </w:p>
    <w:p>
      <w:pPr>
        <w:pStyle w:val="TextBody"/>
        <w:bidi w:val="0"/>
        <w:spacing w:before="0" w:after="0"/>
        <w:jc w:val="left"/>
        <w:rPr/>
      </w:pPr>
      <w:r>
        <w:rPr/>
      </w:r>
    </w:p>
    <w:p>
      <w:pPr>
        <w:pStyle w:val="TextBody"/>
        <w:bidi w:val="0"/>
        <w:spacing w:before="0" w:after="0"/>
        <w:ind w:left="0" w:right="0" w:firstLine="360"/>
        <w:jc w:val="both"/>
        <w:rPr/>
      </w:pPr>
      <w:r>
        <w:rPr/>
        <w:drawing>
          <wp:inline distT="0" distB="0" distL="0" distR="0">
            <wp:extent cx="6400800" cy="4572000"/>
            <wp:effectExtent l="0" t="0" r="0" b="0"/>
            <wp:docPr id="3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 descr=""/>
                    <pic:cNvPicPr>
                      <a:picLocks noChangeAspect="1" noChangeArrowheads="1"/>
                    </pic:cNvPicPr>
                  </pic:nvPicPr>
                  <pic:blipFill>
                    <a:blip r:embed="rId3"/>
                    <a:stretch>
                      <a:fillRect/>
                    </a:stretch>
                  </pic:blipFill>
                  <pic:spPr bwMode="auto">
                    <a:xfrm>
                      <a:off x="0" y="0"/>
                      <a:ext cx="6400800" cy="4572000"/>
                    </a:xfrm>
                    <a:prstGeom prst="rect">
                      <a:avLst/>
                    </a:prstGeom>
                  </pic:spPr>
                </pic:pic>
              </a:graphicData>
            </a:graphic>
          </wp:inline>
        </w:drawing>
      </w:r>
    </w:p>
    <w:p>
      <w:pPr>
        <w:pStyle w:val="TextBody"/>
        <w:bidi w:val="0"/>
        <w:spacing w:before="0" w:after="0"/>
        <w:ind w:left="0" w:right="0" w:firstLine="360"/>
        <w:jc w:val="both"/>
        <w:rPr/>
      </w:pPr>
      <w:r>
        <w:rPr/>
      </w:r>
    </w:p>
    <w:tbl>
      <w:tblPr>
        <w:tblW w:w="9353" w:type="dxa"/>
        <w:jc w:val="left"/>
        <w:tblInd w:w="0" w:type="dxa"/>
        <w:tblLayout w:type="fixed"/>
        <w:tblCellMar>
          <w:top w:w="28" w:type="dxa"/>
          <w:left w:w="28" w:type="dxa"/>
          <w:bottom w:w="28" w:type="dxa"/>
          <w:right w:w="28" w:type="dxa"/>
        </w:tblCellMar>
      </w:tblPr>
      <w:tblGrid>
        <w:gridCol w:w="1514"/>
        <w:gridCol w:w="1333"/>
        <w:gridCol w:w="1337"/>
        <w:gridCol w:w="229"/>
        <w:gridCol w:w="507"/>
        <w:gridCol w:w="118"/>
        <w:gridCol w:w="229"/>
        <w:gridCol w:w="507"/>
        <w:gridCol w:w="118"/>
        <w:gridCol w:w="229"/>
        <w:gridCol w:w="507"/>
        <w:gridCol w:w="118"/>
        <w:gridCol w:w="229"/>
        <w:gridCol w:w="507"/>
        <w:gridCol w:w="118"/>
        <w:gridCol w:w="229"/>
        <w:gridCol w:w="507"/>
        <w:gridCol w:w="118"/>
        <w:gridCol w:w="228"/>
        <w:gridCol w:w="505"/>
        <w:gridCol w:w="166"/>
      </w:tblGrid>
      <w:tr>
        <w:trPr/>
        <w:tc>
          <w:tcPr>
            <w:tcW w:w="1514"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06/02/21</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12/31/21</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12/31/22</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12/31/23</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12/31/24</w:t>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12/31/25</w:t>
            </w:r>
          </w:p>
        </w:tc>
      </w:tr>
      <w:tr>
        <w:trPr/>
        <w:tc>
          <w:tcPr>
            <w:tcW w:w="4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Weatherford International plc</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Dow Jones U.S. Oil Equipment and Services Index</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Dow Jones U.S. Index</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Philadelphia Oil Service Index</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VanEck Oil Services ETF </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Standard &amp; Poor’s 500 Index</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333"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our repurchases of our ordinary shares during the three months ended December 31,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83"/>
        <w:gridCol w:w="320"/>
        <w:gridCol w:w="317"/>
        <w:gridCol w:w="627"/>
        <w:gridCol w:w="514"/>
        <w:gridCol w:w="516"/>
        <w:gridCol w:w="317"/>
        <w:gridCol w:w="926"/>
        <w:gridCol w:w="163"/>
        <w:gridCol w:w="954"/>
        <w:gridCol w:w="923"/>
        <w:gridCol w:w="925"/>
        <w:gridCol w:w="437"/>
        <w:gridCol w:w="2457"/>
        <w:gridCol w:w="326"/>
      </w:tblGrid>
      <w:tr>
        <w:trPr/>
        <w:tc>
          <w:tcPr>
            <w:tcW w:w="48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Period</w:t>
            </w:r>
          </w:p>
        </w:tc>
        <w:tc>
          <w:tcPr>
            <w:tcW w:w="1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Number of Shares Purchased</w:t>
            </w:r>
          </w:p>
        </w:tc>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 Price Paid per Share</w:t>
            </w:r>
          </w:p>
        </w:tc>
        <w:tc>
          <w:tcPr>
            <w:tcW w:w="2802"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center"/>
              <w:rPr/>
            </w:pPr>
            <w:r>
              <w:rPr>
                <w:rFonts w:ascii="Times New Roman;serif" w:hAnsi="Times New Roman;serif"/>
                <w:b w:val="false"/>
                <w:color w:val="000000"/>
                <w:sz w:val="20"/>
              </w:rPr>
              <w:t>Total Number of Shares Purchased as Part of a Publicly Announced Program</w:t>
            </w:r>
            <w:r>
              <w:rPr>
                <w:color w:val="000000"/>
              </w:rPr>
              <w:t xml:space="preserve"> </w:t>
            </w:r>
            <w:r>
              <w:rPr>
                <w:rFonts w:ascii="Times New Roman;serif" w:hAnsi="Times New Roman;serif"/>
                <w:b w:val="false"/>
                <w:color w:val="000000"/>
                <w:sz w:val="16"/>
              </w:rPr>
              <w:t>(1)</w:t>
            </w:r>
          </w:p>
        </w:tc>
        <w:tc>
          <w:tcPr>
            <w:tcW w:w="3220"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center"/>
              <w:rPr/>
            </w:pPr>
            <w:r>
              <w:rPr>
                <w:rFonts w:ascii="Times New Roman;serif" w:hAnsi="Times New Roman;serif"/>
                <w:b w:val="false"/>
                <w:color w:val="000000"/>
                <w:sz w:val="20"/>
              </w:rPr>
              <w:t xml:space="preserve">Maximum Dollar Value of Shares that may yet be Purchased Under the Program </w:t>
            </w:r>
            <w:r>
              <w:rPr>
                <w:rFonts w:ascii="Times New Roman;serif" w:hAnsi="Times New Roman;serif"/>
                <w:b w:val="false"/>
                <w:color w:val="000000"/>
                <w:sz w:val="16"/>
              </w:rPr>
              <w:t>(1)</w:t>
            </w:r>
          </w:p>
        </w:tc>
      </w:tr>
      <w:tr>
        <w:trPr/>
        <w:tc>
          <w:tcPr>
            <w:tcW w:w="1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1 - 31</w:t>
            </w:r>
          </w:p>
        </w:tc>
        <w:tc>
          <w:tcPr>
            <w:tcW w:w="16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2,429    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2,429    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306,792,954 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1 - 30</w:t>
            </w:r>
          </w:p>
        </w:tc>
        <w:tc>
          <w:tcPr>
            <w:tcW w:w="1657"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42,049    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42,049    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303,735,547 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1 - 31</w:t>
            </w:r>
          </w:p>
        </w:tc>
        <w:tc>
          <w:tcPr>
            <w:tcW w:w="1657"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48,074    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48,074    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299,992,570 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65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92,552    </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75.24 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0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92,552    </w:t>
            </w:r>
          </w:p>
        </w:tc>
        <w:tc>
          <w:tcPr>
            <w:tcW w:w="3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26</w:t>
                      </w:r>
                    </w:p>
                  </w:txbxContent>
                </v:textbox>
                <w10:wrap type="none"/>
              </v:rect>
            </w:pict>
          </mc:Fallback>
        </mc:AlternateContent>
      </w:r>
    </w:p>
    <w:p>
      <w:pPr>
        <w:pStyle w:val="TextBody"/>
        <w:bidi w:val="0"/>
        <w:spacing w:lineRule="auto" w:line="333" w:before="0" w:after="0"/>
        <w:jc w:val="left"/>
        <w:rPr>
          <w:color w:val="000000"/>
        </w:rPr>
      </w:pPr>
      <w:r>
        <w:rPr>
          <w:color w:val="000000"/>
        </w:rPr>
        <w:t>    </w:t>
      </w:r>
      <w:r>
        <w:rPr>
          <w:rFonts w:ascii="Times New Roman;serif" w:hAnsi="Times New Roman;serif"/>
          <w:b w:val="false"/>
          <w:color w:val="000000"/>
          <w:sz w:val="20"/>
        </w:rPr>
        <w:t>Item 5 | Market for Registrants Ordinary Shares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66"/>
        <w:gridCol w:w="2868"/>
        <w:gridCol w:w="4071"/>
      </w:tblGrid>
      <w:tr>
        <w:trPr/>
        <w:tc>
          <w:tcPr>
            <w:tcW w:w="3266"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75" w:after="3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On July 23, 2024, we announced a program under which we may repurchase our ordinary shares from time to time, up to $500 million through June 2027. Approximately $300 million remained authorized for repurchases as of December 31, 2025. From the inception of this program through December 31, 2025, we have repurchased approximately 2.9 million ordinary shares for $200 million.</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27</w:t>
                      </w:r>
                    </w:p>
                  </w:txbxContent>
                </v:textbox>
                <w10:wrap type="none"/>
              </v:rect>
            </w:pict>
          </mc:Fallback>
        </mc:AlternateContent>
      </w:r>
    </w:p>
    <w:p>
      <w:pPr>
        <w:pStyle w:val="TextBody"/>
        <w:bidi w:val="0"/>
        <w:spacing w:before="0" w:after="0"/>
        <w:jc w:val="both"/>
        <w:rPr/>
      </w:pPr>
      <w:r>
        <w:rPr/>
      </w:r>
    </w:p>
    <w:p>
      <w:pPr>
        <w:pStyle w:val="TextBody"/>
        <w:bidi w:val="0"/>
        <w:spacing w:lineRule="auto" w:line="333" w:before="60" w:after="283"/>
        <w:jc w:val="both"/>
        <w:rPr/>
      </w:pPr>
      <w:r>
        <w:rPr>
          <w:rFonts w:ascii="Times New Roman;serif" w:hAnsi="Times New Roman;serif"/>
          <w:b/>
          <w:color w:val="000000"/>
          <w:sz w:val="20"/>
        </w:rPr>
        <w:t>Item 6.</w:t>
      </w:r>
      <w:r>
        <w:rPr>
          <w:color w:val="000000"/>
        </w:rPr>
        <w:t xml:space="preserve"> </w:t>
      </w:r>
      <w:r>
        <w:rPr>
          <w:rFonts w:ascii="Times New Roman;serif" w:hAnsi="Times New Roman;serif"/>
          <w:b/>
          <w:color w:val="000000"/>
          <w:sz w:val="20"/>
        </w:rPr>
        <w:t>[Reserved]</w:t>
      </w:r>
    </w:p>
    <w:p>
      <w:pPr>
        <w:pStyle w:val="TextBody"/>
        <w:bidi w:val="0"/>
        <w:spacing w:before="0" w:after="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before="0" w:after="0"/>
        <w:jc w:val="left"/>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used in this item, “Weatherford”, “the Company,” “we,” “us” and “our” refer to Weatherford International plc, a public limited company organized under the laws of Ireland, and its subsidiaries on a consolidated basis. </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discussion should be read in conjunction with the earlier section “Item 1. Business” and our Consolidated Financial Statements and Notes thereto included later in “Item 8. Financial Statements and Supplementary Data.” Our discussion includes various forward-looking statements about our markets, the demand for our products and services and our future results. These statements include certain risks and uncertainties. For information about these risks and uncertainties, refer to the section entitled “Forward-Looking Statements” and the section entitled “Item 1A. Risk Factors.” The following section generally discusses our financial condition and results of operations for fiscal year ended December 31, 2025 compared to fiscal year ended December 31, 2024. Please refer to our Annual Report on Form 10-K for the year ended December 31, 2024 filed with the SEC on February 6, 2025, for a discussion regarding our financial condition and results of operations for fiscal year ended December 31, 2024 as compared to fiscal year ended December 31,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Industry Trends</w:t>
      </w:r>
    </w:p>
    <w:p>
      <w:pPr>
        <w:pStyle w:val="TextBody"/>
        <w:bidi w:val="0"/>
        <w:spacing w:before="0" w:after="60"/>
        <w:ind w:left="0" w:right="0" w:firstLine="360"/>
        <w:jc w:val="both"/>
        <w:rPr/>
      </w:pPr>
      <w:r>
        <w:rPr/>
      </w:r>
    </w:p>
    <w:p>
      <w:pPr>
        <w:pStyle w:val="TextBody"/>
        <w:bidi w:val="0"/>
        <w:spacing w:lineRule="auto" w:line="333"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Demand for our industry’s products and services is driven by many factors, including commodity prices, the number of oil and gas rigs and wells drilled, depth and drilling conditions of wells, number of well completions, age of existing wells, reservoir depletion, regulatory environment, and the level of workover activity worldwide.</w:t>
      </w:r>
    </w:p>
    <w:p>
      <w:pPr>
        <w:pStyle w:val="TextBody"/>
        <w:bidi w:val="0"/>
        <w:spacing w:before="0" w:after="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Lower oil and natural gas prices and lower rig count generally correlate to lower exploration and production spending, and higher oil and natural gas prices and higher rig count generally correlate to higher exploration and production spending. Therefore, our financial results are significantly affected by oil and natural gas prices as well as rig counts. As shown in the following tables, as of December 31, 2025 oil prices and rig counts were notably lower than at December 31, 2024. The drop in oil prices and rig counts since December 31, 2024 has coincided with reduced activity levels across our industry. Henry Hub natural gas prices increased as of December 31, 2025 compared to December 31, 2024, driven by both U.S. domestic gas demand and investment decisions on adding new export liquified natural gas capacity. Gas production additions, largely driven by positive liquified natural gas sentiment ahead of actual capacity additions, were sourced from a backlog of drilled but uncompleted wells and deferred start-ups. </w:t>
      </w:r>
    </w:p>
    <w:p>
      <w:pPr>
        <w:pStyle w:val="TextBody"/>
        <w:bidi w:val="0"/>
        <w:spacing w:before="0" w:after="0"/>
        <w:ind w:left="0" w:right="0" w:firstLine="360"/>
        <w:jc w:val="left"/>
        <w:rPr/>
      </w:pPr>
      <w:r>
        <w:rPr/>
      </w:r>
    </w:p>
    <w:p>
      <w:pPr>
        <w:pStyle w:val="TextBody"/>
        <w:bidi w:val="0"/>
        <w:spacing w:lineRule="auto" w:line="333"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shows the average oil and natural gas prices for West Texas Intermediate (“WTI”) and Brent North Sea (“Brent”) crude oil and Henry Hub (“HH”) natural gas. </w:t>
      </w:r>
    </w:p>
    <w:tbl>
      <w:tblPr>
        <w:tblW w:w="6577" w:type="dxa"/>
        <w:jc w:val="left"/>
        <w:tblInd w:w="0" w:type="dxa"/>
        <w:tblLayout w:type="fixed"/>
        <w:tblCellMar>
          <w:top w:w="28" w:type="dxa"/>
          <w:left w:w="28" w:type="dxa"/>
          <w:bottom w:w="28" w:type="dxa"/>
          <w:right w:w="28" w:type="dxa"/>
        </w:tblCellMar>
      </w:tblPr>
      <w:tblGrid>
        <w:gridCol w:w="1061"/>
        <w:gridCol w:w="930"/>
        <w:gridCol w:w="938"/>
        <w:gridCol w:w="147"/>
        <w:gridCol w:w="147"/>
        <w:gridCol w:w="147"/>
        <w:gridCol w:w="497"/>
        <w:gridCol w:w="497"/>
        <w:gridCol w:w="497"/>
        <w:gridCol w:w="497"/>
        <w:gridCol w:w="497"/>
        <w:gridCol w:w="722"/>
      </w:tblGrid>
      <w:tr>
        <w:trPr/>
        <w:tc>
          <w:tcPr>
            <w:tcW w:w="1061"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2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2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7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left"/>
              <w:rPr/>
            </w:pPr>
            <w:r>
              <w:rPr>
                <w:rFonts w:ascii="Times New Roman;serif" w:hAnsi="Times New Roman;serif"/>
                <w:b w:val="false"/>
                <w:color w:val="000000"/>
                <w:sz w:val="20"/>
              </w:rPr>
              <w:t xml:space="preserve">Oil price - WTI </w:t>
            </w:r>
            <w:r>
              <w:rPr>
                <w:rFonts w:ascii="Times New Roman;serif" w:hAnsi="Times New Roman;serif"/>
                <w:b w:val="false"/>
                <w:color w:val="000000"/>
                <w:sz w:val="13"/>
              </w:rPr>
              <w:t>(1)</w:t>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65.46    </w:t>
            </w:r>
          </w:p>
        </w:tc>
        <w:tc>
          <w:tcPr>
            <w:tcW w:w="17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76.55    </w:t>
            </w:r>
          </w:p>
        </w:tc>
      </w:tr>
      <w:tr>
        <w:trPr/>
        <w:tc>
          <w:tcPr>
            <w:tcW w:w="2929"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 xml:space="preserve">Oil price - Brent </w:t>
            </w:r>
            <w:r>
              <w:rPr>
                <w:rFonts w:ascii="Times New Roman;serif" w:hAnsi="Times New Roman;serif"/>
                <w:b w:val="false"/>
                <w:color w:val="000000"/>
                <w:sz w:val="13"/>
              </w:rPr>
              <w:t>(1)</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69.10    </w:t>
            </w:r>
          </w:p>
        </w:tc>
        <w:tc>
          <w:tcPr>
            <w:tcW w:w="171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80.53    </w:t>
            </w:r>
          </w:p>
        </w:tc>
      </w:tr>
      <w:tr>
        <w:trPr/>
        <w:tc>
          <w:tcPr>
            <w:tcW w:w="2929"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 xml:space="preserve">Natural Gas price - HH </w:t>
            </w:r>
            <w:r>
              <w:rPr>
                <w:rFonts w:ascii="Times New Roman;serif" w:hAnsi="Times New Roman;serif"/>
                <w:b w:val="false"/>
                <w:color w:val="000000"/>
                <w:sz w:val="13"/>
              </w:rPr>
              <w:t>(2)</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3.53    </w:t>
            </w:r>
          </w:p>
        </w:tc>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2.19    </w:t>
            </w:r>
          </w:p>
        </w:tc>
      </w:tr>
      <w:tr>
        <w:trPr/>
        <w:tc>
          <w:tcPr>
            <w:tcW w:w="6577" w:type="dxa"/>
            <w:gridSpan w:val="12"/>
            <w:tcBorders/>
            <w:tcMar>
              <w:top w:w="0" w:type="dxa"/>
              <w:left w:w="0" w:type="dxa"/>
              <w:bottom w:w="0" w:type="dxa"/>
              <w:right w:w="0" w:type="dxa"/>
            </w:tcMar>
            <w:vAlign w:val="center"/>
          </w:tcPr>
          <w:p>
            <w:pPr>
              <w:pStyle w:val="TableContents"/>
              <w:bidi w:val="0"/>
              <w:spacing w:lineRule="auto" w:line="240" w:before="75" w:after="3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Oil price measured in dollars per barrel (rounded to the nearest $0.01)</w:t>
            </w:r>
          </w:p>
        </w:tc>
      </w:tr>
      <w:tr>
        <w:trPr/>
        <w:tc>
          <w:tcPr>
            <w:tcW w:w="6577" w:type="dxa"/>
            <w:gridSpan w:val="12"/>
            <w:tcBorders/>
            <w:tcMar>
              <w:top w:w="0" w:type="dxa"/>
              <w:left w:w="0" w:type="dxa"/>
              <w:bottom w:w="0" w:type="dxa"/>
              <w:right w:w="0" w:type="dxa"/>
            </w:tcMar>
            <w:vAlign w:val="center"/>
          </w:tcPr>
          <w:p>
            <w:pPr>
              <w:pStyle w:val="TableContents"/>
              <w:bidi w:val="0"/>
              <w:spacing w:lineRule="auto" w:line="240" w:before="75" w:after="30"/>
              <w:jc w:val="both"/>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Natural gas price measured in dollars per million British thermal units (Btu), or MMBtu</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28</w:t>
                      </w:r>
                    </w:p>
                  </w:txbxContent>
                </v:textbox>
                <w10:wrap type="none"/>
              </v:rect>
            </w:pict>
          </mc:Fallback>
        </mc:AlternateContent>
      </w:r>
    </w:p>
    <w:p>
      <w:pPr>
        <w:pStyle w:val="TextBody"/>
        <w:bidi w:val="0"/>
        <w:spacing w:lineRule="auto" w:line="333" w:before="0" w:after="0"/>
        <w:jc w:val="left"/>
        <w:rPr>
          <w:color w:val="000000"/>
        </w:rPr>
      </w:pPr>
      <w:r>
        <w:rPr>
          <w:color w:val="000000"/>
        </w:rPr>
        <w:t>    </w:t>
      </w:r>
      <w:r>
        <w:rPr>
          <w:rFonts w:ascii="Times New Roman;serif" w:hAnsi="Times New Roman;serif"/>
          <w:b w:val="false"/>
          <w:color w:val="000000"/>
          <w:sz w:val="20"/>
        </w:rPr>
        <w:t>Item 7 | MD&amp;A    </w:t>
      </w:r>
    </w:p>
    <w:p>
      <w:pPr>
        <w:pStyle w:val="TextBody"/>
        <w:bidi w:val="0"/>
        <w:spacing w:before="0" w:after="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shows historical average rig counts based on the weekly Baker Hughes Company rig count information. </w:t>
      </w:r>
    </w:p>
    <w:tbl>
      <w:tblPr>
        <w:tblW w:w="8633" w:type="dxa"/>
        <w:jc w:val="left"/>
        <w:tblInd w:w="0" w:type="dxa"/>
        <w:tblLayout w:type="fixed"/>
        <w:tblCellMar>
          <w:top w:w="28" w:type="dxa"/>
          <w:left w:w="28" w:type="dxa"/>
          <w:bottom w:w="28" w:type="dxa"/>
          <w:right w:w="28" w:type="dxa"/>
        </w:tblCellMar>
      </w:tblPr>
      <w:tblGrid>
        <w:gridCol w:w="1061"/>
        <w:gridCol w:w="934"/>
        <w:gridCol w:w="940"/>
        <w:gridCol w:w="231"/>
        <w:gridCol w:w="231"/>
        <w:gridCol w:w="231"/>
        <w:gridCol w:w="776"/>
        <w:gridCol w:w="776"/>
        <w:gridCol w:w="776"/>
        <w:gridCol w:w="776"/>
        <w:gridCol w:w="776"/>
        <w:gridCol w:w="1125"/>
      </w:tblGrid>
      <w:tr>
        <w:trPr/>
        <w:tc>
          <w:tcPr>
            <w:tcW w:w="106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r>
      <w:tr>
        <w:trPr/>
        <w:tc>
          <w:tcPr>
            <w:tcW w:w="2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2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2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6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738    </w:t>
            </w:r>
          </w:p>
        </w:tc>
        <w:tc>
          <w:tcPr>
            <w:tcW w:w="2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786    </w:t>
            </w:r>
          </w:p>
        </w:tc>
      </w:tr>
      <w:tr>
        <w:trPr/>
        <w:tc>
          <w:tcPr>
            <w:tcW w:w="2935"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 xml:space="preserve">International </w:t>
            </w:r>
            <w:r>
              <w:rPr>
                <w:rFonts w:ascii="Times New Roman;serif" w:hAnsi="Times New Roman;serif"/>
                <w:b w:val="false"/>
                <w:color w:val="000000"/>
                <w:sz w:val="13"/>
              </w:rPr>
              <w:t>(1)</w:t>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1,080    </w:t>
            </w:r>
          </w:p>
        </w:tc>
        <w:tc>
          <w:tcPr>
            <w:tcW w:w="2677"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1,162    </w:t>
            </w:r>
          </w:p>
        </w:tc>
      </w:tr>
      <w:tr>
        <w:trPr/>
        <w:tc>
          <w:tcPr>
            <w:tcW w:w="2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Worldwide</w:t>
            </w:r>
          </w:p>
        </w:tc>
        <w:tc>
          <w:tcPr>
            <w:tcW w:w="693"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1,818    </w:t>
            </w:r>
          </w:p>
        </w:tc>
        <w:tc>
          <w:tcPr>
            <w:tcW w:w="267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1,948    </w:t>
            </w:r>
          </w:p>
        </w:tc>
      </w:tr>
      <w:tr>
        <w:trPr/>
        <w:tc>
          <w:tcPr>
            <w:tcW w:w="8633" w:type="dxa"/>
            <w:gridSpan w:val="1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15" w:after="30"/>
              <w:jc w:val="left"/>
              <w:rPr/>
            </w:pPr>
            <w:r>
              <w:rPr>
                <w:color w:val="000000"/>
              </w:rPr>
              <w:t> </w:t>
            </w: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Prior period international rig count figures were retroactively adjusted by Baker Hughes in the third quarter of 2025.</w:t>
            </w:r>
          </w:p>
        </w:tc>
      </w:tr>
    </w:tbl>
    <w:p>
      <w:pPr>
        <w:pStyle w:val="TextBody"/>
        <w:bidi w:val="0"/>
        <w:spacing w:before="0" w:after="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there may be future impacts and effects on our industry in areas relating to global trade policy and tariffs, global conflicts and resulting sanctions, environmental regulation and others. As tariffs and trade policies continue to develop, the Company actively monitors for changes and adjusts operations to mitigate impacts. While they created some degree of margin dilution, tariffs did not have a material impact on the Company during the year ended December 31, 2025.</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Consolidated Statements of Operations - Operating Income Summary</w:t>
      </w:r>
    </w:p>
    <w:p>
      <w:pPr>
        <w:pStyle w:val="TextBody"/>
        <w:bidi w:val="0"/>
        <w:spacing w:before="0" w:after="0"/>
        <w:jc w:val="both"/>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Revenues totaled $4,918 million in 2025, a decrease of $595 million, or 11% compared to 2024. Year-over-year in 2025, product revenues decreased 9% and service revenues decreased 12%. DRE, PRI and WCC were responsible for 52%, 19% and 17% of the decrease in revenues, respectively, with the remaining decrease from lower activity in integrated services and projects. Geographically, each region saw a decrease in revenue, with Latin America responsible for 83% of the decline, North America 11%, Europe/Sub-Sahara Africa/Russia 5% and Middle East/North Africa/Asia 1%. Year-over-year revenue decreases were primarily caused by a softening of the overall market which drove a decline in activity across segments and geographies. </w:t>
      </w:r>
    </w:p>
    <w:p>
      <w:pPr>
        <w:pStyle w:val="TextBody"/>
        <w:bidi w:val="0"/>
        <w:spacing w:before="0" w:after="0"/>
        <w:ind w:left="0" w:right="0" w:firstLine="360"/>
        <w:jc w:val="both"/>
        <w:rPr/>
      </w:pPr>
      <w:r>
        <w:rPr/>
      </w:r>
    </w:p>
    <w:p>
      <w:pPr>
        <w:pStyle w:val="TextBody"/>
        <w:bidi w:val="0"/>
        <w:spacing w:lineRule="auto" w:line="297"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Operating income of $756 million in the twelve months ended December 31, 2025, decreased 19% compared to $938 million in the twelve months ended December 31, 2024, primarily due to the decline in revenue, with a partial offset from lower cost of products and services, lower selling general, administrative and research and development costs and a gain on the sale of our pressure pumping business in Argentina. Cost of products and services of $3.38 billion decreased $221 million, or 6%, in 2025 compared to 2024, primarily due to the decline in product sales and a reduction in headcount leading to lower personnel costs. Our cost of products and services as a percentage of revenues was 69% in 2025 compared to 65% in 2024. The higher cost ratio was primarily due to fixed costs decreasing at a slower rate than revenues.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Selling, general, administrative and research and development costs of $772 million decreased $142 million primarily due to a decline in amortization expense and a reduction in headcount leading to lower personnel costs. These costs as a percentage of revenues were 16% in 2025, an improvement compared to 17% in 2024.</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Gain on sale of business was $70 million in 2025 due to the sale of our pressure pumping business in Argentina during the second quarter of 2025. No sale of business occurred in 2024.</w:t>
      </w:r>
    </w:p>
    <w:p>
      <w:pPr>
        <w:pStyle w:val="TextBody"/>
        <w:bidi w:val="0"/>
        <w:spacing w:before="0" w:after="0"/>
        <w:jc w:val="left"/>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Restructuring charges were $58 million in 2025 and $42 million in 2024. The increase was driven by reductions to facility footprint and headcount as part of optimization and efficiency initiatives implemented in light of softening market conditions. See “Note 4 – Restructuring Charges” for additional information.</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charges, net were $18 million in 2025 and $14 million in 2024. Other charges, net primarily included fees to third-party financial institutions related to collections of certain receivables from our largest customer in Mexico and other miscellaneous items. Other charges, net increased primarily due to acquisition and divestiture related expenditures offset by lower fees related to collections of certain receivables from our largest customer in Mexico in 2025.</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29</w:t>
                      </w:r>
                    </w:p>
                  </w:txbxContent>
                </v:textbox>
                <w10:wrap type="none"/>
              </v:rect>
            </w:pict>
          </mc:Fallback>
        </mc:AlternateContent>
      </w:r>
    </w:p>
    <w:p>
      <w:pPr>
        <w:pStyle w:val="TextBody"/>
        <w:bidi w:val="0"/>
        <w:spacing w:lineRule="auto" w:line="333" w:before="0" w:after="0"/>
        <w:jc w:val="left"/>
        <w:rPr>
          <w:color w:val="000000"/>
        </w:rPr>
      </w:pPr>
      <w:r>
        <w:rPr>
          <w:color w:val="000000"/>
        </w:rPr>
        <w:t>    </w:t>
      </w:r>
      <w:r>
        <w:rPr>
          <w:rFonts w:ascii="Times New Roman;serif" w:hAnsi="Times New Roman;serif"/>
          <w:b w:val="false"/>
          <w:color w:val="000000"/>
          <w:sz w:val="20"/>
        </w:rPr>
        <w:t>Item 7 | MD&amp;A    </w: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Consolidated Statements of Operations - Non-Operating Summary</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Interest Expense, Net</w:t>
      </w:r>
    </w:p>
    <w:p>
      <w:pPr>
        <w:pStyle w:val="TextBody"/>
        <w:bidi w:val="0"/>
        <w:spacing w:before="0" w:after="0"/>
        <w:ind w:left="0" w:right="0" w:firstLine="360"/>
        <w:jc w:val="both"/>
        <w:rPr/>
      </w:pPr>
      <w:r>
        <w:rPr/>
      </w:r>
    </w:p>
    <w:p>
      <w:pPr>
        <w:pStyle w:val="TextBody"/>
        <w:bidi w:val="0"/>
        <w:spacing w:lineRule="auto" w:line="319"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net was primarily the result of the interest on our outstanding long-term debt (see “Note 9 – Borrowings and Other Debt Obligations” to our Consolidated Financial Statements for additional details) offset by interest income. Interest expense, net, of $91 million in 2025, decreased $11 million, or 11%, compared to 2024 primarily from lower interest expense due to a reduction in our outstanding long-term debt. This was partly offset by a decline in interest income due to a reduction in our cash holdings in Argentina upon the execution of multiple Blue Chip Swaps (defined below). See “Note 18 – Blue Chip Swap Securities - Argentina” to our Consolidated Financial Statements for additional details.</w:t>
      </w:r>
    </w:p>
    <w:p>
      <w:pPr>
        <w:pStyle w:val="TextBody"/>
        <w:bidi w:val="0"/>
        <w:spacing w:before="0" w:after="0"/>
        <w:ind w:left="0" w:right="0" w:firstLine="360"/>
        <w:jc w:val="both"/>
        <w:rPr/>
      </w:pPr>
      <w:r>
        <w:rPr/>
      </w:r>
    </w:p>
    <w:p>
      <w:pPr>
        <w:pStyle w:val="TextBody"/>
        <w:bidi w:val="0"/>
        <w:spacing w:lineRule="auto" w:line="319" w:before="0" w:after="0"/>
        <w:ind w:left="0" w:right="0" w:firstLine="36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Extinguishment of Debt and Bond Redemption Premium </w:t>
      </w:r>
    </w:p>
    <w:p>
      <w:pPr>
        <w:pStyle w:val="TextBody"/>
        <w:bidi w:val="0"/>
        <w:spacing w:before="0" w:after="0"/>
        <w:ind w:left="0" w:right="0" w:firstLine="360"/>
        <w:jc w:val="both"/>
        <w:rPr/>
      </w:pPr>
      <w:r>
        <w:rPr/>
      </w:r>
    </w:p>
    <w:p>
      <w:pPr>
        <w:pStyle w:val="TextBody"/>
        <w:bidi w:val="0"/>
        <w:spacing w:lineRule="auto" w:line="319"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loss on extinguishment of debt was for charges on unamortized debt issuance costs and bond redemption premiums, both upon the early redemption of debt. During 2025, we issued $1.2 billion in aggregate principal on our 2033 Senior Notes and we repaid $1.36 billion in principal of our 2030 Senior Notes. As such, we recognized a $39 million loss, comprised of an $8 million loss on extinguishment of debt and $31 million bond redemption premium. During 2024, we repaid in full our 6.5% Senior Secured Notes due 2028 (“2028 Senior Secured Notes”) and $4 million in principal of our 2030 Senior Notes, resulting in a bond redemption premium of $9 million. During 2023, we repaid the remaining $125 million in principal on our Exit Notes and made $243 million in repayments and repurchases of our 2028 Senior Secured Notes, and incurred a $5 million bond redemption premium. </w:t>
      </w:r>
    </w:p>
    <w:p>
      <w:pPr>
        <w:pStyle w:val="TextBody"/>
        <w:bidi w:val="0"/>
        <w:spacing w:before="0" w:after="0"/>
        <w:ind w:left="0" w:right="0" w:firstLine="360"/>
        <w:jc w:val="both"/>
        <w:rPr/>
      </w:pPr>
      <w:r>
        <w:rPr/>
      </w:r>
    </w:p>
    <w:p>
      <w:pPr>
        <w:pStyle w:val="TextBody"/>
        <w:bidi w:val="0"/>
        <w:spacing w:lineRule="auto" w:line="312" w:before="0" w:after="0"/>
        <w:jc w:val="both"/>
        <w:rPr>
          <w:rFonts w:ascii="Times New Roman;serif" w:hAnsi="Times New Roman;serif"/>
          <w:b w:val="false"/>
          <w:i/>
          <w:color w:val="000000"/>
          <w:sz w:val="20"/>
        </w:rPr>
      </w:pPr>
      <w:r>
        <w:rPr>
          <w:rFonts w:ascii="Times New Roman;serif" w:hAnsi="Times New Roman;serif"/>
          <w:b w:val="false"/>
          <w:i/>
          <w:color w:val="000000"/>
          <w:sz w:val="20"/>
        </w:rPr>
        <w:t>Loss on Blue Chip Swap Securities</w:t>
      </w:r>
    </w:p>
    <w:p>
      <w:pPr>
        <w:pStyle w:val="TextBody"/>
        <w:bidi w:val="0"/>
        <w:spacing w:before="0" w:after="0"/>
        <w:jc w:val="both"/>
        <w:rPr/>
      </w:pPr>
      <w:r>
        <w:rPr/>
      </w:r>
    </w:p>
    <w:p>
      <w:pPr>
        <w:pStyle w:val="TextBody"/>
        <w:bidi w:val="0"/>
        <w:spacing w:lineRule="auto" w:line="319"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 indirect foreign exchange mechanism known as the Blue Chip Swap (“BCS”) allows entities to remit U.S. dollars from operations in Argentina. During each of the years ended December 31, 2025 and 2024, we entered into a series of BCS securities transactions that resulted in a “Loss on Blue Chip Swap Securities” of $2 million and $10 million, respectively. See “Note 18 – Blue Chip Swap Securities - Argentina” to our Consolidated Financial Statements for additional details.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Other Expense, Net</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expense, net, was primarily comprised of foreign exchange losses, letter of credit fees and other financing charges. Other expense, net, of $70 million was $8 million lower in 2025 as compared to 2024, which was primarily attributable to lower foreign currency losses. Foreign currency losses totaled $45 million and $56 million in 2025 and 2024, respectively, with decrease in 2025 primarily due to lower foreign currency losses in the Mexican Peso.</w:t>
      </w:r>
    </w:p>
    <w:p>
      <w:pPr>
        <w:pStyle w:val="TextBody"/>
        <w:bidi w:val="0"/>
        <w:ind w:left="0" w:right="0" w:firstLine="3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30</w:t>
                      </w:r>
                    </w:p>
                  </w:txbxContent>
                </v:textbox>
                <w10:wrap type="none"/>
              </v:rect>
            </w:pict>
          </mc:Fallback>
        </mc:AlternateContent>
      </w:r>
    </w:p>
    <w:p>
      <w:pPr>
        <w:pStyle w:val="TextBody"/>
        <w:bidi w:val="0"/>
        <w:spacing w:lineRule="auto" w:line="333" w:before="0" w:after="0"/>
        <w:jc w:val="left"/>
        <w:rPr>
          <w:color w:val="000000"/>
        </w:rPr>
      </w:pPr>
      <w:r>
        <w:rPr>
          <w:color w:val="000000"/>
        </w:rPr>
        <w:t>    </w:t>
      </w:r>
      <w:r>
        <w:rPr>
          <w:rFonts w:ascii="Times New Roman;serif" w:hAnsi="Times New Roman;serif"/>
          <w:b w:val="false"/>
          <w:color w:val="000000"/>
          <w:sz w:val="20"/>
        </w:rPr>
        <w:t>Item 7 | MD&amp;A    </w:t>
      </w:r>
    </w:p>
    <w:p>
      <w:pPr>
        <w:pStyle w:val="TextBody"/>
        <w:bidi w:val="0"/>
        <w:spacing w:lineRule="auto" w:line="333"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provide for income taxes based on the laws and rates in effect in the countries in which operations are conducted, or in which we or our subsidiaries are considered resident for income tax purposes. The relationship between our pre-tax income or loss from continuing operations and our income tax benefit or provision varies from period to period as a result of various factors, which include changes in total pre-tax income or loss, the jurisdictions in which our income is earned, the tax laws in those jurisdictions, the impacts of tax planning activities and the resolution of tax audits. Our effective rate differs from the Irish statutory tax rate as the majority of our operations are taxed in jurisdictions with different tax rates. In addition, we are unable to recognize tax benefit on certain losses.</w:t>
      </w:r>
    </w:p>
    <w:p>
      <w:pPr>
        <w:pStyle w:val="TextBody"/>
        <w:bidi w:val="0"/>
        <w:spacing w:before="0" w:after="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record deferred tax assets for net operating losses and temporary differences between the book and tax basis of assets and liabilities that are expected to produce tax deductions in future periods. The realizability of the deferred tax assets is dependent upon judgments and assumptions inherent in the determination of future taxable income, including factors such as future operating conditions (particularly as related to prevailing oil prices and market demand for our products and services). The Company concluded it was not able to realize the benefit of certain deferred tax assets and has established a valuation allowance. Continued performance improvement in certain jurisdictions could result in a change in our realization of deferred tax asset assessment in the near future, which would release valuation allowance. </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income tax provision and respective effective tax rate was $97 million and 18% and $189 million and 26% for 2025 and 2024, respectively. </w:t>
      </w:r>
    </w:p>
    <w:p>
      <w:pPr>
        <w:pStyle w:val="TextBody"/>
        <w:bidi w:val="0"/>
        <w:spacing w:before="0" w:after="0"/>
        <w:ind w:left="0" w:right="0" w:firstLine="360"/>
        <w:jc w:val="both"/>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income tax provisions in 2025 and 2024 are primarily driven by income in certain jurisdictions, deemed profit countries and withholding taxes on intercompany and third-party transactions that do not directly correlate to ordinary income or loss. Impairments and other charges recognized did not result in significant tax benefit as a result of being attributed to a non-income tax jurisdiction or our inability to forecast realization of the tax benefit of such losses. </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2025, income tax expense was lower than 2024, primarily driven by the release of $70 million in benefits from previously uncertain tax positions due audit settlements and lapses in the statute of limitations, partially offset by a decrease in the amount of valuation allowance releases as compared to 2024. </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continuously under tax examination in various jurisdictions. We cannot predict the timing or outcome regarding resolution of these tax examinations or if they will have a material impact on our consolidated financial statements.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31</w:t>
                      </w:r>
                    </w:p>
                  </w:txbxContent>
                </v:textbox>
                <w10:wrap type="none"/>
              </v:rect>
            </w:pict>
          </mc:Fallback>
        </mc:AlternateContent>
      </w:r>
    </w:p>
    <w:p>
      <w:pPr>
        <w:pStyle w:val="TextBody"/>
        <w:bidi w:val="0"/>
        <w:spacing w:lineRule="auto" w:line="333" w:before="0" w:after="0"/>
        <w:jc w:val="left"/>
        <w:rPr>
          <w:color w:val="000000"/>
        </w:rPr>
      </w:pPr>
      <w:r>
        <w:rPr>
          <w:color w:val="000000"/>
        </w:rPr>
        <w:t>    </w:t>
      </w:r>
      <w:r>
        <w:rPr>
          <w:rFonts w:ascii="Times New Roman;serif" w:hAnsi="Times New Roman;serif"/>
          <w:b w:val="false"/>
          <w:color w:val="000000"/>
          <w:sz w:val="20"/>
        </w:rPr>
        <w:t>Item 7 | MD&amp;A    </w:t>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Results of Operations by Segment</w:t>
      </w:r>
    </w:p>
    <w:p>
      <w:pPr>
        <w:pStyle w:val="TextBody"/>
        <w:bidi w:val="0"/>
        <w:spacing w:before="100" w:after="100"/>
        <w:jc w:val="center"/>
        <w:rPr/>
      </w:pPr>
      <w:r>
        <w:rPr/>
      </w:r>
    </w:p>
    <w:tbl>
      <w:tblPr>
        <w:tblW w:w="8701" w:type="dxa"/>
        <w:jc w:val="left"/>
        <w:tblInd w:w="0" w:type="dxa"/>
        <w:tblLayout w:type="fixed"/>
        <w:tblCellMar>
          <w:top w:w="28" w:type="dxa"/>
          <w:left w:w="28" w:type="dxa"/>
          <w:bottom w:w="28" w:type="dxa"/>
          <w:right w:w="28" w:type="dxa"/>
        </w:tblCellMar>
      </w:tblPr>
      <w:tblGrid>
        <w:gridCol w:w="1194"/>
        <w:gridCol w:w="1048"/>
        <w:gridCol w:w="1057"/>
        <w:gridCol w:w="109"/>
        <w:gridCol w:w="109"/>
        <w:gridCol w:w="109"/>
        <w:gridCol w:w="425"/>
        <w:gridCol w:w="389"/>
        <w:gridCol w:w="222"/>
        <w:gridCol w:w="381"/>
        <w:gridCol w:w="381"/>
        <w:gridCol w:w="274"/>
        <w:gridCol w:w="498"/>
        <w:gridCol w:w="278"/>
        <w:gridCol w:w="260"/>
        <w:gridCol w:w="350"/>
        <w:gridCol w:w="266"/>
        <w:gridCol w:w="270"/>
        <w:gridCol w:w="321"/>
        <w:gridCol w:w="321"/>
        <w:gridCol w:w="439"/>
      </w:tblGrid>
      <w:tr>
        <w:trPr/>
        <w:tc>
          <w:tcPr>
            <w:tcW w:w="1194"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 2025</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9"/>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Reportable Segments</w:t>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w:t>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DRE</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WCC</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w:t>
            </w:r>
          </w:p>
        </w:tc>
        <w:tc>
          <w:tcPr>
            <w:tcW w:w="88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55" w:after="30"/>
              <w:jc w:val="right"/>
              <w:rPr>
                <w:rFonts w:ascii="Times New Roman;serif" w:hAnsi="Times New Roman;serif"/>
                <w:b/>
                <w:color w:val="000000"/>
                <w:sz w:val="20"/>
              </w:rPr>
            </w:pPr>
            <w:r>
              <w:rPr>
                <w:rFonts w:ascii="Times New Roman;serif" w:hAnsi="Times New Roman;serif"/>
                <w:b/>
                <w:color w:val="000000"/>
                <w:sz w:val="20"/>
              </w:rPr>
              <w:t>$    1,371    </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color w:val="000000"/>
                <w:sz w:val="20"/>
              </w:rPr>
            </w:pPr>
            <w:r>
              <w:rPr>
                <w:rFonts w:ascii="Times New Roman;serif" w:hAnsi="Times New Roman;serif"/>
                <w:b/>
                <w:color w:val="000000"/>
                <w:sz w:val="20"/>
              </w:rPr>
              <w:t>$    1,875    </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color w:val="000000"/>
                <w:sz w:val="20"/>
              </w:rPr>
            </w:pPr>
            <w:r>
              <w:rPr>
                <w:rFonts w:ascii="Times New Roman;serif" w:hAnsi="Times New Roman;serif"/>
                <w:b/>
                <w:color w:val="000000"/>
                <w:sz w:val="20"/>
              </w:rPr>
              <w:t>$    1,340    </w:t>
            </w:r>
          </w:p>
        </w:tc>
        <w:tc>
          <w:tcPr>
            <w:tcW w:w="88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55" w:after="30"/>
              <w:jc w:val="right"/>
              <w:rPr>
                <w:rFonts w:ascii="Times New Roman;serif" w:hAnsi="Times New Roman;serif"/>
                <w:b/>
                <w:color w:val="000000"/>
                <w:sz w:val="20"/>
              </w:rPr>
            </w:pPr>
            <w:r>
              <w:rPr>
                <w:rFonts w:ascii="Times New Roman;serif" w:hAnsi="Times New Roman;serif"/>
                <w:b/>
                <w:color w:val="000000"/>
                <w:sz w:val="20"/>
              </w:rPr>
              <w:t>$    332    </w:t>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color w:val="000000"/>
                <w:sz w:val="20"/>
              </w:rPr>
            </w:pPr>
            <w:r>
              <w:rPr>
                <w:rFonts w:ascii="Times New Roman;serif" w:hAnsi="Times New Roman;serif"/>
                <w:b/>
                <w:color w:val="000000"/>
                <w:sz w:val="20"/>
              </w:rPr>
              <w:t>$    4,918    </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Direct Costs</w:t>
            </w:r>
            <w:r>
              <w:rPr>
                <w:rFonts w:ascii="Times New Roman;serif" w:hAnsi="Times New Roman;serif"/>
                <w:b w:val="false"/>
                <w:color w:val="000000"/>
                <w:sz w:val="13"/>
              </w:rPr>
              <w:t>(a)</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(876)</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(1,127)</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(913)</w:t>
            </w:r>
          </w:p>
        </w:tc>
        <w:tc>
          <w:tcPr>
            <w:tcW w:w="88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Other Expense</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(186)</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(233)</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(170)</w:t>
            </w:r>
          </w:p>
        </w:tc>
        <w:tc>
          <w:tcPr>
            <w:tcW w:w="88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DRE Segment Adjusted EBITDA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309    </w:t>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309    </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WCC 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515    </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515    </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 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257    </w:t>
            </w:r>
          </w:p>
        </w:tc>
        <w:tc>
          <w:tcPr>
            <w:tcW w:w="88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257    </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42    </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(56)</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(267)</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Share-based Compensation Expense</w:t>
            </w:r>
            <w:r>
              <w:rPr>
                <w:color w:val="000000"/>
              </w:rPr>
              <w:t xml:space="preserve"> </w:t>
            </w:r>
            <w:r>
              <w:rPr>
                <w:rFonts w:ascii="Times New Roman;serif" w:hAnsi="Times New Roman;serif"/>
                <w:b w:val="false"/>
                <w:color w:val="000000"/>
                <w:sz w:val="13"/>
              </w:rPr>
              <w:t xml:space="preserve">(c)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(38)</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70    </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(58)</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(18)</w:t>
            </w:r>
          </w:p>
        </w:tc>
      </w:tr>
      <w:tr>
        <w:trPr/>
        <w:tc>
          <w:tcPr>
            <w:tcW w:w="3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color w:val="000000"/>
                <w:sz w:val="20"/>
              </w:rPr>
            </w:pPr>
            <w:r>
              <w:rPr>
                <w:rFonts w:ascii="Times New Roman;serif" w:hAnsi="Times New Roman;serif"/>
                <w:b/>
                <w:color w:val="000000"/>
                <w:sz w:val="20"/>
              </w:rPr>
              <w:t>$    756    </w:t>
            </w:r>
          </w:p>
        </w:tc>
      </w:tr>
    </w:tbl>
    <w:p>
      <w:pPr>
        <w:pStyle w:val="TextBody"/>
        <w:bidi w:val="0"/>
        <w:spacing w:lineRule="auto" w:line="333" w:before="100" w:after="283"/>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(a)Segment cost of sales and direct operating costs.</w:t>
      </w:r>
    </w:p>
    <w:p>
      <w:pPr>
        <w:pStyle w:val="TextBody"/>
        <w:bidi w:val="0"/>
        <w:spacing w:lineRule="auto" w:line="333"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(b)Segment selling, general and administrative and research and development costs.</w:t>
      </w:r>
    </w:p>
    <w:p>
      <w:pPr>
        <w:pStyle w:val="TextBody"/>
        <w:bidi w:val="0"/>
        <w:spacing w:lineRule="auto" w:line="333" w:before="0" w:after="10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(c)See “Note 14 – Share-Based Compensation” for additional information.</w:t>
      </w:r>
    </w:p>
    <w:tbl>
      <w:tblPr>
        <w:tblW w:w="8701" w:type="dxa"/>
        <w:jc w:val="left"/>
        <w:tblInd w:w="0" w:type="dxa"/>
        <w:tblLayout w:type="fixed"/>
        <w:tblCellMar>
          <w:top w:w="28" w:type="dxa"/>
          <w:left w:w="28" w:type="dxa"/>
          <w:bottom w:w="28" w:type="dxa"/>
          <w:right w:w="28" w:type="dxa"/>
        </w:tblCellMar>
      </w:tblPr>
      <w:tblGrid>
        <w:gridCol w:w="1194"/>
        <w:gridCol w:w="1048"/>
        <w:gridCol w:w="1057"/>
        <w:gridCol w:w="109"/>
        <w:gridCol w:w="109"/>
        <w:gridCol w:w="109"/>
        <w:gridCol w:w="425"/>
        <w:gridCol w:w="389"/>
        <w:gridCol w:w="222"/>
        <w:gridCol w:w="381"/>
        <w:gridCol w:w="381"/>
        <w:gridCol w:w="274"/>
        <w:gridCol w:w="498"/>
        <w:gridCol w:w="278"/>
        <w:gridCol w:w="260"/>
        <w:gridCol w:w="350"/>
        <w:gridCol w:w="266"/>
        <w:gridCol w:w="270"/>
        <w:gridCol w:w="321"/>
        <w:gridCol w:w="321"/>
        <w:gridCol w:w="439"/>
      </w:tblGrid>
      <w:tr>
        <w:trPr/>
        <w:tc>
          <w:tcPr>
            <w:tcW w:w="1194"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 2024</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9"/>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Reportable Segments</w:t>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w:t>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DRE</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WCC</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w:t>
            </w:r>
          </w:p>
        </w:tc>
        <w:tc>
          <w:tcPr>
            <w:tcW w:w="88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55" w:after="30"/>
              <w:jc w:val="right"/>
              <w:rPr>
                <w:rFonts w:ascii="Times New Roman;serif" w:hAnsi="Times New Roman;serif"/>
                <w:b/>
                <w:color w:val="000000"/>
                <w:sz w:val="20"/>
              </w:rPr>
            </w:pPr>
            <w:r>
              <w:rPr>
                <w:rFonts w:ascii="Times New Roman;serif" w:hAnsi="Times New Roman;serif"/>
                <w:b/>
                <w:color w:val="000000"/>
                <w:sz w:val="20"/>
              </w:rPr>
              <w:t>$    1,682    </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color w:val="000000"/>
                <w:sz w:val="20"/>
              </w:rPr>
            </w:pPr>
            <w:r>
              <w:rPr>
                <w:rFonts w:ascii="Times New Roman;serif" w:hAnsi="Times New Roman;serif"/>
                <w:b/>
                <w:color w:val="000000"/>
                <w:sz w:val="20"/>
              </w:rPr>
              <w:t>$    1,976    </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color w:val="000000"/>
                <w:sz w:val="20"/>
              </w:rPr>
            </w:pPr>
            <w:r>
              <w:rPr>
                <w:rFonts w:ascii="Times New Roman;serif" w:hAnsi="Times New Roman;serif"/>
                <w:b/>
                <w:color w:val="000000"/>
                <w:sz w:val="20"/>
              </w:rPr>
              <w:t>$    1,452    </w:t>
            </w:r>
          </w:p>
        </w:tc>
        <w:tc>
          <w:tcPr>
            <w:tcW w:w="88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55" w:after="30"/>
              <w:jc w:val="right"/>
              <w:rPr>
                <w:rFonts w:ascii="Times New Roman;serif" w:hAnsi="Times New Roman;serif"/>
                <w:b/>
                <w:color w:val="000000"/>
                <w:sz w:val="20"/>
              </w:rPr>
            </w:pPr>
            <w:r>
              <w:rPr>
                <w:rFonts w:ascii="Times New Roman;serif" w:hAnsi="Times New Roman;serif"/>
                <w:b/>
                <w:color w:val="000000"/>
                <w:sz w:val="20"/>
              </w:rPr>
              <w:t>$    403    </w:t>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color w:val="000000"/>
                <w:sz w:val="20"/>
              </w:rPr>
            </w:pPr>
            <w:r>
              <w:rPr>
                <w:rFonts w:ascii="Times New Roman;serif" w:hAnsi="Times New Roman;serif"/>
                <w:b/>
                <w:color w:val="000000"/>
                <w:sz w:val="20"/>
              </w:rPr>
              <w:t>$    5,513    </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Direct Costs</w:t>
            </w:r>
            <w:r>
              <w:rPr>
                <w:rFonts w:ascii="Times New Roman;serif" w:hAnsi="Times New Roman;serif"/>
                <w:b w:val="false"/>
                <w:color w:val="000000"/>
                <w:sz w:val="13"/>
              </w:rPr>
              <w:t>(a)</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(1,007)</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(1,174)</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(955)</w:t>
            </w:r>
          </w:p>
        </w:tc>
        <w:tc>
          <w:tcPr>
            <w:tcW w:w="88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Other Expense</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(208)</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(238)</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(178)</w:t>
            </w:r>
          </w:p>
        </w:tc>
        <w:tc>
          <w:tcPr>
            <w:tcW w:w="88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DRE Segment Adjusted EBITDA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467    </w:t>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467    </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WCC 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564    </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564    </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 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319    </w:t>
            </w:r>
          </w:p>
        </w:tc>
        <w:tc>
          <w:tcPr>
            <w:tcW w:w="88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319    </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84    </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(52)</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(343)</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Share-based Compensation Expense</w:t>
            </w:r>
            <w:r>
              <w:rPr>
                <w:color w:val="000000"/>
              </w:rPr>
              <w:t xml:space="preserve"> </w:t>
            </w:r>
            <w:r>
              <w:rPr>
                <w:rFonts w:ascii="Times New Roman;serif" w:hAnsi="Times New Roman;serif"/>
                <w:b w:val="false"/>
                <w:color w:val="000000"/>
                <w:sz w:val="13"/>
              </w:rPr>
              <w:t xml:space="preserve">(c)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(45)</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(42)</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(14)</w:t>
            </w:r>
          </w:p>
        </w:tc>
      </w:tr>
      <w:tr>
        <w:trPr/>
        <w:tc>
          <w:tcPr>
            <w:tcW w:w="329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55" w:after="30"/>
              <w:jc w:val="right"/>
              <w:rPr>
                <w:rFonts w:ascii="Times New Roman;serif" w:hAnsi="Times New Roman;serif"/>
                <w:b/>
                <w:color w:val="000000"/>
                <w:sz w:val="20"/>
              </w:rPr>
            </w:pPr>
            <w:r>
              <w:rPr>
                <w:rFonts w:ascii="Times New Roman;serif" w:hAnsi="Times New Roman;serif"/>
                <w:b/>
                <w:color w:val="000000"/>
                <w:sz w:val="20"/>
              </w:rPr>
              <w:t>$    938    </w:t>
            </w:r>
          </w:p>
        </w:tc>
      </w:tr>
    </w:tbl>
    <w:p>
      <w:pPr>
        <w:pStyle w:val="TextBody"/>
        <w:bidi w:val="0"/>
        <w:spacing w:lineRule="auto" w:line="333" w:before="100" w:after="283"/>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(a)Segment cost of sales and direct operating costs.</w:t>
      </w:r>
    </w:p>
    <w:p>
      <w:pPr>
        <w:pStyle w:val="TextBody"/>
        <w:bidi w:val="0"/>
        <w:spacing w:lineRule="auto" w:line="333"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(b)Segment selling, general and administrative and research and development costs.</w:t>
      </w:r>
    </w:p>
    <w:p>
      <w:pPr>
        <w:pStyle w:val="TextBody"/>
        <w:bidi w:val="0"/>
        <w:spacing w:lineRule="auto" w:line="333"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(c)See “Note 14 – Share-Based Compensation” for additional information.</w:t>
      </w:r>
    </w:p>
    <w:p>
      <w:pPr>
        <w:pStyle w:val="TextBody"/>
        <w:bidi w:val="0"/>
        <w:ind w:left="0" w:right="0" w:firstLine="9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32</w:t>
                      </w:r>
                    </w:p>
                  </w:txbxContent>
                </v:textbox>
                <w10:wrap type="none"/>
              </v:rect>
            </w:pict>
          </mc:Fallback>
        </mc:AlternateContent>
      </w:r>
    </w:p>
    <w:p>
      <w:pPr>
        <w:pStyle w:val="TextBody"/>
        <w:bidi w:val="0"/>
        <w:spacing w:lineRule="auto" w:line="333" w:before="0" w:after="0"/>
        <w:jc w:val="left"/>
        <w:rPr>
          <w:color w:val="000000"/>
        </w:rPr>
      </w:pPr>
      <w:r>
        <w:rPr>
          <w:color w:val="000000"/>
        </w:rPr>
        <w:t>    </w:t>
      </w:r>
      <w:r>
        <w:rPr>
          <w:rFonts w:ascii="Times New Roman;serif" w:hAnsi="Times New Roman;serif"/>
          <w:b w:val="false"/>
          <w:color w:val="000000"/>
          <w:sz w:val="20"/>
        </w:rPr>
        <w:t>Item 7 | MD&amp;A    </w:t>
      </w:r>
    </w:p>
    <w:tbl>
      <w:tblPr>
        <w:tblW w:w="8701" w:type="dxa"/>
        <w:jc w:val="left"/>
        <w:tblInd w:w="0" w:type="dxa"/>
        <w:tblLayout w:type="fixed"/>
        <w:tblCellMar>
          <w:top w:w="28" w:type="dxa"/>
          <w:left w:w="28" w:type="dxa"/>
          <w:bottom w:w="28" w:type="dxa"/>
          <w:right w:w="28" w:type="dxa"/>
        </w:tblCellMar>
      </w:tblPr>
      <w:tblGrid>
        <w:gridCol w:w="1194"/>
        <w:gridCol w:w="1048"/>
        <w:gridCol w:w="1057"/>
        <w:gridCol w:w="109"/>
        <w:gridCol w:w="109"/>
        <w:gridCol w:w="109"/>
        <w:gridCol w:w="425"/>
        <w:gridCol w:w="389"/>
        <w:gridCol w:w="222"/>
        <w:gridCol w:w="381"/>
        <w:gridCol w:w="381"/>
        <w:gridCol w:w="274"/>
        <w:gridCol w:w="498"/>
        <w:gridCol w:w="278"/>
        <w:gridCol w:w="260"/>
        <w:gridCol w:w="350"/>
        <w:gridCol w:w="266"/>
        <w:gridCol w:w="270"/>
        <w:gridCol w:w="321"/>
        <w:gridCol w:w="321"/>
        <w:gridCol w:w="439"/>
      </w:tblGrid>
      <w:tr>
        <w:trPr/>
        <w:tc>
          <w:tcPr>
            <w:tcW w:w="1194"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 2023</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9"/>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Reportable Segments</w:t>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w:t>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DRE</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WCC</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w:t>
            </w:r>
          </w:p>
        </w:tc>
        <w:tc>
          <w:tcPr>
            <w:tcW w:w="88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55" w:after="30"/>
              <w:jc w:val="right"/>
              <w:rPr>
                <w:rFonts w:ascii="Times New Roman;serif" w:hAnsi="Times New Roman;serif"/>
                <w:b/>
                <w:color w:val="000000"/>
                <w:sz w:val="20"/>
              </w:rPr>
            </w:pPr>
            <w:r>
              <w:rPr>
                <w:rFonts w:ascii="Times New Roman;serif" w:hAnsi="Times New Roman;serif"/>
                <w:b/>
                <w:color w:val="000000"/>
                <w:sz w:val="20"/>
              </w:rPr>
              <w:t>$    1,536    </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color w:val="000000"/>
                <w:sz w:val="20"/>
              </w:rPr>
            </w:pPr>
            <w:r>
              <w:rPr>
                <w:rFonts w:ascii="Times New Roman;serif" w:hAnsi="Times New Roman;serif"/>
                <w:b/>
                <w:color w:val="000000"/>
                <w:sz w:val="20"/>
              </w:rPr>
              <w:t>$    1,800    </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color w:val="000000"/>
                <w:sz w:val="20"/>
              </w:rPr>
            </w:pPr>
            <w:r>
              <w:rPr>
                <w:rFonts w:ascii="Times New Roman;serif" w:hAnsi="Times New Roman;serif"/>
                <w:b/>
                <w:color w:val="000000"/>
                <w:sz w:val="20"/>
              </w:rPr>
              <w:t>$    1,472    </w:t>
            </w:r>
          </w:p>
        </w:tc>
        <w:tc>
          <w:tcPr>
            <w:tcW w:w="88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55" w:after="30"/>
              <w:jc w:val="right"/>
              <w:rPr>
                <w:rFonts w:ascii="Times New Roman;serif" w:hAnsi="Times New Roman;serif"/>
                <w:b/>
                <w:color w:val="000000"/>
                <w:sz w:val="20"/>
              </w:rPr>
            </w:pPr>
            <w:r>
              <w:rPr>
                <w:rFonts w:ascii="Times New Roman;serif" w:hAnsi="Times New Roman;serif"/>
                <w:b/>
                <w:color w:val="000000"/>
                <w:sz w:val="20"/>
              </w:rPr>
              <w:t>$    327    </w:t>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color w:val="000000"/>
                <w:sz w:val="20"/>
              </w:rPr>
            </w:pPr>
            <w:r>
              <w:rPr>
                <w:rFonts w:ascii="Times New Roman;serif" w:hAnsi="Times New Roman;serif"/>
                <w:b/>
                <w:color w:val="000000"/>
                <w:sz w:val="20"/>
              </w:rPr>
              <w:t>$    5,135    </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Direct Costs</w:t>
            </w:r>
            <w:r>
              <w:rPr>
                <w:rFonts w:ascii="Times New Roman;serif" w:hAnsi="Times New Roman;serif"/>
                <w:b w:val="false"/>
                <w:color w:val="000000"/>
                <w:sz w:val="13"/>
              </w:rPr>
              <w:t>(a)</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(920)</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(1,091)</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(953)</w:t>
            </w:r>
          </w:p>
        </w:tc>
        <w:tc>
          <w:tcPr>
            <w:tcW w:w="88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Other Expense</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(194)</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(254)</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(196)</w:t>
            </w:r>
          </w:p>
        </w:tc>
        <w:tc>
          <w:tcPr>
            <w:tcW w:w="88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DRE Segment Adjusted EBITDA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422    </w:t>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422    </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WCC 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455    </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455    </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 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323    </w:t>
            </w:r>
          </w:p>
        </w:tc>
        <w:tc>
          <w:tcPr>
            <w:tcW w:w="88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323    </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38    </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(52)</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(327)</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Share-based Compensation Expense</w:t>
            </w:r>
            <w:r>
              <w:rPr>
                <w:color w:val="000000"/>
              </w:rPr>
              <w:t xml:space="preserve"> </w:t>
            </w:r>
            <w:r>
              <w:rPr>
                <w:rFonts w:ascii="Times New Roman;serif" w:hAnsi="Times New Roman;serif"/>
                <w:b w:val="false"/>
                <w:color w:val="000000"/>
                <w:sz w:val="13"/>
              </w:rPr>
              <w:t xml:space="preserve">(c)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(35)</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2    </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(16)</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Credits,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10    </w:t>
            </w:r>
          </w:p>
        </w:tc>
      </w:tr>
      <w:tr>
        <w:trPr/>
        <w:tc>
          <w:tcPr>
            <w:tcW w:w="329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55" w:after="30"/>
              <w:jc w:val="right"/>
              <w:rPr>
                <w:rFonts w:ascii="Times New Roman;serif" w:hAnsi="Times New Roman;serif"/>
                <w:b/>
                <w:color w:val="000000"/>
                <w:sz w:val="20"/>
              </w:rPr>
            </w:pPr>
            <w:r>
              <w:rPr>
                <w:rFonts w:ascii="Times New Roman;serif" w:hAnsi="Times New Roman;serif"/>
                <w:b/>
                <w:color w:val="000000"/>
                <w:sz w:val="20"/>
              </w:rPr>
              <w:t>$    820    </w:t>
            </w:r>
          </w:p>
        </w:tc>
      </w:tr>
    </w:tbl>
    <w:p>
      <w:pPr>
        <w:pStyle w:val="TextBody"/>
        <w:bidi w:val="0"/>
        <w:spacing w:lineRule="auto" w:line="333"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(a)Segment cost of sales and direct operating costs.</w:t>
      </w:r>
    </w:p>
    <w:p>
      <w:pPr>
        <w:pStyle w:val="TextBody"/>
        <w:bidi w:val="0"/>
        <w:spacing w:lineRule="auto" w:line="333"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(b)Segment selling, general and administrative and research and development costs.</w:t>
      </w:r>
    </w:p>
    <w:p>
      <w:pPr>
        <w:pStyle w:val="TextBody"/>
        <w:bidi w:val="0"/>
        <w:spacing w:lineRule="auto" w:line="333"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(c)See “Note 14 – Share-Based Compensation” for additional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33</w:t>
                      </w:r>
                    </w:p>
                  </w:txbxContent>
                </v:textbox>
                <w10:wrap type="none"/>
              </v:rect>
            </w:pict>
          </mc:Fallback>
        </mc:AlternateContent>
      </w:r>
    </w:p>
    <w:p>
      <w:pPr>
        <w:pStyle w:val="TextBody"/>
        <w:bidi w:val="0"/>
        <w:spacing w:lineRule="auto" w:line="333" w:before="0" w:after="0"/>
        <w:jc w:val="left"/>
        <w:rPr>
          <w:color w:val="000000"/>
        </w:rPr>
      </w:pPr>
      <w:r>
        <w:rPr>
          <w:color w:val="000000"/>
        </w:rPr>
        <w:t>    </w:t>
      </w:r>
      <w:r>
        <w:rPr>
          <w:rFonts w:ascii="Times New Roman;serif" w:hAnsi="Times New Roman;serif"/>
          <w:b w:val="false"/>
          <w:color w:val="000000"/>
          <w:sz w:val="20"/>
        </w:rPr>
        <w:t>Item 7 | MD&amp;A    </w:t>
      </w:r>
    </w:p>
    <w:p>
      <w:pPr>
        <w:pStyle w:val="TextBody"/>
        <w:bidi w:val="0"/>
        <w:spacing w:lineRule="auto" w:line="333" w:before="0" w:after="0"/>
        <w:jc w:val="left"/>
        <w:rPr>
          <w:rFonts w:ascii="Times New Roman;serif" w:hAnsi="Times New Roman;serif"/>
          <w:b w:val="false"/>
          <w:i/>
          <w:color w:val="000000"/>
          <w:sz w:val="20"/>
        </w:rPr>
      </w:pPr>
      <w:r>
        <w:rPr>
          <w:rFonts w:ascii="Times New Roman;serif" w:hAnsi="Times New Roman;serif"/>
          <w:b w:val="false"/>
          <w:i/>
          <w:color w:val="000000"/>
          <w:sz w:val="20"/>
        </w:rPr>
        <w:t>DRE Results</w:t>
      </w:r>
    </w:p>
    <w:p>
      <w:pPr>
        <w:pStyle w:val="TextBody"/>
        <w:bidi w:val="0"/>
        <w:spacing w:before="0" w:after="0"/>
        <w:jc w:val="left"/>
        <w:rPr/>
      </w:pPr>
      <w:r>
        <w:rPr/>
      </w:r>
    </w:p>
    <w:p>
      <w:pPr>
        <w:pStyle w:val="TextBody"/>
        <w:bidi w:val="0"/>
        <w:spacing w:lineRule="auto" w:line="297"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2025 vs 2024</w:t>
      </w:r>
    </w:p>
    <w:p>
      <w:pPr>
        <w:pStyle w:val="TextBody"/>
        <w:bidi w:val="0"/>
        <w:spacing w:before="0" w:after="0"/>
        <w:ind w:left="0" w:right="0" w:firstLine="360"/>
        <w:jc w:val="both"/>
        <w:rPr/>
      </w:pPr>
      <w:r>
        <w:rPr/>
      </w:r>
    </w:p>
    <w:tbl>
      <w:tblPr>
        <w:tblW w:w="8751" w:type="dxa"/>
        <w:jc w:val="left"/>
        <w:tblInd w:w="0" w:type="dxa"/>
        <w:tblLayout w:type="fixed"/>
        <w:tblCellMar>
          <w:top w:w="28" w:type="dxa"/>
          <w:left w:w="28" w:type="dxa"/>
          <w:bottom w:w="28" w:type="dxa"/>
          <w:right w:w="28" w:type="dxa"/>
        </w:tblCellMar>
      </w:tblPr>
      <w:tblGrid>
        <w:gridCol w:w="929"/>
        <w:gridCol w:w="816"/>
        <w:gridCol w:w="819"/>
        <w:gridCol w:w="109"/>
        <w:gridCol w:w="109"/>
        <w:gridCol w:w="109"/>
        <w:gridCol w:w="395"/>
        <w:gridCol w:w="395"/>
        <w:gridCol w:w="395"/>
        <w:gridCol w:w="220"/>
        <w:gridCol w:w="220"/>
        <w:gridCol w:w="220"/>
        <w:gridCol w:w="395"/>
        <w:gridCol w:w="395"/>
        <w:gridCol w:w="395"/>
        <w:gridCol w:w="109"/>
        <w:gridCol w:w="109"/>
        <w:gridCol w:w="109"/>
        <w:gridCol w:w="279"/>
        <w:gridCol w:w="279"/>
        <w:gridCol w:w="283"/>
        <w:gridCol w:w="109"/>
        <w:gridCol w:w="109"/>
        <w:gridCol w:w="109"/>
        <w:gridCol w:w="390"/>
        <w:gridCol w:w="390"/>
        <w:gridCol w:w="555"/>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Twelve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Variance</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 31, 2025</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or bps</w:t>
            </w:r>
          </w:p>
        </w:tc>
      </w:tr>
      <w:tr>
        <w:trPr/>
        <w:tc>
          <w:tcPr>
            <w:tcW w:w="2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1,371    </w:t>
            </w:r>
          </w:p>
        </w:tc>
        <w:tc>
          <w:tcPr>
            <w:tcW w:w="6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1,682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(18)    %</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(876)    </w:t>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(1,007)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13    %</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(186)    </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(208)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11    %</w:t>
            </w:r>
          </w:p>
        </w:tc>
      </w:tr>
      <w:tr>
        <w:trPr/>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309    </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467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(158)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(34)    %</w:t>
            </w:r>
          </w:p>
        </w:tc>
      </w:tr>
      <w:tr>
        <w:trPr/>
        <w:tc>
          <w:tcPr>
            <w:tcW w:w="256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 EBITDA Margin</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15" w:after="30"/>
              <w:jc w:val="right"/>
              <w:rPr>
                <w:color w:val="000000"/>
              </w:rPr>
            </w:pPr>
            <w:r>
              <w:rPr>
                <w:color w:val="000000"/>
              </w:rPr>
              <w:t>    </w:t>
            </w:r>
            <w:r>
              <w:rPr>
                <w:rFonts w:ascii="Times New Roman;serif" w:hAnsi="Times New Roman;serif"/>
                <w:b w:val="false"/>
                <w:color w:val="000000"/>
                <w:sz w:val="20"/>
              </w:rPr>
              <w:t>22.5    %</w:t>
            </w:r>
          </w:p>
        </w:tc>
        <w:tc>
          <w:tcPr>
            <w:tcW w:w="6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15" w:after="30"/>
              <w:jc w:val="right"/>
              <w:rPr>
                <w:color w:val="000000"/>
              </w:rPr>
            </w:pPr>
            <w:r>
              <w:rPr>
                <w:color w:val="000000"/>
              </w:rPr>
              <w:t>    </w:t>
            </w:r>
            <w:r>
              <w:rPr>
                <w:rFonts w:ascii="Times New Roman;serif" w:hAnsi="Times New Roman;serif"/>
                <w:b w:val="false"/>
                <w:color w:val="000000"/>
                <w:sz w:val="20"/>
              </w:rPr>
              <w:t>27.8    %</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15" w:after="30"/>
              <w:jc w:val="right"/>
              <w:rPr>
                <w:color w:val="000000"/>
              </w:rPr>
            </w:pPr>
            <w:r>
              <w:rPr>
                <w:color w:val="000000"/>
              </w:rPr>
              <w:t>    </w:t>
            </w:r>
            <w:r>
              <w:rPr>
                <w:rFonts w:ascii="Times New Roman;serif" w:hAnsi="Times New Roman;serif"/>
                <w:b w:val="false"/>
                <w:color w:val="000000"/>
                <w:sz w:val="20"/>
              </w:rPr>
              <w:t>(523)     bps</w:t>
            </w:r>
          </w:p>
        </w:tc>
      </w:tr>
    </w:tbl>
    <w:p>
      <w:pPr>
        <w:pStyle w:val="TextBody"/>
        <w:bidi w:val="0"/>
        <w:spacing w:before="0" w:after="0"/>
        <w:jc w:val="both"/>
        <w:rPr/>
      </w:pPr>
      <w:r>
        <w:rPr/>
      </w:r>
    </w:p>
    <w:p>
      <w:pPr>
        <w:pStyle w:val="TextBody"/>
        <w:bidi w:val="0"/>
        <w:spacing w:lineRule="auto" w:line="297"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DRE revenues of $1.4 billion in 2025 decreased by $311 million or 18% compared to 2024 with approximately 50% of the decrease from lower activity in drilling-related services and approximately 25% of the decrease attributable to a decline in activity for managed pressure drilling. Geographically, approximately 85% of the revenue decrease was from the Latin America region primarily due to a decline in activity in Mexico.</w:t>
      </w:r>
    </w:p>
    <w:p>
      <w:pPr>
        <w:pStyle w:val="TextBody"/>
        <w:bidi w:val="0"/>
        <w:spacing w:before="0" w:after="0"/>
        <w:ind w:left="0" w:right="0" w:firstLine="360"/>
        <w:jc w:val="both"/>
        <w:rPr/>
      </w:pPr>
      <w:r>
        <w:rPr/>
      </w:r>
    </w:p>
    <w:p>
      <w:pPr>
        <w:pStyle w:val="TextBody"/>
        <w:bidi w:val="0"/>
        <w:spacing w:lineRule="auto" w:line="297"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DRE segment adjusted EBITDA of $309 million in 2025 decreased by $158 million or 34% compared to 2024. DRE segment adjusted EBITDA margin was 22.5% in 2025 compared to 27.8% in 2024. The year-over-year decrease in segment adjusted EBITDA was primarily due to a decline in activity in Latin America. Both direct costs and other expense generally decreased in line with the decrease in activity. However, the rate of decrease in direct costs and other expense was lower than the rate of decrease in revenue, contributing to the decrease in margin.</w:t>
      </w:r>
    </w:p>
    <w:p>
      <w:pPr>
        <w:pStyle w:val="TextBody"/>
        <w:bidi w:val="0"/>
        <w:spacing w:lineRule="auto" w:line="333" w:before="0" w:after="0"/>
        <w:jc w:val="both"/>
        <w:rPr>
          <w:rFonts w:ascii="Times New Roman;serif" w:hAnsi="Times New Roman;serif"/>
          <w:b w:val="false"/>
          <w:i/>
          <w:color w:val="000000"/>
          <w:sz w:val="20"/>
        </w:rPr>
      </w:pPr>
      <w:r>
        <w:rPr>
          <w:rFonts w:ascii="Times New Roman;serif" w:hAnsi="Times New Roman;serif"/>
          <w:b w:val="false"/>
          <w:i/>
          <w:color w:val="000000"/>
          <w:sz w:val="20"/>
        </w:rPr>
        <w:t>WCC Results</w:t>
      </w:r>
    </w:p>
    <w:p>
      <w:pPr>
        <w:pStyle w:val="TextBody"/>
        <w:bidi w:val="0"/>
        <w:spacing w:before="0" w:after="0"/>
        <w:jc w:val="both"/>
        <w:rPr/>
      </w:pPr>
      <w:r>
        <w:rPr/>
      </w:r>
    </w:p>
    <w:p>
      <w:pPr>
        <w:pStyle w:val="TextBody"/>
        <w:bidi w:val="0"/>
        <w:spacing w:lineRule="auto" w:line="297"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2025 vs 2024</w:t>
      </w:r>
    </w:p>
    <w:tbl>
      <w:tblPr>
        <w:tblW w:w="8733" w:type="dxa"/>
        <w:jc w:val="left"/>
        <w:tblInd w:w="0" w:type="dxa"/>
        <w:tblLayout w:type="fixed"/>
        <w:tblCellMar>
          <w:top w:w="28" w:type="dxa"/>
          <w:left w:w="28" w:type="dxa"/>
          <w:bottom w:w="28" w:type="dxa"/>
          <w:right w:w="28" w:type="dxa"/>
        </w:tblCellMar>
      </w:tblPr>
      <w:tblGrid>
        <w:gridCol w:w="929"/>
        <w:gridCol w:w="816"/>
        <w:gridCol w:w="819"/>
        <w:gridCol w:w="109"/>
        <w:gridCol w:w="109"/>
        <w:gridCol w:w="109"/>
        <w:gridCol w:w="395"/>
        <w:gridCol w:w="395"/>
        <w:gridCol w:w="395"/>
        <w:gridCol w:w="220"/>
        <w:gridCol w:w="220"/>
        <w:gridCol w:w="220"/>
        <w:gridCol w:w="395"/>
        <w:gridCol w:w="395"/>
        <w:gridCol w:w="395"/>
        <w:gridCol w:w="109"/>
        <w:gridCol w:w="109"/>
        <w:gridCol w:w="109"/>
        <w:gridCol w:w="274"/>
        <w:gridCol w:w="274"/>
        <w:gridCol w:w="276"/>
        <w:gridCol w:w="109"/>
        <w:gridCol w:w="109"/>
        <w:gridCol w:w="109"/>
        <w:gridCol w:w="417"/>
        <w:gridCol w:w="417"/>
        <w:gridCol w:w="500"/>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Twelve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Variance</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 31, 2025</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or bps</w:t>
            </w:r>
          </w:p>
        </w:tc>
      </w:tr>
      <w:tr>
        <w:trPr/>
        <w:tc>
          <w:tcPr>
            <w:tcW w:w="2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1,875    </w:t>
            </w:r>
          </w:p>
        </w:tc>
        <w:tc>
          <w:tcPr>
            <w:tcW w:w="6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1,976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(5)    %</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(1,127)    </w:t>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(1,174)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47    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4    %</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(233)    </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(238)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2    %</w:t>
            </w:r>
          </w:p>
        </w:tc>
      </w:tr>
      <w:tr>
        <w:trPr/>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515    </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564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(49)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(9)    %</w:t>
            </w:r>
          </w:p>
        </w:tc>
      </w:tr>
      <w:tr>
        <w:trPr/>
        <w:tc>
          <w:tcPr>
            <w:tcW w:w="256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 EBITDA Margin</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15" w:after="30"/>
              <w:jc w:val="right"/>
              <w:rPr>
                <w:color w:val="000000"/>
              </w:rPr>
            </w:pPr>
            <w:r>
              <w:rPr>
                <w:color w:val="000000"/>
              </w:rPr>
              <w:t>    </w:t>
            </w:r>
            <w:r>
              <w:rPr>
                <w:rFonts w:ascii="Times New Roman;serif" w:hAnsi="Times New Roman;serif"/>
                <w:b w:val="false"/>
                <w:color w:val="000000"/>
                <w:sz w:val="20"/>
              </w:rPr>
              <w:t>27.5    %</w:t>
            </w:r>
          </w:p>
        </w:tc>
        <w:tc>
          <w:tcPr>
            <w:tcW w:w="6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15" w:after="30"/>
              <w:jc w:val="right"/>
              <w:rPr>
                <w:color w:val="000000"/>
              </w:rPr>
            </w:pPr>
            <w:r>
              <w:rPr>
                <w:color w:val="000000"/>
              </w:rPr>
              <w:t>    </w:t>
            </w:r>
            <w:r>
              <w:rPr>
                <w:rFonts w:ascii="Times New Roman;serif" w:hAnsi="Times New Roman;serif"/>
                <w:b w:val="false"/>
                <w:color w:val="000000"/>
                <w:sz w:val="20"/>
              </w:rPr>
              <w:t>28.5    %</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15" w:after="30"/>
              <w:jc w:val="right"/>
              <w:rPr>
                <w:color w:val="000000"/>
              </w:rPr>
            </w:pPr>
            <w:r>
              <w:rPr>
                <w:color w:val="000000"/>
              </w:rPr>
              <w:t>    </w:t>
            </w:r>
            <w:r>
              <w:rPr>
                <w:rFonts w:ascii="Times New Roman;serif" w:hAnsi="Times New Roman;serif"/>
                <w:b w:val="false"/>
                <w:color w:val="000000"/>
                <w:sz w:val="20"/>
              </w:rPr>
              <w:t>(108)     bps</w:t>
            </w:r>
          </w:p>
        </w:tc>
      </w:tr>
    </w:tbl>
    <w:p>
      <w:pPr>
        <w:pStyle w:val="TextBody"/>
        <w:bidi w:val="0"/>
        <w:spacing w:before="0" w:after="0"/>
        <w:ind w:left="0" w:right="0" w:firstLine="360"/>
        <w:jc w:val="both"/>
        <w:rPr/>
      </w:pPr>
      <w:r>
        <w:rPr/>
      </w:r>
    </w:p>
    <w:p>
      <w:pPr>
        <w:pStyle w:val="TextBody"/>
        <w:bidi w:val="0"/>
        <w:spacing w:lineRule="auto" w:line="297"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WCC revenues of $1.9 billion in 2025 decreased by $101 million or 5% compared to 2024 with approximately 70% of the decrease from lower activity in cementation products and approximately 30% of the decrease attributable to a decline in activity for completions. Geographically, approximately 65% of the decrease was from Latin America due to a decline in activity in Mexico and approximately 30% of the decrease was from the Europe/Sub-Sahara Africa/Russia region. The remainder of the decrease was driven by North America, but mostly offset by a revenue increase of $18 million in the Middle East/North Africa/Asia region.</w:t>
      </w:r>
    </w:p>
    <w:p>
      <w:pPr>
        <w:pStyle w:val="TextBody"/>
        <w:bidi w:val="0"/>
        <w:spacing w:before="0" w:after="0"/>
        <w:ind w:left="0" w:right="0" w:firstLine="360"/>
        <w:jc w:val="both"/>
        <w:rPr/>
      </w:pPr>
      <w:r>
        <w:rPr/>
      </w:r>
    </w:p>
    <w:p>
      <w:pPr>
        <w:pStyle w:val="TextBody"/>
        <w:bidi w:val="0"/>
        <w:spacing w:lineRule="auto" w:line="297"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WCC segment adjusted EBITDA of $515 million in 2025 decreased by $49 million or 9% compared to 2024. WCC segment adjusted EBITDA margin was 27.5% in 2025 compared to 28.5% in 2024. The year-over-year decrease in segment adjusted EBITDA was primarily due to a decline in activity in cementation products across geographies and a decline in completions in the Latin America and Europe/Sub-Sahara Africa/Russia regions. The declines were partly offset by liner hanger activity in the Middle East/North Africa/Asia region. Both direct costs and other expense generally decreased in line with the decrease in activity. However, the rate of decrease in direct costs and other expense was lower than the rate of decrease in revenue, contributing to the decrease in margin.</w:t>
      </w:r>
    </w:p>
    <w:p>
      <w:pPr>
        <w:pStyle w:val="TextBody"/>
        <w:bidi w:val="0"/>
        <w:ind w:left="0" w:right="0" w:firstLine="3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34</w:t>
                      </w:r>
                    </w:p>
                  </w:txbxContent>
                </v:textbox>
                <w10:wrap type="none"/>
              </v:rect>
            </w:pict>
          </mc:Fallback>
        </mc:AlternateContent>
      </w:r>
    </w:p>
    <w:p>
      <w:pPr>
        <w:pStyle w:val="TextBody"/>
        <w:bidi w:val="0"/>
        <w:spacing w:lineRule="auto" w:line="333" w:before="0" w:after="0"/>
        <w:jc w:val="left"/>
        <w:rPr>
          <w:color w:val="000000"/>
        </w:rPr>
      </w:pPr>
      <w:r>
        <w:rPr>
          <w:color w:val="000000"/>
        </w:rPr>
        <w:t>    </w:t>
      </w:r>
      <w:r>
        <w:rPr>
          <w:rFonts w:ascii="Times New Roman;serif" w:hAnsi="Times New Roman;serif"/>
          <w:b w:val="false"/>
          <w:color w:val="000000"/>
          <w:sz w:val="20"/>
        </w:rPr>
        <w:t>Item 7 | MD&amp;A    </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PRI Results</w:t>
      </w:r>
    </w:p>
    <w:p>
      <w:pPr>
        <w:pStyle w:val="TextBody"/>
        <w:bidi w:val="0"/>
        <w:spacing w:before="0" w:after="0"/>
        <w:jc w:val="both"/>
        <w:rPr/>
      </w:pPr>
      <w:r>
        <w:rPr/>
      </w:r>
    </w:p>
    <w:p>
      <w:pPr>
        <w:pStyle w:val="TextBody"/>
        <w:bidi w:val="0"/>
        <w:spacing w:lineRule="auto" w:line="297"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2025 vs 2024</w:t>
      </w:r>
    </w:p>
    <w:tbl>
      <w:tblPr>
        <w:tblW w:w="8734" w:type="dxa"/>
        <w:jc w:val="left"/>
        <w:tblInd w:w="0" w:type="dxa"/>
        <w:tblLayout w:type="fixed"/>
        <w:tblCellMar>
          <w:top w:w="28" w:type="dxa"/>
          <w:left w:w="28" w:type="dxa"/>
          <w:bottom w:w="28" w:type="dxa"/>
          <w:right w:w="28" w:type="dxa"/>
        </w:tblCellMar>
      </w:tblPr>
      <w:tblGrid>
        <w:gridCol w:w="929"/>
        <w:gridCol w:w="816"/>
        <w:gridCol w:w="819"/>
        <w:gridCol w:w="109"/>
        <w:gridCol w:w="109"/>
        <w:gridCol w:w="109"/>
        <w:gridCol w:w="395"/>
        <w:gridCol w:w="395"/>
        <w:gridCol w:w="395"/>
        <w:gridCol w:w="220"/>
        <w:gridCol w:w="220"/>
        <w:gridCol w:w="220"/>
        <w:gridCol w:w="395"/>
        <w:gridCol w:w="395"/>
        <w:gridCol w:w="395"/>
        <w:gridCol w:w="109"/>
        <w:gridCol w:w="109"/>
        <w:gridCol w:w="109"/>
        <w:gridCol w:w="274"/>
        <w:gridCol w:w="274"/>
        <w:gridCol w:w="276"/>
        <w:gridCol w:w="109"/>
        <w:gridCol w:w="109"/>
        <w:gridCol w:w="109"/>
        <w:gridCol w:w="389"/>
        <w:gridCol w:w="389"/>
        <w:gridCol w:w="557"/>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Twelve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Variance</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 31, 2025</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or bps</w:t>
            </w:r>
          </w:p>
        </w:tc>
      </w:tr>
      <w:tr>
        <w:trPr/>
        <w:tc>
          <w:tcPr>
            <w:tcW w:w="2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1,340    </w:t>
            </w:r>
          </w:p>
        </w:tc>
        <w:tc>
          <w:tcPr>
            <w:tcW w:w="6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1,452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(112)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(8)    %</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(913)    </w:t>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(955)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42    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4    %</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(170)    </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(178)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4    %</w:t>
            </w:r>
          </w:p>
        </w:tc>
      </w:tr>
      <w:tr>
        <w:trPr/>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257    </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319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(62)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(19)    %</w:t>
            </w:r>
          </w:p>
        </w:tc>
      </w:tr>
      <w:tr>
        <w:trPr/>
        <w:tc>
          <w:tcPr>
            <w:tcW w:w="256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 EBITDA Margin</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15" w:after="30"/>
              <w:jc w:val="right"/>
              <w:rPr>
                <w:color w:val="000000"/>
              </w:rPr>
            </w:pPr>
            <w:r>
              <w:rPr>
                <w:color w:val="000000"/>
              </w:rPr>
              <w:t>    </w:t>
            </w:r>
            <w:r>
              <w:rPr>
                <w:rFonts w:ascii="Times New Roman;serif" w:hAnsi="Times New Roman;serif"/>
                <w:b w:val="false"/>
                <w:color w:val="000000"/>
                <w:sz w:val="20"/>
              </w:rPr>
              <w:t>19.2    %</w:t>
            </w:r>
          </w:p>
        </w:tc>
        <w:tc>
          <w:tcPr>
            <w:tcW w:w="6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15" w:after="30"/>
              <w:jc w:val="right"/>
              <w:rPr>
                <w:color w:val="000000"/>
              </w:rPr>
            </w:pPr>
            <w:r>
              <w:rPr>
                <w:color w:val="000000"/>
              </w:rPr>
              <w:t>    </w:t>
            </w:r>
            <w:r>
              <w:rPr>
                <w:rFonts w:ascii="Times New Roman;serif" w:hAnsi="Times New Roman;serif"/>
                <w:b w:val="false"/>
                <w:color w:val="000000"/>
                <w:sz w:val="20"/>
              </w:rPr>
              <w:t>22.0    %</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15" w:after="30"/>
              <w:jc w:val="right"/>
              <w:rPr>
                <w:color w:val="000000"/>
              </w:rPr>
            </w:pPr>
            <w:r>
              <w:rPr>
                <w:color w:val="000000"/>
              </w:rPr>
              <w:t>    </w:t>
            </w:r>
            <w:r>
              <w:rPr>
                <w:rFonts w:ascii="Times New Roman;serif" w:hAnsi="Times New Roman;serif"/>
                <w:b w:val="false"/>
                <w:color w:val="000000"/>
                <w:sz w:val="20"/>
              </w:rPr>
              <w:t>(279)     bps</w:t>
            </w:r>
          </w:p>
        </w:tc>
      </w:tr>
    </w:tbl>
    <w:p>
      <w:pPr>
        <w:pStyle w:val="TextBody"/>
        <w:bidi w:val="0"/>
        <w:spacing w:before="0" w:after="0"/>
        <w:ind w:left="0" w:right="0" w:firstLine="360"/>
        <w:jc w:val="both"/>
        <w:rPr/>
      </w:pPr>
      <w:r>
        <w:rPr/>
      </w:r>
    </w:p>
    <w:p>
      <w:pPr>
        <w:pStyle w:val="TextBody"/>
        <w:bidi w:val="0"/>
        <w:spacing w:lineRule="auto" w:line="297"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PRI revenues of $1.3 billion in 2025 decreased by $112 million or 8% compared to 2024 with approximately 65% of the decrease from lower activity in intervention services and drilling tools and approximately 45% of the decrease attributable to a decline in activity for pressure pumping. The sale of our pressure pumping business in Argentina in the second quarter was the primary contributor to the decline in pressure pumping activity. The decrease in revenue was partly offset by a revenue increase of $15 million from sub-sea intervention activity. Geographically, approximately 80% of the revenue decrease was from the Latin America region.</w:t>
      </w:r>
    </w:p>
    <w:p>
      <w:pPr>
        <w:pStyle w:val="TextBody"/>
        <w:bidi w:val="0"/>
        <w:spacing w:before="0" w:after="0"/>
        <w:ind w:left="0" w:right="0" w:firstLine="360"/>
        <w:jc w:val="both"/>
        <w:rPr/>
      </w:pPr>
      <w:r>
        <w:rPr/>
      </w:r>
    </w:p>
    <w:p>
      <w:pPr>
        <w:pStyle w:val="TextBody"/>
        <w:bidi w:val="0"/>
        <w:spacing w:lineRule="auto" w:line="297"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PRI segment adjusted EBITDA of $257 million in 2025 decreased by $62 million or 19% compared to 2024. PRI segment adjusted EBITDA margin was 19.2% in 2025 compared to 22.0% in 2024. The year-over-year decrease in segment adjusted EBITDA was primarily due to a decline in activity in intervention services and drilling tools across all geographies and a decline in pressure pumping, primarily in the Latin America region. Both direct costs and other expense generally decreased in line with the decrease in activity. However, the rate of decrease in direct costs and other expense was lower than the rate of decrease in revenue, contributing to the decrease in margin.</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0" w:after="0"/>
        <w:jc w:val="both"/>
        <w:rPr>
          <w:rFonts w:ascii="Times New Roman;serif" w:hAnsi="Times New Roman;serif"/>
          <w:b w:val="false"/>
          <w:i/>
          <w:color w:val="000000"/>
          <w:sz w:val="20"/>
        </w:rPr>
      </w:pPr>
      <w:r>
        <w:rPr>
          <w:rFonts w:ascii="Times New Roman;serif" w:hAnsi="Times New Roman;serif"/>
          <w:b w:val="false"/>
          <w:i/>
          <w:color w:val="000000"/>
          <w:sz w:val="20"/>
        </w:rPr>
        <w:t>All Other Results</w:t>
      </w:r>
    </w:p>
    <w:p>
      <w:pPr>
        <w:pStyle w:val="TextBody"/>
        <w:bidi w:val="0"/>
        <w:spacing w:before="0" w:after="0"/>
        <w:jc w:val="left"/>
        <w:rPr/>
      </w:pPr>
      <w:r>
        <w:rPr/>
      </w:r>
    </w:p>
    <w:p>
      <w:pPr>
        <w:pStyle w:val="TextBody"/>
        <w:bidi w:val="0"/>
        <w:spacing w:lineRule="auto" w:line="319"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other includes results from non-core business activities that do not individually meet the criteria for segment reporting, including integrated services and projects, which includes pass through services and project management services. All other revenues of $332 million, decreased $71 million or 18%, in 2025 compared to 2024 due to a decline in international activity for integrated services and projects.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0" w:after="0"/>
        <w:jc w:val="both"/>
        <w:rPr>
          <w:rFonts w:ascii="Times New Roman;serif" w:hAnsi="Times New Roman;serif"/>
          <w:b w:val="false"/>
          <w:i/>
          <w:color w:val="000000"/>
          <w:sz w:val="20"/>
        </w:rPr>
      </w:pPr>
      <w:r>
        <w:rPr>
          <w:rFonts w:ascii="Times New Roman;serif" w:hAnsi="Times New Roman;serif"/>
          <w:b w:val="false"/>
          <w:i/>
          <w:color w:val="000000"/>
          <w:sz w:val="20"/>
        </w:rPr>
        <w:t>Corporate</w:t>
      </w:r>
    </w:p>
    <w:p>
      <w:pPr>
        <w:pStyle w:val="TextBody"/>
        <w:bidi w:val="0"/>
        <w:spacing w:before="0" w:after="0"/>
        <w:ind w:left="0" w:right="0" w:firstLine="360"/>
        <w:jc w:val="both"/>
        <w:rPr/>
      </w:pPr>
      <w:r>
        <w:rPr/>
      </w:r>
    </w:p>
    <w:p>
      <w:pPr>
        <w:pStyle w:val="TextBody"/>
        <w:bidi w:val="0"/>
        <w:spacing w:lineRule="auto" w:line="319"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Corporate was a net expense of $56 million in 2025, which was slightly up compared to the net expense of $52 million in 2024.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0" w:after="0"/>
        <w:jc w:val="both"/>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p>
      <w:pPr>
        <w:pStyle w:val="TextBody"/>
        <w:bidi w:val="0"/>
        <w:spacing w:before="0" w:after="0"/>
        <w:ind w:left="0" w:right="0" w:firstLine="360"/>
        <w:jc w:val="both"/>
        <w:rPr/>
      </w:pPr>
      <w:r>
        <w:rPr/>
      </w:r>
    </w:p>
    <w:p>
      <w:pPr>
        <w:pStyle w:val="TextBody"/>
        <w:bidi w:val="0"/>
        <w:spacing w:lineRule="auto" w:line="319"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in 2025 was $267 million, a decrease of $76 million compared to 2024 primarily due to certain intangible assets reaching full amortization in the fourth quarter of 2024. See “Note 2 – Segment Information”, “Note 6 – Property, Plant and Equipment, Net” and “Note 7 – Intangible Assets, Net” for additional information.</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35</w:t>
                      </w:r>
                    </w:p>
                  </w:txbxContent>
                </v:textbox>
                <w10:wrap type="none"/>
              </v:rect>
            </w:pict>
          </mc:Fallback>
        </mc:AlternateContent>
      </w:r>
    </w:p>
    <w:p>
      <w:pPr>
        <w:pStyle w:val="TextBody"/>
        <w:bidi w:val="0"/>
        <w:spacing w:lineRule="auto" w:line="333" w:before="0" w:after="0"/>
        <w:jc w:val="left"/>
        <w:rPr>
          <w:color w:val="000000"/>
        </w:rPr>
      </w:pPr>
      <w:r>
        <w:rPr>
          <w:color w:val="000000"/>
        </w:rPr>
        <w:t>    </w:t>
      </w:r>
      <w:r>
        <w:rPr>
          <w:rFonts w:ascii="Times New Roman;serif" w:hAnsi="Times New Roman;serif"/>
          <w:b w:val="false"/>
          <w:color w:val="000000"/>
          <w:sz w:val="20"/>
        </w:rPr>
        <w:t>Item 7 | MD&amp;A    </w:t>
      </w:r>
    </w:p>
    <w:p>
      <w:pPr>
        <w:pStyle w:val="TextBody"/>
        <w:bidi w:val="0"/>
        <w:spacing w:lineRule="auto" w:line="319" w:before="0" w:after="0"/>
        <w:jc w:val="both"/>
        <w:rPr>
          <w:rFonts w:ascii="Times New Roman;serif" w:hAnsi="Times New Roman;serif"/>
          <w:b w:val="false"/>
          <w:i/>
          <w:color w:val="000000"/>
          <w:sz w:val="20"/>
        </w:rPr>
      </w:pPr>
      <w:r>
        <w:rPr>
          <w:rFonts w:ascii="Times New Roman;serif" w:hAnsi="Times New Roman;serif"/>
          <w:b w:val="false"/>
          <w:i/>
          <w:color w:val="000000"/>
          <w:sz w:val="20"/>
        </w:rPr>
        <w:t>Share-based Compensation</w:t>
      </w:r>
    </w:p>
    <w:p>
      <w:pPr>
        <w:pStyle w:val="TextBody"/>
        <w:bidi w:val="0"/>
        <w:spacing w:before="0" w:after="0"/>
        <w:ind w:left="0" w:right="0" w:firstLine="360"/>
        <w:jc w:val="both"/>
        <w:rPr/>
      </w:pPr>
      <w:r>
        <w:rPr/>
      </w:r>
    </w:p>
    <w:p>
      <w:pPr>
        <w:pStyle w:val="TextBody"/>
        <w:bidi w:val="0"/>
        <w:spacing w:lineRule="auto" w:line="319"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record share-based compensation expense in “Selling, General and Administrative” on the accompanying Consolidated Statements of Operations. We recognized $38 million in 2025 and $45 million in 2024. The year-over-year decrease was primarily due to the vesting of previously granted equity awards, resulting in a lower number of unvested awards subject to expense recognition. See “Note 14 – Share-Based Compensation” for additional information.</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Outlook</w:t>
      </w:r>
    </w:p>
    <w:p>
      <w:pPr>
        <w:pStyle w:val="TextBody"/>
        <w:bidi w:val="0"/>
        <w:spacing w:before="0" w:after="0"/>
        <w:ind w:left="0" w:right="0" w:firstLine="360"/>
        <w:jc w:val="both"/>
        <w:rPr/>
      </w:pPr>
      <w:r>
        <w:rPr/>
      </w:r>
    </w:p>
    <w:p>
      <w:pPr>
        <w:pStyle w:val="TextBody"/>
        <w:bidi w:val="0"/>
        <w:spacing w:lineRule="auto" w:line="297"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Growth and spending in the energy services industry is highly dependent on many external factors. These include but are not limited to; the impact from geopolitical conflicts; our customers’ capital expenditures; environmental, social and governance and other sustainability policies and initiatives; world economic, political, trade, and weather conditions; the price of oil, natural gas, and alternatives; member-country quota compliance within the Organization of Petroleum Exporting Countries and the expanded alliance (OPEC+); non-OPEC+ investments and project timing. Imbalance across geographies driven by geopolitical conflicts, investment variances and demand growth alignment with supply stability are driving a greater focus on energy markets balance. In the short term, we see continued focus on capital discipline and efficiencies across all geographies, which we expect to result in muted activity for our services and products, particularly in the first half of 2026, as our customers regulate activity timing and services spending, relative to macro-driven factors listed above. We expect activity to improve in the second half of 2026, resulting in a full year that is slightly lower to in line with 2025. </w:t>
      </w:r>
    </w:p>
    <w:p>
      <w:pPr>
        <w:pStyle w:val="TextBody"/>
        <w:bidi w:val="0"/>
        <w:spacing w:before="0" w:after="0"/>
        <w:ind w:left="0" w:right="0" w:firstLine="360"/>
        <w:jc w:val="both"/>
        <w:rPr/>
      </w:pPr>
      <w:r>
        <w:rPr/>
      </w:r>
    </w:p>
    <w:p>
      <w:pPr>
        <w:pStyle w:val="TextBody"/>
        <w:bidi w:val="0"/>
        <w:spacing w:lineRule="auto" w:line="297"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remain constructive on our activity profile over the next several years, as we expect positive macroeconomic conditions coupled with our focus on technology adoption and market penetration, to provide a pathway to multi-year energy demand expansion. The mix of customer spending related to regional and operating environment factors (short-cycle vs. long-cycle projects, offshore vs onshore, reservoir and well development cycles) may also influence the timing, type, and intensity of demand for products and services within our portfolio. We continue to closely monitor macroeconomic conditions, potential supply chain disruptions, inflationary factors, and other labor and logistical constraints that could impact our operations and results. Unpredictable developments—such as the potential opening of Venezuela to foreign oil companies—may increase activity levels in the mid to long term. </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customers continue to face challenges in balancing the cost of extraction activities with securing desired rates of production while achieving acceptable rates of return on investment. These challenges increase our customers’ requirements for technologies that improve productivity and efficiency and pressure us to deliver our products and services at competitive rates. Over the long-term, we expect demand for oil and natural gas exploration and production as well as new energy platforms to continue to require more advanced technology from the energy service industry. Weatherford delivers innovative energy services that integrate proven technologies with advanced digitization to create sustainable offerings for maximized value and return on investment. We continue to expand our product and services offerings across the well cycle, including well construction and completions remote monitoring, and predictive analytics. We believe we are well positioned to satisfy our customers’ needs, but the level of improvement in our businesses in the future will continue to depend heavily on pricing, volume of work, our ability to offer cost efficient, innovative and effective technology solutions, and our success in gaining market share in new and existing markets. </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continue to follow our long-term strategy, aimed at achieving sustainable profitability and cash flow generation in our businesses, servicing our customers and creating value for our shareholders. Our long-term success will be determined by our ability to effectively manage the cyclicality of our industry, including growth during up-cycles and potential prolonged industry downturns, our ability to respond to industry changes and demands, while managing through risks we may be exposed to, and ultimately our ability to generate consistent positive cash flow and positive returns on invested capital.</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w:t>
                      </w:r>
                    </w:p>
                  </w:txbxContent>
                </v:textbox>
                <w10:wrap type="none"/>
              </v:rect>
            </w:pict>
          </mc:Fallback>
        </mc:AlternateContent>
      </w:r>
    </w:p>
    <w:p>
      <w:pPr>
        <w:pStyle w:val="TextBody"/>
        <w:bidi w:val="0"/>
        <w:spacing w:lineRule="auto" w:line="333" w:before="0" w:after="0"/>
        <w:jc w:val="left"/>
        <w:rPr>
          <w:color w:val="000000"/>
        </w:rPr>
      </w:pPr>
      <w:r>
        <w:rPr>
          <w:color w:val="000000"/>
        </w:rPr>
        <w:t>    </w:t>
      </w:r>
      <w:r>
        <w:rPr>
          <w:rFonts w:ascii="Times New Roman;serif" w:hAnsi="Times New Roman;serif"/>
          <w:b w:val="false"/>
          <w:color w:val="000000"/>
          <w:sz w:val="20"/>
        </w:rPr>
        <w:t>Item 7 | MD&amp;A    </w: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before="0" w:after="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December 31, 2025, we had cash and cash equivalents of $987 million and $55 million in restricted cash, compared to $916 million of cash and cash equivalents and $59 million of restricted cash at December 31, 2024. The following table summarizes cash provided by (used in) each type of business activity in the periods presented:</w:t>
      </w:r>
    </w:p>
    <w:tbl>
      <w:tblPr>
        <w:tblW w:w="5939" w:type="dxa"/>
        <w:jc w:val="left"/>
        <w:tblInd w:w="0" w:type="dxa"/>
        <w:tblLayout w:type="fixed"/>
        <w:tblCellMar>
          <w:top w:w="28" w:type="dxa"/>
          <w:left w:w="28" w:type="dxa"/>
          <w:bottom w:w="28" w:type="dxa"/>
          <w:right w:w="28" w:type="dxa"/>
        </w:tblCellMar>
      </w:tblPr>
      <w:tblGrid>
        <w:gridCol w:w="1297"/>
        <w:gridCol w:w="1139"/>
        <w:gridCol w:w="1149"/>
        <w:gridCol w:w="365"/>
        <w:gridCol w:w="365"/>
        <w:gridCol w:w="365"/>
        <w:gridCol w:w="365"/>
        <w:gridCol w:w="365"/>
        <w:gridCol w:w="529"/>
      </w:tblGrid>
      <w:tr>
        <w:trPr/>
        <w:tc>
          <w:tcPr>
            <w:tcW w:w="1297"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(Dollars in millions)</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676    </w:t>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792    </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(145)</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(293)</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(474)</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(511)</w:t>
            </w:r>
          </w:p>
        </w:tc>
      </w:tr>
    </w:tbl>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Operating Activities </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provided by operating activities was $676 million in 2025 and $792 million in 2024. The primary operating source of cash in each year was collections related to our sales of products and services, partly offset by operating spend. The year-over-year decrease was primarily due to a decrease in collections as a result of decreased revenue, partially offset by lower employee costs and an increase in cash proceeds from factoring arrangements (see “Liquidity and Capital Resources - Accounts Receivable Factoring” below).</w:t>
      </w:r>
    </w:p>
    <w:p>
      <w:pPr>
        <w:pStyle w:val="TextBody"/>
        <w:bidi w:val="0"/>
        <w:spacing w:before="0" w:after="0"/>
        <w:jc w:val="both"/>
        <w:rPr/>
      </w:pPr>
      <w:r>
        <w:rPr/>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before="0" w:after="0"/>
        <w:ind w:left="0" w:right="0" w:firstLine="360"/>
        <w:jc w:val="left"/>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used in investing activities in 2025 was $145 million. The primary uses of cash in investing activities were for capital expenditures of $226 million and the purchase of Blue Chip Swap securities in Argentina for $117 million (see “Note 18 – Blue Chip Swap Securities - Argentina”). The uses of cash were partially offset by Blue Chip Swap proceeds of $115 million and $97 million of proceeds received from the sale of our pressure pumping business in Argentina (see “Note 2 – Segment Information”).</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used in investing activities in 2024 was $293 million. The uses of cash in investing activities were for capital expenditures of $299 million, business acquisitions net of cash acquired of $51 million and the purchase of Blue Chip Swap securities in Argentina for $50 million (see “Note 18 – Blue Chip Swap Securities - Argentina”). The uses of cash were offset by proceeds from sale of investments of $41 million from our marketable securities in Argentina, Blue Chip Swap proceeds of $40 million and $31 million in proceeds from the disposition of assets.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Financing Activities </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pPr>
      <w:r>
        <w:rPr>
          <w:rFonts w:ascii="Times New Roman;serif" w:hAnsi="Times New Roman;serif"/>
          <w:b w:val="false"/>
          <w:color w:val="000000"/>
          <w:sz w:val="20"/>
        </w:rPr>
        <w:t>Cash used in financing activities in 2025 was $474 million. The primary uses of cash in financing activities were for repayments and repurchases of long-term debt of $1.4 billion (see “Note 9 – Borrowings and Other Debt Obligations”), $101 million</w:t>
      </w:r>
      <w:r>
        <w:rPr>
          <w:color w:val="000000"/>
          <w:shd w:fill="FFFFFF" w:val="clear"/>
        </w:rPr>
        <w:t xml:space="preserve"> </w:t>
      </w:r>
      <w:r>
        <w:rPr>
          <w:rFonts w:ascii="Times New Roman;serif" w:hAnsi="Times New Roman;serif"/>
          <w:b w:val="false"/>
          <w:color w:val="000000"/>
          <w:sz w:val="20"/>
          <w:shd w:fill="FFFFFF" w:val="clear"/>
        </w:rPr>
        <w:t>for share repurchases</w:t>
      </w:r>
      <w:r>
        <w:rPr>
          <w:color w:val="000000"/>
        </w:rPr>
        <w:t xml:space="preserve"> </w:t>
      </w:r>
      <w:r>
        <w:rPr>
          <w:rFonts w:ascii="Times New Roman;serif" w:hAnsi="Times New Roman;serif"/>
          <w:b w:val="false"/>
          <w:color w:val="000000"/>
          <w:sz w:val="20"/>
        </w:rPr>
        <w:t>(see “Note 15 – Shareholders’ Equity”), $72 million for dividend payments (see “Note 15 – Shareholders’ Equity”), bond redemption premium of $31 million resulting from early redemptions, distributions to noncontrolling interests of $29 million, $21 million in tax remittances on equity awards and $18 million in debt issuance costs. The uses of cash were offset by $1.2 billion in proceeds from the issuance of our 2033 Senior Notes.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Cash used in financing activities in 2024 was $511 million. The primary uses of cash in financing activities were for repayments and repurchases of long-term debt of $287 million (see “Note 9 – Borrowings and Other Debt Obligations”), $99 million for share repurchases (see “Note 15 – Shareholders’ Equity”), $36 million for dividend payments (see “Note 15 – Shareholders’ Equity”) and distributions to noncontrolling interests of $39 million. In addition, we paid $31 million in tax remittances on equity awards. The remaining financing cash uses were primarily for bond redemption premiums and contingent considerations.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37</w:t>
                      </w:r>
                    </w:p>
                  </w:txbxContent>
                </v:textbox>
                <w10:wrap type="none"/>
              </v:rect>
            </w:pict>
          </mc:Fallback>
        </mc:AlternateContent>
      </w:r>
    </w:p>
    <w:p>
      <w:pPr>
        <w:pStyle w:val="TextBody"/>
        <w:bidi w:val="0"/>
        <w:spacing w:lineRule="auto" w:line="333" w:before="0" w:after="0"/>
        <w:jc w:val="left"/>
        <w:rPr>
          <w:color w:val="000000"/>
        </w:rPr>
      </w:pPr>
      <w:r>
        <w:rPr>
          <w:color w:val="000000"/>
        </w:rPr>
        <w:t>    </w:t>
      </w:r>
      <w:r>
        <w:rPr>
          <w:rFonts w:ascii="Times New Roman;serif" w:hAnsi="Times New Roman;serif"/>
          <w:b w:val="false"/>
          <w:color w:val="000000"/>
          <w:sz w:val="20"/>
        </w:rPr>
        <w:t>Item 7 | MD&amp;A    </w:t>
      </w:r>
    </w:p>
    <w:p>
      <w:pPr>
        <w:pStyle w:val="TextBody"/>
        <w:bidi w:val="0"/>
        <w:spacing w:lineRule="auto" w:line="319"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sources of available liquidity include cash generated by our operations, cash and cash equivalent balances, and periodic accounts receivable factoring. From time to time, we may enter into transactions to dispose of businesses or capital assets that no longer fit our long-term strategy. We historically have accessed banks for short-term loans and the capital markets for debt and equity offerings. Based upon current and anticipated levels of operations and collections, we expect to have sufficient cash from operations and cash on hand to fund our cash requirements (discussed below) and financial obligations, both in the short-term and long-term.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both"/>
        <w:rPr/>
      </w:pPr>
      <w:r>
        <w:rPr/>
      </w:r>
    </w:p>
    <w:p>
      <w:pPr>
        <w:pStyle w:val="TextBody"/>
        <w:bidi w:val="0"/>
        <w:spacing w:lineRule="auto" w:line="333"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Cash Requirements</w:t>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cash requirements will continue to include payments for principal and interest on our long-term debt, capital expenditures, payments on our finance and operating leases, payments for short-term working capital needs, operating costs, shareholder returns and restructuring payments. We expect to utilize cash in our capital allocation framework, which includes investments in technology and infrastructure upgrades, and in strategic mergers and acquisitions. Our cash requirements also include personnel costs including awards under our employee incentive programs and other amounts to settle litigation related matters. In addition, we have derivative financial instruments where we have notional amounts that do not generally represent cash amounts exchanged by the parties and are calculated based on the terms of the derivative instrument, however, in the event of a related default, we could potentially be required to pay. See further discussion below under “Derivative Financial Instruments” and in “Note 11 – Derivative Financial Instruments.”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outstanding debt of $236 million in aggregate principal amount for our 2030 Senior Notes and $1.2 billion in aggregate principal amount for our 2033 Senior Notes. We expect $103 million in interest payments annually in 2026 and $101 million each year thereafter until the maturity of our 2030 and 2033 Senior Notes. See “Note 9 – Borrowings and Other Debt Obligations” for additional information.</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capital spend is expected to be 3-5% of revenue over a 12 to 18 months rolling period and our 2026 capital spend is projected to fall within the same framework. Our payments on our operating and finance leases in 2026 are expected to be approximately $91 million, and $232 million in the years thereafter. See “Note 8 – Leases” for additional information.</w:t>
      </w:r>
    </w:p>
    <w:p>
      <w:pPr>
        <w:pStyle w:val="TextBody"/>
        <w:bidi w:val="0"/>
        <w:spacing w:before="0" w:after="0"/>
        <w:jc w:val="left"/>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and restricted cash are held by subsidiaries outside of Ireland. At December 31, 2025 we had approximately $31 million of our cash and cash equivalents that cannot be immediately repatriated from various countries due to country central bank controls or other regulations. Repatriation of those cash balances might result in incremental taxes or losses similar to the Argentine Blue Chip Swap “BCS” transactions executed (see “Note 18 – Blue Chip Swap Securities - Argentina”), which may contribute to a decrease in cash and cash equivalents. As we continue to conduct business in countries with cash that cannot be immediately repatriated, we may consider infrequent transactions like the BCS transaction in the future to safeguard our cash from exposure to the effects of inflation and currency devaluation.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both"/>
        <w:rPr/>
      </w:pPr>
      <w:r>
        <w:rPr/>
      </w:r>
    </w:p>
    <w:p>
      <w:pPr>
        <w:pStyle w:val="TextBody"/>
        <w:bidi w:val="0"/>
        <w:spacing w:lineRule="auto" w:line="319"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Ratings Services’ Credit Ratings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credit ratings at December 31, 2025 were upgraded since December 31, 2024 as follows: </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0"/>
        </w:rPr>
        <w:t>Moody's Investors Service upgraded our Corporate Family Rating from ‘Ba3’ to ‘Ba2;’ with a positive outlook</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 xml:space="preserve">Standard and Poor upgraded our issuer credit ratings from ‘BB-’ to ‘BB;’ with a stable outlook </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Fitch Ratings upgraded our issuer credit ratings from ‘BB-’ to ‘BB;’ with a stable outlook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w:t>
                      </w:r>
                    </w:p>
                  </w:txbxContent>
                </v:textbox>
                <w10:wrap type="none"/>
              </v:rect>
            </w:pict>
          </mc:Fallback>
        </mc:AlternateContent>
      </w:r>
    </w:p>
    <w:p>
      <w:pPr>
        <w:pStyle w:val="TextBody"/>
        <w:bidi w:val="0"/>
        <w:spacing w:lineRule="auto" w:line="333" w:before="0" w:after="0"/>
        <w:jc w:val="left"/>
        <w:rPr>
          <w:color w:val="000000"/>
        </w:rPr>
      </w:pPr>
      <w:r>
        <w:rPr>
          <w:color w:val="000000"/>
        </w:rPr>
        <w:t>    </w:t>
      </w:r>
      <w:r>
        <w:rPr>
          <w:rFonts w:ascii="Times New Roman;serif" w:hAnsi="Times New Roman;serif"/>
          <w:b w:val="false"/>
          <w:color w:val="000000"/>
          <w:sz w:val="20"/>
        </w:rPr>
        <w:t>Item 7 | MD&amp;A    </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Customer Receivables</w:t>
      </w:r>
    </w:p>
    <w:p>
      <w:pPr>
        <w:pStyle w:val="TextBody"/>
        <w:bidi w:val="0"/>
        <w:spacing w:before="0" w:after="0"/>
        <w:ind w:left="0" w:right="0" w:firstLine="360"/>
        <w:jc w:val="both"/>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experience delays or defaults in customer payments due to, among other reasons, a weaker economic environment, reductions in our customers’ cash flow from operations, our customers’ inability to access credit markets or reach acceptable financing terms, as well as unsettled political and/or social conditions. Allowances have been recorded for receivables believed to be uncollectible, including amounts for the resolution of potential credit and other collection issues such as disputed invoices. Adjustments to the allowance are made depending on how potential issues are resolved and the financial condition of our customers. In addition, our customers are primarily in fossil fuel-related industries and broad declines in demand for or pricing of oil or natural gas might impact the collections of our customer receivables.</w:t>
      </w:r>
    </w:p>
    <w:p>
      <w:pPr>
        <w:pStyle w:val="TextBody"/>
        <w:bidi w:val="0"/>
        <w:spacing w:before="0" w:after="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December 31, 2024, Mexico accounted for 27% and 31% of our total net accounts receivables, respectively, of which our largest customer in the country accounted for 24% and 26% of our total net outstanding accounts receivables, respectively. Our largest customer in Mexico has a history of making late payments and, in more recent periods, has utilized third-party financial institutions to pay certain of our receivables. The balances due are not in dispute, however, additional or continued delays in customer payments in the future could differ from historical practice and management’s current expectations; and delays or failures to pay or defaults, if any, could negatively impact the future results of the Company. </w:t>
      </w:r>
    </w:p>
    <w:p>
      <w:pPr>
        <w:pStyle w:val="TextBody"/>
        <w:bidi w:val="0"/>
        <w:spacing w:before="0" w:after="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twelve months ended December 31, 2025 and December 31, 2024 we paid an immaterial amount of fees to third-party financial institutions related to collections of certain receivables from our largest customer in Mexico. Pursuant to such arrangements, we received $93 million during the twelve months ended December 31, 2025 and $484 million during the twelve months ended December 31, 2024.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Accounts Receivable Factoring </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participate in factoring arrangements to sell accounts receivable to third-party financial institutions for cash proceeds net of discounts and hold-back. During 2025 and 2024, we sold accounts receivable balances of $250 million and $111 million, respectively, and received cash proceeds of $247 million and $110 million, respectively, at the time of factoring. These proceeds are included as operating cash flows in our Consolidated Statements of Cash Flows.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Derivative Financial Instruments </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enter into foreign currency forward contracts to mitigate the risk of fluctuating exchange rates on future cash flows denominated in a foreign currency. The amounts will fluctuate, depending on exchange rate volatility, the volume of our foreign currency transactions, and our decisions to hedge. During the fourth quarters of 2024 and 2023, we entered into credit default swaps (“CDS”), further described below. The notional amounts of our foreign currency forward contracts and the CDS do not generally represent cash amounts exchanged by the parties and are calculated based on the terms of the derivative instrument. See also “Note 11 – Derivative Financial Instruments” for additional information.</w:t>
      </w:r>
    </w:p>
    <w:p>
      <w:pPr>
        <w:pStyle w:val="TextBody"/>
        <w:bidi w:val="0"/>
        <w:ind w:left="0" w:right="0" w:firstLine="3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w:t>
                      </w:r>
                    </w:p>
                  </w:txbxContent>
                </v:textbox>
                <w10:wrap type="none"/>
              </v:rect>
            </w:pict>
          </mc:Fallback>
        </mc:AlternateContent>
      </w:r>
    </w:p>
    <w:p>
      <w:pPr>
        <w:pStyle w:val="TextBody"/>
        <w:bidi w:val="0"/>
        <w:spacing w:lineRule="auto" w:line="333" w:before="0" w:after="0"/>
        <w:jc w:val="left"/>
        <w:rPr>
          <w:color w:val="000000"/>
        </w:rPr>
      </w:pPr>
      <w:r>
        <w:rPr>
          <w:color w:val="000000"/>
        </w:rPr>
        <w:t>    </w:t>
      </w:r>
      <w:r>
        <w:rPr>
          <w:rFonts w:ascii="Times New Roman;serif" w:hAnsi="Times New Roman;serif"/>
          <w:b w:val="false"/>
          <w:color w:val="000000"/>
          <w:sz w:val="20"/>
        </w:rPr>
        <w:t>Item 7 | MD&amp;A    </w:t>
      </w:r>
    </w:p>
    <w:p>
      <w:pPr>
        <w:pStyle w:val="TextBody"/>
        <w:bidi w:val="0"/>
        <w:spacing w:lineRule="auto" w:line="333"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Credit Default Swap</w:t>
      </w:r>
    </w:p>
    <w:p>
      <w:pPr>
        <w:pStyle w:val="TextBody"/>
        <w:bidi w:val="0"/>
        <w:spacing w:before="0" w:after="0"/>
        <w:ind w:left="0" w:right="0" w:firstLine="360"/>
        <w:jc w:val="both"/>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fourth quarter of 2024, we entered into a CDS with a third-party financial institution terminating in September of 2026 related to a secured loan between that third-party financial institution and our largest customer in Mexico. The secured loan was utilized by this customer to pay certain of our outstanding receivables and accordingly, in the fourth quarter of 2024, we received $25 million. The fair value of the derivative was not material as of December 31, 2025 and December 31, 2024. Under the CDS terms, within five business days upon notification of default, we could be required to pay the then outstanding notional balance net of recoveries. As of December 31, 2025, we had a notional balance of $14 million outstanding under the CDS and as of December 31, 2024 we had a notional balance of $25 million outstanding. Management expects the total notional balance under the CDS to be nil by December 31, 2026. </w:t>
      </w:r>
    </w:p>
    <w:p>
      <w:pPr>
        <w:pStyle w:val="TextBody"/>
        <w:bidi w:val="0"/>
        <w:spacing w:before="0" w:after="0"/>
        <w:ind w:left="0" w:right="0" w:firstLine="360"/>
        <w:jc w:val="both"/>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CDS was entered into during the fourth quarter of 2023 with the same parties for similar reasons as in the fourth quarter of 2024, and accordingly, in the first quarter of 2024, we received $142 million. The agreement was terminated in the third quarter of 2024, extinguishing the remaining notional balance.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333"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Guarantees</w:t>
      </w:r>
    </w:p>
    <w:p>
      <w:pPr>
        <w:pStyle w:val="TextBody"/>
        <w:bidi w:val="0"/>
        <w:spacing w:before="0" w:after="0"/>
        <w:ind w:left="0" w:right="0" w:firstLine="360"/>
        <w:jc w:val="both"/>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2030 Senior Notes were issued by Weatherford International Ltd., a Bermuda exempted company (“Weatherford Bermuda”), and guaranteed by the Company and other subsidiary guarantors party thereto. On December 1, 2022, the indenture related to our 2030 Senior Notes was amended and supplemented to add Weatherford International, LLC, a Delaware limited liability company (“Weatherford Delaware”) as co-issuer and co-obligor, and concurrently released the guarantee of Weatherford Delaware.</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2033 Senior Notes were issued by Weatherford Bermuda and guaranteed by the Company and other subsidiary guarantors party thereto. On October 24, 2025, the indenture related to our 2033 Senior Notes was amended and supplemented to add Weatherford Delaware as co-issuer and co-obligor, and concurrently released the guarantee of Weatherford Delaware. See “Note 9 – Borrowings and Other Debt Obligations”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Credit Agreement, Letters of Credit and Surety Bonds</w:t>
      </w:r>
    </w:p>
    <w:p>
      <w:pPr>
        <w:pStyle w:val="TextBody"/>
        <w:bidi w:val="0"/>
        <w:spacing w:before="0" w:after="0"/>
        <w:ind w:left="0" w:right="0" w:firstLine="360"/>
        <w:jc w:val="both"/>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Weatherford Bermuda, Weatherford Delaware, Weatherford Canada Ltd. (“Weatherford Canada”) and WOFS International Finance GmbH (“Weatherford Switzerland”), together as borrowers, and the Company as parent, have an amended and restated credit agreement (the “Credit Agreement”). The Credit Agreement is guaranteed by the Company and certain of our subsidiaries and secured by substantially all of the personal property of the Company and those subsidiaries. At December 31, 2025, the Credit Agreement allowed for a total commitment amount of $1 billion, maturing on the earlier of (a) September 18, 2030 and (b) to the extent that more than $200 million of 2030 Senior Notes or Permitted Refinancing Indebtedness in respect thereof is outstanding on such date, the date that is 91 days prior to the stated maturity date of the Senior Notes or any Permitted Refinancing Indebtedness in respect thereof. Financial covenants in the Credit Agreement include a $250 million minimum liquidity covenant (which may increase up to $400 million dependent on the nature of transactions we may decide to enter into), a minimum interest coverage ratio of 2.50 to 1.00, a maximum total net leverage ratio of 3.50 to 1.00, and a maximum secured net leverage ratio of 1.50 to 1.00. </w:t>
      </w:r>
    </w:p>
    <w:p>
      <w:pPr>
        <w:pStyle w:val="TextBody"/>
        <w:bidi w:val="0"/>
        <w:spacing w:before="0" w:after="0"/>
        <w:jc w:val="both"/>
        <w:rPr/>
      </w:pPr>
      <w:r>
        <w:rPr/>
      </w:r>
    </w:p>
    <w:p>
      <w:pPr>
        <w:pStyle w:val="TextBody"/>
        <w:bidi w:val="0"/>
        <w:spacing w:lineRule="auto" w:line="319"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18, 2025, we amended the Credit Agreement to (i) allow for an increase in total commitment amount from $720 million to $1 billion comprised of $600 million to be used either for revolving loans or financial letters of credit and $400 million to be used for performance letters of credit, (ii) extend the maturity date to the earlier of September 18, 2030 or January 29, 2030 if more than $200 million of 2030 Senior Notes or Permitted Refinancing Indebtedness are outstanding on that date and (iii) include an accordion feature that will allow for further increases of commitments up to $1.15 billion.</w:t>
      </w:r>
    </w:p>
    <w:p>
      <w:pPr>
        <w:pStyle w:val="TextBody"/>
        <w:bidi w:val="0"/>
        <w:ind w:left="0" w:right="0" w:firstLine="3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40</w:t>
                      </w:r>
                    </w:p>
                  </w:txbxContent>
                </v:textbox>
                <w10:wrap type="none"/>
              </v:rect>
            </w:pict>
          </mc:Fallback>
        </mc:AlternateContent>
      </w:r>
    </w:p>
    <w:p>
      <w:pPr>
        <w:pStyle w:val="TextBody"/>
        <w:bidi w:val="0"/>
        <w:spacing w:lineRule="auto" w:line="333" w:before="0" w:after="0"/>
        <w:jc w:val="left"/>
        <w:rPr>
          <w:color w:val="000000"/>
        </w:rPr>
      </w:pPr>
      <w:r>
        <w:rPr>
          <w:color w:val="000000"/>
        </w:rPr>
        <w:t>    </w:t>
      </w:r>
      <w:r>
        <w:rPr>
          <w:rFonts w:ascii="Times New Roman;serif" w:hAnsi="Times New Roman;serif"/>
          <w:b w:val="false"/>
          <w:color w:val="000000"/>
          <w:sz w:val="20"/>
        </w:rPr>
        <w:t>Item 7 | MD&amp;A    </w:t>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under the Credit Agreement we had zero borrowings, $7 million in financial letters of credit and $245 million in performance letters of credit outstanding. Additionally as of December 31, 2025, we had $207 million letters of credit under various uncommitted bi-lateral facilities ($47 million of which was cash collateral held and recorded in “Restricted Cash” on the Consolidated Balance Sheets).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2024, under the Credit Agreement we had zero borrowings, $12 million in financial letters of credit and $279 million in performance letters of credit outstanding. Additionally as of December 31, 2024, we had $91 million of letters of credit under various uncommitted bi-lateral facilities ($49 million of which was cash collateral held and recorded in “Restricted Cash” on the Consolidated Balance Sheets).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utilize surety bonds as part of our customary business practice in certain regions, primarily Latin America. As of December 31, 2025, we had $629 million of surety bonds outstanding. A breach of certain contractual or performance obligations under our outstanding letters of credit or surety bonds could result in beneficiaries calling such instruments, which could reduce our available liquidity if we are unable to mitigate the issue.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left"/>
        <w:rPr/>
      </w:pPr>
      <w:r>
        <w:rPr/>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 xml:space="preserve">Critical Accounting Estimates </w:t>
      </w:r>
    </w:p>
    <w:p>
      <w:pPr>
        <w:pStyle w:val="TextBody"/>
        <w:bidi w:val="0"/>
        <w:spacing w:before="0" w:after="0"/>
        <w:jc w:val="left"/>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discussion and analysis of our financial condition and results of operation is based upon our Consolidated Financial Statements. We prepare these consolidated financial statements in conformity with accounting principles generally accepted in the United States of America (“U.S. GAAP”). As such, we are required to make certain estimates, judgments and assumptions that affect the reported amounts of assets and liabilities at the date of the consolidated financial statements and the reported amounts of revenues and expenses during the periods presented. We base our estimates on historical experience and available information and various other assumptions we believe to be reasonable under the circumstances. On an on-going basis, we evaluate our estimates, however, actual results may differ from these estimates under different assumptions or conditions. The accounting policies we believe require management’s most difficult, subjective or complex judgments and are the most critical to our reporting of results of operations and financial position are as follows: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Long-Lived Assets</w:t>
      </w:r>
    </w:p>
    <w:p>
      <w:pPr>
        <w:pStyle w:val="TextBody"/>
        <w:bidi w:val="0"/>
        <w:spacing w:before="0" w:after="0"/>
        <w:ind w:left="0" w:right="0" w:firstLine="360"/>
        <w:jc w:val="both"/>
        <w:rPr/>
      </w:pPr>
      <w:r>
        <w:rPr/>
      </w:r>
    </w:p>
    <w:p>
      <w:pPr>
        <w:pStyle w:val="TextBody"/>
        <w:bidi w:val="0"/>
        <w:spacing w:lineRule="auto" w:line="333" w:before="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Long-lived assets, which include property, plant and equipment (“PP&amp;E”), definite-lived intangibles and operating lease assets, comprise a significant amount of our assets. The carrying value of our long-lived assets at December 31, 2025 and December 31, 2024 was approximately $1.5 billion. The cost of the long-lived assets is then amortized over their expected useful life or their respective lease terms, if applicable. A change in the estimated useful lives of our long-lived assets would have an impact on our results of operations. We estimate the useful lives of our long-lived assets over their respective lease terms, if applicable, or as follows:</w:t>
      </w:r>
    </w:p>
    <w:tbl>
      <w:tblPr>
        <w:tblW w:w="5444" w:type="dxa"/>
        <w:jc w:val="left"/>
        <w:tblInd w:w="0" w:type="dxa"/>
        <w:tblLayout w:type="fixed"/>
        <w:tblCellMar>
          <w:top w:w="28" w:type="dxa"/>
          <w:left w:w="28" w:type="dxa"/>
          <w:bottom w:w="28" w:type="dxa"/>
          <w:right w:w="28" w:type="dxa"/>
        </w:tblCellMar>
      </w:tblPr>
      <w:tblGrid>
        <w:gridCol w:w="1213"/>
        <w:gridCol w:w="1070"/>
        <w:gridCol w:w="1077"/>
        <w:gridCol w:w="609"/>
        <w:gridCol w:w="609"/>
        <w:gridCol w:w="866"/>
      </w:tblGrid>
      <w:tr>
        <w:trPr/>
        <w:tc>
          <w:tcPr>
            <w:tcW w:w="12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Assets </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Estimated Useful Lives</w:t>
            </w:r>
          </w:p>
        </w:tc>
      </w:tr>
      <w:tr>
        <w:trPr/>
        <w:tc>
          <w:tcPr>
            <w:tcW w:w="3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left"/>
              <w:rPr/>
            </w:pPr>
            <w:r>
              <w:rPr>
                <w:rFonts w:ascii="Times New Roman;serif" w:hAnsi="Times New Roman;serif"/>
                <w:b w:val="false"/>
                <w:color w:val="000000"/>
                <w:sz w:val="20"/>
              </w:rPr>
              <w:t>Buildings and Leasehold</w:t>
            </w:r>
            <w:r>
              <w:rPr>
                <w:color w:val="000000"/>
              </w:rPr>
              <w:t> </w:t>
            </w:r>
            <w:r>
              <w:rPr>
                <w:rFonts w:ascii="Times New Roman;serif" w:hAnsi="Times New Roman;serif"/>
                <w:b w:val="false"/>
                <w:color w:val="000000"/>
                <w:sz w:val="12"/>
              </w:rPr>
              <w:t>I</w:t>
            </w:r>
            <w:r>
              <w:rPr>
                <w:rFonts w:ascii="Times New Roman;serif" w:hAnsi="Times New Roman;serif"/>
                <w:b w:val="false"/>
                <w:color w:val="000000"/>
                <w:sz w:val="20"/>
              </w:rPr>
              <w:t>mprovements</w:t>
            </w:r>
          </w:p>
        </w:tc>
        <w:tc>
          <w:tcPr>
            <w:tcW w:w="2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 40 years</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Rental and Service Equipment</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 – 10 years</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Machinery and Other</w:t>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 – 12 years</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 – 10 years</w:t>
            </w:r>
          </w:p>
        </w:tc>
      </w:tr>
    </w:tbl>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estimating the useful lives of our PP&amp;E, we rely primarily on our actual experience with the same or similar assets. The useful lives of our intangible assets are determined by the years over which we expect the assets to generate a benefit based on legal, contractual or regulatory terms. </w:t>
      </w:r>
    </w:p>
    <w:p>
      <w:pPr>
        <w:pStyle w:val="TextBody"/>
        <w:bidi w:val="0"/>
        <w:spacing w:lineRule="auto" w:line="333" w:before="0" w:after="0"/>
        <w:ind w:left="0" w:right="0" w:firstLine="360"/>
        <w:jc w:val="both"/>
        <w:rPr>
          <w:color w:val="000000"/>
        </w:rPr>
      </w:pPr>
      <w:r>
        <w:rPr>
          <w:color w:val="000000"/>
        </w:rPr>
        <w:t> </w:t>
      </w:r>
    </w:p>
    <w:p>
      <w:pPr>
        <w:pStyle w:val="TextBody"/>
        <w:bidi w:val="0"/>
        <w:spacing w:lineRule="auto" w:line="33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Long-lived assets to be held and used by us are reviewed to determine whether any events or changes in circumstances, known as triggering events, indicate that we may not be able to recover the carrying amount of the asset group. Triggering events include, but are not limited to, reduced or expected sustained decreases in cash flows generated by an asset group, negative changes in industry conditions (such as global rig count, commodity prices, and the global economy), a significant change in the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41</w:t>
                      </w:r>
                    </w:p>
                  </w:txbxContent>
                </v:textbox>
                <w10:wrap type="none"/>
              </v:rect>
            </w:pict>
          </mc:Fallback>
        </mc:AlternateContent>
      </w:r>
    </w:p>
    <w:p>
      <w:pPr>
        <w:pStyle w:val="TextBody"/>
        <w:bidi w:val="0"/>
        <w:spacing w:lineRule="auto" w:line="333" w:before="0" w:after="0"/>
        <w:jc w:val="left"/>
        <w:rPr>
          <w:color w:val="000000"/>
        </w:rPr>
      </w:pPr>
      <w:r>
        <w:rPr>
          <w:color w:val="000000"/>
        </w:rPr>
        <w:t>    </w:t>
      </w:r>
      <w:r>
        <w:rPr>
          <w:rFonts w:ascii="Times New Roman;serif" w:hAnsi="Times New Roman;serif"/>
          <w:b w:val="false"/>
          <w:color w:val="000000"/>
          <w:sz w:val="20"/>
        </w:rPr>
        <w:t>Critical Accounting Policies and Estimates</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long-lived assets’ use or physical condition, the introduction of competing technologies, and legal and regulatory challenges. The Company groups individual assets at the lowest level of identifiable cash flows and, if impairment triggers are present, performs an undiscounted cash flow analysis to identify asset groups that may not be recoverable. If the undiscounted cash flows do not exceed the carrying value of the long-lived asset group, the asset group is not recoverable, and impairment is recognized to the extent the carrying amount exceeds the estimated fair value of the asset group. A fair value assessment is performed on asset groups identified as not being recoverable using a discounted cash flow analysis or Level 3 fair value analysis, to determine if an impairment has occurred. The discounted cash flow analysis consists of estimating the future cash flows that are directly associated with, and are expected to arise from, the use and eventual disposition of the asset group over its remaining useful life. These estimated discounted cash flows are inherently subjective and include significant assumptions, specifically the forecasted revenue, forecasted operating margins, and the discount rate assumptions and require estimates based upon historical experience and future expectations. The fair value of the asset group is measured using market prices, or in the absence of market prices, is based on an estimate of discounted cash flows. Cash flows are discounted at an interest rate commensurate with our weighted average cost of capital for a similar asset.</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an impairment has occurred, the Company recognizes a loss for the difference between the carrying amount and the fair value of the asset group. </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group long-lived assets by product line. We have long-lived assets, such as facilities, utilized by multiple operating divisions that do not have identifiable cash flows and impairment testing for these long-lived assets is based on the consolidated entity. We did not recognize long-lived assets impairments during 2025, 2024 and 2023.</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cannot predict the occurrence of future impairment-triggering events, so we continue to assess whether indicators of impairment to long-lived assets exist due to the current business conditions in the energy services industry.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Income Taxes </w:t>
      </w:r>
    </w:p>
    <w:p>
      <w:pPr>
        <w:pStyle w:val="TextBody"/>
        <w:bidi w:val="0"/>
        <w:spacing w:lineRule="auto" w:line="333" w:before="0" w:after="0"/>
        <w:ind w:left="0" w:right="0" w:firstLine="360"/>
        <w:jc w:val="both"/>
        <w:rPr>
          <w:color w:val="000000"/>
        </w:rPr>
      </w:pPr>
      <w:r>
        <w:rPr>
          <w:color w:val="000000"/>
        </w:rPr>
        <w:t> </w:t>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take into account the differences between the financial statement treatment and tax treatment of certain transactions.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of a change in tax rates is recognized as income or expense in the period that includes the enactment date. See “Note 17 – Income Taxes” for detailed discussion of results.</w:t>
      </w:r>
    </w:p>
    <w:p>
      <w:pPr>
        <w:pStyle w:val="TextBody"/>
        <w:bidi w:val="0"/>
        <w:spacing w:lineRule="auto" w:line="333" w:before="0" w:after="0"/>
        <w:ind w:left="0" w:right="0" w:firstLine="360"/>
        <w:jc w:val="both"/>
        <w:rPr>
          <w:color w:val="000000"/>
        </w:rPr>
      </w:pPr>
      <w:r>
        <w:rPr>
          <w:color w:val="000000"/>
        </w:rPr>
        <w:t> </w:t>
      </w:r>
    </w:p>
    <w:p>
      <w:pPr>
        <w:pStyle w:val="TextBody"/>
        <w:bidi w:val="0"/>
        <w:spacing w:lineRule="auto" w:line="333" w:before="0" w:after="0"/>
        <w:ind w:left="0" w:right="0" w:firstLine="360"/>
        <w:jc w:val="both"/>
        <w:rPr/>
      </w:pPr>
      <w:r>
        <w:rPr>
          <w:rFonts w:ascii="Times New Roman;serif" w:hAnsi="Times New Roman;serif"/>
          <w:b w:val="false"/>
          <w:color w:val="000000"/>
          <w:sz w:val="20"/>
        </w:rPr>
        <w:t>We recognize the impact of an uncertain tax position taken or expected to be taken on an income tax return in the financial statements at the largest</w:t>
      </w:r>
      <w:r>
        <w:rPr>
          <w:color w:val="000080"/>
        </w:rPr>
        <w:t> </w:t>
      </w:r>
      <w:r>
        <w:rPr>
          <w:rFonts w:ascii="Times New Roman;serif" w:hAnsi="Times New Roman;serif"/>
          <w:b w:val="false"/>
          <w:color w:val="000000"/>
          <w:sz w:val="20"/>
        </w:rPr>
        <w:t>amount that is more likely than not to be sustained upon examination by the relevant taxing authority.</w:t>
      </w:r>
    </w:p>
    <w:p>
      <w:pPr>
        <w:pStyle w:val="TextBody"/>
        <w:bidi w:val="0"/>
        <w:spacing w:before="0" w:after="60"/>
        <w:ind w:left="0" w:right="0" w:firstLine="360"/>
        <w:jc w:val="both"/>
        <w:rPr/>
      </w:pPr>
      <w:r>
        <w:rPr/>
      </w:r>
    </w:p>
    <w:p>
      <w:pPr>
        <w:pStyle w:val="TextBody"/>
        <w:bidi w:val="0"/>
        <w:spacing w:lineRule="auto" w:line="333"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operate in approximately 75 countries through hundreds of legal entities. As a result, we are subject to numerous tax laws in the jurisdictions, and tax agreements and treaties among the various taxing authorities. Our operations in these jurisdictions in which we operate are taxed on various bases: income before taxes, deemed profits (which is generally determined using a percentage of revenues rather than profits), withholding taxes based on revenue, and other alternative minimum taxes. The calculation of our tax liabilities involves consideration of uncertainties in the application and interpretation of complex tax regulations in a multitude of jurisdictions across our global operations. We recognize potential liabilities and record tax liabilities for anticipated tax audit issues in the tax jurisdictions based on our estimate of whether, and the extent to which, additional taxes will be due. The tax liabilities are reflected net of realized tax loss carryforwards. We adjust these reserves upon specific events; however, due to the complexity of some of these uncertainties, the ultimate resolution may result in a payment that is different from our current estimate of the tax liabilities.</w:t>
      </w:r>
    </w:p>
    <w:p>
      <w:pPr>
        <w:pStyle w:val="TextBody"/>
        <w:bidi w:val="0"/>
        <w:spacing w:before="0" w:after="0"/>
        <w:ind w:left="0" w:right="0" w:firstLine="360"/>
        <w:jc w:val="both"/>
        <w:rPr/>
      </w:pPr>
      <w:r>
        <w:rPr/>
      </w:r>
    </w:p>
    <w:p>
      <w:pPr>
        <w:pStyle w:val="TextBody"/>
        <w:bidi w:val="0"/>
        <w:spacing w:lineRule="auto" w:line="333"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our estimate of tax liabilities proves to be less than the ultimate assessment, an additional charge to expense would result. If payment of these amounts ultimately proves to be less than the recorded amounts, the reversal of the liabilities would result in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42</w:t>
                      </w:r>
                    </w:p>
                  </w:txbxContent>
                </v:textbox>
                <w10:wrap type="none"/>
              </v:rect>
            </w:pict>
          </mc:Fallback>
        </mc:AlternateContent>
      </w:r>
    </w:p>
    <w:p>
      <w:pPr>
        <w:pStyle w:val="TextBody"/>
        <w:bidi w:val="0"/>
        <w:spacing w:lineRule="auto" w:line="333" w:before="0" w:after="0"/>
        <w:jc w:val="left"/>
        <w:rPr>
          <w:color w:val="000000"/>
        </w:rPr>
      </w:pPr>
      <w:r>
        <w:rPr>
          <w:color w:val="000000"/>
        </w:rPr>
        <w:t>    </w:t>
      </w:r>
      <w:r>
        <w:rPr>
          <w:rFonts w:ascii="Times New Roman;serif" w:hAnsi="Times New Roman;serif"/>
          <w:b w:val="false"/>
          <w:color w:val="000000"/>
          <w:sz w:val="20"/>
        </w:rPr>
        <w:t>Critical Accounting Policies and Estimates</w:t>
      </w:r>
    </w:p>
    <w:p>
      <w:pPr>
        <w:pStyle w:val="TextBody"/>
        <w:bidi w:val="0"/>
        <w:spacing w:lineRule="auto" w:line="333" w:before="0" w:after="60"/>
        <w:jc w:val="both"/>
        <w:rPr>
          <w:rFonts w:ascii="Times New Roman;serif" w:hAnsi="Times New Roman;serif"/>
          <w:b w:val="false"/>
          <w:color w:val="000000"/>
          <w:sz w:val="20"/>
        </w:rPr>
      </w:pPr>
      <w:r>
        <w:rPr>
          <w:rFonts w:ascii="Times New Roman;serif" w:hAnsi="Times New Roman;serif"/>
          <w:b w:val="false"/>
          <w:color w:val="000000"/>
          <w:sz w:val="20"/>
        </w:rPr>
        <w:t>tax benefits being recognized in the period when the contingency has been resolved and the liabilities are no longer necessary. Changes in tax laws, regulations, agreements and treaties, foreign currency exchange restrictions or our level of operations or profitability in each taxing jurisdiction could have an impact upon the amount of income taxes that we provide during any given year.</w:t>
      </w:r>
    </w:p>
    <w:p>
      <w:pPr>
        <w:pStyle w:val="TextBody"/>
        <w:bidi w:val="0"/>
        <w:spacing w:before="0" w:after="60"/>
        <w:ind w:left="0" w:right="0" w:firstLine="360"/>
        <w:jc w:val="both"/>
        <w:rPr/>
      </w:pPr>
      <w:r>
        <w:rPr/>
      </w:r>
    </w:p>
    <w:p>
      <w:pPr>
        <w:pStyle w:val="TextBody"/>
        <w:bidi w:val="0"/>
        <w:spacing w:lineRule="auto" w:line="333"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Effective January 1, 2024, Ireland enacted tax legislation that models the Organization of Economic Cooperation and Development (“OECD”) reform plans focused on global profit allocation and implementing a global minimum tax rate of at least 15% for large multinational corporations on a jurisdiction-by-jurisdiction basis, known as “Pillar Two.” This did not materially increase taxes in 2025 and 2024 and is not expected to materially increase future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Valuation Allowance for Deferred Tax Assets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record a valuation allowance to reduce the carrying value of our deferred tax assets when it is more likely than not that a portion or all of the deferred tax assets will expire before realization of the benefit. The ultimate realization of the deferred tax assets depends on the ability to generate sufficient taxable income of the appropriate character and in the related jurisdiction in the future. In evaluating our ability to recover our deferred tax assets, we consider the available positive and negative evidence, including our past operating results, the existence of cumulative losses in the most recent years and our forecast of near-term future taxable income and various tax planning strategies. </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When the likelihood of the realization of existing deferred tax assets changes, adjustments to the valuation allowance are charged to our income tax provision in the period in which the determination is made. The Company concluded it was not able to realize the benefits of certain of its deferred tax assets and has established a valuation allowance. Our valuation allowance on our deferred tax assets was $1.1 billion as of December 31, 2025 and December 31,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333" w:before="0" w:after="0"/>
        <w:ind w:left="0" w:right="0" w:firstLine="360"/>
        <w:jc w:val="both"/>
        <w:rPr>
          <w:color w:val="000000"/>
        </w:rPr>
      </w:pPr>
      <w:r>
        <w:rPr>
          <w:color w:val="000000"/>
        </w:rPr>
        <w:t> </w:t>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report contains various statements relating to future financial performance and results, business strategy, plans, goals and objectives, including certain projections, business trends, our shareholder returns program and other statements that are not historical facts. These statements constitute forward-looking statements.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The forward-looking statements included herein are only made as of the date of this report, or if earlier, as of the date they were made, and we undertake no obligation to correct, update or revise any forward-looking statement, whether as a result of new information, future events, or otherwise, except to the extent required under federal securities laws. The following, together with disclosures under “Part I – Item 1A. Risk Factors”, sets forth certain risks and uncertainties relating to our forward-looking statements that may cause actual results to be materially different from our present expectations or projections: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w:t>
                      </w:r>
                    </w:p>
                  </w:txbxContent>
                </v:textbox>
                <w10:wrap type="none"/>
              </v:rect>
            </w:pict>
          </mc:Fallback>
        </mc:AlternateContent>
      </w:r>
    </w:p>
    <w:p>
      <w:pPr>
        <w:pStyle w:val="TextBody"/>
        <w:bidi w:val="0"/>
        <w:spacing w:lineRule="auto" w:line="333" w:before="0" w:after="0"/>
        <w:jc w:val="left"/>
        <w:rPr>
          <w:color w:val="000000"/>
        </w:rPr>
      </w:pPr>
      <w:r>
        <w:rPr>
          <w:color w:val="000000"/>
        </w:rPr>
        <w:t>    </w:t>
      </w:r>
      <w:r>
        <w:rPr>
          <w:rFonts w:ascii="Times New Roman;serif" w:hAnsi="Times New Roman;serif"/>
          <w:b w:val="false"/>
          <w:color w:val="000000"/>
          <w:sz w:val="20"/>
        </w:rPr>
        <w:t>Forward-Looking Statements</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0"/>
        </w:rPr>
        <w:t>global political, economic and market conditions, political disturbances, war or other global conflicts, terrorist attacks, changes in global trade policies, tariffs and sanctions, weak local economic conditions and international currency fluctuations (including the Russia Ukraine Conflict, conflicts in the Middle East and instability in Latin America);</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0"/>
        </w:rPr>
        <w:t>general global economic repercussions related to U.S. and global inflationary pressures and potential recessionary concerns;</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0"/>
        </w:rPr>
        <w:t>failure to ensure on-going compliance with current and future laws and government regulations, including but not limited to those related to the Russia Ukraine Conflict, and environmental and tax and accounting laws, rules and regulations;</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0"/>
        </w:rPr>
        <w:t>changes in, and the administration of, treaties, laws, and regulations, including in response to issues related to the Russia Ukraine Conflict and conflicts in the Middle East or Latin America, such as nationalization of assets, and the potential for such issues to exacerbate other risks and uncertainties listed or referenced;</w:t>
      </w:r>
    </w:p>
    <w:p>
      <w:pPr>
        <w:pStyle w:val="TextBody"/>
        <w:bidi w:val="0"/>
        <w:spacing w:lineRule="auto" w:line="312" w:before="0" w:after="0"/>
        <w:ind w:left="0" w:right="0" w:hanging="360"/>
        <w:jc w:val="left"/>
        <w:rPr/>
      </w:pPr>
      <w:r>
        <w:rPr>
          <w:color w:val="000000"/>
        </w:rPr>
        <w:t>•</w:t>
      </w:r>
      <w:r>
        <w:rPr>
          <w:rFonts w:ascii="Times New Roman;serif" w:hAnsi="Times New Roman;serif"/>
          <w:b w:val="false"/>
          <w:color w:val="000000"/>
          <w:sz w:val="20"/>
        </w:rPr>
        <w:t xml:space="preserve">increases in the prices and lead times, and the lack of availability of our procured products and services, including due to macroeconomic and geopolitical conditions such as tariffs and changes in trade policies; </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 xml:space="preserve">our ability to timely collect from customers; </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cybersecurity incidents, as our reliance on digital technologies increases, those digital technologies may become more vulnerable and/or experience a higher rate of cybersecurity attacks, intrusions or incidents in the current environment of remote connectivity, as well as increased geopolitical conflicts and tensions, including as a result of the Russia Ukraine Conflict;</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0"/>
        </w:rPr>
        <w:t>our ability to comply with, and respond to, climate change, environmental, social and governance and other “sustainability” initiatives and future legislative and regulatory measures both globally and in the specific geographic regions in which we and our customers operate;</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0"/>
        </w:rPr>
        <w:t>our ability to effectively and timely address the need to conduct our operations and provide services to our customers more sustainably and with a lower carbon footprint;</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0"/>
        </w:rPr>
        <w:t>the price and price volatility of, and demand for, oil, natural gas and natural gas liquids;</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0"/>
        </w:rPr>
        <w:t>member-country quota compliance within the Organization of Petroleum Exporting Countries;</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0"/>
        </w:rPr>
        <w:t>our ability to realize expected revenues and profitability levels from current and future contracts;</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0"/>
        </w:rPr>
        <w:t>our ability to generate cash flow from operations to fund our operations;</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0"/>
        </w:rPr>
        <w:t>our ability to effectively and timely adapt our technology portfolio, products and services to remain competitive, and to address and participate in changes to the market demands, including for the transition to alternate sources of energy such as geothermal, carbon capture and responsible abandonment, and including our digitalization efforts and our incorporation of artificial intelligence tools;</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our ability to realize cost savings and business enhancements from our revenue and cost improvement efforts;</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our ability to effectively execute our capital allocation framework;</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our ability to attract, motivate and retain employees, including key personnel;</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our ability to access the capital markets on terms that are commercially acceptable to the Company;</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our ability to manage our workforce, supply chain challenges and disruptions, business processes, information technology systems and technological innovation and commercialization, including the impact of our enterprise resource planning system implementation, organization restructure, business enhancements, improvement efforts and the cost and support reduction plans;</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our ability to return capital to shareholders, including those related to the timing and amounts (including any plans or commitments in respect thereof) of any dividends and share repurchases;</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our ability to service our debt obligations;</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potential non-cash asset impairment charges for long-lived assets, intangible assets or other assets;</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adverse weather conditions in certain regions of our operations; and</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public health issues such as pandemics.</w:t>
      </w:r>
    </w:p>
    <w:p>
      <w:pPr>
        <w:pStyle w:val="TextBody"/>
        <w:bidi w:val="0"/>
        <w:spacing w:before="0" w:after="0"/>
        <w:jc w:val="both"/>
        <w:rPr/>
      </w:pPr>
      <w:r>
        <w:rPr/>
      </w:r>
    </w:p>
    <w:p>
      <w:pPr>
        <w:pStyle w:val="TextBody"/>
        <w:bidi w:val="0"/>
        <w:spacing w:lineRule="auto" w:line="33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Many of these factors are macro-economic in nature and are, therefore, beyond our control. Should one or more of these risks or uncertainties materialize, affect us in ways or to an extent that we currently do not expect or consider to be significant, or should underlying assumptions prove incorrect, our actual results, performance or achievements may vary materially from those described in this report as anticipated, believed, estimated, expected, intended, planned or projected.</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44</w:t>
                      </w:r>
                    </w:p>
                  </w:txbxContent>
                </v:textbox>
                <w10:wrap type="none"/>
              </v:rect>
            </w:pict>
          </mc:Fallback>
        </mc:AlternateContent>
      </w:r>
    </w:p>
    <w:p>
      <w:pPr>
        <w:pStyle w:val="TextBody"/>
        <w:bidi w:val="0"/>
        <w:spacing w:lineRule="auto" w:line="333" w:before="0" w:after="0"/>
        <w:jc w:val="left"/>
        <w:rPr>
          <w:color w:val="000000"/>
        </w:rPr>
      </w:pPr>
      <w:r>
        <w:rPr>
          <w:color w:val="000000"/>
        </w:rPr>
        <w:t>    </w:t>
      </w:r>
      <w:r>
        <w:rPr>
          <w:rFonts w:ascii="Times New Roman;serif" w:hAnsi="Times New Roman;serif"/>
          <w:b w:val="false"/>
          <w:color w:val="000000"/>
          <w:sz w:val="20"/>
        </w:rPr>
        <w:t>Forward-Looking Statements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Finally, our future results will depend upon various other risks and uncertainties, including, but not limited to, those detailed in our current and past filings with the SEC under the Exchange Act and the Securities Act of 1933, as amended.</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 xml:space="preserve">Item 7A. Quantitative and Qualitative Disclosures about Market Risk. </w:t>
      </w:r>
    </w:p>
    <w:p>
      <w:pPr>
        <w:pStyle w:val="TextBody"/>
        <w:bidi w:val="0"/>
        <w:spacing w:before="0" w:after="0"/>
        <w:jc w:val="left"/>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related to market risk is included earlier in Item 7. Management's Discussion and Analysis of Financial Condition and Results of Operations – “Other Expense, Net”, “Cash Requirements” and “Derivative Financial Instruments” and later, in the Notes to Consolidated Financial Statements under Item 8. Financial Statements and Supplementary Data, in “Note 1 – Summary of Significant Accounting Policies”, “Note 10 – Fair Value of Financial Instruments, Assets and Other Assets” and “Note 11 – Derivative Financial Instruments.”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45</w:t>
                      </w:r>
                    </w:p>
                  </w:txbxContent>
                </v:textbox>
                <w10:wrap type="none"/>
              </v:rect>
            </w:pict>
          </mc:Fallback>
        </mc:AlternateContent>
      </w:r>
    </w:p>
    <w:p>
      <w:pPr>
        <w:pStyle w:val="TextBody"/>
        <w:bidi w:val="0"/>
        <w:spacing w:lineRule="auto" w:line="333" w:before="60" w:after="283"/>
        <w:jc w:val="left"/>
        <w:rPr>
          <w:color w:val="000000"/>
        </w:rPr>
      </w:pPr>
      <w:r>
        <w:rPr>
          <w:color w:val="000000"/>
        </w:rPr>
        <w:t>    </w:t>
      </w:r>
      <w:r>
        <w:rPr>
          <w:rFonts w:ascii="Times New Roman;serif" w:hAnsi="Times New Roman;serif"/>
          <w:b w:val="false"/>
          <w:color w:val="000000"/>
          <w:sz w:val="20"/>
        </w:rPr>
        <w:t>Item 8 | Financial Statements and Supplementary Data</w:t>
      </w:r>
    </w:p>
    <w:p>
      <w:pPr>
        <w:pStyle w:val="TextBody"/>
        <w:bidi w:val="0"/>
        <w:spacing w:lineRule="auto" w:line="333" w:before="0" w:after="60"/>
        <w:jc w:val="both"/>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before="0" w:after="0"/>
        <w:jc w:val="left"/>
        <w:rPr/>
      </w:pPr>
      <w:r>
        <w:rPr/>
      </w:r>
    </w:p>
    <w:p>
      <w:pPr>
        <w:pStyle w:val="TextBody"/>
        <w:bidi w:val="0"/>
        <w:spacing w:lineRule="auto" w:line="333" w:before="60" w:after="60"/>
        <w:ind w:left="0" w:right="0" w:firstLine="360"/>
        <w:jc w:val="center"/>
        <w:rPr>
          <w:rFonts w:ascii="Times New Roman;serif" w:hAnsi="Times New Roman;serif"/>
          <w:b/>
          <w:color w:val="000000"/>
          <w:sz w:val="20"/>
        </w:rPr>
      </w:pPr>
      <w:r>
        <w:rPr>
          <w:rFonts w:ascii="Times New Roman;serif" w:hAnsi="Times New Roman;serif"/>
          <w:b/>
          <w:color w:val="000000"/>
          <w:sz w:val="20"/>
        </w:rPr>
        <w:t>INDEX TO FINANCIAL STATEMENTS</w:t>
      </w:r>
    </w:p>
    <w:tbl>
      <w:tblPr>
        <w:tblW w:w="9526" w:type="dxa"/>
        <w:jc w:val="left"/>
        <w:tblInd w:w="0" w:type="dxa"/>
        <w:tblLayout w:type="fixed"/>
        <w:tblCellMar>
          <w:top w:w="28" w:type="dxa"/>
          <w:left w:w="28" w:type="dxa"/>
          <w:bottom w:w="28" w:type="dxa"/>
          <w:right w:w="28" w:type="dxa"/>
        </w:tblCellMar>
      </w:tblPr>
      <w:tblGrid>
        <w:gridCol w:w="3198"/>
        <w:gridCol w:w="2810"/>
        <w:gridCol w:w="2827"/>
        <w:gridCol w:w="202"/>
        <w:gridCol w:w="202"/>
        <w:gridCol w:w="287"/>
      </w:tblGrid>
      <w:tr>
        <w:trPr/>
        <w:tc>
          <w:tcPr>
            <w:tcW w:w="3198" w:type="dxa"/>
            <w:tcBorders/>
            <w:vAlign w:val="center"/>
          </w:tcPr>
          <w:p>
            <w:pPr>
              <w:pStyle w:val="TableContents"/>
              <w:bidi w:val="0"/>
              <w:spacing w:before="0" w:after="283"/>
              <w:jc w:val="left"/>
              <w:rPr>
                <w:sz w:val="4"/>
                <w:szCs w:val="4"/>
              </w:rPr>
            </w:pPr>
            <w:r>
              <w:rPr>
                <w:sz w:val="4"/>
                <w:szCs w:val="4"/>
              </w:rPr>
            </w:r>
          </w:p>
        </w:tc>
        <w:tc>
          <w:tcPr>
            <w:tcW w:w="2810" w:type="dxa"/>
            <w:tcBorders/>
            <w:vAlign w:val="center"/>
          </w:tcPr>
          <w:p>
            <w:pPr>
              <w:pStyle w:val="TableContents"/>
              <w:bidi w:val="0"/>
              <w:spacing w:before="0" w:after="283"/>
              <w:jc w:val="left"/>
              <w:rPr>
                <w:sz w:val="4"/>
                <w:szCs w:val="4"/>
              </w:rPr>
            </w:pPr>
            <w:r>
              <w:rPr>
                <w:sz w:val="4"/>
                <w:szCs w:val="4"/>
              </w:rPr>
            </w:r>
          </w:p>
        </w:tc>
        <w:tc>
          <w:tcPr>
            <w:tcW w:w="282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5" w:type="dxa"/>
            <w:gridSpan w:val="3"/>
            <w:tcBorders/>
            <w:shd w:fill="CCEEFF" w:val="clear"/>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20"/>
              </w:rPr>
            </w:pPr>
            <w:r>
              <w:rPr>
                <w:rFonts w:ascii="Times New Roman;serif" w:hAnsi="Times New Roman;serif"/>
                <w:b w:val="false"/>
                <w:color w:val="000000"/>
                <w:sz w:val="20"/>
              </w:rPr>
              <w:t>Reports of Independent Registered Public Accounting Firm (KPMG LLP, Houston, TX Firm ID 185)</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43</w:t>
            </w:r>
          </w:p>
        </w:tc>
      </w:tr>
      <w:tr>
        <w:trPr/>
        <w:tc>
          <w:tcPr>
            <w:tcW w:w="8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5" w:type="dxa"/>
            <w:gridSpan w:val="3"/>
            <w:tcBorders/>
            <w:shd w:fill="CCEEFF" w:val="clear"/>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Operations for the years ended December 31, 2025, 2024 and 2023</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46</w:t>
            </w:r>
          </w:p>
        </w:tc>
      </w:tr>
      <w:tr>
        <w:trPr/>
        <w:tc>
          <w:tcPr>
            <w:tcW w:w="8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5" w:type="dxa"/>
            <w:gridSpan w:val="3"/>
            <w:tcBorders/>
            <w:shd w:fill="CCEEFF" w:val="clear"/>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Comprehensive Income for the years ended December 31, 2025, 2024 and 2023</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48</w:t>
            </w:r>
          </w:p>
        </w:tc>
      </w:tr>
      <w:tr>
        <w:trPr/>
        <w:tc>
          <w:tcPr>
            <w:tcW w:w="8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5" w:type="dxa"/>
            <w:gridSpan w:val="3"/>
            <w:tcBorders/>
            <w:shd w:fill="CCEEFF" w:val="clear"/>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20"/>
              </w:rPr>
            </w:pPr>
            <w:r>
              <w:rPr>
                <w:rFonts w:ascii="Times New Roman;serif" w:hAnsi="Times New Roman;serif"/>
                <w:b w:val="false"/>
                <w:color w:val="000000"/>
                <w:sz w:val="20"/>
              </w:rPr>
              <w:t>Consolidated Balance Sheets as of December 31, 2025 and 2024</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50</w:t>
            </w:r>
          </w:p>
        </w:tc>
      </w:tr>
      <w:tr>
        <w:trPr/>
        <w:tc>
          <w:tcPr>
            <w:tcW w:w="8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5" w:type="dxa"/>
            <w:gridSpan w:val="3"/>
            <w:tcBorders/>
            <w:shd w:fill="CCEEFF" w:val="clear"/>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Shareholders’ Equity for the years ended December 31, 2025, 2024 and 2023</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51</w:t>
            </w:r>
          </w:p>
        </w:tc>
      </w:tr>
      <w:tr>
        <w:trPr/>
        <w:tc>
          <w:tcPr>
            <w:tcW w:w="8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5" w:type="dxa"/>
            <w:gridSpan w:val="3"/>
            <w:tcBorders/>
            <w:shd w:fill="CCEEFF" w:val="clear"/>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Cash Flows for the years ended December 31, 2025, 2024 and 2023</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53</w:t>
            </w:r>
          </w:p>
        </w:tc>
      </w:tr>
      <w:tr>
        <w:trPr/>
        <w:tc>
          <w:tcPr>
            <w:tcW w:w="8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5" w:type="dxa"/>
            <w:gridSpan w:val="3"/>
            <w:tcBorders/>
            <w:shd w:fill="CCEEFF" w:val="clear"/>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56</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46</w:t>
                      </w:r>
                    </w:p>
                  </w:txbxContent>
                </v:textbox>
                <w10:wrap type="none"/>
              </v:rect>
            </w:pict>
          </mc:Fallback>
        </mc:AlternateContent>
      </w:r>
    </w:p>
    <w:p>
      <w:pPr>
        <w:pStyle w:val="TextBody"/>
        <w:bidi w:val="0"/>
        <w:spacing w:lineRule="auto" w:line="333" w:before="60" w:after="283"/>
        <w:jc w:val="left"/>
        <w:rPr>
          <w:color w:val="000000"/>
        </w:rPr>
      </w:pPr>
      <w:r>
        <w:rPr>
          <w:color w:val="000000"/>
        </w:rPr>
        <w:t>    </w:t>
      </w:r>
    </w:p>
    <w:p>
      <w:pPr>
        <w:pStyle w:val="TextBody"/>
        <w:bidi w:val="0"/>
        <w:spacing w:lineRule="auto" w:line="333" w:before="0" w:after="12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To the Shareholders and Board of Directors</w:t>
      </w:r>
    </w:p>
    <w:p>
      <w:pPr>
        <w:pStyle w:val="TextBody"/>
        <w:bidi w:val="0"/>
        <w:spacing w:lineRule="auto" w:line="333" w:before="0" w:after="180"/>
        <w:jc w:val="left"/>
        <w:rPr>
          <w:rFonts w:ascii="Times New Roman;serif" w:hAnsi="Times New Roman;serif"/>
          <w:b w:val="false"/>
          <w:color w:val="000000"/>
          <w:sz w:val="20"/>
        </w:rPr>
      </w:pPr>
      <w:r>
        <w:rPr>
          <w:rFonts w:ascii="Times New Roman;serif" w:hAnsi="Times New Roman;serif"/>
          <w:b w:val="false"/>
          <w:color w:val="000000"/>
          <w:sz w:val="20"/>
        </w:rPr>
        <w:t>Weatherford International plc:</w:t>
      </w:r>
    </w:p>
    <w:p>
      <w:pPr>
        <w:pStyle w:val="TextBody"/>
        <w:bidi w:val="0"/>
        <w:spacing w:lineRule="auto" w:line="333" w:before="0" w:after="0"/>
        <w:jc w:val="both"/>
        <w:rPr>
          <w:rFonts w:ascii="Times New Roman;serif" w:hAnsi="Times New Roman;serif"/>
          <w:b w:val="false"/>
          <w:i/>
          <w:color w:val="000000"/>
          <w:sz w:val="20"/>
        </w:rPr>
      </w:pPr>
      <w:r>
        <w:rPr>
          <w:rFonts w:ascii="Times New Roman;serif" w:hAnsi="Times New Roman;serif"/>
          <w:b w:val="false"/>
          <w:i/>
          <w:color w:val="000000"/>
          <w:sz w:val="20"/>
        </w:rPr>
        <w:t>Opinion on the Consolidated Financial Statements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Weatherford International plc and subsidiaries (the Company) as of December 31, 2025 and 2024, the related consolidated statements of operations, comprehensive income, shareholders’ equity,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0"/>
        </w:rPr>
        <w:t xml:space="preserve">We also have audited, in accordance with the standards of the Public Company Accounting Oversight Board (United States) (PCAOB), the Company’s internal control over financial reporting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the Committee of Sponsoring Organizations of the Treadway Commission, and our report dated February 4, 2026 expressed an unqualified opinion on the effectiveness of the Company’s internal control over financial reporting.</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i/>
          <w:color w:val="000000"/>
          <w:sz w:val="20"/>
        </w:rPr>
      </w:pPr>
      <w:r>
        <w:rPr>
          <w:rFonts w:ascii="Times New Roman;serif" w:hAnsi="Times New Roman;serif"/>
          <w:b w:val="false"/>
          <w:i/>
          <w:color w:val="000000"/>
          <w:sz w:val="20"/>
        </w:rPr>
        <w:t>Basis for Opinion</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i/>
          <w:color w:val="000000"/>
          <w:sz w:val="20"/>
        </w:rPr>
      </w:pPr>
      <w:r>
        <w:rPr>
          <w:rFonts w:ascii="Times New Roman;serif" w:hAnsi="Times New Roman;serif"/>
          <w:b w:val="false"/>
          <w:i/>
          <w:color w:val="000000"/>
          <w:sz w:val="20"/>
        </w:rPr>
        <w:t>Critical Audit Matter</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i/>
          <w:color w:val="000000"/>
          <w:sz w:val="20"/>
        </w:rPr>
      </w:pPr>
      <w:r>
        <w:rPr>
          <w:rFonts w:ascii="Times New Roman;serif" w:hAnsi="Times New Roman;serif"/>
          <w:b w:val="false"/>
          <w:i/>
          <w:color w:val="000000"/>
          <w:sz w:val="20"/>
        </w:rPr>
        <w:t>Assessment of impairment triggering events related to long-lived assets</w:t>
      </w:r>
    </w:p>
    <w:p>
      <w:pPr>
        <w:pStyle w:val="TextBody"/>
        <w:bidi w:val="0"/>
        <w:spacing w:before="0" w:after="0"/>
        <w:jc w:val="both"/>
        <w:rPr/>
      </w:pPr>
      <w:r>
        <w:rPr/>
      </w:r>
    </w:p>
    <w:p>
      <w:pPr>
        <w:pStyle w:val="TextBody"/>
        <w:bidi w:val="0"/>
        <w:spacing w:lineRule="auto" w:line="312"/>
        <w:jc w:val="both"/>
        <w:rPr>
          <w:rFonts w:ascii="Times New Roman;serif" w:hAnsi="Times New Roman;serif"/>
          <w:b w:val="false"/>
          <w:color w:val="000000"/>
          <w:sz w:val="20"/>
        </w:rPr>
      </w:pPr>
      <w:r>
        <w:rPr>
          <w:rFonts w:ascii="Times New Roman;serif" w:hAnsi="Times New Roman;serif"/>
          <w:b w:val="false"/>
          <w:color w:val="000000"/>
          <w:sz w:val="20"/>
        </w:rPr>
        <w:t>As discussed in Note 1 to the consolidated financial statements, the Company evaluates long-lived assets, consisting of property, plant and equipment, operating lease right-of use assets, and definite-lived intangible assets, for impairment to determine whether any events or changes in circumstances, known as triggering events, indicate that the carrying amount of an asset group may not be recoverable. The triggering events evaluated by the Company include reduced or expected sustained decreases in cash flows generated by an asset group, negative changes in industry conditions (such as global rig count, commodity prices, and the global economy), a significant change in the long-lived assets’ use or physical condition, the introduction of competing technologies, and legal and regulatory challenges. The carrying value of long-lived assets as of December 31, 2025 was $1.5 billion.</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47</w:t>
                      </w:r>
                    </w:p>
                  </w:txbxContent>
                </v:textbox>
                <w10:wrap type="none"/>
              </v:rect>
            </w:pict>
          </mc:Fallback>
        </mc:AlternateContent>
      </w:r>
    </w:p>
    <w:p>
      <w:pPr>
        <w:pStyle w:val="TextBody"/>
        <w:bidi w:val="0"/>
        <w:spacing w:lineRule="auto" w:line="333" w:before="60" w:after="283"/>
        <w:jc w:val="left"/>
        <w:rPr>
          <w:color w:val="000000"/>
        </w:rPr>
      </w:pPr>
      <w:r>
        <w:rPr>
          <w:color w:val="000000"/>
        </w:rPr>
        <w:t>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identified the assessment of impairment triggering events related to long-lived asset groups as a critical audit matter. The assessment of whether (i) reduced or expected sustained decreases in cash flows generated by an asset group and (ii) negative changes in industry conditions represented a triggering event required a higher degree of subjective auditor judgment.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are the primary procedures we performed to address this critical audit matter. We evaluated the design and tested the operating effectiveness of certain internal controls related to the Company’s triggering events assessment. This included a control related to the Company’s process to identify and evaluate triggering events that indicate the carrying value of an asset group may not be recoverable. We evaluated the Company’s identification of triggering events related to the evaluation of cash flow trends for asset groups by comparing historical cash flow trends to the asset groups’ carrying values. Further, we evaluated the Company’s assessment of changes in industry conditions by comparing them to changes in global rig count, commodity prices, and economic outlook using data obtained from publicly available industry and market information.</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333" w:before="0" w:after="0"/>
        <w:ind w:left="0" w:right="0" w:firstLine="36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 KPMG LLP</w:t>
      </w:r>
    </w:p>
    <w:p>
      <w:pPr>
        <w:pStyle w:val="TextBody"/>
        <w:bidi w:val="0"/>
        <w:spacing w:lineRule="auto" w:line="333" w:before="200" w:after="200"/>
        <w:jc w:val="left"/>
        <w:rPr>
          <w:rFonts w:ascii="Times New Roman;serif" w:hAnsi="Times New Roman;serif"/>
          <w:b w:val="false"/>
          <w:color w:val="221E1F"/>
          <w:sz w:val="20"/>
        </w:rPr>
      </w:pPr>
      <w:r>
        <w:rPr>
          <w:rFonts w:ascii="Times New Roman;serif" w:hAnsi="Times New Roman;serif"/>
          <w:b w:val="false"/>
          <w:color w:val="221E1F"/>
          <w:sz w:val="20"/>
        </w:rPr>
        <w:t>We have served as the Company’s auditor since 2013.</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Houston, Texas</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February 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48</w:t>
                      </w:r>
                    </w:p>
                  </w:txbxContent>
                </v:textbox>
                <w10:wrap type="none"/>
              </v:rect>
            </w:pict>
          </mc:Fallback>
        </mc:AlternateContent>
      </w:r>
    </w:p>
    <w:p>
      <w:pPr>
        <w:pStyle w:val="TextBody"/>
        <w:bidi w:val="0"/>
        <w:spacing w:lineRule="auto" w:line="333" w:before="60" w:after="283"/>
        <w:jc w:val="left"/>
        <w:rPr>
          <w:color w:val="000000"/>
        </w:rPr>
      </w:pPr>
      <w:r>
        <w:rPr>
          <w:color w:val="000000"/>
        </w:rPr>
        <w:t>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To the Shareholders and Board of Directors</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Weatherford International plc:</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i/>
          <w:color w:val="000000"/>
          <w:sz w:val="20"/>
        </w:rPr>
      </w:pPr>
      <w:r>
        <w:rPr>
          <w:rFonts w:ascii="Times New Roman;serif" w:hAnsi="Times New Roman;serif"/>
          <w:b w:val="false"/>
          <w:i/>
          <w:color w:val="000000"/>
          <w:sz w:val="20"/>
        </w:rPr>
        <w:t>Opinion on Internal Control Over Financial Reporting</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0"/>
        </w:rPr>
        <w:t xml:space="preserve">We have audited Weatherford International plc and subsidiaries' (the Company) internal control over financial reporting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 xml:space="preserve">issued by the Committee of Sponsoring Organizations of the Treadway Commission. In our opinion, the Company maintained, in all material respects, effective internal control over financial reporting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the Committee of Sponsoring Organizations of the Treadway Commission.</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consolidated balance sheets of the Company as of December 31, 2025 and 2024, the related consolidated statements of operations, comprehensive income, shareholders’ equity, and cash flows for each of the years in the three-year period ended December 31, 2025, and the related notes (collectively, the consolidated financial statements), and our report dated February 4, 2026 expressed an unqualified opinion on those consolidated financial statements.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i/>
          <w:color w:val="000000"/>
          <w:sz w:val="20"/>
        </w:rPr>
      </w:pPr>
      <w:r>
        <w:rPr>
          <w:rFonts w:ascii="Times New Roman;serif" w:hAnsi="Times New Roman;serif"/>
          <w:b w:val="false"/>
          <w:i/>
          <w:color w:val="000000"/>
          <w:sz w:val="20"/>
        </w:rPr>
        <w:t>Basis for Opinion</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i/>
          <w:color w:val="000000"/>
          <w:sz w:val="20"/>
        </w:rPr>
      </w:pPr>
      <w:r>
        <w:rPr>
          <w:rFonts w:ascii="Times New Roman;serif" w:hAnsi="Times New Roman;serif"/>
          <w:b w:val="false"/>
          <w:i/>
          <w:color w:val="000000"/>
          <w:sz w:val="20"/>
        </w:rPr>
        <w:t>Definition and Limitations of Internal Control Over Financial Reporting</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49</w:t>
                      </w:r>
                    </w:p>
                  </w:txbxContent>
                </v:textbox>
                <w10:wrap type="none"/>
              </v:rect>
            </w:pict>
          </mc:Fallback>
        </mc:AlternateContent>
      </w:r>
    </w:p>
    <w:p>
      <w:pPr>
        <w:pStyle w:val="TextBody"/>
        <w:bidi w:val="0"/>
        <w:spacing w:lineRule="auto" w:line="333" w:before="60" w:after="283"/>
        <w:jc w:val="left"/>
        <w:rPr>
          <w:color w:val="000000"/>
        </w:rPr>
      </w:pPr>
      <w:r>
        <w:rPr>
          <w:color w:val="000000"/>
        </w:rPr>
        <w:t>    </w:t>
      </w:r>
    </w:p>
    <w:p>
      <w:pPr>
        <w:pStyle w:val="TextBody"/>
        <w:bidi w:val="0"/>
        <w:spacing w:lineRule="auto" w:line="333"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 KPMG LLP</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Houston, Texas</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February 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50</w:t>
                      </w:r>
                    </w:p>
                  </w:txbxContent>
                </v:textbox>
                <w10:wrap type="none"/>
              </v:rect>
            </w:pict>
          </mc:Fallback>
        </mc:AlternateContent>
      </w:r>
    </w:p>
    <w:p>
      <w:pPr>
        <w:pStyle w:val="TextBody"/>
        <w:bidi w:val="0"/>
        <w:spacing w:before="0" w:after="0"/>
        <w:jc w:val="left"/>
        <w:rPr/>
      </w:pPr>
      <w:r>
        <w:rPr/>
      </w:r>
    </w:p>
    <w:tbl>
      <w:tblPr>
        <w:tblW w:w="9680" w:type="dxa"/>
        <w:jc w:val="left"/>
        <w:tblInd w:w="0" w:type="dxa"/>
        <w:tblLayout w:type="fixed"/>
        <w:tblCellMar>
          <w:top w:w="28" w:type="dxa"/>
          <w:left w:w="28" w:type="dxa"/>
          <w:bottom w:w="28" w:type="dxa"/>
          <w:right w:w="28" w:type="dxa"/>
        </w:tblCellMar>
      </w:tblPr>
      <w:tblGrid>
        <w:gridCol w:w="1957"/>
        <w:gridCol w:w="1721"/>
        <w:gridCol w:w="1721"/>
        <w:gridCol w:w="452"/>
        <w:gridCol w:w="452"/>
        <w:gridCol w:w="452"/>
        <w:gridCol w:w="452"/>
        <w:gridCol w:w="452"/>
        <w:gridCol w:w="452"/>
        <w:gridCol w:w="452"/>
        <w:gridCol w:w="452"/>
        <w:gridCol w:w="665"/>
      </w:tblGrid>
      <w:tr>
        <w:trPr/>
        <w:tc>
          <w:tcPr>
            <w:tcW w:w="1957"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968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WEATHERFORD INTERNATIONAL PLC AND SUBSIDIARIES</w:t>
            </w:r>
          </w:p>
        </w:tc>
      </w:tr>
      <w:tr>
        <w:trPr/>
        <w:tc>
          <w:tcPr>
            <w:tcW w:w="968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tc>
      </w:tr>
      <w:tr>
        <w:trPr/>
        <w:tc>
          <w:tcPr>
            <w:tcW w:w="5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5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(Dollars and shares in millions, except per share amounts)</w:t>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3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Services</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2,980    </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3,393    </w:t>
            </w:r>
          </w:p>
        </w:tc>
        <w:tc>
          <w:tcPr>
            <w:tcW w:w="1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3,179    </w:t>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Products</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1,938    </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2,120    </w:t>
            </w:r>
          </w:p>
        </w:tc>
        <w:tc>
          <w:tcPr>
            <w:tcW w:w="1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1,956    </w:t>
            </w:r>
          </w:p>
        </w:tc>
      </w:tr>
      <w:tr>
        <w:trPr/>
        <w:tc>
          <w:tcPr>
            <w:tcW w:w="53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3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4,918    </w:t>
            </w:r>
          </w:p>
        </w:tc>
        <w:tc>
          <w:tcPr>
            <w:tcW w:w="13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5,513    </w:t>
            </w:r>
          </w:p>
        </w:tc>
        <w:tc>
          <w:tcPr>
            <w:tcW w:w="1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5,135    </w:t>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1,901    </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2,048    </w:t>
            </w:r>
          </w:p>
        </w:tc>
        <w:tc>
          <w:tcPr>
            <w:tcW w:w="1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1,965    </w:t>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1,483    </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1,557    </w:t>
            </w:r>
          </w:p>
        </w:tc>
        <w:tc>
          <w:tcPr>
            <w:tcW w:w="1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1,430    </w:t>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108    </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123    </w:t>
            </w:r>
          </w:p>
        </w:tc>
        <w:tc>
          <w:tcPr>
            <w:tcW w:w="1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112    </w:t>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664    </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791    </w:t>
            </w:r>
          </w:p>
        </w:tc>
        <w:tc>
          <w:tcPr>
            <w:tcW w:w="1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804    </w:t>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Business</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(70)</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    </w:t>
            </w:r>
          </w:p>
        </w:tc>
        <w:tc>
          <w:tcPr>
            <w:tcW w:w="1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(2)</w:t>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58    </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42    </w:t>
            </w:r>
          </w:p>
        </w:tc>
        <w:tc>
          <w:tcPr>
            <w:tcW w:w="1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16    </w:t>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 (Credits), Net</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18    </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14    </w:t>
            </w:r>
          </w:p>
        </w:tc>
        <w:tc>
          <w:tcPr>
            <w:tcW w:w="1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(10)</w:t>
            </w:r>
          </w:p>
        </w:tc>
      </w:tr>
      <w:tr>
        <w:trPr/>
        <w:tc>
          <w:tcPr>
            <w:tcW w:w="53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Costs and Expenses</w:t>
            </w:r>
          </w:p>
        </w:tc>
        <w:tc>
          <w:tcPr>
            <w:tcW w:w="13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4,162    </w:t>
            </w:r>
          </w:p>
        </w:tc>
        <w:tc>
          <w:tcPr>
            <w:tcW w:w="13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4,575    </w:t>
            </w:r>
          </w:p>
        </w:tc>
        <w:tc>
          <w:tcPr>
            <w:tcW w:w="15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4,315    </w:t>
            </w:r>
          </w:p>
        </w:tc>
      </w:tr>
      <w:tr>
        <w:trPr/>
        <w:tc>
          <w:tcPr>
            <w:tcW w:w="53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13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756    </w:t>
            </w:r>
          </w:p>
        </w:tc>
        <w:tc>
          <w:tcPr>
            <w:tcW w:w="13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938    </w:t>
            </w:r>
          </w:p>
        </w:tc>
        <w:tc>
          <w:tcPr>
            <w:tcW w:w="1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820    </w:t>
            </w:r>
          </w:p>
        </w:tc>
      </w:tr>
      <w:tr>
        <w:trPr/>
        <w:tc>
          <w:tcPr>
            <w:tcW w:w="5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Interest Income of $46, $56 and $59</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(91)</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(102)</w:t>
            </w:r>
          </w:p>
        </w:tc>
        <w:tc>
          <w:tcPr>
            <w:tcW w:w="1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(123)</w:t>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 and Bond Redemption Premium</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(39)</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(9)</w:t>
            </w:r>
          </w:p>
        </w:tc>
        <w:tc>
          <w:tcPr>
            <w:tcW w:w="1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(5)</w:t>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Blue Chip Swap Securities</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(2)</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(10)</w:t>
            </w:r>
          </w:p>
        </w:tc>
        <w:tc>
          <w:tcPr>
            <w:tcW w:w="1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(57)</w:t>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(70)</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(78)</w:t>
            </w:r>
          </w:p>
        </w:tc>
        <w:tc>
          <w:tcPr>
            <w:tcW w:w="1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(129)</w:t>
            </w:r>
          </w:p>
        </w:tc>
      </w:tr>
      <w:tr>
        <w:trPr/>
        <w:tc>
          <w:tcPr>
            <w:tcW w:w="53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3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554    </w:t>
            </w:r>
          </w:p>
        </w:tc>
        <w:tc>
          <w:tcPr>
            <w:tcW w:w="13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739    </w:t>
            </w:r>
          </w:p>
        </w:tc>
        <w:tc>
          <w:tcPr>
            <w:tcW w:w="15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506    </w:t>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(97)</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(189)</w:t>
            </w:r>
          </w:p>
        </w:tc>
        <w:tc>
          <w:tcPr>
            <w:tcW w:w="1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(57)</w:t>
            </w:r>
          </w:p>
        </w:tc>
      </w:tr>
      <w:tr>
        <w:trPr/>
        <w:tc>
          <w:tcPr>
            <w:tcW w:w="53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3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457    </w:t>
            </w:r>
          </w:p>
        </w:tc>
        <w:tc>
          <w:tcPr>
            <w:tcW w:w="13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550    </w:t>
            </w:r>
          </w:p>
        </w:tc>
        <w:tc>
          <w:tcPr>
            <w:tcW w:w="15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449    </w:t>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26    </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44    </w:t>
            </w:r>
          </w:p>
        </w:tc>
        <w:tc>
          <w:tcPr>
            <w:tcW w:w="1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32    </w:t>
            </w:r>
          </w:p>
        </w:tc>
      </w:tr>
      <w:tr>
        <w:trPr/>
        <w:tc>
          <w:tcPr>
            <w:tcW w:w="53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Weatherford</w:t>
            </w:r>
          </w:p>
        </w:tc>
        <w:tc>
          <w:tcPr>
            <w:tcW w:w="13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431    </w:t>
            </w:r>
          </w:p>
        </w:tc>
        <w:tc>
          <w:tcPr>
            <w:tcW w:w="13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506    </w:t>
            </w:r>
          </w:p>
        </w:tc>
        <w:tc>
          <w:tcPr>
            <w:tcW w:w="15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417    </w:t>
            </w:r>
          </w:p>
        </w:tc>
      </w:tr>
      <w:tr>
        <w:trPr/>
        <w:tc>
          <w:tcPr>
            <w:tcW w:w="53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Income Per Share Attributable to Weatherford</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5.96    </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6.93    </w:t>
            </w:r>
          </w:p>
        </w:tc>
        <w:tc>
          <w:tcPr>
            <w:tcW w:w="1569"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5.79    </w:t>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 Outstanding</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73.0    </w:t>
            </w:r>
          </w:p>
        </w:tc>
        <w:tc>
          <w:tcPr>
            <w:tcW w:w="1569"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71.9    </w:t>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Income Per Share Attributable to Weatherford</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5.93    </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6.75    </w:t>
            </w:r>
          </w:p>
        </w:tc>
        <w:tc>
          <w:tcPr>
            <w:tcW w:w="1569"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5.66    </w:t>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Outstanding</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ind w:left="0" w:right="0" w:firstLine="720"/>
        <w:jc w:val="center"/>
        <w:rPr>
          <w:color w:val="000000"/>
        </w:rPr>
      </w:pPr>
      <w:r>
        <w:rPr>
          <w:color w:val="000000"/>
        </w:rPr>
        <w:t>    </w:t>
      </w:r>
    </w:p>
    <w:p>
      <w:pPr>
        <w:pStyle w:val="TextBody"/>
        <w:bidi w:val="0"/>
        <w:spacing w:before="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51</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333" w:before="12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52</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tbl>
      <w:tblPr>
        <w:tblW w:w="9846" w:type="dxa"/>
        <w:jc w:val="left"/>
        <w:tblInd w:w="0" w:type="dxa"/>
        <w:tblLayout w:type="fixed"/>
        <w:tblCellMar>
          <w:top w:w="28" w:type="dxa"/>
          <w:left w:w="28" w:type="dxa"/>
          <w:bottom w:w="28" w:type="dxa"/>
          <w:right w:w="28" w:type="dxa"/>
        </w:tblCellMar>
      </w:tblPr>
      <w:tblGrid>
        <w:gridCol w:w="1925"/>
        <w:gridCol w:w="1692"/>
        <w:gridCol w:w="1692"/>
        <w:gridCol w:w="479"/>
        <w:gridCol w:w="479"/>
        <w:gridCol w:w="479"/>
        <w:gridCol w:w="479"/>
        <w:gridCol w:w="479"/>
        <w:gridCol w:w="479"/>
        <w:gridCol w:w="479"/>
        <w:gridCol w:w="479"/>
        <w:gridCol w:w="705"/>
      </w:tblGrid>
      <w:tr>
        <w:trPr/>
        <w:tc>
          <w:tcPr>
            <w:tcW w:w="1925"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r>
      <w:tr>
        <w:trPr/>
        <w:tc>
          <w:tcPr>
            <w:tcW w:w="98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WEATHERFORD INTERNATIONAL PLC AND SUBSIDIARIES</w:t>
            </w:r>
          </w:p>
        </w:tc>
      </w:tr>
      <w:tr>
        <w:trPr/>
        <w:tc>
          <w:tcPr>
            <w:tcW w:w="98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tc>
      </w:tr>
      <w:tr>
        <w:trPr/>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(Dollars in millions)</w:t>
            </w:r>
          </w:p>
        </w:tc>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3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4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457    </w:t>
            </w:r>
          </w:p>
        </w:tc>
        <w:tc>
          <w:tcPr>
            <w:tcW w:w="14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550    </w:t>
            </w:r>
          </w:p>
        </w:tc>
        <w:tc>
          <w:tcPr>
            <w:tcW w:w="16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449    </w:t>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157    </w:t>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(113)</w:t>
            </w:r>
          </w:p>
        </w:tc>
        <w:tc>
          <w:tcPr>
            <w:tcW w:w="1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(2)</w:t>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Defined Benefit Pension </w:t>
            </w:r>
          </w:p>
        </w:tc>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6    </w:t>
            </w:r>
          </w:p>
        </w:tc>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(9)</w:t>
            </w:r>
          </w:p>
        </w:tc>
        <w:tc>
          <w:tcPr>
            <w:tcW w:w="1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(4)</w:t>
            </w:r>
          </w:p>
        </w:tc>
      </w:tr>
      <w:tr>
        <w:trPr/>
        <w:tc>
          <w:tcPr>
            <w:tcW w:w="53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w:t>
            </w:r>
          </w:p>
        </w:tc>
        <w:tc>
          <w:tcPr>
            <w:tcW w:w="14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163    </w:t>
            </w:r>
          </w:p>
        </w:tc>
        <w:tc>
          <w:tcPr>
            <w:tcW w:w="14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(122)</w:t>
            </w:r>
          </w:p>
        </w:tc>
        <w:tc>
          <w:tcPr>
            <w:tcW w:w="16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(6)</w:t>
            </w:r>
          </w:p>
        </w:tc>
      </w:tr>
      <w:tr>
        <w:trPr/>
        <w:tc>
          <w:tcPr>
            <w:tcW w:w="53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14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620    </w:t>
            </w:r>
          </w:p>
        </w:tc>
        <w:tc>
          <w:tcPr>
            <w:tcW w:w="14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428    </w:t>
            </w:r>
          </w:p>
        </w:tc>
        <w:tc>
          <w:tcPr>
            <w:tcW w:w="16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443    </w:t>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Interests</w:t>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26    </w:t>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44    </w:t>
            </w:r>
          </w:p>
        </w:tc>
        <w:tc>
          <w:tcPr>
            <w:tcW w:w="1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32    </w:t>
            </w:r>
          </w:p>
        </w:tc>
      </w:tr>
      <w:tr>
        <w:trPr/>
        <w:tc>
          <w:tcPr>
            <w:tcW w:w="530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Attributable to Weatherford</w:t>
            </w:r>
          </w:p>
        </w:tc>
        <w:tc>
          <w:tcPr>
            <w:tcW w:w="143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594    </w:t>
            </w:r>
          </w:p>
        </w:tc>
        <w:tc>
          <w:tcPr>
            <w:tcW w:w="143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384    </w:t>
            </w:r>
          </w:p>
        </w:tc>
        <w:tc>
          <w:tcPr>
            <w:tcW w:w="166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411    </w:t>
            </w:r>
          </w:p>
        </w:tc>
      </w:tr>
    </w:tbl>
    <w:p>
      <w:pPr>
        <w:pStyle w:val="TextBody"/>
        <w:bidi w:val="0"/>
        <w:spacing w:lineRule="auto" w:line="333" w:before="0" w:after="0"/>
        <w:jc w:val="center"/>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98145"/>
                <wp:effectExtent l="0" t="0" r="0" b="0"/>
                <wp:wrapNone/>
                <wp:docPr id="58" name="Frame56"/>
                <a:graphic xmlns:a="http://schemas.openxmlformats.org/drawingml/2006/main">
                  <a:graphicData uri="http://schemas.microsoft.com/office/word/2010/wordprocessingShape">
                    <wps:wsp>
                      <wps:cNvSpPr txBox="1"/>
                      <wps:spPr>
                        <a:xfrm>
                          <a:off x="0" y="0"/>
                          <a:ext cx="6480175" cy="398145"/>
                        </a:xfrm>
                        <a:prstGeom prst="rect"/>
                        <a:solidFill>
                          <a:srgbClr val="FFFFFF"/>
                        </a:solidFill>
                      </wps:spPr>
                      <wps:txbx>
                        <w:txbxContent>
                          <w:p>
                            <w:pPr>
                              <w:pStyle w:val="TextBody"/>
                              <w:bidi w:val="0"/>
                              <w:spacing w:before="60" w:after="60"/>
                              <w:jc w:val="center"/>
                              <w:rPr/>
                            </w:pPr>
                            <w:r>
                              <w:rPr/>
                            </w:r>
                            <w:r>
                              <w:br w:type="page"/>
                            </w:r>
                          </w:p>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53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60" w:after="60"/>
        <w:jc w:val="center"/>
        <w:rPr/>
      </w:pPr>
      <w:r>
        <w:rPr/>
      </w:r>
    </w:p>
    <w:p>
      <w:pPr>
        <w:pStyle w:val="TextBody"/>
        <w:bidi w:val="0"/>
        <w:spacing w:before="60" w:after="60"/>
        <w:jc w:val="center"/>
        <w:rPr/>
      </w:pPr>
      <w:r>
        <w:rPr/>
      </w:r>
    </w:p>
    <w:p>
      <w:pPr>
        <w:pStyle w:val="TextBody"/>
        <w:bidi w:val="0"/>
        <w:spacing w:lineRule="auto" w:line="333" w:before="60" w:after="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98145"/>
                <wp:effectExtent l="0" t="0" r="0" b="0"/>
                <wp:wrapNone/>
                <wp:docPr id="59" name="Frame57"/>
                <a:graphic xmlns:a="http://schemas.openxmlformats.org/drawingml/2006/main">
                  <a:graphicData uri="http://schemas.microsoft.com/office/word/2010/wordprocessingShape">
                    <wps:wsp>
                      <wps:cNvSpPr txBox="1"/>
                      <wps:spPr>
                        <a:xfrm>
                          <a:off x="0" y="0"/>
                          <a:ext cx="6480175" cy="398145"/>
                        </a:xfrm>
                        <a:prstGeom prst="rect"/>
                        <a:solidFill>
                          <a:srgbClr val="FFFFFF"/>
                        </a:solidFill>
                      </wps:spPr>
                      <wps:txbx>
                        <w:txbxContent>
                          <w:p>
                            <w:pPr>
                              <w:pStyle w:val="TextBody"/>
                              <w:bidi w:val="0"/>
                              <w:spacing w:before="60" w:after="60"/>
                              <w:jc w:val="center"/>
                              <w:rPr/>
                            </w:pPr>
                            <w:r>
                              <w:rPr/>
                            </w:r>
                            <w:r>
                              <w:br w:type="page"/>
                            </w:r>
                          </w:p>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54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54"/>
        <w:gridCol w:w="2146"/>
        <w:gridCol w:w="2146"/>
        <w:gridCol w:w="596"/>
        <w:gridCol w:w="460"/>
        <w:gridCol w:w="437"/>
        <w:gridCol w:w="596"/>
        <w:gridCol w:w="446"/>
        <w:gridCol w:w="624"/>
      </w:tblGrid>
      <w:tr>
        <w:trPr/>
        <w:tc>
          <w:tcPr>
            <w:tcW w:w="2754"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WEATHERFORD INTERNATIONAL PLC AND SUBSIDIARIES</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BALANCE SHEETS</w:t>
            </w:r>
          </w:p>
        </w:tc>
      </w:tr>
      <w:tr>
        <w:trPr/>
        <w:tc>
          <w:tcPr>
            <w:tcW w:w="7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7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(Dollars and shares in millions, except par value)</w:t>
            </w:r>
          </w:p>
        </w:tc>
        <w:tc>
          <w:tcPr>
            <w:tcW w:w="14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0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Assets:</w:t>
            </w:r>
          </w:p>
        </w:tc>
        <w:tc>
          <w:tcPr>
            <w:tcW w:w="14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987    </w:t>
            </w:r>
          </w:p>
        </w:tc>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916    </w:t>
            </w:r>
          </w:p>
        </w:tc>
      </w:tr>
      <w:tr>
        <w:trPr/>
        <w:tc>
          <w:tcPr>
            <w:tcW w:w="7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55    </w:t>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59    </w:t>
            </w:r>
          </w:p>
        </w:tc>
      </w:tr>
      <w:tr>
        <w:trPr/>
        <w:tc>
          <w:tcPr>
            <w:tcW w:w="7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 of $10 at December 31, 2025 and $8 at December 31, 2024</w:t>
            </w:r>
          </w:p>
        </w:tc>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1,234    </w:t>
            </w:r>
          </w:p>
        </w:tc>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1,261    </w:t>
            </w:r>
          </w:p>
        </w:tc>
      </w:tr>
      <w:tr>
        <w:trPr/>
        <w:tc>
          <w:tcPr>
            <w:tcW w:w="7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836    </w:t>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880    </w:t>
            </w:r>
          </w:p>
        </w:tc>
      </w:tr>
      <w:tr>
        <w:trPr/>
        <w:tc>
          <w:tcPr>
            <w:tcW w:w="7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260    </w:t>
            </w:r>
          </w:p>
        </w:tc>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286    </w:t>
            </w:r>
          </w:p>
        </w:tc>
      </w:tr>
      <w:tr>
        <w:trPr/>
        <w:tc>
          <w:tcPr>
            <w:tcW w:w="70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4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3,372    </w:t>
            </w:r>
          </w:p>
        </w:tc>
        <w:tc>
          <w:tcPr>
            <w:tcW w:w="16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3,402    </w:t>
            </w:r>
          </w:p>
        </w:tc>
      </w:tr>
      <w:tr>
        <w:trPr/>
        <w:tc>
          <w:tcPr>
            <w:tcW w:w="7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 of Accumulated Depreciation of $1,150 at December 31, 2025 and $940 at December 31, 2024</w:t>
            </w:r>
          </w:p>
        </w:tc>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1,124    </w:t>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1,061    </w:t>
            </w:r>
          </w:p>
        </w:tc>
      </w:tr>
      <w:tr>
        <w:trPr/>
        <w:tc>
          <w:tcPr>
            <w:tcW w:w="70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Intangible Assets, Net of Accumulated Amortization of $828 at December 31, 2025 and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$793 at December 31, 2024</w:t>
            </w:r>
          </w:p>
        </w:tc>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285    </w:t>
            </w:r>
          </w:p>
        </w:tc>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325    </w:t>
            </w:r>
          </w:p>
        </w:tc>
      </w:tr>
      <w:tr>
        <w:trPr/>
        <w:tc>
          <w:tcPr>
            <w:tcW w:w="7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128    </w:t>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124    </w:t>
            </w:r>
          </w:p>
        </w:tc>
      </w:tr>
      <w:tr>
        <w:trPr/>
        <w:tc>
          <w:tcPr>
            <w:tcW w:w="7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288    </w:t>
            </w:r>
          </w:p>
        </w:tc>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247    </w:t>
            </w:r>
          </w:p>
        </w:tc>
      </w:tr>
      <w:tr>
        <w:trPr/>
        <w:tc>
          <w:tcPr>
            <w:tcW w:w="70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14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5,197    </w:t>
            </w:r>
          </w:p>
        </w:tc>
        <w:tc>
          <w:tcPr>
            <w:tcW w:w="16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5,159    </w:t>
            </w:r>
          </w:p>
        </w:tc>
      </w:tr>
      <w:tr>
        <w:trPr/>
        <w:tc>
          <w:tcPr>
            <w:tcW w:w="70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30    </w:t>
            </w:r>
          </w:p>
        </w:tc>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17    </w:t>
            </w:r>
          </w:p>
        </w:tc>
      </w:tr>
      <w:tr>
        <w:trPr/>
        <w:tc>
          <w:tcPr>
            <w:tcW w:w="7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650    </w:t>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792    </w:t>
            </w:r>
          </w:p>
        </w:tc>
      </w:tr>
      <w:tr>
        <w:trPr/>
        <w:tc>
          <w:tcPr>
            <w:tcW w:w="7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Salaries and Benefits</w:t>
            </w:r>
          </w:p>
        </w:tc>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285    </w:t>
            </w:r>
          </w:p>
        </w:tc>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302    </w:t>
            </w:r>
          </w:p>
        </w:tc>
      </w:tr>
      <w:tr>
        <w:trPr/>
        <w:tc>
          <w:tcPr>
            <w:tcW w:w="7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129    </w:t>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129    </w:t>
            </w:r>
          </w:p>
        </w:tc>
      </w:tr>
      <w:tr>
        <w:trPr/>
        <w:tc>
          <w:tcPr>
            <w:tcW w:w="7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48    </w:t>
            </w:r>
          </w:p>
        </w:tc>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44    </w:t>
            </w:r>
          </w:p>
        </w:tc>
      </w:tr>
      <w:tr>
        <w:trPr/>
        <w:tc>
          <w:tcPr>
            <w:tcW w:w="7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395    </w:t>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412    </w:t>
            </w:r>
          </w:p>
        </w:tc>
      </w:tr>
      <w:tr>
        <w:trPr/>
        <w:tc>
          <w:tcPr>
            <w:tcW w:w="70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4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1,537    </w:t>
            </w:r>
          </w:p>
        </w:tc>
        <w:tc>
          <w:tcPr>
            <w:tcW w:w="16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1,696    </w:t>
            </w:r>
          </w:p>
        </w:tc>
      </w:tr>
      <w:tr>
        <w:trPr/>
        <w:tc>
          <w:tcPr>
            <w:tcW w:w="70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1,455    </w:t>
            </w:r>
          </w:p>
        </w:tc>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1,617    </w:t>
            </w:r>
          </w:p>
        </w:tc>
      </w:tr>
      <w:tr>
        <w:trPr/>
        <w:tc>
          <w:tcPr>
            <w:tcW w:w="7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109    </w:t>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110    </w:t>
            </w:r>
          </w:p>
        </w:tc>
      </w:tr>
      <w:tr>
        <w:trPr/>
        <w:tc>
          <w:tcPr>
            <w:tcW w:w="7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Taxes Payable</w:t>
            </w:r>
          </w:p>
        </w:tc>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242    </w:t>
            </w:r>
          </w:p>
        </w:tc>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274    </w:t>
            </w:r>
          </w:p>
        </w:tc>
      </w:tr>
      <w:tr>
        <w:trPr/>
        <w:tc>
          <w:tcPr>
            <w:tcW w:w="7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158    </w:t>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179    </w:t>
            </w:r>
          </w:p>
        </w:tc>
      </w:tr>
      <w:tr>
        <w:trPr/>
        <w:tc>
          <w:tcPr>
            <w:tcW w:w="70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4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3,501    </w:t>
            </w:r>
          </w:p>
        </w:tc>
        <w:tc>
          <w:tcPr>
            <w:tcW w:w="16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3,876    </w:t>
            </w:r>
          </w:p>
        </w:tc>
      </w:tr>
      <w:tr>
        <w:trPr/>
        <w:tc>
          <w:tcPr>
            <w:tcW w:w="70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Shareholders’ Equity:</w:t>
            </w:r>
          </w:p>
        </w:tc>
        <w:tc>
          <w:tcPr>
            <w:tcW w:w="1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Ordinary Shares - Par value $0.001; Authorized 1,356, Issued and</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71.6 at December 31, 2025 and 72.1 at December 31, 2024</w:t>
            </w:r>
          </w:p>
        </w:tc>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    </w:t>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    </w:t>
            </w:r>
          </w:p>
        </w:tc>
      </w:tr>
      <w:tr>
        <w:trPr/>
        <w:tc>
          <w:tcPr>
            <w:tcW w:w="7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in Excess of Par Value</w:t>
            </w:r>
          </w:p>
        </w:tc>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2,815    </w:t>
            </w:r>
          </w:p>
        </w:tc>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2,921    </w:t>
            </w:r>
          </w:p>
        </w:tc>
      </w:tr>
      <w:tr>
        <w:trPr/>
        <w:tc>
          <w:tcPr>
            <w:tcW w:w="7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Deficit</w:t>
            </w:r>
          </w:p>
        </w:tc>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(1,129)</w:t>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(1,486)</w:t>
            </w:r>
          </w:p>
        </w:tc>
      </w:tr>
      <w:tr>
        <w:trPr/>
        <w:tc>
          <w:tcPr>
            <w:tcW w:w="7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13    </w:t>
            </w:r>
          </w:p>
        </w:tc>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(150)</w:t>
            </w:r>
          </w:p>
        </w:tc>
      </w:tr>
      <w:tr>
        <w:trPr/>
        <w:tc>
          <w:tcPr>
            <w:tcW w:w="70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Shareholders’ Equity</w:t>
            </w:r>
          </w:p>
        </w:tc>
        <w:tc>
          <w:tcPr>
            <w:tcW w:w="14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1,699    </w:t>
            </w:r>
          </w:p>
        </w:tc>
        <w:tc>
          <w:tcPr>
            <w:tcW w:w="16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1,285    </w:t>
            </w:r>
          </w:p>
        </w:tc>
      </w:tr>
      <w:tr>
        <w:trPr/>
        <w:tc>
          <w:tcPr>
            <w:tcW w:w="7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(3)</w:t>
            </w:r>
          </w:p>
        </w:tc>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(2)</w:t>
            </w:r>
          </w:p>
        </w:tc>
      </w:tr>
      <w:tr>
        <w:trPr/>
        <w:tc>
          <w:tcPr>
            <w:tcW w:w="70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Shareholders’ Equity</w:t>
            </w:r>
          </w:p>
        </w:tc>
        <w:tc>
          <w:tcPr>
            <w:tcW w:w="14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1,696    </w:t>
            </w:r>
          </w:p>
        </w:tc>
        <w:tc>
          <w:tcPr>
            <w:tcW w:w="16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1,283    </w:t>
            </w:r>
          </w:p>
        </w:tc>
      </w:tr>
      <w:tr>
        <w:trPr/>
        <w:tc>
          <w:tcPr>
            <w:tcW w:w="704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Shareholders’ Equity</w:t>
            </w:r>
          </w:p>
        </w:tc>
        <w:tc>
          <w:tcPr>
            <w:tcW w:w="149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5,197    </w:t>
            </w:r>
          </w:p>
        </w:tc>
        <w:tc>
          <w:tcPr>
            <w:tcW w:w="16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5,159    </w:t>
            </w:r>
          </w:p>
        </w:tc>
      </w:tr>
    </w:tbl>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98145"/>
                <wp:effectExtent l="0" t="0" r="0" b="0"/>
                <wp:wrapNone/>
                <wp:docPr id="60" name="Frame58"/>
                <a:graphic xmlns:a="http://schemas.openxmlformats.org/drawingml/2006/main">
                  <a:graphicData uri="http://schemas.microsoft.com/office/word/2010/wordprocessingShape">
                    <wps:wsp>
                      <wps:cNvSpPr txBox="1"/>
                      <wps:spPr>
                        <a:xfrm>
                          <a:off x="0" y="0"/>
                          <a:ext cx="6480175" cy="398145"/>
                        </a:xfrm>
                        <a:prstGeom prst="rect"/>
                        <a:solidFill>
                          <a:srgbClr val="FFFFFF"/>
                        </a:solidFill>
                      </wps:spPr>
                      <wps:txbx>
                        <w:txbxContent>
                          <w:p>
                            <w:pPr>
                              <w:pStyle w:val="TextBody"/>
                              <w:bidi w:val="0"/>
                              <w:spacing w:before="60" w:after="60"/>
                              <w:jc w:val="center"/>
                              <w:rPr/>
                            </w:pPr>
                            <w:r>
                              <w:rPr/>
                            </w:r>
                            <w:r>
                              <w:br w:type="page"/>
                            </w:r>
                          </w:p>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55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505" w:type="dxa"/>
        <w:jc w:val="left"/>
        <w:tblInd w:w="0" w:type="dxa"/>
        <w:tblLayout w:type="fixed"/>
        <w:tblCellMar>
          <w:top w:w="28" w:type="dxa"/>
          <w:left w:w="28" w:type="dxa"/>
          <w:bottom w:w="28" w:type="dxa"/>
          <w:right w:w="28" w:type="dxa"/>
        </w:tblCellMar>
      </w:tblPr>
      <w:tblGrid>
        <w:gridCol w:w="761"/>
        <w:gridCol w:w="234"/>
        <w:gridCol w:w="236"/>
        <w:gridCol w:w="275"/>
        <w:gridCol w:w="275"/>
        <w:gridCol w:w="276"/>
        <w:gridCol w:w="109"/>
        <w:gridCol w:w="109"/>
        <w:gridCol w:w="109"/>
        <w:gridCol w:w="304"/>
        <w:gridCol w:w="304"/>
        <w:gridCol w:w="218"/>
        <w:gridCol w:w="109"/>
        <w:gridCol w:w="109"/>
        <w:gridCol w:w="109"/>
        <w:gridCol w:w="510"/>
        <w:gridCol w:w="225"/>
        <w:gridCol w:w="226"/>
        <w:gridCol w:w="109"/>
        <w:gridCol w:w="109"/>
        <w:gridCol w:w="109"/>
        <w:gridCol w:w="310"/>
        <w:gridCol w:w="265"/>
        <w:gridCol w:w="266"/>
        <w:gridCol w:w="109"/>
        <w:gridCol w:w="109"/>
        <w:gridCol w:w="109"/>
        <w:gridCol w:w="435"/>
        <w:gridCol w:w="435"/>
        <w:gridCol w:w="436"/>
        <w:gridCol w:w="109"/>
        <w:gridCol w:w="109"/>
        <w:gridCol w:w="109"/>
        <w:gridCol w:w="440"/>
        <w:gridCol w:w="440"/>
        <w:gridCol w:w="441"/>
        <w:gridCol w:w="109"/>
        <w:gridCol w:w="109"/>
        <w:gridCol w:w="109"/>
        <w:gridCol w:w="360"/>
        <w:gridCol w:w="360"/>
        <w:gridCol w:w="511"/>
      </w:tblGrid>
      <w:tr>
        <w:trPr/>
        <w:tc>
          <w:tcPr>
            <w:tcW w:w="76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10505" w:type="dxa"/>
            <w:gridSpan w:val="4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WEATHERFORD INTERNATIONAL PLC AND SUBSIDIARIES</w:t>
            </w:r>
          </w:p>
        </w:tc>
      </w:tr>
      <w:tr>
        <w:trPr/>
        <w:tc>
          <w:tcPr>
            <w:tcW w:w="10505" w:type="dxa"/>
            <w:gridSpan w:val="4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STATEMENTS OF SHAREHOLDERS’ EQUITY</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(Dollars and shares in millions)</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Par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Capital In Excess of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Income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75" w:after="283"/>
              <w:jc w:val="center"/>
              <w:rPr>
                <w:rFonts w:ascii="Times New Roman;serif" w:hAnsi="Times New Roman;serif"/>
                <w:b/>
                <w:color w:val="000000"/>
                <w:sz w:val="18"/>
              </w:rPr>
            </w:pPr>
            <w:r>
              <w:rPr>
                <w:rFonts w:ascii="Times New Roman;serif" w:hAnsi="Times New Roman;serif"/>
                <w:b/>
                <w:color w:val="000000"/>
                <w:sz w:val="18"/>
              </w:rPr>
              <w:t>Accumulated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Other</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Comprehensive</w:t>
            </w:r>
          </w:p>
          <w:p>
            <w:pPr>
              <w:pStyle w:val="TableContents"/>
              <w:bidi w:val="0"/>
              <w:spacing w:lineRule="auto" w:line="240" w:before="0" w:after="30"/>
              <w:jc w:val="center"/>
              <w:rPr>
                <w:color w:val="000000"/>
              </w:rPr>
            </w:pPr>
            <w:r>
              <w:rPr>
                <w:color w:val="000000"/>
              </w:rPr>
              <w:t> </w:t>
            </w:r>
            <w:r>
              <w:rPr>
                <w:rFonts w:ascii="Times New Roman;serif" w:hAnsi="Times New Roman;serif"/>
                <w:b/>
                <w:color w:val="000000"/>
                <w:sz w:val="18"/>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Shareholders’ Equity</w:t>
            </w:r>
          </w:p>
        </w:tc>
      </w:tr>
      <w:tr>
        <w:trPr/>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2022</w:t>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18"/>
              </w:rPr>
            </w:pPr>
            <w:r>
              <w:rPr>
                <w:rFonts w:ascii="Times New Roman;serif" w:hAnsi="Times New Roman;serif"/>
                <w:b w:val="false"/>
                <w:color w:val="000000"/>
                <w:sz w:val="18"/>
              </w:rPr>
              <w:t>$    —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18"/>
              </w:rPr>
            </w:pPr>
            <w:r>
              <w:rPr>
                <w:rFonts w:ascii="Times New Roman;serif" w:hAnsi="Times New Roman;serif"/>
                <w:b w:val="false"/>
                <w:color w:val="000000"/>
                <w:sz w:val="18"/>
              </w:rPr>
              <w:t>$    2,928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18"/>
              </w:rPr>
            </w:pPr>
            <w:r>
              <w:rPr>
                <w:rFonts w:ascii="Times New Roman;serif" w:hAnsi="Times New Roman;serif"/>
                <w:b w:val="false"/>
                <w:color w:val="000000"/>
                <w:sz w:val="18"/>
              </w:rPr>
              <w:t>$    (2,371)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18"/>
              </w:rPr>
            </w:pPr>
            <w:r>
              <w:rPr>
                <w:rFonts w:ascii="Times New Roman;serif" w:hAnsi="Times New Roman;serif"/>
                <w:b w:val="false"/>
                <w:color w:val="000000"/>
                <w:sz w:val="18"/>
              </w:rPr>
              <w:t>$    (22)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18"/>
              </w:rPr>
            </w:pPr>
            <w:r>
              <w:rPr>
                <w:rFonts w:ascii="Times New Roman;serif" w:hAnsi="Times New Roman;serif"/>
                <w:b w:val="false"/>
                <w:color w:val="000000"/>
                <w:sz w:val="18"/>
              </w:rPr>
              <w:t>$    16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18"/>
              </w:rPr>
            </w:pPr>
            <w:r>
              <w:rPr>
                <w:rFonts w:ascii="Times New Roman;serif" w:hAnsi="Times New Roman;serif"/>
                <w:b w:val="false"/>
                <w:color w:val="000000"/>
                <w:sz w:val="18"/>
              </w:rPr>
              <w:t>$    551    </w:t>
            </w:r>
          </w:p>
        </w:tc>
      </w:tr>
      <w:tr>
        <w:trPr/>
        <w:tc>
          <w:tcPr>
            <w:tcW w:w="12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18"/>
              </w:rPr>
              <w:t>417    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18"/>
              </w:rPr>
              <w:t>32    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18"/>
              </w:rPr>
              <w:t>449    </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Awards, Granted and Vested, Net of Shares Withheld for Taxes</w:t>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(22)</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(6)</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(52)</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2    </w:t>
            </w:r>
          </w:p>
        </w:tc>
      </w:tr>
      <w:tr>
        <w:trPr/>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2023</w:t>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18"/>
              </w:rPr>
            </w:pPr>
            <w:r>
              <w:rPr>
                <w:rFonts w:ascii="Times New Roman;serif" w:hAnsi="Times New Roman;serif"/>
                <w:b w:val="false"/>
                <w:color w:val="000000"/>
                <w:sz w:val="18"/>
              </w:rPr>
              <w:t>$    —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18"/>
              </w:rPr>
            </w:pPr>
            <w:r>
              <w:rPr>
                <w:rFonts w:ascii="Times New Roman;serif" w:hAnsi="Times New Roman;serif"/>
                <w:b w:val="false"/>
                <w:color w:val="000000"/>
                <w:sz w:val="18"/>
              </w:rPr>
              <w:t>$    2,906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18"/>
              </w:rPr>
            </w:pPr>
            <w:r>
              <w:rPr>
                <w:rFonts w:ascii="Times New Roman;serif" w:hAnsi="Times New Roman;serif"/>
                <w:b w:val="false"/>
                <w:color w:val="000000"/>
                <w:sz w:val="18"/>
              </w:rPr>
              <w:t>$    (1,954)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18"/>
              </w:rPr>
            </w:pPr>
            <w:r>
              <w:rPr>
                <w:rFonts w:ascii="Times New Roman;serif" w:hAnsi="Times New Roman;serif"/>
                <w:b w:val="false"/>
                <w:color w:val="000000"/>
                <w:sz w:val="18"/>
              </w:rPr>
              <w:t>$    (28)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18"/>
              </w:rPr>
            </w:pPr>
            <w:r>
              <w:rPr>
                <w:rFonts w:ascii="Times New Roman;serif" w:hAnsi="Times New Roman;serif"/>
                <w:b w:val="false"/>
                <w:color w:val="000000"/>
                <w:sz w:val="18"/>
              </w:rPr>
              <w:t>$    (2)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18"/>
              </w:rPr>
            </w:pPr>
            <w:r>
              <w:rPr>
                <w:rFonts w:ascii="Times New Roman;serif" w:hAnsi="Times New Roman;serif"/>
                <w:b w:val="false"/>
                <w:color w:val="000000"/>
                <w:sz w:val="18"/>
              </w:rPr>
              <w:t>$    922    </w:t>
            </w:r>
          </w:p>
        </w:tc>
      </w:tr>
      <w:tr>
        <w:trPr/>
        <w:tc>
          <w:tcPr>
            <w:tcW w:w="12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18"/>
              </w:rPr>
              <w:t>506    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18"/>
              </w:rPr>
              <w:t>44    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18"/>
              </w:rPr>
              <w:t>550    </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Awards, Granted and Vested, Net of Shares Withheld for Taxes</w:t>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36    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36    </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Issued for Acquisitions</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79    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79    </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(122)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(122)</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18"/>
              </w:rPr>
              <w:t>Share Repurchases</w:t>
            </w:r>
            <w:r>
              <w:rPr>
                <w:rFonts w:ascii="Times New Roman;serif" w:hAnsi="Times New Roman;serif"/>
                <w:b w:val="false"/>
                <w:color w:val="000000"/>
                <w:sz w:val="12"/>
              </w:rPr>
              <w:t>(1)</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(100)</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18"/>
              </w:rPr>
              <w:t>Dividends Declared ($0.50 per share)</w:t>
            </w:r>
            <w:r>
              <w:rPr>
                <w:rFonts w:ascii="Times New Roman;serif" w:hAnsi="Times New Roman;serif"/>
                <w:b w:val="false"/>
                <w:color w:val="000000"/>
                <w:sz w:val="12"/>
              </w:rPr>
              <w:t>(2)</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(38)</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(39)</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(5)</w:t>
            </w:r>
          </w:p>
        </w:tc>
      </w:tr>
      <w:tr>
        <w:trPr/>
        <w:tc>
          <w:tcPr>
            <w:tcW w:w="12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5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18"/>
              </w:rPr>
            </w:pPr>
            <w:r>
              <w:rPr>
                <w:rFonts w:ascii="Times New Roman;serif" w:hAnsi="Times New Roman;serif"/>
                <w:b w:val="false"/>
                <w:color w:val="000000"/>
                <w:sz w:val="18"/>
              </w:rPr>
              <w:t>$    —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18"/>
              </w:rPr>
            </w:pPr>
            <w:r>
              <w:rPr>
                <w:rFonts w:ascii="Times New Roman;serif" w:hAnsi="Times New Roman;serif"/>
                <w:b w:val="false"/>
                <w:color w:val="000000"/>
                <w:sz w:val="18"/>
              </w:rPr>
              <w:t>$    2,921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18"/>
              </w:rPr>
            </w:pPr>
            <w:r>
              <w:rPr>
                <w:rFonts w:ascii="Times New Roman;serif" w:hAnsi="Times New Roman;serif"/>
                <w:b w:val="false"/>
                <w:color w:val="000000"/>
                <w:sz w:val="18"/>
              </w:rPr>
              <w:t>$    (1,486)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18"/>
              </w:rPr>
            </w:pPr>
            <w:r>
              <w:rPr>
                <w:rFonts w:ascii="Times New Roman;serif" w:hAnsi="Times New Roman;serif"/>
                <w:b w:val="false"/>
                <w:color w:val="000000"/>
                <w:sz w:val="18"/>
              </w:rPr>
              <w:t>$    (150)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18"/>
              </w:rPr>
            </w:pPr>
            <w:r>
              <w:rPr>
                <w:rFonts w:ascii="Times New Roman;serif" w:hAnsi="Times New Roman;serif"/>
                <w:b w:val="false"/>
                <w:color w:val="000000"/>
                <w:sz w:val="18"/>
              </w:rPr>
              <w:t>$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18"/>
              </w:rPr>
            </w:pPr>
            <w:r>
              <w:rPr>
                <w:rFonts w:ascii="Times New Roman;serif" w:hAnsi="Times New Roman;serif"/>
                <w:b w:val="false"/>
                <w:color w:val="000000"/>
                <w:sz w:val="18"/>
              </w:rPr>
              <w:t>$    1,283    </w:t>
            </w:r>
          </w:p>
        </w:tc>
      </w:tr>
      <w:tr>
        <w:trPr/>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18"/>
              </w:rPr>
              <w:t>431    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18"/>
              </w:rPr>
              <w:t>26    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18"/>
              </w:rPr>
              <w:t>457    </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Awards, Granted and Vested, Net of Shares Withheld for Taxes</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(4)</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163    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163    </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18"/>
              </w:rPr>
              <w:t>Share Repurchases</w:t>
            </w:r>
            <w:r>
              <w:rPr>
                <w:rFonts w:ascii="Times New Roman;serif" w:hAnsi="Times New Roman;serif"/>
                <w:b w:val="false"/>
                <w:color w:val="000000"/>
                <w:sz w:val="12"/>
              </w:rPr>
              <w:t>(1)</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(100)</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18"/>
              </w:rPr>
              <w:t>Dividends Declared ($1.00 per share)</w:t>
            </w:r>
            <w:r>
              <w:rPr>
                <w:rFonts w:ascii="Times New Roman;serif" w:hAnsi="Times New Roman;serif"/>
                <w:b w:val="false"/>
                <w:color w:val="000000"/>
                <w:sz w:val="12"/>
              </w:rPr>
              <w:t>(2)</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(74)</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(29)</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r>
      <w:tr>
        <w:trPr/>
        <w:tc>
          <w:tcPr>
            <w:tcW w:w="12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2025</w:t>
            </w:r>
          </w:p>
        </w:tc>
        <w:tc>
          <w:tcPr>
            <w:tcW w:w="5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18"/>
              </w:rPr>
            </w:pPr>
            <w:r>
              <w:rPr>
                <w:rFonts w:ascii="Times New Roman;serif" w:hAnsi="Times New Roman;serif"/>
                <w:b w:val="false"/>
                <w:color w:val="000000"/>
                <w:sz w:val="18"/>
              </w:rPr>
              <w:t>$    —    </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18"/>
              </w:rPr>
            </w:pPr>
            <w:r>
              <w:rPr>
                <w:rFonts w:ascii="Times New Roman;serif" w:hAnsi="Times New Roman;serif"/>
                <w:b w:val="false"/>
                <w:color w:val="000000"/>
                <w:sz w:val="18"/>
              </w:rPr>
              <w:t>$    2,815    </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18"/>
              </w:rPr>
            </w:pPr>
            <w:r>
              <w:rPr>
                <w:rFonts w:ascii="Times New Roman;serif" w:hAnsi="Times New Roman;serif"/>
                <w:b w:val="false"/>
                <w:color w:val="000000"/>
                <w:sz w:val="18"/>
              </w:rPr>
              <w:t>$    (1,129)</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18"/>
              </w:rPr>
            </w:pPr>
            <w:r>
              <w:rPr>
                <w:rFonts w:ascii="Times New Roman;serif" w:hAnsi="Times New Roman;serif"/>
                <w:b w:val="false"/>
                <w:color w:val="000000"/>
                <w:sz w:val="18"/>
              </w:rPr>
              <w:t>$    13    </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18"/>
              </w:rPr>
            </w:pPr>
            <w:r>
              <w:rPr>
                <w:rFonts w:ascii="Times New Roman;serif" w:hAnsi="Times New Roman;serif"/>
                <w:b w:val="false"/>
                <w:color w:val="000000"/>
                <w:sz w:val="18"/>
              </w:rPr>
              <w:t>$    (3)</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18"/>
              </w:rPr>
            </w:pPr>
            <w:r>
              <w:rPr>
                <w:rFonts w:ascii="Times New Roman;serif" w:hAnsi="Times New Roman;serif"/>
                <w:b w:val="false"/>
                <w:color w:val="000000"/>
                <w:sz w:val="18"/>
              </w:rPr>
              <w:t>$    1,696    </w:t>
            </w:r>
          </w:p>
        </w:tc>
      </w:tr>
      <w:tr>
        <w:trPr/>
        <w:tc>
          <w:tcPr>
            <w:tcW w:w="10505" w:type="dxa"/>
            <w:gridSpan w:val="4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15" w:after="3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Includes repurchased shares pending settlement.</w:t>
            </w:r>
          </w:p>
        </w:tc>
      </w:tr>
      <w:tr>
        <w:trPr/>
        <w:tc>
          <w:tcPr>
            <w:tcW w:w="10505" w:type="dxa"/>
            <w:gridSpan w:val="42"/>
            <w:tcBorders/>
            <w:shd w:fill="FFFF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 xml:space="preserve">Includes dividend equivalent rights on share-based awards. </w:t>
            </w:r>
          </w:p>
        </w:tc>
      </w:tr>
    </w:tbl>
    <w:p>
      <w:pPr>
        <w:pStyle w:val="TextBody"/>
        <w:bidi w:val="0"/>
        <w:spacing w:before="0" w:after="60"/>
        <w:jc w:val="center"/>
        <w:rPr/>
      </w:pPr>
      <w:r>
        <w:rPr/>
      </w:r>
    </w:p>
    <w:p>
      <w:pPr>
        <w:pStyle w:val="TextBody"/>
        <w:bidi w:val="0"/>
        <w:spacing w:before="0" w:after="60"/>
        <w:jc w:val="center"/>
        <w:rPr/>
      </w:pPr>
      <w:r>
        <w:rPr/>
      </w:r>
    </w:p>
    <w:p>
      <w:pPr>
        <w:pStyle w:val="TextBody"/>
        <w:bidi w:val="0"/>
        <w:spacing w:before="0" w:after="60"/>
        <w:jc w:val="center"/>
        <w:rPr/>
      </w:pPr>
      <w:r>
        <w:rPr/>
      </w:r>
    </w:p>
    <w:p>
      <w:pPr>
        <w:pStyle w:val="TextBody"/>
        <w:bidi w:val="0"/>
        <w:spacing w:before="0" w:after="60"/>
        <w:jc w:val="center"/>
        <w:rPr/>
      </w:pPr>
      <w:r>
        <w:rPr/>
      </w:r>
    </w:p>
    <w:p>
      <w:pPr>
        <w:pStyle w:val="TextBody"/>
        <w:bidi w:val="0"/>
        <w:spacing w:before="0" w:after="60"/>
        <w:jc w:val="center"/>
        <w:rPr/>
      </w:pPr>
      <w:r>
        <w:rPr/>
      </w:r>
    </w:p>
    <w:p>
      <w:pPr>
        <w:pStyle w:val="TextBody"/>
        <w:bidi w:val="0"/>
        <w:spacing w:before="0" w:after="6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98145"/>
                <wp:effectExtent l="0" t="0" r="0" b="0"/>
                <wp:wrapNone/>
                <wp:docPr id="61" name="Frame59"/>
                <a:graphic xmlns:a="http://schemas.openxmlformats.org/drawingml/2006/main">
                  <a:graphicData uri="http://schemas.microsoft.com/office/word/2010/wordprocessingShape">
                    <wps:wsp>
                      <wps:cNvSpPr txBox="1"/>
                      <wps:spPr>
                        <a:xfrm>
                          <a:off x="0" y="0"/>
                          <a:ext cx="6480175" cy="398145"/>
                        </a:xfrm>
                        <a:prstGeom prst="rect"/>
                        <a:solidFill>
                          <a:srgbClr val="FFFFFF"/>
                        </a:solidFill>
                      </wps:spPr>
                      <wps:txbx>
                        <w:txbxContent>
                          <w:p>
                            <w:pPr>
                              <w:pStyle w:val="TextBody"/>
                              <w:bidi w:val="0"/>
                              <w:spacing w:before="60" w:after="60"/>
                              <w:jc w:val="center"/>
                              <w:rPr/>
                            </w:pPr>
                            <w:r>
                              <w:rPr/>
                            </w:r>
                            <w:r>
                              <w:br w:type="page"/>
                            </w:r>
                          </w:p>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56</w:t>
                      </w:r>
                    </w:p>
                  </w:txbxContent>
                </v:textbox>
                <w10:wrap type="none"/>
              </v:rect>
            </w:pict>
          </mc:Fallback>
        </mc:AlternateContent>
      </w:r>
    </w:p>
    <w:p>
      <w:pPr>
        <w:pStyle w:val="TextBody"/>
        <w:bidi w:val="0"/>
        <w:spacing w:before="0" w:after="0"/>
        <w:jc w:val="left"/>
        <w:rPr/>
      </w:pPr>
      <w:r>
        <w:rPr/>
      </w:r>
    </w:p>
    <w:p>
      <w:pPr>
        <w:pStyle w:val="TextBody"/>
        <w:bidi w:val="0"/>
        <w:spacing w:before="0" w:after="60"/>
        <w:jc w:val="center"/>
        <w:rPr/>
      </w:pPr>
      <w:r>
        <w:rPr/>
      </w:r>
    </w:p>
    <w:p>
      <w:pPr>
        <w:pStyle w:val="TextBody"/>
        <w:bidi w:val="0"/>
        <w:spacing w:lineRule="auto" w:line="333" w:before="0" w:after="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98145"/>
                <wp:effectExtent l="0" t="0" r="0" b="0"/>
                <wp:wrapNone/>
                <wp:docPr id="62" name="Frame60"/>
                <a:graphic xmlns:a="http://schemas.openxmlformats.org/drawingml/2006/main">
                  <a:graphicData uri="http://schemas.microsoft.com/office/word/2010/wordprocessingShape">
                    <wps:wsp>
                      <wps:cNvSpPr txBox="1"/>
                      <wps:spPr>
                        <a:xfrm>
                          <a:off x="0" y="0"/>
                          <a:ext cx="6480175" cy="398145"/>
                        </a:xfrm>
                        <a:prstGeom prst="rect"/>
                        <a:solidFill>
                          <a:srgbClr val="FFFFFF"/>
                        </a:solidFill>
                      </wps:spPr>
                      <wps:txbx>
                        <w:txbxContent>
                          <w:p>
                            <w:pPr>
                              <w:pStyle w:val="TextBody"/>
                              <w:bidi w:val="0"/>
                              <w:spacing w:before="60" w:after="60"/>
                              <w:jc w:val="center"/>
                              <w:rPr/>
                            </w:pPr>
                            <w:r>
                              <w:rPr/>
                            </w:r>
                            <w:r>
                              <w:br w:type="page"/>
                            </w:r>
                          </w:p>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57</w:t>
                      </w:r>
                    </w:p>
                  </w:txbxContent>
                </v:textbox>
                <w10:wrap type="none"/>
              </v:rect>
            </w:pict>
          </mc:Fallback>
        </mc:AlternateContent>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98145"/>
                <wp:effectExtent l="0" t="0" r="0" b="0"/>
                <wp:wrapNone/>
                <wp:docPr id="63" name="Frame61"/>
                <a:graphic xmlns:a="http://schemas.openxmlformats.org/drawingml/2006/main">
                  <a:graphicData uri="http://schemas.microsoft.com/office/word/2010/wordprocessingShape">
                    <wps:wsp>
                      <wps:cNvSpPr txBox="1"/>
                      <wps:spPr>
                        <a:xfrm>
                          <a:off x="0" y="0"/>
                          <a:ext cx="6480175" cy="398145"/>
                        </a:xfrm>
                        <a:prstGeom prst="rect"/>
                        <a:solidFill>
                          <a:srgbClr val="FFFFFF"/>
                        </a:solidFill>
                      </wps:spPr>
                      <wps:txbx>
                        <w:txbxContent>
                          <w:p>
                            <w:pPr>
                              <w:pStyle w:val="TextBody"/>
                              <w:bidi w:val="0"/>
                              <w:spacing w:before="60" w:after="60"/>
                              <w:jc w:val="center"/>
                              <w:rPr/>
                            </w:pPr>
                            <w:r>
                              <w:rPr/>
                            </w:r>
                            <w:r>
                              <w:br w:type="page"/>
                            </w:r>
                          </w:p>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58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341"/>
        <w:gridCol w:w="1971"/>
        <w:gridCol w:w="1965"/>
        <w:gridCol w:w="432"/>
        <w:gridCol w:w="426"/>
        <w:gridCol w:w="390"/>
        <w:gridCol w:w="432"/>
        <w:gridCol w:w="422"/>
        <w:gridCol w:w="390"/>
        <w:gridCol w:w="432"/>
        <w:gridCol w:w="423"/>
        <w:gridCol w:w="581"/>
      </w:tblGrid>
      <w:tr>
        <w:trPr/>
        <w:tc>
          <w:tcPr>
            <w:tcW w:w="23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WEATHERFORD INTERNATIONAL PLC AND SUBSIDIARIES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STATEMENTS OF CASH FLOWS</w:t>
            </w:r>
          </w:p>
        </w:tc>
      </w:tr>
      <w:tr>
        <w:trPr/>
        <w:tc>
          <w:tcPr>
            <w:tcW w:w="6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6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(Dollars in millions)</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62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18"/>
              </w:rPr>
            </w:pPr>
            <w:r>
              <w:rPr>
                <w:rFonts w:ascii="Times New Roman;serif" w:hAnsi="Times New Roman;serif"/>
                <w:b w:val="false"/>
                <w:color w:val="000000"/>
                <w:sz w:val="18"/>
              </w:rPr>
              <w:t>$    457    </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18"/>
              </w:rPr>
            </w:pPr>
            <w:r>
              <w:rPr>
                <w:rFonts w:ascii="Times New Roman;serif" w:hAnsi="Times New Roman;serif"/>
                <w:b w:val="false"/>
                <w:color w:val="000000"/>
                <w:sz w:val="18"/>
              </w:rPr>
              <w:t>$    550    </w:t>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18"/>
              </w:rPr>
            </w:pPr>
            <w:r>
              <w:rPr>
                <w:rFonts w:ascii="Times New Roman;serif" w:hAnsi="Times New Roman;serif"/>
                <w:b w:val="false"/>
                <w:color w:val="000000"/>
                <w:sz w:val="18"/>
              </w:rPr>
              <w:t>$    449    </w:t>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267    </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343    </w:t>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327    </w:t>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Losses</w:t>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45    </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56    </w:t>
            </w:r>
          </w:p>
        </w:tc>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116    </w:t>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Blue Chip Swap Securities</w:t>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2    </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10    </w:t>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57    </w:t>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Disposition of Assets</w:t>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(9)</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(35)</w:t>
            </w:r>
          </w:p>
        </w:tc>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(9)</w:t>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Business</w:t>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(70)</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(2)</w:t>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Provision (Benefit)</w:t>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(14)</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8    </w:t>
            </w:r>
          </w:p>
        </w:tc>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(86)</w:t>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38    </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45    </w:t>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35    </w:t>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Accounts Receivable, Inventory, Accounts Payable and Accrued Salaries and Benefits:</w:t>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75    </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(31)</w:t>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(221)</w:t>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24    </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(112)</w:t>
            </w:r>
          </w:p>
        </w:tc>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(114)</w:t>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(131)</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97    </w:t>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231    </w:t>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Salaries and Benefits</w:t>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(24)</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(74)</w:t>
            </w:r>
          </w:p>
        </w:tc>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20    </w:t>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Changes, Net</w:t>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16    </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(65)</w:t>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29    </w:t>
            </w:r>
          </w:p>
        </w:tc>
      </w:tr>
      <w:tr>
        <w:trPr/>
        <w:tc>
          <w:tcPr>
            <w:tcW w:w="62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12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    676    </w:t>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    792    </w:t>
            </w:r>
          </w:p>
        </w:tc>
        <w:tc>
          <w:tcPr>
            <w:tcW w:w="1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    832    </w:t>
            </w:r>
          </w:p>
        </w:tc>
      </w:tr>
      <w:tr>
        <w:trPr/>
        <w:tc>
          <w:tcPr>
            <w:tcW w:w="62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 for Property, Plant and Equipment</w:t>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18"/>
              </w:rPr>
            </w:pPr>
            <w:r>
              <w:rPr>
                <w:rFonts w:ascii="Times New Roman;serif" w:hAnsi="Times New Roman;serif"/>
                <w:b w:val="false"/>
                <w:color w:val="000000"/>
                <w:sz w:val="18"/>
              </w:rPr>
              <w:t>$    (226)</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18"/>
              </w:rPr>
            </w:pPr>
            <w:r>
              <w:rPr>
                <w:rFonts w:ascii="Times New Roman;serif" w:hAnsi="Times New Roman;serif"/>
                <w:b w:val="false"/>
                <w:color w:val="000000"/>
                <w:sz w:val="18"/>
              </w:rPr>
              <w:t>$    (299)</w:t>
            </w:r>
          </w:p>
        </w:tc>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18"/>
              </w:rPr>
            </w:pPr>
            <w:r>
              <w:rPr>
                <w:rFonts w:ascii="Times New Roman;serif" w:hAnsi="Times New Roman;serif"/>
                <w:b w:val="false"/>
                <w:color w:val="000000"/>
                <w:sz w:val="18"/>
              </w:rPr>
              <w:t>$    (209)</w:t>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Disposition of Assets</w:t>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16    </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31    </w:t>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28    </w:t>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Business</w:t>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97    </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Blue Chip Swap Securities</w:t>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(117)</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(50)</w:t>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(110)</w:t>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Blue Chip Swap Securities</w:t>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18"/>
              </w:rPr>
              <w:t>115    </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18"/>
              </w:rPr>
              <w:t>40    </w:t>
            </w:r>
          </w:p>
        </w:tc>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18"/>
              </w:rPr>
              <w:t>53    </w:t>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Acquisitions, Net of Cash Acquired</w:t>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    </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18"/>
              </w:rPr>
              <w:t>(51)</w:t>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18"/>
              </w:rPr>
              <w:t>(4)</w:t>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Investments</w:t>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    </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18"/>
              </w:rPr>
              <w:t>41    </w:t>
            </w:r>
          </w:p>
        </w:tc>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    </w:t>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w:t>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18"/>
              </w:rPr>
              <w:t>(30)</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18"/>
              </w:rPr>
              <w:t>(5)</w:t>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18"/>
              </w:rPr>
              <w:t>(47)</w:t>
            </w:r>
          </w:p>
        </w:tc>
      </w:tr>
      <w:tr>
        <w:trPr/>
        <w:tc>
          <w:tcPr>
            <w:tcW w:w="62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12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    (145)</w:t>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    (293)</w:t>
            </w:r>
          </w:p>
        </w:tc>
        <w:tc>
          <w:tcPr>
            <w:tcW w:w="1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    (289)</w:t>
            </w:r>
          </w:p>
        </w:tc>
      </w:tr>
      <w:tr>
        <w:trPr/>
        <w:tc>
          <w:tcPr>
            <w:tcW w:w="62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Borrowings of Long-term Debt</w:t>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18"/>
              </w:rPr>
            </w:pPr>
            <w:r>
              <w:rPr>
                <w:rFonts w:ascii="Times New Roman;serif" w:hAnsi="Times New Roman;serif"/>
                <w:b w:val="false"/>
                <w:color w:val="000000"/>
                <w:sz w:val="18"/>
              </w:rPr>
              <w:t>$    1,200    </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18"/>
              </w:rPr>
            </w:pPr>
            <w:r>
              <w:rPr>
                <w:rFonts w:ascii="Times New Roman;serif" w:hAnsi="Times New Roman;serif"/>
                <w:b w:val="false"/>
                <w:color w:val="000000"/>
                <w:sz w:val="18"/>
              </w:rPr>
              <w:t>$    —    </w:t>
            </w:r>
          </w:p>
        </w:tc>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18"/>
              </w:rPr>
            </w:pPr>
            <w:r>
              <w:rPr>
                <w:rFonts w:ascii="Times New Roman;serif" w:hAnsi="Times New Roman;serif"/>
                <w:b w:val="false"/>
                <w:color w:val="000000"/>
                <w:sz w:val="18"/>
              </w:rPr>
              <w:t>$    —    </w:t>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Debt Issuance Costs</w:t>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(18)</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Repayments of Long-term Debt</w:t>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(1,388)</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(287)</w:t>
            </w:r>
          </w:p>
        </w:tc>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(386)</w:t>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Distributions to Noncontrolling Interests</w:t>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(29)</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(39)</w:t>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(52)</w:t>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Remittance on Equity Awards</w:t>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(21)</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(31)</w:t>
            </w:r>
          </w:p>
        </w:tc>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(56)</w:t>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Repurchases</w:t>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(101)</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(99)</w:t>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w:t>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(72)</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(36)</w:t>
            </w:r>
          </w:p>
        </w:tc>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Other Financing Activities</w:t>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(45)</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(19)</w:t>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18"/>
              </w:rPr>
              <w:t>(20)</w:t>
            </w:r>
          </w:p>
        </w:tc>
      </w:tr>
      <w:tr>
        <w:trPr/>
        <w:tc>
          <w:tcPr>
            <w:tcW w:w="62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12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    (474)</w:t>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    (511)</w:t>
            </w:r>
          </w:p>
        </w:tc>
        <w:tc>
          <w:tcPr>
            <w:tcW w:w="1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    (514)</w:t>
            </w:r>
          </w:p>
        </w:tc>
      </w:tr>
      <w:tr>
        <w:trPr/>
        <w:tc>
          <w:tcPr>
            <w:tcW w:w="62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12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18"/>
              </w:rPr>
              <w:t>10    </w:t>
            </w:r>
          </w:p>
        </w:tc>
        <w:tc>
          <w:tcPr>
            <w:tcW w:w="12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18"/>
              </w:rPr>
              <w:t>(76)</w:t>
            </w:r>
          </w:p>
        </w:tc>
        <w:tc>
          <w:tcPr>
            <w:tcW w:w="14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18"/>
              </w:rPr>
              <w:t>(78)</w:t>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Increase (Decrease) in Cash, Cash Equivalents and Restricted Cash</w:t>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18"/>
              </w:rPr>
              <w:t>67    </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18"/>
              </w:rPr>
              <w:t>(88)</w:t>
            </w:r>
          </w:p>
        </w:tc>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18"/>
              </w:rPr>
              <w:t>(49)</w:t>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18"/>
              </w:rPr>
              <w:t>975    </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18"/>
              </w:rPr>
              <w:t>1,063    </w:t>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18"/>
              </w:rPr>
              <w:t>1,112    </w:t>
            </w:r>
          </w:p>
        </w:tc>
      </w:tr>
      <w:tr>
        <w:trPr/>
        <w:tc>
          <w:tcPr>
            <w:tcW w:w="62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12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    1,042    </w:t>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    975    </w:t>
            </w:r>
          </w:p>
        </w:tc>
        <w:tc>
          <w:tcPr>
            <w:tcW w:w="1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    1,063    </w:t>
            </w:r>
          </w:p>
        </w:tc>
      </w:tr>
      <w:tr>
        <w:trPr/>
        <w:tc>
          <w:tcPr>
            <w:tcW w:w="627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Cash Flow Information</w:t>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Paid</w:t>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    125    </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    153    </w:t>
            </w:r>
          </w:p>
        </w:tc>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    181    </w:t>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Paid, Net of Refunds</w:t>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    157    </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    168    </w:t>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    132    </w:t>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Noncash Information:</w:t>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895,119 Ordinary Shares Issued for Acquisitions</w:t>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    —    </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    79    </w:t>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    —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98145"/>
                <wp:effectExtent l="0" t="0" r="0" b="0"/>
                <wp:wrapNone/>
                <wp:docPr id="64" name="Frame62"/>
                <a:graphic xmlns:a="http://schemas.openxmlformats.org/drawingml/2006/main">
                  <a:graphicData uri="http://schemas.microsoft.com/office/word/2010/wordprocessingShape">
                    <wps:wsp>
                      <wps:cNvSpPr txBox="1"/>
                      <wps:spPr>
                        <a:xfrm>
                          <a:off x="0" y="0"/>
                          <a:ext cx="6480175" cy="398145"/>
                        </a:xfrm>
                        <a:prstGeom prst="rect"/>
                        <a:solidFill>
                          <a:srgbClr val="FFFFFF"/>
                        </a:solidFill>
                      </wps:spPr>
                      <wps:txbx>
                        <w:txbxContent>
                          <w:p>
                            <w:pPr>
                              <w:pStyle w:val="TextBody"/>
                              <w:bidi w:val="0"/>
                              <w:spacing w:before="60" w:after="60"/>
                              <w:jc w:val="center"/>
                              <w:rPr/>
                            </w:pPr>
                            <w:r>
                              <w:rPr/>
                            </w:r>
                            <w:r>
                              <w:br w:type="page"/>
                            </w:r>
                          </w:p>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59</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center"/>
        <w:rPr/>
      </w:pPr>
      <w:r>
        <w:rPr>
          <w:color w:val="000000"/>
        </w:rPr>
        <w:t> </w:t>
      </w:r>
      <w:r>
        <w:rPr>
          <w:rFonts w:ascii="Times New Roman;serif" w:hAnsi="Times New Roman;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98145"/>
                <wp:effectExtent l="0" t="0" r="0" b="0"/>
                <wp:wrapNone/>
                <wp:docPr id="65" name="Frame63"/>
                <a:graphic xmlns:a="http://schemas.openxmlformats.org/drawingml/2006/main">
                  <a:graphicData uri="http://schemas.microsoft.com/office/word/2010/wordprocessingShape">
                    <wps:wsp>
                      <wps:cNvSpPr txBox="1"/>
                      <wps:spPr>
                        <a:xfrm>
                          <a:off x="0" y="0"/>
                          <a:ext cx="6480175" cy="398145"/>
                        </a:xfrm>
                        <a:prstGeom prst="rect"/>
                        <a:solidFill>
                          <a:srgbClr val="FFFFFF"/>
                        </a:solidFill>
                      </wps:spPr>
                      <wps:txbx>
                        <w:txbxContent>
                          <w:p>
                            <w:pPr>
                              <w:pStyle w:val="TextBody"/>
                              <w:bidi w:val="0"/>
                              <w:spacing w:before="60" w:after="60"/>
                              <w:jc w:val="center"/>
                              <w:rPr/>
                            </w:pPr>
                            <w:r>
                              <w:rPr/>
                            </w:r>
                            <w:r>
                              <w:br w:type="page"/>
                            </w:r>
                          </w:p>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60</w:t>
                      </w:r>
                    </w:p>
                  </w:txbxContent>
                </v:textbox>
                <w10:wrap type="none"/>
              </v:rect>
            </w:pict>
          </mc:Fallback>
        </mc:AlternateContent>
      </w:r>
    </w:p>
    <w:p>
      <w:pPr>
        <w:pStyle w:val="TextBody"/>
        <w:bidi w:val="0"/>
        <w:spacing w:lineRule="auto" w:line="333" w:before="0" w:after="0"/>
        <w:jc w:val="left"/>
        <w:rPr>
          <w:color w:val="000000"/>
        </w:rPr>
      </w:pPr>
      <w:r>
        <w:rPr>
          <w:color w:val="000000"/>
        </w:rPr>
        <w:t>    </w:t>
      </w:r>
      <w:r>
        <w:rPr>
          <w:rFonts w:ascii="Times New Roman;serif" w:hAnsi="Times New Roman;serif"/>
          <w:b w:val="false"/>
          <w:color w:val="000000"/>
          <w:sz w:val="20"/>
        </w:rPr>
        <w:t>Item 8 | Notes to the Consolidated Financial Statements</w:t>
      </w:r>
    </w:p>
    <w:p>
      <w:pPr>
        <w:pStyle w:val="TextBody"/>
        <w:bidi w:val="0"/>
        <w:spacing w:lineRule="auto" w:line="333" w:before="0" w:after="60"/>
        <w:jc w:val="center"/>
        <w:rPr>
          <w:rFonts w:ascii="Times New Roman;serif" w:hAnsi="Times New Roman;serif"/>
          <w:b/>
          <w:color w:val="000000"/>
          <w:sz w:val="20"/>
        </w:rPr>
      </w:pPr>
      <w:r>
        <w:rPr>
          <w:rFonts w:ascii="Times New Roman;serif" w:hAnsi="Times New Roman;serif"/>
          <w:b/>
          <w:color w:val="000000"/>
          <w:sz w:val="20"/>
        </w:rPr>
        <w:t>WEATHERFORD INTERNATIONAL PLC AND SUBSIDIARIES</w:t>
      </w:r>
    </w:p>
    <w:p>
      <w:pPr>
        <w:pStyle w:val="TextBody"/>
        <w:bidi w:val="0"/>
        <w:spacing w:lineRule="auto" w:line="333"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1 – Summary of Significant Accounting Policies</w:t>
      </w:r>
    </w:p>
    <w:p>
      <w:pPr>
        <w:pStyle w:val="TextBody"/>
        <w:bidi w:val="0"/>
        <w:spacing w:lineRule="auto" w:line="333" w:before="0" w:after="0"/>
        <w:ind w:left="0" w:right="0" w:firstLine="360"/>
        <w:jc w:val="both"/>
        <w:rPr>
          <w:color w:val="000000"/>
        </w:rPr>
      </w:pPr>
      <w:r>
        <w:rPr>
          <w:color w:val="000000"/>
        </w:rPr>
        <w:t> </w:t>
      </w:r>
    </w:p>
    <w:p>
      <w:pPr>
        <w:pStyle w:val="TextBody"/>
        <w:bidi w:val="0"/>
        <w:spacing w:lineRule="auto" w:line="333"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Organization and Nature of Operations</w:t>
      </w:r>
    </w:p>
    <w:p>
      <w:pPr>
        <w:pStyle w:val="TextBody"/>
        <w:bidi w:val="0"/>
        <w:spacing w:lineRule="auto" w:line="333" w:before="0" w:after="0"/>
        <w:ind w:left="0" w:right="0" w:firstLine="360"/>
        <w:jc w:val="both"/>
        <w:rPr>
          <w:color w:val="000000"/>
        </w:rPr>
      </w:pPr>
      <w:r>
        <w:rPr>
          <w:color w:val="000000"/>
        </w:rPr>
        <w:t> </w:t>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Weatherford International plc (“Weatherford Ireland”), an Irish public limited company, together with its subsidiaries (“Weatherford,” the “Company,” “we,” “us” and “our”), is a multinational energy services company. Weatherford is one of the world’s leading providers of equipment and services used in the drilling, evaluation, completion, production and intervention of oil, geothermal and natural gas wells. We conduct business in approximately 75 countries and have service and sales locations in oil and natural gas producing regions globally. </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Basis of Presentation and Principles of Consolidation</w:t>
      </w:r>
    </w:p>
    <w:p>
      <w:pPr>
        <w:pStyle w:val="TextBody"/>
        <w:bidi w:val="0"/>
        <w:spacing w:before="0" w:after="0"/>
        <w:jc w:val="left"/>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of the Company have been prepared in accordance with accounting principles generally accepted in the United States of America (“U.S. GAAP”) and pursuant to the rules and regulations of the Exchange Act for annual financial information. We consolidate all wholly owned subsidiaries and controlled joint ventures and eliminate intercompany balances in consolidation.</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reclassifications have been made to the financial statements and accompanying footnotes to conform to the Company’s current period presentation.</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before="0" w:after="0"/>
        <w:jc w:val="left"/>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U.S. GAAP requires management to make estimates and assumptions that affect the reported amounts of assets and liabilities at the date of the financial statements, the reported amounts of revenues and expenses during the reporting period, and disclosure of contingent liabilities. On an on-going basis, we evaluate our estimates and assumptions, including those related to allowance for credit losses, inventory valuation reserves, recoverability of long-lived assets, useful lives used in depreciation and amortization, income taxes and related valuation allowance, accruals for contingencies, valuation of derivative financial instruments, actuarial assumptions to determine costs and liabilities related to employee benefit plans, and share-based compensation.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those estimates. </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before="0" w:after="0"/>
        <w:jc w:val="left"/>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consider all highly liquid investments with original maturities of three months or less to be cash equivalents. </w:t>
      </w:r>
    </w:p>
    <w:p>
      <w:pPr>
        <w:pStyle w:val="TextBody"/>
        <w:bidi w:val="0"/>
        <w:spacing w:before="0" w:after="0"/>
        <w:jc w:val="left"/>
        <w:rPr/>
      </w:pPr>
      <w:r>
        <w:rPr/>
      </w:r>
    </w:p>
    <w:p>
      <w:pPr>
        <w:pStyle w:val="TextBody"/>
        <w:bidi w:val="0"/>
        <w:spacing w:lineRule="auto" w:line="333"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restricted cash balance of $55 million at December 31, 2025 and $59 million at December 31, 2024 primarily includes cash collateral for certain of our letters of credit facilities.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61</w:t>
                      </w:r>
                    </w:p>
                  </w:txbxContent>
                </v:textbox>
                <w10:wrap type="none"/>
              </v:rect>
            </w:pict>
          </mc:Fallback>
        </mc:AlternateContent>
      </w:r>
    </w:p>
    <w:p>
      <w:pPr>
        <w:pStyle w:val="TextBody"/>
        <w:bidi w:val="0"/>
        <w:spacing w:lineRule="auto" w:line="333" w:before="0" w:after="0"/>
        <w:jc w:val="left"/>
        <w:rPr>
          <w:color w:val="000000"/>
        </w:rPr>
      </w:pPr>
      <w:r>
        <w:rPr>
          <w:color w:val="000000"/>
        </w:rPr>
        <w:t>    </w:t>
      </w:r>
      <w:r>
        <w:rPr>
          <w:rFonts w:ascii="Times New Roman;serif" w:hAnsi="Times New Roman;serif"/>
          <w:b w:val="false"/>
          <w:color w:val="000000"/>
          <w:sz w:val="20"/>
        </w:rPr>
        <w:t>Item 8 | Notes to the Consolidated Financial Statements</w:t>
      </w:r>
    </w:p>
    <w:p>
      <w:pPr>
        <w:pStyle w:val="TextBody"/>
        <w:bidi w:val="0"/>
        <w:spacing w:lineRule="auto" w:line="333"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Accounts Receivables and Allowance for Credit Losses </w:t>
      </w:r>
    </w:p>
    <w:p>
      <w:pPr>
        <w:pStyle w:val="TextBody"/>
        <w:bidi w:val="0"/>
        <w:spacing w:before="0" w:after="0"/>
        <w:jc w:val="left"/>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Substantially all of our customers are in fossil fuel-related industries and thus this concentration of customers may impact our overall exposure to credit risk, either positively or negatively, in that customers may be similarly affected by changes in economic and industry conditions. We perform periodic credit evaluations of our customers and do not generally require collateral in support of our trade receivables. </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establish an allowance for credit losses based on various factors, including historical experience, current conditions and environments in which our customers operate, the aging status and reasonable and supportable forecasts. The determination of the collectability requires us to use estimates and make judgments regarding future events and trends, including monitoring our customers’ payment history and current creditworthiness, as well as consideration of the overall business and political climate in which our customers operate. Risk profiles can vary between larger and smaller independent customers as well as between state-owned customers. Account balances are charged against the allowance after all means of collection have been exhausted and the potential for recovery is considered remote. </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December 31, 2024, Mexico accounted for 27% and 31% of our total net outstanding accounts receivables, respectively, of which our largest customer in the country accounted for 24% and 26% of our total net outstanding accounts receivables, respectively. Our largest customer in Mexico has a history of making late payments and, in more recent periods, has utilized third-party financial institutions to pay certain of our receivables. The balances due are not in dispute, however additional or continued delays in customer payments in the future could differ from historical practice and management’s current expectations, and delays or failures to pay or defaults, if any, could negatively impact future results of the Company.</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twelve months ended December 31, 2025 and December 31, 2024 we paid an immaterial amount of fees to third-party financial institutions related to collections of certain receivables from our largest customer in Mexico. Pursuant to such arrangements, we received $93 million during the twelve months ended December 31, 2025 and $484 million during the twelve months ended December 31, 2024.</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December 31, 2024, the U.S. accounted for 11% and less than 10% of our total net accounts receivables, respectively. No other country or individual customer accounted for more than 10% of our total net outstanding accounts receivables. </w:t>
      </w:r>
    </w:p>
    <w:p>
      <w:pPr>
        <w:pStyle w:val="TextBody"/>
        <w:bidi w:val="0"/>
        <w:spacing w:before="0" w:after="0"/>
        <w:jc w:val="left"/>
        <w:rPr/>
      </w:pPr>
      <w:r>
        <w:rPr/>
      </w:r>
    </w:p>
    <w:p>
      <w:pPr>
        <w:pStyle w:val="TextBody"/>
        <w:bidi w:val="0"/>
        <w:spacing w:lineRule="auto" w:line="333"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Inventories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state our inventories at the lower of cost or net realizable value using either the first-in, first-out (“FIFO”) or average cost method. Cost represents third-party invoice or production cost, which include materials, labor and applicable overhead. To maintain a carrying value that is the lower of cost or net realizable value, we regularly review inventory quantities on hand and compare to estimates of future product demand, market conditions, our production requirements, and technological developments. We maintain reserves for excess, slow moving and obsolete inventory and we may record additional charges when items are determined to have no forecasted demand. </w:t>
      </w:r>
    </w:p>
    <w:p>
      <w:pPr>
        <w:pStyle w:val="TextBody"/>
        <w:bidi w:val="0"/>
        <w:spacing w:before="0" w:after="0"/>
        <w:jc w:val="left"/>
        <w:rPr/>
      </w:pPr>
      <w:r>
        <w:rPr/>
      </w:r>
    </w:p>
    <w:p>
      <w:pPr>
        <w:pStyle w:val="TextBody"/>
        <w:bidi w:val="0"/>
        <w:spacing w:lineRule="auto" w:line="333"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Property, Plant and Equipment (“PP&amp;E”)</w:t>
      </w:r>
    </w:p>
    <w:p>
      <w:pPr>
        <w:pStyle w:val="TextBody"/>
        <w:bidi w:val="0"/>
        <w:spacing w:before="0" w:after="0"/>
        <w:ind w:left="0" w:right="0" w:firstLine="360"/>
        <w:jc w:val="both"/>
        <w:rPr/>
      </w:pPr>
      <w:r>
        <w:rPr/>
      </w:r>
    </w:p>
    <w:p>
      <w:pPr>
        <w:pStyle w:val="TextBody"/>
        <w:bidi w:val="0"/>
        <w:spacing w:lineRule="auto" w:line="33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PP&amp;E is both owned and under finance leases. Owned PP&amp;E are initially stated at cost and finance leases are initially stated at the present value of lease payments. Both are depreciated on straight-line basis over its estimated useful life. Subsequently, PP&amp;E is measured at cost less accumulated depreciation and adjusted for impairment, when applicable. The carrying values are based on our estimates and judgments relative to capitalized costs, useful lives and salvage value, where applicable. We expense maintenance and repairs as incurred and capitalize expenditures for improvements as well as renewals and replacements that extend the useful life of the asset.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62</w:t>
                      </w:r>
                    </w:p>
                  </w:txbxContent>
                </v:textbox>
                <w10:wrap type="none"/>
              </v:rect>
            </w:pict>
          </mc:Fallback>
        </mc:AlternateContent>
      </w:r>
    </w:p>
    <w:p>
      <w:pPr>
        <w:pStyle w:val="TextBody"/>
        <w:bidi w:val="0"/>
        <w:spacing w:lineRule="auto" w:line="333" w:before="0" w:after="0"/>
        <w:jc w:val="left"/>
        <w:rPr>
          <w:color w:val="000000"/>
        </w:rPr>
      </w:pPr>
      <w:r>
        <w:rPr>
          <w:color w:val="000000"/>
        </w:rPr>
        <w:t>    </w:t>
      </w:r>
      <w:r>
        <w:rPr>
          <w:rFonts w:ascii="Times New Roman;serif" w:hAnsi="Times New Roman;serif"/>
          <w:b w:val="false"/>
          <w:color w:val="000000"/>
          <w:sz w:val="20"/>
        </w:rPr>
        <w:t>Item 8 | Notes to the Consolidated Financial Statements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estimate the useful lives of our PP&amp;E over their respective lease terms, if applicable, or as follows:</w:t>
      </w:r>
    </w:p>
    <w:tbl>
      <w:tblPr>
        <w:tblW w:w="5384" w:type="dxa"/>
        <w:jc w:val="left"/>
        <w:tblInd w:w="0" w:type="dxa"/>
        <w:tblLayout w:type="fixed"/>
        <w:tblCellMar>
          <w:top w:w="28" w:type="dxa"/>
          <w:left w:w="28" w:type="dxa"/>
          <w:bottom w:w="28" w:type="dxa"/>
          <w:right w:w="28" w:type="dxa"/>
        </w:tblCellMar>
      </w:tblPr>
      <w:tblGrid>
        <w:gridCol w:w="1192"/>
        <w:gridCol w:w="1050"/>
        <w:gridCol w:w="1058"/>
        <w:gridCol w:w="609"/>
        <w:gridCol w:w="609"/>
        <w:gridCol w:w="866"/>
      </w:tblGrid>
      <w:tr>
        <w:trPr/>
        <w:tc>
          <w:tcPr>
            <w:tcW w:w="1192"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Estimated Useful Lives</w:t>
            </w:r>
          </w:p>
        </w:tc>
      </w:tr>
      <w:tr>
        <w:trPr/>
        <w:tc>
          <w:tcPr>
            <w:tcW w:w="33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leasehold improvements</w:t>
            </w:r>
          </w:p>
        </w:tc>
        <w:tc>
          <w:tcPr>
            <w:tcW w:w="2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10 – 40 years </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and service equipment</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 – 10 years</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other</w:t>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 – 12 years</w:t>
            </w:r>
          </w:p>
        </w:tc>
      </w:tr>
    </w:tbl>
    <w:p>
      <w:pPr>
        <w:pStyle w:val="TextBody"/>
        <w:bidi w:val="0"/>
        <w:spacing w:before="0" w:after="0"/>
        <w:ind w:left="0" w:right="0" w:firstLine="360"/>
        <w:jc w:val="center"/>
        <w:rPr/>
      </w:pPr>
      <w:r>
        <w:rPr/>
      </w:r>
    </w:p>
    <w:p>
      <w:pPr>
        <w:pStyle w:val="TextBody"/>
        <w:bidi w:val="0"/>
        <w:spacing w:lineRule="auto" w:line="319"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before="0" w:after="0"/>
        <w:ind w:left="0" w:right="0" w:firstLine="360"/>
        <w:jc w:val="both"/>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identifiable intangible assets include developed and acquired technologies and our trade names, amortized on a straight-line basis over their estimated economic lives, generally ranging from 5 years (developed and acquired technologies) to 10 years (trade names). As many areas of our business rely on patents and proprietary technology, we seek patent protection both inside and outside the U.S. for products and methods that appear to have commercial significance. We capitalize patent defense costs when we determine that a successful defense is probable.</w:t>
      </w:r>
    </w:p>
    <w:p>
      <w:pPr>
        <w:pStyle w:val="TextBody"/>
        <w:bidi w:val="0"/>
        <w:spacing w:before="0" w:after="0"/>
        <w:ind w:left="0" w:right="0" w:firstLine="360"/>
        <w:jc w:val="both"/>
        <w:rPr/>
      </w:pPr>
      <w:r>
        <w:rPr/>
      </w:r>
    </w:p>
    <w:p>
      <w:pPr>
        <w:pStyle w:val="TextBody"/>
        <w:bidi w:val="0"/>
        <w:spacing w:lineRule="auto" w:line="333"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committed under various operating lease agreements primarily related to office space and equipment. Generally, these leases include renewal provisions and rental payments, which may be adjusted for taxes, insurance and maintenance related to the property. Leases with an initial term of 12 months or less (“short-term leases”) are not recorded on the balance sheet; we recognize lease expense for these leases on a straight-line basis over the lease term.</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lease assets and operating lease liabilities are recognized based on the present value of lease payments over the lease term at commencement date and include related options to extend or terminate lease terms that are reasonably certain of being exercised. We determine if an arrangement is classified as a lease at its inception. As most of our leases do not provide an implicit rate of return, on a quarterly basis, we use our incremental borrowing rate, together with the lease term information available at commencement date of the lease, in determining the present value of lease payments. </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Long-Lived Assets Impairment</w:t>
      </w:r>
    </w:p>
    <w:p>
      <w:pPr>
        <w:pStyle w:val="TextBody"/>
        <w:bidi w:val="0"/>
        <w:spacing w:before="0" w:after="0"/>
        <w:ind w:left="0" w:right="0" w:firstLine="360"/>
        <w:jc w:val="both"/>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Long-lived assets, consisting of PP&amp;E, operating lease assets and intangible assets, to be held and used are reviewed to determine whether any events or changes in circumstances, known as triggering events, indicate that we may not be able to recover the carrying amount of the asset group. Triggering events include, but are not limited to, reduced or expected sustained decreases in cash flows generated by an asset group, negative changes in industry conditions (such as global rig count, commodity prices, and the global economy), a significant change in the long-lived assets’ use or physical condition, the introduction of competing technologies, and legal and regulatory challenges. The Company groups individual assets at the lowest level of identifiable cash flows and, if impairment triggers are present, performs an undiscounted cash flow analysis to identify asset groups that may not be recoverable. If the undiscounted cash flows do not exceed the carrying value of the long-lived asset group, impairment is recognized to the extent the carrying amount exceeds the estimated fair value of the asset group, as determined by a discounted cash flow analysis.</w:t>
      </w:r>
    </w:p>
    <w:p>
      <w:pPr>
        <w:pStyle w:val="TextBody"/>
        <w:bidi w:val="0"/>
        <w:spacing w:before="0" w:after="0"/>
        <w:ind w:left="0" w:right="0" w:firstLine="45"/>
        <w:jc w:val="left"/>
        <w:rPr/>
      </w:pPr>
      <w:r>
        <w:rPr/>
      </w:r>
    </w:p>
    <w:p>
      <w:pPr>
        <w:pStyle w:val="TextBody"/>
        <w:bidi w:val="0"/>
        <w:spacing w:lineRule="auto" w:line="333"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Research and Development Expenditures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expenditures are expensed as incurred.</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Derivative Financial Instruments</w:t>
      </w:r>
    </w:p>
    <w:p>
      <w:pPr>
        <w:pStyle w:val="TextBody"/>
        <w:bidi w:val="0"/>
        <w:spacing w:before="0" w:after="0"/>
        <w:ind w:left="0" w:right="0" w:firstLine="360"/>
        <w:jc w:val="both"/>
        <w:rPr/>
      </w:pPr>
      <w:r>
        <w:rPr/>
      </w:r>
    </w:p>
    <w:p>
      <w:pPr>
        <w:pStyle w:val="TextBody"/>
        <w:bidi w:val="0"/>
        <w:spacing w:lineRule="auto" w:line="33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primarily enter into foreign currency forward contracts to mitigate the volatility of foreign exchange related gains and losses on the income statement and the risk of volatility in future cash flows denominated in a foreign currency. The amounts will fluctuate, depending on exchange rate volatility, the volume of our foreign currency transactions, and our decisions to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63</w:t>
                      </w:r>
                    </w:p>
                  </w:txbxContent>
                </v:textbox>
                <w10:wrap type="none"/>
              </v:rect>
            </w:pict>
          </mc:Fallback>
        </mc:AlternateContent>
      </w:r>
    </w:p>
    <w:p>
      <w:pPr>
        <w:pStyle w:val="TextBody"/>
        <w:bidi w:val="0"/>
        <w:spacing w:lineRule="auto" w:line="333" w:before="0" w:after="0"/>
        <w:jc w:val="left"/>
        <w:rPr>
          <w:color w:val="000000"/>
        </w:rPr>
      </w:pPr>
      <w:r>
        <w:rPr>
          <w:color w:val="000000"/>
        </w:rPr>
        <w:t>    </w:t>
      </w:r>
      <w:r>
        <w:rPr>
          <w:rFonts w:ascii="Times New Roman;serif" w:hAnsi="Times New Roman;serif"/>
          <w:b w:val="false"/>
          <w:color w:val="000000"/>
          <w:sz w:val="20"/>
        </w:rPr>
        <w:t>Item 8 | Notes to the Consolidated Financial Statements</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hedge. During 2024 and 2023 we entered into credit default swaps (“CDSs”). The notional amounts of our foreign currency forward contracts and the CDSs do not generally represent cash amounts exchanged by the parties and are calculated based on the terms of the derivative instrument.</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pPr>
      <w:r>
        <w:rPr>
          <w:rFonts w:ascii="Times New Roman;serif" w:hAnsi="Times New Roman;serif"/>
          <w:b w:val="false"/>
          <w:color w:val="000000"/>
          <w:sz w:val="20"/>
        </w:rPr>
        <w:t xml:space="preserve">Our foreign currency forward contracts and the CDS are undesignated hedging instruments under Accounting Standards Codification “ASC” 815 </w:t>
      </w:r>
      <w:r>
        <w:rPr>
          <w:rFonts w:ascii="Times New Roman;serif" w:hAnsi="Times New Roman;serif"/>
          <w:b w:val="false"/>
          <w:i/>
          <w:color w:val="000000"/>
          <w:sz w:val="20"/>
        </w:rPr>
        <w:t xml:space="preserve">Derivatives and Hedging. </w:t>
      </w:r>
      <w:r>
        <w:rPr>
          <w:rFonts w:ascii="Times New Roman;serif" w:hAnsi="Times New Roman;serif"/>
          <w:b w:val="false"/>
          <w:color w:val="000000"/>
          <w:sz w:val="20"/>
        </w:rPr>
        <w:t>We record these derivative instruments on the balance sheet at their fair value as either assets or liabilities. See “Note 11 – Derivative Financial Instruments” for additional information.</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values of our outstanding derivative instruments are determined using models with either Level 2 or Level 3 inputs. See “Note 10 – Fair Value of Financial Instruments, Assets and Other Assets” for additional information.</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Foreign Currency</w:t>
      </w:r>
    </w:p>
    <w:p>
      <w:pPr>
        <w:pStyle w:val="TextBody"/>
        <w:bidi w:val="0"/>
        <w:spacing w:before="0" w:after="0"/>
        <w:jc w:val="left"/>
        <w:rPr/>
      </w:pPr>
      <w:r>
        <w:rPr/>
      </w:r>
    </w:p>
    <w:p>
      <w:pPr>
        <w:pStyle w:val="TextBody"/>
        <w:bidi w:val="0"/>
        <w:spacing w:lineRule="auto" w:line="333"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Results of operations for our foreign subsidiaries with functional currencies other than the U.S. dollar are translated using average exchange rates during the period. Assets and liabilities are translated using the exchange rates in effect at the balance sheet date, and the resulting translation adjustments are included in “Accumulated Other Comprehensive Income (Loss)” on the accompanying Consolidated Statements of Shareholders' Equity.</w:t>
      </w:r>
    </w:p>
    <w:p>
      <w:pPr>
        <w:pStyle w:val="TextBody"/>
        <w:bidi w:val="0"/>
        <w:spacing w:before="0" w:after="0"/>
        <w:jc w:val="left"/>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our subsidiaries with a functional currency that differs from the currency of their balances and transactions, inventories, PP&amp;E and other non-monetary assets and liabilities, together with their related elements of expense or income, are remeasured into the functional currency using historical exchange rates. All monetary assets and liabilities are remeasured into the functional currency at current exchange rates. The resulting gains and losses are recognized during the period incurred and recognized in “Other Expense, Net” on the accompanying Consolidated Statements of Operations. </w:t>
      </w:r>
    </w:p>
    <w:p>
      <w:pPr>
        <w:pStyle w:val="TextBody"/>
        <w:bidi w:val="0"/>
        <w:spacing w:before="0" w:after="0"/>
        <w:jc w:val="both"/>
        <w:rPr/>
      </w:pPr>
      <w:r>
        <w:rPr/>
      </w:r>
    </w:p>
    <w:p>
      <w:pPr>
        <w:pStyle w:val="TextBody"/>
        <w:bidi w:val="0"/>
        <w:spacing w:lineRule="auto" w:line="333"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Share-Based Compensation</w:t>
      </w:r>
    </w:p>
    <w:p>
      <w:pPr>
        <w:pStyle w:val="TextBody"/>
        <w:bidi w:val="0"/>
        <w:spacing w:before="0" w:after="0"/>
        <w:jc w:val="left"/>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account for share-based payment awards by recognizing the grant date fair value as an expense, over the service period, which is usually the vesting period, and account for forfeitures as they occur. The fair value and associated expense is updated at each reporting date for share-based awards we intend to settle in cash and for awards where performance targets are established or modified during the performance period. We record share-based compensation in “Selling, General and Administrative” on the accompanying Consolidated Statements of Operations. </w:t>
      </w:r>
    </w:p>
    <w:p>
      <w:pPr>
        <w:pStyle w:val="TextBody"/>
        <w:bidi w:val="0"/>
        <w:spacing w:before="0" w:after="0"/>
        <w:ind w:left="0" w:right="0" w:firstLine="360"/>
        <w:jc w:val="left"/>
        <w:rPr/>
      </w:pPr>
      <w:r>
        <w:rPr/>
      </w:r>
    </w:p>
    <w:p>
      <w:pPr>
        <w:pStyle w:val="TextBody"/>
        <w:bidi w:val="0"/>
        <w:spacing w:lineRule="auto" w:line="333"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before="0" w:after="0"/>
        <w:jc w:val="left"/>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account for taxes under the asset and liability method. Income taxes have been provided based upon the tax laws and rates in the countries in which our operations are conducted and income is earned. Deferred tax assets and liabilities are recognized for the future tax consequences attributable to differences between the financial statement carrying amounts of existing assets and liabilities and their respective tax bases. A valuation allowance for deferred tax assets is recorded when it is more likely than not that some or all of the benefit from the deferred tax asset will not be realized. The impact of an uncertain tax position taken or expected to be taken on an income tax return is recognized in the financial statements at the largest amount that is more likely than not to be sustained upon examination by the relevant taxing authority.</w:t>
      </w:r>
    </w:p>
    <w:p>
      <w:pPr>
        <w:pStyle w:val="TextBody"/>
        <w:bidi w:val="0"/>
        <w:spacing w:before="0" w:after="0"/>
        <w:jc w:val="left"/>
        <w:rPr/>
      </w:pPr>
      <w:r>
        <w:rPr/>
      </w:r>
    </w:p>
    <w:p>
      <w:pPr>
        <w:pStyle w:val="TextBody"/>
        <w:bidi w:val="0"/>
        <w:spacing w:lineRule="auto" w:line="333"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Disputes, Litigation and Contingencies</w:t>
      </w:r>
    </w:p>
    <w:p>
      <w:pPr>
        <w:pStyle w:val="TextBody"/>
        <w:bidi w:val="0"/>
        <w:spacing w:before="0" w:after="0"/>
        <w:jc w:val="left"/>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accrue an estimate of losses to resolve certain disputes, legal matters and contingencies when a loss on these matters is deemed probable and reasonably estimable. For matters not deemed probable or not reasonably estimable, we have not accrued any amounts. Our contingent loss estimates are based upon an analysis of potential outcomes, assuming a combination of possible litigation and settlement strategies. The accuracy of these estimates is impacted by the complexity of the associated issues.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64</w:t>
                      </w:r>
                    </w:p>
                  </w:txbxContent>
                </v:textbox>
                <w10:wrap type="none"/>
              </v:rect>
            </w:pict>
          </mc:Fallback>
        </mc:AlternateContent>
      </w:r>
    </w:p>
    <w:p>
      <w:pPr>
        <w:pStyle w:val="TextBody"/>
        <w:bidi w:val="0"/>
        <w:spacing w:lineRule="auto" w:line="333" w:before="0" w:after="0"/>
        <w:jc w:val="left"/>
        <w:rPr>
          <w:color w:val="000000"/>
        </w:rPr>
      </w:pPr>
      <w:r>
        <w:rPr>
          <w:color w:val="000000"/>
        </w:rPr>
        <w:t>    </w:t>
      </w:r>
      <w:r>
        <w:rPr>
          <w:rFonts w:ascii="Times New Roman;serif" w:hAnsi="Times New Roman;serif"/>
          <w:b w:val="false"/>
          <w:color w:val="000000"/>
          <w:sz w:val="20"/>
        </w:rPr>
        <w:t>Item 8 | Notes to the Consolidated Financial Statements</w:t>
      </w:r>
    </w:p>
    <w:p>
      <w:pPr>
        <w:pStyle w:val="TextBody"/>
        <w:bidi w:val="0"/>
        <w:spacing w:lineRule="auto" w:line="333"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pPr>
      <w:r>
        <w:rPr>
          <w:rFonts w:ascii="Times New Roman;serif" w:hAnsi="Times New Roman;serif"/>
          <w:b w:val="false"/>
          <w:color w:val="000000"/>
          <w:sz w:val="20"/>
        </w:rPr>
        <w:t xml:space="preserve">We account for revenue in accordance with ASU 2014-09, </w:t>
      </w:r>
      <w:r>
        <w:rPr>
          <w:rFonts w:ascii="Times New Roman;serif" w:hAnsi="Times New Roman;serif"/>
          <w:b w:val="false"/>
          <w:i/>
          <w:color w:val="000000"/>
          <w:sz w:val="20"/>
        </w:rPr>
        <w:t>Revenue from Contracts with Customers (Topic 606)</w:t>
      </w:r>
      <w:r>
        <w:rPr>
          <w:rFonts w:ascii="Times New Roman;serif" w:hAnsi="Times New Roman;serif"/>
          <w:b w:val="false"/>
          <w:color w:val="000000"/>
          <w:sz w:val="20"/>
        </w:rPr>
        <w:t xml:space="preserve">, and all of the related amendments, collectively referred to as “Topic 606.” Revenues are recognized when control of the promised goods or services is transferred to our customers, in an amount that reflects the consideration we expect to be entitled to in exchange for those goods or services. The majority of our revenue is derived from short-term contracts. Our products and services are generally sold based upon purchase orders, contracts or other legally enforceable arrangements with our customers that include fixed or determinable prices but do not generally include right of return provisions or other significant post-delivery obligations. </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the terms of a service contract give us the right to invoice the customer for an amount that corresponds directly with the value of our performance completed to date, revenues are recognized at the amount to which we have the right to invoice. </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certain long-term contracts, our revenue is recognized for services over time as the services are rendered and we utilize an output method such as time elapsed or footage drilled, which coincides with how customers receive the benefit.</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pPr>
      <w:r>
        <w:rPr>
          <w:rFonts w:ascii="Times New Roman;serif" w:hAnsi="Times New Roman;serif"/>
          <w:b w:val="false"/>
          <w:color w:val="000000"/>
          <w:sz w:val="20"/>
        </w:rPr>
        <w:t xml:space="preserve">We lease drilling tools, artificial lift pumping equipment and other unmanned equipment to customers as operating leases. These equipment rental revenues are generally provided based on call-out work orders that include fixed per unit prices and are derived from short-term contracts. Equipment rental revenues are recognized under ASU No. 2016-02,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 xml:space="preserve">(Topic 842) and are recorded within “Services Revenue” on the accompanying Consolidated Statements of Operations. </w:t>
      </w:r>
    </w:p>
    <w:p>
      <w:pPr>
        <w:pStyle w:val="TextBody"/>
        <w:bidi w:val="0"/>
        <w:spacing w:lineRule="auto" w:line="333"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Contract Balances </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timing of revenue recognition, billings and cash collections results in billed and unbilled accounts receivable (included in “Accounts Receivable, Net”), contract assets (included in “Other Current Assets” and “Other Non-Current Assets”), and contract liabilities (included in “Other Current Liabilities” and “Other Non-current Liabilities”) on our Consolidated Balance Sheets. We recognize receivables for work completed on service contracts but not billed in which the rights to consideration are conditional as contract assets. We recognize contract liabilities when consideration is received in advance of the recognition of revenue.</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Performance Obligations </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performance obligation is a promise in a contract to transfer a distinct good or service to the customer and is the unit of account. A contract’s transaction price is allocated to each distinct performance obligation and recognized as revenue when, or as, the performance obligation is satisfied. </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generally bill our sales of products and services upon completion of the performance obligation. Product sales and services are billed and recognized when control passes to the customer. Our products are produced in a standard manufacturing operation, even if produced to our customer’s specifications. Our payment terms vary by the type and location of our customer and the products or services offered. For certain products or services and customer types, we require payment before the products or services are delivered to the customer and record as a contract liability. We defer revenue recognition on such payments until the products or services are delivered to the customer.</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Revenue is occasionally generated from contracts that include multiple performance obligations, such as product sales with related installation and/or maintenance services. The consideration in the contract is allocated between separate products and services based on their standalone selling prices (determined based on the prices at which we separately sell our products and services). </w:t>
      </w:r>
    </w:p>
    <w:p>
      <w:pPr>
        <w:pStyle w:val="TextBody"/>
        <w:bidi w:val="0"/>
        <w:spacing w:before="0" w:after="0"/>
        <w:ind w:left="0" w:right="0" w:firstLine="360"/>
        <w:jc w:val="both"/>
        <w:rPr/>
      </w:pPr>
      <w:r>
        <w:rPr/>
      </w:r>
    </w:p>
    <w:p>
      <w:pPr>
        <w:pStyle w:val="TextBody"/>
        <w:bidi w:val="0"/>
        <w:spacing w:lineRule="auto" w:line="33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do not disclose the value of unsatisfied performance obligations for (i) contracts with an original expected length of one year or less and (ii) contracts for which we recognize revenue at the amount to which we have the right to invoice for services performed.</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65</w:t>
                      </w:r>
                    </w:p>
                  </w:txbxContent>
                </v:textbox>
                <w10:wrap type="none"/>
              </v:rect>
            </w:pict>
          </mc:Fallback>
        </mc:AlternateContent>
      </w:r>
    </w:p>
    <w:p>
      <w:pPr>
        <w:pStyle w:val="TextBody"/>
        <w:bidi w:val="0"/>
        <w:spacing w:lineRule="auto" w:line="333" w:before="0" w:after="0"/>
        <w:jc w:val="left"/>
        <w:rPr>
          <w:color w:val="000000"/>
        </w:rPr>
      </w:pPr>
      <w:r>
        <w:rPr>
          <w:color w:val="000000"/>
        </w:rPr>
        <w:t>    </w:t>
      </w:r>
      <w:r>
        <w:rPr>
          <w:rFonts w:ascii="Times New Roman;serif" w:hAnsi="Times New Roman;serif"/>
          <w:b w:val="false"/>
          <w:color w:val="000000"/>
          <w:sz w:val="20"/>
        </w:rPr>
        <w:t>Item 8 | Notes to the Consolidated Financial Statements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Income per Share</w:t>
      </w:r>
    </w:p>
    <w:p>
      <w:pPr>
        <w:pStyle w:val="TextBody"/>
        <w:bidi w:val="0"/>
        <w:spacing w:before="0" w:after="0"/>
        <w:jc w:val="left"/>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Basic income per share for all periods presented equals net income divided by the weighted average shares outstanding during the period including participating securities. Diluted income per share is computed by dividing net income by our weighted average shares outstanding during the period including participating securities and any potential dilutive shares, when applicable. </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Accounting Standards Newly Adopted</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pPr>
      <w:r>
        <w:rPr>
          <w:rFonts w:ascii="Times New Roman;serif" w:hAnsi="Times New Roman;serif"/>
          <w:b w:val="false"/>
          <w:color w:val="000000"/>
          <w:sz w:val="20"/>
        </w:rPr>
        <w:t xml:space="preserve">The Company has adopted ASU 2023-09, </w:t>
      </w:r>
      <w:r>
        <w:rPr>
          <w:rFonts w:ascii="Times New Roman;serif" w:hAnsi="Times New Roman;serif"/>
          <w:b w:val="false"/>
          <w:i/>
          <w:color w:val="000000"/>
          <w:sz w:val="20"/>
        </w:rPr>
        <w:t xml:space="preserve">Income Taxes (Topic 740): Improvements to Income Tax Disclosures </w:t>
      </w:r>
      <w:r>
        <w:rPr>
          <w:rFonts w:ascii="Times New Roman;serif" w:hAnsi="Times New Roman;serif"/>
          <w:b w:val="false"/>
          <w:color w:val="000000"/>
          <w:sz w:val="20"/>
        </w:rPr>
        <w:t xml:space="preserve">as issued by the Financial Accounting Standards Board (“FASB”) in December 2023, which is an update that improves income tax disclosure requirements. Other than providing additional disclosures related to our income taxes, the adoption, which was done on a prospective basis, did not materially impact our financial statements. See “Note 17 – Income Taxes” in our Notes to Consolidated Financial Statements. </w:t>
      </w:r>
    </w:p>
    <w:p>
      <w:pPr>
        <w:pStyle w:val="TextBody"/>
        <w:bidi w:val="0"/>
        <w:spacing w:before="0" w:after="0"/>
        <w:jc w:val="left"/>
        <w:rPr/>
      </w:pPr>
      <w:r>
        <w:rPr/>
      </w:r>
    </w:p>
    <w:p>
      <w:pPr>
        <w:pStyle w:val="TextBody"/>
        <w:bidi w:val="0"/>
        <w:spacing w:lineRule="auto" w:line="333"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Accounting Standards Issued Not Yet Adopted</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Disaggregation of Income Statement Expenses</w:t>
      </w:r>
      <w:r>
        <w:rPr>
          <w:rFonts w:ascii="Times New Roman;serif" w:hAnsi="Times New Roman;serif"/>
          <w:b w:val="false"/>
          <w:color w:val="000000"/>
          <w:sz w:val="20"/>
        </w:rPr>
        <w:t>, an update that improves income statement expense disclosure requirements. Under ASU 2024-03 issuers will be required to incorporate new tabular disclosures disaggregating prescribed expense categories within relevant income statement captions in the notes to their financial statements. These categories include purchases of inventory, employee compensation, depreciation and intangible asset amortization. The amendments are effective for fiscal years beginning after December 15, 2026 and should be applied prospectively. We expect to adopt ASU 2024-03 in our 2027 Form 10-K. The adoption of ASU 2024-03 will require us to provide additional disclosures related to certain income statement expenses, but otherwise will not materially impact our financial statements.</w:t>
      </w:r>
    </w:p>
    <w:p>
      <w:pPr>
        <w:pStyle w:val="TextBody"/>
        <w:bidi w:val="0"/>
        <w:spacing w:before="0" w:after="0"/>
        <w:jc w:val="both"/>
        <w:rPr/>
      </w:pPr>
      <w:r>
        <w:rPr/>
      </w:r>
    </w:p>
    <w:p>
      <w:pPr>
        <w:pStyle w:val="TextBody"/>
        <w:bidi w:val="0"/>
        <w:spacing w:lineRule="auto" w:line="333"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Evaluations of all other new accounting pronouncements that have been issued, but not yet effective are on-going, and at this time are not expected to have a material impact on our Consolidated Financial Statements.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2 – Segment Information</w:t>
      </w:r>
    </w:p>
    <w:p>
      <w:pPr>
        <w:pStyle w:val="TextBody"/>
        <w:bidi w:val="0"/>
        <w:spacing w:lineRule="auto" w:line="333" w:before="0" w:after="0"/>
        <w:ind w:left="0" w:right="0" w:firstLine="360"/>
        <w:jc w:val="both"/>
        <w:rPr>
          <w:color w:val="000000"/>
        </w:rPr>
      </w:pPr>
      <w:r>
        <w:rPr>
          <w:color w:val="000000"/>
        </w:rPr>
        <w:t> </w:t>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chief operating decision maker (“CODM”), our chief executive officer, regularly reviews information to make operating decisions, allocate resources and assess performance of the business. The CODM regularly reviews information aligned with how we offer our services and technologies in relation to the well life cycle as reflected in our reportable segments. All of our segments are enabled by a suite of digital monitoring, control and optimization solutions using advanced analytics to provide safe, reliable and efficient solutions throughout the well life cycle, including responsible abandonment. We have three reportable segments: (1) Drilling and Evaluation (2) Well Construction and Completions, and (3) Production and Intervention. </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pPr>
      <w:r>
        <w:rPr>
          <w:rFonts w:ascii="Times New Roman;serif" w:hAnsi="Times New Roman;serif"/>
          <w:b/>
          <w:color w:val="000000"/>
          <w:sz w:val="20"/>
        </w:rPr>
        <w:t xml:space="preserve">Drilling and Evaluation (“DRE”) </w:t>
      </w:r>
      <w:r>
        <w:rPr>
          <w:rFonts w:ascii="Times New Roman;serif" w:hAnsi="Times New Roman;serif"/>
          <w:b w:val="false"/>
          <w:color w:val="000000"/>
          <w:sz w:val="20"/>
        </w:rPr>
        <w:t xml:space="preserve">offers a suite of services including managed pressure drilling, drilling services, wireline and drilling fluids. DRE offerings range from early well planning to reservoir management through innovative tools and expert engineering to optimize reservoir access and productivity. </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pPr>
      <w:r>
        <w:rPr>
          <w:rFonts w:ascii="Times New Roman;serif" w:hAnsi="Times New Roman;serif"/>
          <w:b/>
          <w:color w:val="000000"/>
          <w:sz w:val="20"/>
        </w:rPr>
        <w:t xml:space="preserve">Well Construction and Completions (“WCC”) </w:t>
      </w:r>
      <w:r>
        <w:rPr>
          <w:rFonts w:ascii="Times New Roman;serif" w:hAnsi="Times New Roman;serif"/>
          <w:b w:val="false"/>
          <w:color w:val="000000"/>
          <w:sz w:val="20"/>
        </w:rPr>
        <w:t>offers products and services for well integrity assurance across the full life cycle of the well. The primary offerings are tubular running services, cementation products, completions, liner hangers and well services. WCC deploys conventional to advanced technologies, providing safe and efficient services in any environment during the well construction phase.</w:t>
      </w:r>
    </w:p>
    <w:p>
      <w:pPr>
        <w:pStyle w:val="TextBody"/>
        <w:bidi w:val="0"/>
        <w:ind w:left="0" w:right="0" w:firstLine="3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66</w:t>
                      </w:r>
                    </w:p>
                  </w:txbxContent>
                </v:textbox>
                <w10:wrap type="none"/>
              </v:rect>
            </w:pict>
          </mc:Fallback>
        </mc:AlternateContent>
      </w:r>
    </w:p>
    <w:p>
      <w:pPr>
        <w:pStyle w:val="TextBody"/>
        <w:bidi w:val="0"/>
        <w:spacing w:lineRule="auto" w:line="333" w:before="0" w:after="0"/>
        <w:jc w:val="left"/>
        <w:rPr>
          <w:color w:val="000000"/>
        </w:rPr>
      </w:pPr>
      <w:r>
        <w:rPr>
          <w:color w:val="000000"/>
        </w:rPr>
        <w:t>    </w:t>
      </w:r>
      <w:r>
        <w:rPr>
          <w:rFonts w:ascii="Times New Roman;serif" w:hAnsi="Times New Roman;serif"/>
          <w:b w:val="false"/>
          <w:color w:val="000000"/>
          <w:sz w:val="20"/>
        </w:rPr>
        <w:t>Item 8 | Notes to the Consolidated Financial Statements</w:t>
      </w:r>
    </w:p>
    <w:p>
      <w:pPr>
        <w:pStyle w:val="TextBody"/>
        <w:bidi w:val="0"/>
        <w:spacing w:lineRule="auto" w:line="333" w:before="0" w:after="0"/>
        <w:ind w:left="0" w:right="0" w:firstLine="360"/>
        <w:jc w:val="both"/>
        <w:rPr/>
      </w:pPr>
      <w:r>
        <w:rPr>
          <w:rFonts w:ascii="Times New Roman;serif" w:hAnsi="Times New Roman;serif"/>
          <w:b/>
          <w:color w:val="000000"/>
          <w:sz w:val="20"/>
        </w:rPr>
        <w:t xml:space="preserve">Production and Intervention (“PRI”) </w:t>
      </w:r>
      <w:r>
        <w:rPr>
          <w:rFonts w:ascii="Times New Roman;serif" w:hAnsi="Times New Roman;serif"/>
          <w:b w:val="false"/>
          <w:color w:val="000000"/>
          <w:sz w:val="20"/>
        </w:rPr>
        <w:t xml:space="preserve">offers a suite of reservoir stimulation designs, and engineering capabilities that isolate zones and unlock reserves in conventional and unconventional wells, deep water, and aging reservoirs. The primary offerings are intervention services &amp; drilling tools, artificial lift, digital solutions, sub-sea intervention and pressure pumping services in select markets. </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Total revenues are from external customers and segment revenues are specific to our three reportable segments and all other revenues are specific to our non-operating segment revenues. Revenues are further described in “Note 3 – Revenue.” </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CODM uses segment adjusted EBITDA to measure the profitability of each segment. The regularly reviewed historical, current and forecasted segment adjusted EBITDA data is utilized by the CODM to allocate Company resources. The CODM also uses segment adjusted EBITDA to drive efficiencies and develop competitive strategies. Segment adjusted EBITDA is based on segment earnings before interest, taxes, depreciation, amortization, share-based compensation expense and other adjustments. All other includes results from non-core business activities (including integrated services and projects), and corporate includes overhead support and centrally managed or shared facilities costs. All other and corporate do not individually meet the criteria for segment reporting.</w:t>
      </w:r>
    </w:p>
    <w:p>
      <w:pPr>
        <w:pStyle w:val="TextBody"/>
        <w:bidi w:val="0"/>
        <w:spacing w:before="0" w:after="0"/>
        <w:ind w:left="0" w:right="0" w:firstLine="360"/>
        <w:jc w:val="both"/>
        <w:rPr/>
      </w:pPr>
      <w:r>
        <w:rPr/>
      </w:r>
    </w:p>
    <w:tbl>
      <w:tblPr>
        <w:tblW w:w="8251" w:type="dxa"/>
        <w:jc w:val="left"/>
        <w:tblInd w:w="0" w:type="dxa"/>
        <w:tblLayout w:type="fixed"/>
        <w:tblCellMar>
          <w:top w:w="28" w:type="dxa"/>
          <w:left w:w="28" w:type="dxa"/>
          <w:bottom w:w="28" w:type="dxa"/>
          <w:right w:w="28" w:type="dxa"/>
        </w:tblCellMar>
      </w:tblPr>
      <w:tblGrid>
        <w:gridCol w:w="1031"/>
        <w:gridCol w:w="905"/>
        <w:gridCol w:w="913"/>
        <w:gridCol w:w="109"/>
        <w:gridCol w:w="109"/>
        <w:gridCol w:w="109"/>
        <w:gridCol w:w="425"/>
        <w:gridCol w:w="389"/>
        <w:gridCol w:w="222"/>
        <w:gridCol w:w="381"/>
        <w:gridCol w:w="381"/>
        <w:gridCol w:w="274"/>
        <w:gridCol w:w="498"/>
        <w:gridCol w:w="278"/>
        <w:gridCol w:w="260"/>
        <w:gridCol w:w="350"/>
        <w:gridCol w:w="266"/>
        <w:gridCol w:w="270"/>
        <w:gridCol w:w="321"/>
        <w:gridCol w:w="321"/>
        <w:gridCol w:w="439"/>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 2025</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9"/>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Reportable Segments</w:t>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w:t>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DRE</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WCC</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w:t>
            </w:r>
          </w:p>
        </w:tc>
        <w:tc>
          <w:tcPr>
            <w:tcW w:w="88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55" w:after="30"/>
              <w:jc w:val="right"/>
              <w:rPr>
                <w:rFonts w:ascii="Times New Roman;serif" w:hAnsi="Times New Roman;serif"/>
                <w:b/>
                <w:color w:val="000000"/>
                <w:sz w:val="20"/>
              </w:rPr>
            </w:pPr>
            <w:r>
              <w:rPr>
                <w:rFonts w:ascii="Times New Roman;serif" w:hAnsi="Times New Roman;serif"/>
                <w:b/>
                <w:color w:val="000000"/>
                <w:sz w:val="20"/>
              </w:rPr>
              <w:t>$    1,371    </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color w:val="000000"/>
                <w:sz w:val="20"/>
              </w:rPr>
            </w:pPr>
            <w:r>
              <w:rPr>
                <w:rFonts w:ascii="Times New Roman;serif" w:hAnsi="Times New Roman;serif"/>
                <w:b/>
                <w:color w:val="000000"/>
                <w:sz w:val="20"/>
              </w:rPr>
              <w:t>$    1,875    </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color w:val="000000"/>
                <w:sz w:val="20"/>
              </w:rPr>
            </w:pPr>
            <w:r>
              <w:rPr>
                <w:rFonts w:ascii="Times New Roman;serif" w:hAnsi="Times New Roman;serif"/>
                <w:b/>
                <w:color w:val="000000"/>
                <w:sz w:val="20"/>
              </w:rPr>
              <w:t>$    1,340    </w:t>
            </w:r>
          </w:p>
        </w:tc>
        <w:tc>
          <w:tcPr>
            <w:tcW w:w="88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55" w:after="30"/>
              <w:jc w:val="right"/>
              <w:rPr>
                <w:rFonts w:ascii="Times New Roman;serif" w:hAnsi="Times New Roman;serif"/>
                <w:b/>
                <w:color w:val="000000"/>
                <w:sz w:val="20"/>
              </w:rPr>
            </w:pPr>
            <w:r>
              <w:rPr>
                <w:rFonts w:ascii="Times New Roman;serif" w:hAnsi="Times New Roman;serif"/>
                <w:b/>
                <w:color w:val="000000"/>
                <w:sz w:val="20"/>
              </w:rPr>
              <w:t>$    332    </w:t>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color w:val="000000"/>
                <w:sz w:val="20"/>
              </w:rPr>
            </w:pPr>
            <w:r>
              <w:rPr>
                <w:rFonts w:ascii="Times New Roman;serif" w:hAnsi="Times New Roman;serif"/>
                <w:b/>
                <w:color w:val="000000"/>
                <w:sz w:val="20"/>
              </w:rPr>
              <w:t>$    4,918    </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Direct Costs</w:t>
            </w:r>
            <w:r>
              <w:rPr>
                <w:rFonts w:ascii="Times New Roman;serif" w:hAnsi="Times New Roman;serif"/>
                <w:b w:val="false"/>
                <w:color w:val="000000"/>
                <w:sz w:val="13"/>
              </w:rPr>
              <w:t>(a)</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(876)</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(1,127)</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(913)</w:t>
            </w:r>
          </w:p>
        </w:tc>
        <w:tc>
          <w:tcPr>
            <w:tcW w:w="88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Other Expense</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(186)</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(233)</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(170)</w:t>
            </w:r>
          </w:p>
        </w:tc>
        <w:tc>
          <w:tcPr>
            <w:tcW w:w="88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DRE Segment Adjusted EBITDA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309    </w:t>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309    </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WCC 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515    </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515    </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 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257    </w:t>
            </w:r>
          </w:p>
        </w:tc>
        <w:tc>
          <w:tcPr>
            <w:tcW w:w="88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257    </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42    </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(56)</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(267)</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Share-based Compensation</w:t>
            </w:r>
            <w:r>
              <w:rPr>
                <w:color w:val="000000"/>
              </w:rPr>
              <w:t xml:space="preserve"> </w:t>
            </w:r>
            <w:r>
              <w:rPr>
                <w:rFonts w:ascii="Times New Roman;serif" w:hAnsi="Times New Roman;serif"/>
                <w:b w:val="false"/>
                <w:color w:val="000000"/>
                <w:sz w:val="13"/>
              </w:rPr>
              <w:t xml:space="preserve">(c)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(38)</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70    </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(58)</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(18)</w:t>
            </w:r>
          </w:p>
        </w:tc>
      </w:tr>
      <w:tr>
        <w:trPr/>
        <w:tc>
          <w:tcPr>
            <w:tcW w:w="284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55" w:after="30"/>
              <w:jc w:val="right"/>
              <w:rPr>
                <w:rFonts w:ascii="Times New Roman;serif" w:hAnsi="Times New Roman;serif"/>
                <w:b/>
                <w:color w:val="000000"/>
                <w:sz w:val="20"/>
              </w:rPr>
            </w:pPr>
            <w:r>
              <w:rPr>
                <w:rFonts w:ascii="Times New Roman;serif" w:hAnsi="Times New Roman;serif"/>
                <w:b/>
                <w:color w:val="000000"/>
                <w:sz w:val="20"/>
              </w:rPr>
              <w:t>$    756    </w:t>
            </w:r>
          </w:p>
        </w:tc>
      </w:tr>
    </w:tbl>
    <w:p>
      <w:pPr>
        <w:pStyle w:val="TextBody"/>
        <w:bidi w:val="0"/>
        <w:spacing w:lineRule="auto" w:line="333"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(a)Segment cost of sales and direct operating costs.</w:t>
      </w:r>
    </w:p>
    <w:p>
      <w:pPr>
        <w:pStyle w:val="TextBody"/>
        <w:bidi w:val="0"/>
        <w:spacing w:lineRule="auto" w:line="333"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(b)Segment selling, general and administrative and research and development costs.</w:t>
      </w:r>
    </w:p>
    <w:p>
      <w:pPr>
        <w:pStyle w:val="TextBody"/>
        <w:bidi w:val="0"/>
        <w:spacing w:lineRule="auto" w:line="333"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(c)See “Note 14 – Share-Based Compensation” for additional information.</w:t>
      </w:r>
    </w:p>
    <w:p>
      <w:pPr>
        <w:pStyle w:val="TextBody"/>
        <w:bidi w:val="0"/>
        <w:spacing w:before="0" w:after="0"/>
        <w:jc w:val="left"/>
        <w:rPr/>
      </w:pPr>
      <w:r>
        <w:rPr/>
      </w:r>
    </w:p>
    <w:p>
      <w:pPr>
        <w:pStyle w:val="TextBody"/>
        <w:bidi w:val="0"/>
        <w:ind w:left="0" w:right="0" w:firstLine="9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67</w:t>
                      </w:r>
                    </w:p>
                  </w:txbxContent>
                </v:textbox>
                <w10:wrap type="none"/>
              </v:rect>
            </w:pict>
          </mc:Fallback>
        </mc:AlternateContent>
      </w:r>
    </w:p>
    <w:p>
      <w:pPr>
        <w:pStyle w:val="TextBody"/>
        <w:bidi w:val="0"/>
        <w:spacing w:lineRule="auto" w:line="333" w:before="0" w:after="0"/>
        <w:jc w:val="left"/>
        <w:rPr>
          <w:color w:val="000000"/>
        </w:rPr>
      </w:pPr>
      <w:r>
        <w:rPr>
          <w:color w:val="000000"/>
        </w:rPr>
        <w:t>    </w:t>
      </w:r>
      <w:r>
        <w:rPr>
          <w:rFonts w:ascii="Times New Roman;serif" w:hAnsi="Times New Roman;serif"/>
          <w:b w:val="false"/>
          <w:color w:val="000000"/>
          <w:sz w:val="20"/>
        </w:rPr>
        <w:t>Item 8 | Notes to the Consolidated Financial Statements</w:t>
      </w:r>
    </w:p>
    <w:tbl>
      <w:tblPr>
        <w:tblW w:w="8251" w:type="dxa"/>
        <w:jc w:val="left"/>
        <w:tblInd w:w="0" w:type="dxa"/>
        <w:tblLayout w:type="fixed"/>
        <w:tblCellMar>
          <w:top w:w="28" w:type="dxa"/>
          <w:left w:w="28" w:type="dxa"/>
          <w:bottom w:w="28" w:type="dxa"/>
          <w:right w:w="28" w:type="dxa"/>
        </w:tblCellMar>
      </w:tblPr>
      <w:tblGrid>
        <w:gridCol w:w="1031"/>
        <w:gridCol w:w="905"/>
        <w:gridCol w:w="913"/>
        <w:gridCol w:w="109"/>
        <w:gridCol w:w="109"/>
        <w:gridCol w:w="109"/>
        <w:gridCol w:w="425"/>
        <w:gridCol w:w="389"/>
        <w:gridCol w:w="222"/>
        <w:gridCol w:w="381"/>
        <w:gridCol w:w="381"/>
        <w:gridCol w:w="274"/>
        <w:gridCol w:w="498"/>
        <w:gridCol w:w="278"/>
        <w:gridCol w:w="260"/>
        <w:gridCol w:w="350"/>
        <w:gridCol w:w="266"/>
        <w:gridCol w:w="270"/>
        <w:gridCol w:w="321"/>
        <w:gridCol w:w="321"/>
        <w:gridCol w:w="439"/>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 2024</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9"/>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Reportable Segments</w:t>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w:t>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DRE</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WCC</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w:t>
            </w:r>
          </w:p>
        </w:tc>
        <w:tc>
          <w:tcPr>
            <w:tcW w:w="88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55" w:after="30"/>
              <w:jc w:val="right"/>
              <w:rPr>
                <w:rFonts w:ascii="Times New Roman;serif" w:hAnsi="Times New Roman;serif"/>
                <w:b/>
                <w:color w:val="000000"/>
                <w:sz w:val="20"/>
              </w:rPr>
            </w:pPr>
            <w:r>
              <w:rPr>
                <w:rFonts w:ascii="Times New Roman;serif" w:hAnsi="Times New Roman;serif"/>
                <w:b/>
                <w:color w:val="000000"/>
                <w:sz w:val="20"/>
              </w:rPr>
              <w:t>$    1,682    </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color w:val="000000"/>
                <w:sz w:val="20"/>
              </w:rPr>
            </w:pPr>
            <w:r>
              <w:rPr>
                <w:rFonts w:ascii="Times New Roman;serif" w:hAnsi="Times New Roman;serif"/>
                <w:b/>
                <w:color w:val="000000"/>
                <w:sz w:val="20"/>
              </w:rPr>
              <w:t>$    1,976    </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color w:val="000000"/>
                <w:sz w:val="20"/>
              </w:rPr>
            </w:pPr>
            <w:r>
              <w:rPr>
                <w:rFonts w:ascii="Times New Roman;serif" w:hAnsi="Times New Roman;serif"/>
                <w:b/>
                <w:color w:val="000000"/>
                <w:sz w:val="20"/>
              </w:rPr>
              <w:t>$    1,452    </w:t>
            </w:r>
          </w:p>
        </w:tc>
        <w:tc>
          <w:tcPr>
            <w:tcW w:w="88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55" w:after="30"/>
              <w:jc w:val="right"/>
              <w:rPr>
                <w:rFonts w:ascii="Times New Roman;serif" w:hAnsi="Times New Roman;serif"/>
                <w:b/>
                <w:color w:val="000000"/>
                <w:sz w:val="20"/>
              </w:rPr>
            </w:pPr>
            <w:r>
              <w:rPr>
                <w:rFonts w:ascii="Times New Roman;serif" w:hAnsi="Times New Roman;serif"/>
                <w:b/>
                <w:color w:val="000000"/>
                <w:sz w:val="20"/>
              </w:rPr>
              <w:t>$    403    </w:t>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color w:val="000000"/>
                <w:sz w:val="20"/>
              </w:rPr>
            </w:pPr>
            <w:r>
              <w:rPr>
                <w:rFonts w:ascii="Times New Roman;serif" w:hAnsi="Times New Roman;serif"/>
                <w:b/>
                <w:color w:val="000000"/>
                <w:sz w:val="20"/>
              </w:rPr>
              <w:t>$    5,513    </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Direct Costs</w:t>
            </w:r>
            <w:r>
              <w:rPr>
                <w:rFonts w:ascii="Times New Roman;serif" w:hAnsi="Times New Roman;serif"/>
                <w:b w:val="false"/>
                <w:color w:val="000000"/>
                <w:sz w:val="13"/>
              </w:rPr>
              <w:t>(a)</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(1,007)</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(1,174)</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(955)</w:t>
            </w:r>
          </w:p>
        </w:tc>
        <w:tc>
          <w:tcPr>
            <w:tcW w:w="88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Other Expense</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(208)</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(238)</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(178)</w:t>
            </w:r>
          </w:p>
        </w:tc>
        <w:tc>
          <w:tcPr>
            <w:tcW w:w="88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DRE Segment Adjusted EBITDA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467    </w:t>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467    </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WCC 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564    </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564    </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 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319    </w:t>
            </w:r>
          </w:p>
        </w:tc>
        <w:tc>
          <w:tcPr>
            <w:tcW w:w="88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319    </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84    </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(52)</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(343)</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Share-based Compensation</w:t>
            </w:r>
            <w:r>
              <w:rPr>
                <w:color w:val="000000"/>
              </w:rPr>
              <w:t xml:space="preserve"> </w:t>
            </w:r>
            <w:r>
              <w:rPr>
                <w:rFonts w:ascii="Times New Roman;serif" w:hAnsi="Times New Roman;serif"/>
                <w:b w:val="false"/>
                <w:color w:val="000000"/>
                <w:sz w:val="13"/>
              </w:rPr>
              <w:t xml:space="preserve">(c)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(45)</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(42)</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(14)</w:t>
            </w:r>
          </w:p>
        </w:tc>
      </w:tr>
      <w:tr>
        <w:trPr/>
        <w:tc>
          <w:tcPr>
            <w:tcW w:w="284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55" w:after="30"/>
              <w:jc w:val="right"/>
              <w:rPr>
                <w:rFonts w:ascii="Times New Roman;serif" w:hAnsi="Times New Roman;serif"/>
                <w:b/>
                <w:color w:val="000000"/>
                <w:sz w:val="20"/>
              </w:rPr>
            </w:pPr>
            <w:r>
              <w:rPr>
                <w:rFonts w:ascii="Times New Roman;serif" w:hAnsi="Times New Roman;serif"/>
                <w:b/>
                <w:color w:val="000000"/>
                <w:sz w:val="20"/>
              </w:rPr>
              <w:t>$    938    </w:t>
            </w:r>
          </w:p>
        </w:tc>
      </w:tr>
    </w:tbl>
    <w:p>
      <w:pPr>
        <w:pStyle w:val="TextBody"/>
        <w:bidi w:val="0"/>
        <w:spacing w:lineRule="auto" w:line="333"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(a)Segment cost of sales and direct operating costs.</w:t>
      </w:r>
    </w:p>
    <w:p>
      <w:pPr>
        <w:pStyle w:val="TextBody"/>
        <w:bidi w:val="0"/>
        <w:spacing w:lineRule="auto" w:line="333"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(b)Segment selling, general and administrative and research and development costs.</w:t>
      </w:r>
    </w:p>
    <w:p>
      <w:pPr>
        <w:pStyle w:val="TextBody"/>
        <w:bidi w:val="0"/>
        <w:spacing w:lineRule="auto" w:line="333"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(c)See “Note 14 – Share-Based Compensation” for additional information.</w:t>
      </w:r>
    </w:p>
    <w:p>
      <w:pPr>
        <w:pStyle w:val="TextBody"/>
        <w:bidi w:val="0"/>
        <w:spacing w:before="0" w:after="0"/>
        <w:ind w:left="0" w:right="0" w:firstLine="90"/>
        <w:jc w:val="left"/>
        <w:rPr/>
      </w:pPr>
      <w:r>
        <w:rPr/>
      </w:r>
    </w:p>
    <w:p>
      <w:pPr>
        <w:pStyle w:val="TextBody"/>
        <w:bidi w:val="0"/>
        <w:spacing w:before="0" w:after="0"/>
        <w:jc w:val="left"/>
        <w:rPr/>
      </w:pPr>
      <w:r>
        <w:rPr/>
      </w:r>
    </w:p>
    <w:tbl>
      <w:tblPr>
        <w:tblW w:w="8251" w:type="dxa"/>
        <w:jc w:val="left"/>
        <w:tblInd w:w="0" w:type="dxa"/>
        <w:tblLayout w:type="fixed"/>
        <w:tblCellMar>
          <w:top w:w="28" w:type="dxa"/>
          <w:left w:w="28" w:type="dxa"/>
          <w:bottom w:w="28" w:type="dxa"/>
          <w:right w:w="28" w:type="dxa"/>
        </w:tblCellMar>
      </w:tblPr>
      <w:tblGrid>
        <w:gridCol w:w="1031"/>
        <w:gridCol w:w="905"/>
        <w:gridCol w:w="913"/>
        <w:gridCol w:w="109"/>
        <w:gridCol w:w="109"/>
        <w:gridCol w:w="109"/>
        <w:gridCol w:w="425"/>
        <w:gridCol w:w="389"/>
        <w:gridCol w:w="222"/>
        <w:gridCol w:w="381"/>
        <w:gridCol w:w="381"/>
        <w:gridCol w:w="274"/>
        <w:gridCol w:w="498"/>
        <w:gridCol w:w="278"/>
        <w:gridCol w:w="260"/>
        <w:gridCol w:w="350"/>
        <w:gridCol w:w="266"/>
        <w:gridCol w:w="270"/>
        <w:gridCol w:w="321"/>
        <w:gridCol w:w="321"/>
        <w:gridCol w:w="439"/>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 2023</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9"/>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Reportable Segments</w:t>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w:t>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DRE</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WCC</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w:t>
            </w:r>
          </w:p>
        </w:tc>
        <w:tc>
          <w:tcPr>
            <w:tcW w:w="88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55" w:after="30"/>
              <w:jc w:val="right"/>
              <w:rPr>
                <w:rFonts w:ascii="Times New Roman;serif" w:hAnsi="Times New Roman;serif"/>
                <w:b/>
                <w:color w:val="000000"/>
                <w:sz w:val="20"/>
              </w:rPr>
            </w:pPr>
            <w:r>
              <w:rPr>
                <w:rFonts w:ascii="Times New Roman;serif" w:hAnsi="Times New Roman;serif"/>
                <w:b/>
                <w:color w:val="000000"/>
                <w:sz w:val="20"/>
              </w:rPr>
              <w:t>$    1,536    </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color w:val="000000"/>
                <w:sz w:val="20"/>
              </w:rPr>
            </w:pPr>
            <w:r>
              <w:rPr>
                <w:rFonts w:ascii="Times New Roman;serif" w:hAnsi="Times New Roman;serif"/>
                <w:b/>
                <w:color w:val="000000"/>
                <w:sz w:val="20"/>
              </w:rPr>
              <w:t>$    1,800    </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color w:val="000000"/>
                <w:sz w:val="20"/>
              </w:rPr>
            </w:pPr>
            <w:r>
              <w:rPr>
                <w:rFonts w:ascii="Times New Roman;serif" w:hAnsi="Times New Roman;serif"/>
                <w:b/>
                <w:color w:val="000000"/>
                <w:sz w:val="20"/>
              </w:rPr>
              <w:t>$    1,472    </w:t>
            </w:r>
          </w:p>
        </w:tc>
        <w:tc>
          <w:tcPr>
            <w:tcW w:w="88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55" w:after="30"/>
              <w:jc w:val="right"/>
              <w:rPr>
                <w:rFonts w:ascii="Times New Roman;serif" w:hAnsi="Times New Roman;serif"/>
                <w:b/>
                <w:color w:val="000000"/>
                <w:sz w:val="20"/>
              </w:rPr>
            </w:pPr>
            <w:r>
              <w:rPr>
                <w:rFonts w:ascii="Times New Roman;serif" w:hAnsi="Times New Roman;serif"/>
                <w:b/>
                <w:color w:val="000000"/>
                <w:sz w:val="20"/>
              </w:rPr>
              <w:t>$    327    </w:t>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color w:val="000000"/>
                <w:sz w:val="20"/>
              </w:rPr>
            </w:pPr>
            <w:r>
              <w:rPr>
                <w:rFonts w:ascii="Times New Roman;serif" w:hAnsi="Times New Roman;serif"/>
                <w:b/>
                <w:color w:val="000000"/>
                <w:sz w:val="20"/>
              </w:rPr>
              <w:t>$    5,135    </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Direct Costs</w:t>
            </w:r>
            <w:r>
              <w:rPr>
                <w:rFonts w:ascii="Times New Roman;serif" w:hAnsi="Times New Roman;serif"/>
                <w:b w:val="false"/>
                <w:color w:val="000000"/>
                <w:sz w:val="13"/>
              </w:rPr>
              <w:t>(a)</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(920)</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(1,091)</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(953)</w:t>
            </w:r>
          </w:p>
        </w:tc>
        <w:tc>
          <w:tcPr>
            <w:tcW w:w="88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Other Expense</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(194)</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(254)</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(196)</w:t>
            </w:r>
          </w:p>
        </w:tc>
        <w:tc>
          <w:tcPr>
            <w:tcW w:w="88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DRE Segment Adjusted EBITDA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422    </w:t>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422    </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WCC 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455    </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455    </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 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323    </w:t>
            </w:r>
          </w:p>
        </w:tc>
        <w:tc>
          <w:tcPr>
            <w:tcW w:w="88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323    </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38    </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(52)</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(327)</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Share-based Compensation</w:t>
            </w:r>
            <w:r>
              <w:rPr>
                <w:color w:val="000000"/>
              </w:rPr>
              <w:t xml:space="preserve"> </w:t>
            </w:r>
            <w:r>
              <w:rPr>
                <w:rFonts w:ascii="Times New Roman;serif" w:hAnsi="Times New Roman;serif"/>
                <w:b w:val="false"/>
                <w:color w:val="000000"/>
                <w:sz w:val="13"/>
              </w:rPr>
              <w:t xml:space="preserve">(c)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(35)</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2    </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(16)</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Credits,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10    </w:t>
            </w:r>
          </w:p>
        </w:tc>
      </w:tr>
      <w:tr>
        <w:trPr/>
        <w:tc>
          <w:tcPr>
            <w:tcW w:w="284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55" w:after="30"/>
              <w:jc w:val="right"/>
              <w:rPr>
                <w:rFonts w:ascii="Times New Roman;serif" w:hAnsi="Times New Roman;serif"/>
                <w:b/>
                <w:color w:val="000000"/>
                <w:sz w:val="20"/>
              </w:rPr>
            </w:pPr>
            <w:r>
              <w:rPr>
                <w:rFonts w:ascii="Times New Roman;serif" w:hAnsi="Times New Roman;serif"/>
                <w:b/>
                <w:color w:val="000000"/>
                <w:sz w:val="20"/>
              </w:rPr>
              <w:t>$    820    </w:t>
            </w:r>
          </w:p>
        </w:tc>
      </w:tr>
    </w:tbl>
    <w:p>
      <w:pPr>
        <w:pStyle w:val="TextBody"/>
        <w:bidi w:val="0"/>
        <w:spacing w:lineRule="auto" w:line="333"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(a)Segment cost of sales and direct operating costs.</w:t>
      </w:r>
    </w:p>
    <w:p>
      <w:pPr>
        <w:pStyle w:val="TextBody"/>
        <w:bidi w:val="0"/>
        <w:spacing w:lineRule="auto" w:line="333"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(b)Segment selling, general and administrative and research and development costs.</w:t>
      </w:r>
    </w:p>
    <w:p>
      <w:pPr>
        <w:pStyle w:val="TextBody"/>
        <w:bidi w:val="0"/>
        <w:spacing w:lineRule="auto" w:line="333"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(c)See “Note 14 – Share-Based Compensation” for additional information.</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68</w:t>
                      </w:r>
                    </w:p>
                  </w:txbxContent>
                </v:textbox>
                <w10:wrap type="none"/>
              </v:rect>
            </w:pict>
          </mc:Fallback>
        </mc:AlternateContent>
      </w:r>
    </w:p>
    <w:p>
      <w:pPr>
        <w:pStyle w:val="TextBody"/>
        <w:bidi w:val="0"/>
        <w:spacing w:lineRule="auto" w:line="333" w:before="0" w:after="0"/>
        <w:jc w:val="left"/>
        <w:rPr>
          <w:color w:val="000000"/>
        </w:rPr>
      </w:pPr>
      <w:r>
        <w:rPr>
          <w:color w:val="000000"/>
        </w:rPr>
        <w:t>    </w:t>
      </w:r>
      <w:r>
        <w:rPr>
          <w:rFonts w:ascii="Times New Roman;serif" w:hAnsi="Times New Roman;serif"/>
          <w:b w:val="false"/>
          <w:color w:val="000000"/>
          <w:sz w:val="20"/>
        </w:rPr>
        <w:t>Item 8 | Notes to the Consolidated Financial Statements</w:t>
      </w:r>
    </w:p>
    <w:tbl>
      <w:tblPr>
        <w:tblW w:w="6053" w:type="dxa"/>
        <w:jc w:val="left"/>
        <w:tblInd w:w="0" w:type="dxa"/>
        <w:tblLayout w:type="fixed"/>
        <w:tblCellMar>
          <w:top w:w="28" w:type="dxa"/>
          <w:left w:w="28" w:type="dxa"/>
          <w:bottom w:w="28" w:type="dxa"/>
          <w:right w:w="28" w:type="dxa"/>
        </w:tblCellMar>
      </w:tblPr>
      <w:tblGrid>
        <w:gridCol w:w="1129"/>
        <w:gridCol w:w="991"/>
        <w:gridCol w:w="999"/>
        <w:gridCol w:w="420"/>
        <w:gridCol w:w="280"/>
        <w:gridCol w:w="250"/>
        <w:gridCol w:w="421"/>
        <w:gridCol w:w="281"/>
        <w:gridCol w:w="250"/>
        <w:gridCol w:w="407"/>
        <w:gridCol w:w="272"/>
        <w:gridCol w:w="353"/>
      </w:tblGrid>
      <w:tr>
        <w:trPr/>
        <w:tc>
          <w:tcPr>
            <w:tcW w:w="112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(Dollars in millions)</w:t>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w:t>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DRE</w:t>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87    </w:t>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113    </w:t>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102    </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WCC</w:t>
            </w:r>
          </w:p>
        </w:tc>
        <w:tc>
          <w:tcPr>
            <w:tcW w:w="950"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51    </w:t>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93    </w:t>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95    </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w:t>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80    </w:t>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91    </w:t>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84    </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950"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49    </w:t>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46    </w:t>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46    </w:t>
            </w:r>
          </w:p>
        </w:tc>
      </w:tr>
      <w:tr>
        <w:trPr/>
        <w:tc>
          <w:tcPr>
            <w:tcW w:w="31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w:t>
            </w:r>
          </w:p>
        </w:tc>
        <w:tc>
          <w:tcPr>
            <w:tcW w:w="9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267    </w:t>
            </w:r>
          </w:p>
        </w:tc>
        <w:tc>
          <w:tcPr>
            <w:tcW w:w="9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343    </w:t>
            </w:r>
          </w:p>
        </w:tc>
        <w:tc>
          <w:tcPr>
            <w:tcW w:w="10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327    </w:t>
            </w:r>
          </w:p>
        </w:tc>
      </w:tr>
      <w:tr>
        <w:trPr/>
        <w:tc>
          <w:tcPr>
            <w:tcW w:w="31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75"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DRE</w:t>
            </w:r>
          </w:p>
        </w:tc>
        <w:tc>
          <w:tcPr>
            <w:tcW w:w="950"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86    </w:t>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108    </w:t>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104    </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WCC</w:t>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32    </w:t>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57    </w:t>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49    </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w:t>
            </w:r>
          </w:p>
        </w:tc>
        <w:tc>
          <w:tcPr>
            <w:tcW w:w="950"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67    </w:t>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77    </w:t>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34    </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41    </w:t>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57    </w:t>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22    </w:t>
            </w:r>
          </w:p>
        </w:tc>
      </w:tr>
      <w:tr>
        <w:trPr/>
        <w:tc>
          <w:tcPr>
            <w:tcW w:w="311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95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226    </w:t>
            </w:r>
          </w:p>
        </w:tc>
        <w:tc>
          <w:tcPr>
            <w:tcW w:w="95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299    </w:t>
            </w:r>
          </w:p>
        </w:tc>
        <w:tc>
          <w:tcPr>
            <w:tcW w:w="103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209    </w:t>
            </w:r>
          </w:p>
        </w:tc>
      </w:tr>
    </w:tbl>
    <w:p>
      <w:pPr>
        <w:pStyle w:val="TextBody"/>
        <w:bidi w:val="0"/>
        <w:spacing w:before="0" w:after="100"/>
        <w:jc w:val="both"/>
        <w:rPr/>
      </w:pPr>
      <w:r>
        <w:rPr/>
      </w:r>
    </w:p>
    <w:tbl>
      <w:tblPr>
        <w:tblW w:w="10205" w:type="dxa"/>
        <w:jc w:val="left"/>
        <w:tblInd w:w="0" w:type="dxa"/>
        <w:tblLayout w:type="fixed"/>
        <w:tblCellMar>
          <w:top w:w="28" w:type="dxa"/>
          <w:left w:w="28" w:type="dxa"/>
          <w:bottom w:w="28" w:type="dxa"/>
          <w:right w:w="28" w:type="dxa"/>
        </w:tblCellMar>
      </w:tblPr>
      <w:tblGrid>
        <w:gridCol w:w="1590"/>
        <w:gridCol w:w="1370"/>
        <w:gridCol w:w="1383"/>
        <w:gridCol w:w="794"/>
        <w:gridCol w:w="794"/>
        <w:gridCol w:w="817"/>
        <w:gridCol w:w="313"/>
        <w:gridCol w:w="313"/>
        <w:gridCol w:w="313"/>
        <w:gridCol w:w="732"/>
        <w:gridCol w:w="732"/>
        <w:gridCol w:w="1054"/>
      </w:tblGrid>
      <w:tr>
        <w:trPr/>
        <w:tc>
          <w:tcPr>
            <w:tcW w:w="159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4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(Dollars in millions)</w:t>
            </w:r>
          </w:p>
        </w:tc>
        <w:tc>
          <w:tcPr>
            <w:tcW w:w="2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3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DRE</w:t>
            </w:r>
          </w:p>
        </w:tc>
        <w:tc>
          <w:tcPr>
            <w:tcW w:w="2405"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931    </w:t>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925    </w:t>
            </w:r>
          </w:p>
        </w:tc>
      </w:tr>
      <w:tr>
        <w:trPr/>
        <w:tc>
          <w:tcPr>
            <w:tcW w:w="4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WCC</w:t>
            </w:r>
          </w:p>
        </w:tc>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1,055    </w:t>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1,040    </w:t>
            </w:r>
          </w:p>
        </w:tc>
      </w:tr>
      <w:tr>
        <w:trPr/>
        <w:tc>
          <w:tcPr>
            <w:tcW w:w="4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w:t>
            </w:r>
          </w:p>
        </w:tc>
        <w:tc>
          <w:tcPr>
            <w:tcW w:w="2405"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771    </w:t>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789    </w:t>
            </w:r>
          </w:p>
        </w:tc>
      </w:tr>
      <w:tr>
        <w:trPr/>
        <w:tc>
          <w:tcPr>
            <w:tcW w:w="4343"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 xml:space="preserve">Corporate and Other </w:t>
            </w:r>
            <w:r>
              <w:rPr>
                <w:rFonts w:ascii="Times New Roman;serif" w:hAnsi="Times New Roman;serif"/>
                <w:b w:val="false"/>
                <w:color w:val="000000"/>
                <w:sz w:val="13"/>
              </w:rPr>
              <w:t>(a)</w:t>
            </w:r>
          </w:p>
        </w:tc>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2,440    </w:t>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2,405    </w:t>
            </w:r>
          </w:p>
        </w:tc>
      </w:tr>
      <w:tr>
        <w:trPr/>
        <w:tc>
          <w:tcPr>
            <w:tcW w:w="43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40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5,197    </w:t>
            </w:r>
          </w:p>
        </w:tc>
        <w:tc>
          <w:tcPr>
            <w:tcW w:w="939"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5,159    </w:t>
            </w:r>
          </w:p>
        </w:tc>
      </w:tr>
      <w:tr>
        <w:trPr/>
        <w:tc>
          <w:tcPr>
            <w:tcW w:w="10205" w:type="dxa"/>
            <w:gridSpan w:val="1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15" w:after="30"/>
              <w:ind w:left="0" w:right="0" w:hanging="18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Corporate and other total assets primarily include cash and cash equivalents, certain intangible assets, and centrally managed or shared facilities.</w:t>
            </w:r>
          </w:p>
        </w:tc>
      </w:tr>
    </w:tbl>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PP&amp;E, Net and Operating Lease Assets by Geographic Area</w:t>
      </w:r>
    </w:p>
    <w:p>
      <w:pPr>
        <w:pStyle w:val="TextBody"/>
        <w:bidi w:val="0"/>
        <w:spacing w:before="0" w:after="0"/>
        <w:jc w:val="left"/>
        <w:rPr/>
      </w:pPr>
      <w:r>
        <w:rPr/>
      </w:r>
    </w:p>
    <w:p>
      <w:pPr>
        <w:pStyle w:val="TextBody"/>
        <w:bidi w:val="0"/>
        <w:spacing w:lineRule="auto" w:line="297" w:before="0" w:after="10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the U.S. accounted for 23% and 22%, respectively, and the Kingdom of Saudi Arabia accounted for 13% and 11%, respectively, of our PP&amp;E, Net and operating lease assets identifiable by geography. No other country accounted for more than 10% of our PP&amp;E, Net and operating lease assets identifiable by geography as of December 31, 2025 and 2024. We had no PP&amp;E, Net and operating lease assets in our country of domicile (Ireland) as of December 31, 2025, and 2024.</w:t>
      </w:r>
    </w:p>
    <w:tbl>
      <w:tblPr>
        <w:tblW w:w="7508" w:type="dxa"/>
        <w:jc w:val="left"/>
        <w:tblInd w:w="0" w:type="dxa"/>
        <w:tblLayout w:type="fixed"/>
        <w:tblCellMar>
          <w:top w:w="28" w:type="dxa"/>
          <w:left w:w="28" w:type="dxa"/>
          <w:bottom w:w="28" w:type="dxa"/>
          <w:right w:w="28" w:type="dxa"/>
        </w:tblCellMar>
      </w:tblPr>
      <w:tblGrid>
        <w:gridCol w:w="1683"/>
        <w:gridCol w:w="1477"/>
        <w:gridCol w:w="1490"/>
        <w:gridCol w:w="109"/>
        <w:gridCol w:w="109"/>
        <w:gridCol w:w="109"/>
        <w:gridCol w:w="343"/>
        <w:gridCol w:w="343"/>
        <w:gridCol w:w="350"/>
        <w:gridCol w:w="138"/>
        <w:gridCol w:w="138"/>
        <w:gridCol w:w="138"/>
        <w:gridCol w:w="315"/>
        <w:gridCol w:w="315"/>
        <w:gridCol w:w="451"/>
      </w:tblGrid>
      <w:tr>
        <w:trPr/>
        <w:tc>
          <w:tcPr>
            <w:tcW w:w="1683"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6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left"/>
              <w:rPr/>
            </w:pPr>
            <w:r>
              <w:rPr>
                <w:rFonts w:ascii="Times New Roman;serif" w:hAnsi="Times New Roman;serif"/>
                <w:b w:val="false"/>
                <w:color w:val="000000"/>
                <w:sz w:val="20"/>
              </w:rPr>
              <w:t xml:space="preserve">North America </w:t>
            </w:r>
            <w:r>
              <w:rPr>
                <w:rFonts w:ascii="Times New Roman;serif" w:hAnsi="Times New Roman;serif"/>
                <w:b w:val="false"/>
                <w:color w:val="000000"/>
                <w:sz w:val="13"/>
              </w:rPr>
              <w:t>(a)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314    </w:t>
            </w:r>
          </w:p>
        </w:tc>
        <w:tc>
          <w:tcPr>
            <w:tcW w:w="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293    </w:t>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Latin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153    </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195    </w:t>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Middle East/North Africa/Asia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507    </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443    </w:t>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Europe/Sub-Sahara Africa/Russia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231    </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219    </w:t>
            </w:r>
          </w:p>
        </w:tc>
      </w:tr>
      <w:tr>
        <w:trPr/>
        <w:tc>
          <w:tcPr>
            <w:tcW w:w="46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left"/>
              <w:rPr/>
            </w:pPr>
            <w:r>
              <w:rPr>
                <w:rFonts w:ascii="Times New Roman;serif" w:hAnsi="Times New Roman;serif"/>
                <w:b w:val="false"/>
                <w:color w:val="000000"/>
                <w:sz w:val="20"/>
              </w:rPr>
              <w:t xml:space="preserve">PP&amp;E, Net and Operating Lease Assets by Geography </w:t>
            </w:r>
            <w:r>
              <w:rPr>
                <w:rFonts w:ascii="Times New Roman;serif" w:hAnsi="Times New Roman;serif"/>
                <w:b w:val="false"/>
                <w:color w:val="000000"/>
                <w:sz w:val="13"/>
              </w:rPr>
              <w:t>(b)</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1,205    </w:t>
            </w:r>
          </w:p>
        </w:tc>
        <w:tc>
          <w:tcPr>
            <w:tcW w:w="414"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1,150    </w:t>
            </w:r>
          </w:p>
        </w:tc>
      </w:tr>
      <w:tr>
        <w:trPr/>
        <w:tc>
          <w:tcPr>
            <w:tcW w:w="7508" w:type="dxa"/>
            <w:gridSpan w:val="15"/>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15" w:after="3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North America consists of the U.S. and Canada.</w:t>
            </w:r>
          </w:p>
        </w:tc>
      </w:tr>
      <w:tr>
        <w:trPr/>
        <w:tc>
          <w:tcPr>
            <w:tcW w:w="7508" w:type="dxa"/>
            <w:gridSpan w:val="15"/>
            <w:tcBorders/>
            <w:shd w:fill="FFFF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13"/>
              </w:rPr>
              <w:t>(b)</w:t>
            </w:r>
            <w:r>
              <w:rPr>
                <w:color w:val="000000"/>
              </w:rPr>
              <w:t xml:space="preserve"> </w:t>
            </w:r>
            <w:r>
              <w:rPr>
                <w:rFonts w:ascii="Times New Roman;serif" w:hAnsi="Times New Roman;serif"/>
                <w:b w:val="false"/>
                <w:color w:val="000000"/>
                <w:sz w:val="20"/>
              </w:rPr>
              <w:t>Corporate assets not allocated by geography are excluded from this total.</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69</w:t>
                      </w:r>
                    </w:p>
                  </w:txbxContent>
                </v:textbox>
                <w10:wrap type="none"/>
              </v:rect>
            </w:pict>
          </mc:Fallback>
        </mc:AlternateContent>
      </w:r>
    </w:p>
    <w:p>
      <w:pPr>
        <w:pStyle w:val="TextBody"/>
        <w:bidi w:val="0"/>
        <w:spacing w:lineRule="auto" w:line="333" w:before="0" w:after="0"/>
        <w:jc w:val="left"/>
        <w:rPr>
          <w:color w:val="000000"/>
        </w:rPr>
      </w:pPr>
      <w:r>
        <w:rPr>
          <w:color w:val="000000"/>
        </w:rPr>
        <w:t>    </w:t>
      </w:r>
      <w:r>
        <w:rPr>
          <w:rFonts w:ascii="Times New Roman;serif" w:hAnsi="Times New Roman;serif"/>
          <w:b w:val="false"/>
          <w:color w:val="000000"/>
          <w:sz w:val="20"/>
        </w:rPr>
        <w:t>Item 8 | Notes to the Consolidated Financial Statements</w:t>
      </w:r>
    </w:p>
    <w:p>
      <w:pPr>
        <w:pStyle w:val="TextBody"/>
        <w:bidi w:val="0"/>
        <w:spacing w:before="0" w:after="0"/>
        <w:ind w:left="0" w:right="0" w:firstLine="270"/>
        <w:jc w:val="left"/>
        <w:rPr/>
      </w:pPr>
      <w:r>
        <w:rPr/>
      </w:r>
    </w:p>
    <w:p>
      <w:pPr>
        <w:pStyle w:val="TextBody"/>
        <w:bidi w:val="0"/>
        <w:spacing w:lineRule="auto" w:line="333"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Sale of Business</w:t>
      </w:r>
    </w:p>
    <w:p>
      <w:pPr>
        <w:pStyle w:val="TextBody"/>
        <w:bidi w:val="0"/>
        <w:spacing w:before="0" w:after="0"/>
        <w:ind w:left="0" w:right="0" w:firstLine="270"/>
        <w:jc w:val="left"/>
        <w:rPr/>
      </w:pPr>
      <w:r>
        <w:rPr/>
      </w:r>
    </w:p>
    <w:p>
      <w:pPr>
        <w:pStyle w:val="TextBody"/>
        <w:bidi w:val="0"/>
        <w:spacing w:lineRule="auto" w:line="333"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2025, we completed the sale of our pressure pumping business in Argentina for proceeds totaling $104 million consisting of $7 million of proceeds received in the fourth quarter of 2024 and $97 million of proceeds received in the second quarter of 2025. We recognized a gain of $70 million as a result of this transaction during the three months ended June 30, 2025. </w:t>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3 – Revenue</w:t>
      </w:r>
    </w:p>
    <w:p>
      <w:pPr>
        <w:pStyle w:val="TextBody"/>
        <w:bidi w:val="0"/>
        <w:spacing w:before="0" w:after="0"/>
        <w:ind w:left="0" w:right="0" w:firstLine="360"/>
        <w:jc w:val="left"/>
        <w:rPr/>
      </w:pPr>
      <w:r>
        <w:rPr/>
      </w:r>
    </w:p>
    <w:p>
      <w:pPr>
        <w:pStyle w:val="TextBody"/>
        <w:bidi w:val="0"/>
        <w:spacing w:lineRule="auto" w:line="333" w:before="0" w:after="0"/>
        <w:jc w:val="left"/>
        <w:rPr>
          <w:rFonts w:ascii="Times New Roman;serif" w:hAnsi="Times New Roman;serif"/>
          <w:b/>
          <w:i/>
          <w:color w:val="000000"/>
          <w:sz w:val="20"/>
        </w:rPr>
      </w:pPr>
      <w:r>
        <w:rPr>
          <w:rFonts w:ascii="Times New Roman;serif" w:hAnsi="Times New Roman;serif"/>
          <w:b/>
          <w:i/>
          <w:color w:val="000000"/>
          <w:sz w:val="20"/>
        </w:rPr>
        <w:t xml:space="preserve">Disaggregated Revenue </w:t>
      </w:r>
    </w:p>
    <w:p>
      <w:pPr>
        <w:pStyle w:val="TextBody"/>
        <w:bidi w:val="0"/>
        <w:spacing w:before="0" w:after="0"/>
        <w:ind w:left="0" w:right="0" w:firstLine="36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For additional details on our revenue recognition policies see “Note 1 – Summary of Significant Accounting Policies.”</w:t>
      </w:r>
    </w:p>
    <w:p>
      <w:pPr>
        <w:pStyle w:val="TextBody"/>
        <w:bidi w:val="0"/>
        <w:spacing w:before="0" w:after="0"/>
        <w:ind w:left="0" w:right="0" w:firstLine="360"/>
        <w:jc w:val="both"/>
        <w:rPr/>
      </w:pPr>
      <w:r>
        <w:rPr/>
      </w:r>
    </w:p>
    <w:p>
      <w:pPr>
        <w:pStyle w:val="TextBody"/>
        <w:bidi w:val="0"/>
        <w:spacing w:lineRule="auto" w:line="333"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disaggregate our revenue from contracts with customers by geographic region and includes equipment rental revenue. Equipment rental revenue were $115 million, $151 million and $142 million in 2025, 2024 and 2023, respectively. </w:t>
      </w:r>
    </w:p>
    <w:p>
      <w:pPr>
        <w:pStyle w:val="TextBody"/>
        <w:bidi w:val="0"/>
        <w:spacing w:before="0" w:after="0"/>
        <w:ind w:left="0" w:right="0" w:firstLine="270"/>
        <w:jc w:val="both"/>
        <w:rPr/>
      </w:pPr>
      <w:r>
        <w:rPr/>
      </w:r>
    </w:p>
    <w:p>
      <w:pPr>
        <w:pStyle w:val="TextBody"/>
        <w:bidi w:val="0"/>
        <w:spacing w:lineRule="auto" w:line="297" w:before="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2025, 2024 and 2023, the U.S. accounted for 15%, 15% and 16% of total revenue, respectively. During 2025 and 2024, the Kingdom of Saudi Arabia accounted for 10% of total revenue in each period. In addition, during 2024 and 2023, Mexico accounted for 12% and 13% of total revenue, respectively, driven by our largest customer which accounted for 10% of our total revenue in each year, respectively. No other country or individual customer accounted for more than 10% of our total revenue in 2025, 2024 and 2023. We had no revenue in our country of domicile (Ireland) in 2025, 2024 and 2023.</w:t>
      </w:r>
    </w:p>
    <w:tbl>
      <w:tblPr>
        <w:tblW w:w="6221" w:type="dxa"/>
        <w:jc w:val="left"/>
        <w:tblInd w:w="0" w:type="dxa"/>
        <w:tblLayout w:type="fixed"/>
        <w:tblCellMar>
          <w:top w:w="28" w:type="dxa"/>
          <w:left w:w="28" w:type="dxa"/>
          <w:bottom w:w="28" w:type="dxa"/>
          <w:right w:w="28" w:type="dxa"/>
        </w:tblCellMar>
      </w:tblPr>
      <w:tblGrid>
        <w:gridCol w:w="1064"/>
        <w:gridCol w:w="934"/>
        <w:gridCol w:w="942"/>
        <w:gridCol w:w="491"/>
        <w:gridCol w:w="328"/>
        <w:gridCol w:w="250"/>
        <w:gridCol w:w="492"/>
        <w:gridCol w:w="328"/>
        <w:gridCol w:w="250"/>
        <w:gridCol w:w="473"/>
        <w:gridCol w:w="316"/>
        <w:gridCol w:w="353"/>
      </w:tblGrid>
      <w:tr>
        <w:trPr/>
        <w:tc>
          <w:tcPr>
            <w:tcW w:w="106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(Dollars in millions)</w:t>
            </w:r>
          </w:p>
        </w:tc>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 by Geographic Areas:</w:t>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 xml:space="preserve">North America </w:t>
            </w:r>
            <w:r>
              <w:rPr>
                <w:rFonts w:ascii="Times New Roman;serif" w:hAnsi="Times New Roman;serif"/>
                <w:b w:val="false"/>
                <w:color w:val="000000"/>
                <w:sz w:val="13"/>
              </w:rPr>
              <w:t>(a)</w:t>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983    </w:t>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1,046    </w:t>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1,068    </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3,935    </w:t>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4,467    </w:t>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4,067    </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Latin America</w:t>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898    </w:t>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1,393    </w:t>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1,387    </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Europe/Sub-Sahara Africa/Russia</w:t>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921    </w:t>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951    </w:t>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865    </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Middle East/North Africa/Asia</w:t>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2,116    </w:t>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2,123    </w:t>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1,815    </w:t>
            </w:r>
          </w:p>
        </w:tc>
      </w:tr>
      <w:tr>
        <w:trPr/>
        <w:tc>
          <w:tcPr>
            <w:tcW w:w="294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106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4,918    </w:t>
            </w:r>
          </w:p>
        </w:tc>
        <w:tc>
          <w:tcPr>
            <w:tcW w:w="107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5,513    </w:t>
            </w:r>
          </w:p>
        </w:tc>
        <w:tc>
          <w:tcPr>
            <w:tcW w:w="114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5,135    </w:t>
            </w:r>
          </w:p>
        </w:tc>
      </w:tr>
    </w:tbl>
    <w:p>
      <w:pPr>
        <w:pStyle w:val="TextBody"/>
        <w:bidi w:val="0"/>
        <w:spacing w:lineRule="auto" w:line="333" w:before="0" w:after="0"/>
        <w:ind w:left="0" w:right="0" w:firstLine="36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North America consists of the U.S. and Canada.</w:t>
      </w:r>
    </w:p>
    <w:p>
      <w:pPr>
        <w:pStyle w:val="TextBody"/>
        <w:bidi w:val="0"/>
        <w:ind w:left="0" w:right="0" w:firstLine="36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70</w:t>
                      </w:r>
                    </w:p>
                  </w:txbxContent>
                </v:textbox>
                <w10:wrap type="none"/>
              </v:rect>
            </w:pict>
          </mc:Fallback>
        </mc:AlternateContent>
      </w:r>
    </w:p>
    <w:p>
      <w:pPr>
        <w:pStyle w:val="TextBody"/>
        <w:bidi w:val="0"/>
        <w:spacing w:lineRule="auto" w:line="333" w:before="0" w:after="0"/>
        <w:jc w:val="left"/>
        <w:rPr>
          <w:color w:val="000000"/>
        </w:rPr>
      </w:pPr>
      <w:r>
        <w:rPr>
          <w:color w:val="000000"/>
        </w:rPr>
        <w:t>    </w:t>
      </w:r>
      <w:r>
        <w:rPr>
          <w:rFonts w:ascii="Times New Roman;serif" w:hAnsi="Times New Roman;serif"/>
          <w:b w:val="false"/>
          <w:color w:val="000000"/>
          <w:sz w:val="20"/>
        </w:rPr>
        <w:t>Item 8 | Notes to the Consolidated Financial Statements</w:t>
      </w:r>
    </w:p>
    <w:p>
      <w:pPr>
        <w:pStyle w:val="TextBody"/>
        <w:bidi w:val="0"/>
        <w:spacing w:lineRule="auto" w:line="333" w:before="0" w:after="0"/>
        <w:jc w:val="both"/>
        <w:rPr>
          <w:rFonts w:ascii="Times New Roman;serif" w:hAnsi="Times New Roman;serif"/>
          <w:b/>
          <w:i/>
          <w:color w:val="000000"/>
          <w:sz w:val="20"/>
        </w:rPr>
      </w:pPr>
      <w:r>
        <w:rPr>
          <w:rFonts w:ascii="Times New Roman;serif" w:hAnsi="Times New Roman;serif"/>
          <w:b/>
          <w:i/>
          <w:color w:val="000000"/>
          <w:sz w:val="20"/>
        </w:rPr>
        <w:t xml:space="preserve">Contract Balances </w:t>
      </w:r>
    </w:p>
    <w:p>
      <w:pPr>
        <w:pStyle w:val="TextBody"/>
        <w:bidi w:val="0"/>
        <w:spacing w:before="0" w:after="0"/>
        <w:ind w:left="0" w:right="0" w:firstLine="360"/>
        <w:jc w:val="both"/>
        <w:rPr/>
      </w:pPr>
      <w:r>
        <w:rPr/>
      </w:r>
    </w:p>
    <w:p>
      <w:pPr>
        <w:pStyle w:val="TextBody"/>
        <w:bidi w:val="0"/>
        <w:spacing w:lineRule="auto" w:line="333" w:before="0" w:after="10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timing of our revenue recognition, billings and cash collections result in the recording of accounts receivable, contract assets, and contract liabilities. The following table summarizes these balances as of December 31, 2025, and December 31, 2024:</w:t>
      </w:r>
    </w:p>
    <w:tbl>
      <w:tblPr>
        <w:tblW w:w="10205" w:type="dxa"/>
        <w:jc w:val="left"/>
        <w:tblInd w:w="0" w:type="dxa"/>
        <w:tblLayout w:type="fixed"/>
        <w:tblCellMar>
          <w:top w:w="28" w:type="dxa"/>
          <w:left w:w="28" w:type="dxa"/>
          <w:bottom w:w="28" w:type="dxa"/>
          <w:right w:w="28" w:type="dxa"/>
        </w:tblCellMar>
      </w:tblPr>
      <w:tblGrid>
        <w:gridCol w:w="2965"/>
        <w:gridCol w:w="2550"/>
        <w:gridCol w:w="2572"/>
        <w:gridCol w:w="397"/>
        <w:gridCol w:w="330"/>
        <w:gridCol w:w="309"/>
        <w:gridCol w:w="357"/>
        <w:gridCol w:w="295"/>
        <w:gridCol w:w="430"/>
      </w:tblGrid>
      <w:tr>
        <w:trPr/>
        <w:tc>
          <w:tcPr>
            <w:tcW w:w="2965"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8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8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(Dollars in millions)</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8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for Product and Services in Accounts Receivable, Net</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1,209    </w:t>
            </w:r>
          </w:p>
        </w:tc>
        <w:tc>
          <w:tcPr>
            <w:tcW w:w="10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1,232    </w:t>
            </w:r>
          </w:p>
        </w:tc>
      </w:tr>
      <w:tr>
        <w:trPr/>
        <w:tc>
          <w:tcPr>
            <w:tcW w:w="8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for Equipment Rentals in Account Receivable, Net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25    </w:t>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29    </w:t>
            </w:r>
          </w:p>
        </w:tc>
      </w:tr>
      <w:tr>
        <w:trPr/>
        <w:tc>
          <w:tcPr>
            <w:tcW w:w="80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 of $10 at December 31, 2025 and $8 at December 31, 2024</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1,234    </w:t>
            </w:r>
          </w:p>
        </w:tc>
        <w:tc>
          <w:tcPr>
            <w:tcW w:w="10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1,261    </w:t>
            </w:r>
          </w:p>
        </w:tc>
      </w:tr>
      <w:tr>
        <w:trPr/>
        <w:tc>
          <w:tcPr>
            <w:tcW w:w="8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in Other Current Assets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71    </w:t>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61    </w:t>
            </w:r>
          </w:p>
        </w:tc>
      </w:tr>
      <w:tr>
        <w:trPr/>
        <w:tc>
          <w:tcPr>
            <w:tcW w:w="8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in Other Non-Current Assets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32    </w:t>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34    </w:t>
            </w:r>
          </w:p>
        </w:tc>
      </w:tr>
      <w:tr>
        <w:trPr/>
        <w:tc>
          <w:tcPr>
            <w:tcW w:w="8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in Other Current Liabilities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48    </w:t>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51    </w:t>
            </w:r>
          </w:p>
        </w:tc>
      </w:tr>
      <w:tr>
        <w:trPr/>
        <w:tc>
          <w:tcPr>
            <w:tcW w:w="8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in Other Non-Current Liabilities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2    </w:t>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2    </w:t>
            </w:r>
          </w:p>
        </w:tc>
      </w:tr>
    </w:tbl>
    <w:p>
      <w:pPr>
        <w:pStyle w:val="TextBody"/>
        <w:bidi w:val="0"/>
        <w:spacing w:before="100" w:after="283"/>
        <w:jc w:val="left"/>
        <w:rPr/>
      </w:pPr>
      <w:r>
        <w:rPr/>
      </w:r>
    </w:p>
    <w:p>
      <w:pPr>
        <w:pStyle w:val="TextBody"/>
        <w:bidi w:val="0"/>
        <w:spacing w:before="100" w:after="283"/>
        <w:ind w:left="0" w:right="0" w:firstLine="9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4 – Restructuring Charges</w:t>
      </w:r>
    </w:p>
    <w:p>
      <w:pPr>
        <w:pStyle w:val="TextBody"/>
        <w:bidi w:val="0"/>
        <w:spacing w:before="0" w:after="0"/>
        <w:jc w:val="left"/>
        <w:rPr/>
      </w:pPr>
      <w:r>
        <w:rPr/>
      </w:r>
    </w:p>
    <w:p>
      <w:pPr>
        <w:pStyle w:val="TextBody"/>
        <w:bidi w:val="0"/>
        <w:spacing w:lineRule="auto" w:line="333"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2025, 2024 and 2023, “Restructuring Charges” on the accompanying Consolidated Statements of Operations were primarily related to optimization and efficiency initiatives throughout the organization.</w:t>
      </w:r>
    </w:p>
    <w:p>
      <w:pPr>
        <w:pStyle w:val="TextBody"/>
        <w:bidi w:val="0"/>
        <w:spacing w:before="0" w:after="0"/>
        <w:jc w:val="left"/>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Restructuring liabilities were $22 million and $35 million as of December 31, 2025 and 2024, respectively, of which $19 million and $31 million were recorded in “Other Current Liabilities” and $3 million and $4 million in “Other Non-current Liabilities” as of December 31, 2025 and 2024, respectively, on the accompanying Consolidated Balance Sheets. The change in liabilities include restructuring charges, primarily offset by cash payments.</w:t>
      </w:r>
    </w:p>
    <w:p>
      <w:pPr>
        <w:pStyle w:val="TextBody"/>
        <w:bidi w:val="0"/>
        <w:spacing w:before="0" w:after="0"/>
        <w:ind w:left="0" w:right="0" w:firstLine="360"/>
        <w:jc w:val="left"/>
        <w:rPr/>
      </w:pPr>
      <w:r>
        <w:rPr/>
      </w:r>
    </w:p>
    <w:p>
      <w:pPr>
        <w:pStyle w:val="TextBody"/>
        <w:bidi w:val="0"/>
        <w:spacing w:lineRule="auto" w:line="333"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restructuring charges by type and by segment (and all other) for the following periods:</w:t>
      </w:r>
    </w:p>
    <w:p>
      <w:pPr>
        <w:pStyle w:val="TextBody"/>
        <w:bidi w:val="0"/>
        <w:spacing w:before="0" w:after="0"/>
        <w:ind w:left="0" w:right="0" w:firstLine="360"/>
        <w:jc w:val="left"/>
        <w:rPr/>
      </w:pPr>
      <w:r>
        <w:rPr/>
      </w:r>
    </w:p>
    <w:tbl>
      <w:tblPr>
        <w:tblW w:w="5607" w:type="dxa"/>
        <w:jc w:val="left"/>
        <w:tblInd w:w="0" w:type="dxa"/>
        <w:tblLayout w:type="fixed"/>
        <w:tblCellMar>
          <w:top w:w="28" w:type="dxa"/>
          <w:left w:w="28" w:type="dxa"/>
          <w:bottom w:w="28" w:type="dxa"/>
          <w:right w:w="28" w:type="dxa"/>
        </w:tblCellMar>
      </w:tblPr>
      <w:tblGrid>
        <w:gridCol w:w="972"/>
        <w:gridCol w:w="853"/>
        <w:gridCol w:w="860"/>
        <w:gridCol w:w="109"/>
        <w:gridCol w:w="109"/>
        <w:gridCol w:w="109"/>
        <w:gridCol w:w="371"/>
        <w:gridCol w:w="250"/>
        <w:gridCol w:w="250"/>
        <w:gridCol w:w="371"/>
        <w:gridCol w:w="250"/>
        <w:gridCol w:w="250"/>
        <w:gridCol w:w="250"/>
        <w:gridCol w:w="250"/>
        <w:gridCol w:w="353"/>
      </w:tblGrid>
      <w:tr>
        <w:trPr/>
        <w:tc>
          <w:tcPr>
            <w:tcW w:w="97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6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Charges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41    </w:t>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35    </w:t>
            </w:r>
          </w:p>
        </w:tc>
        <w:tc>
          <w:tcPr>
            <w:tcW w:w="8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9    </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Exit and Other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17    </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7    </w:t>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7    </w:t>
            </w:r>
          </w:p>
        </w:tc>
      </w:tr>
      <w:tr>
        <w:trPr/>
        <w:tc>
          <w:tcPr>
            <w:tcW w:w="268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Charges</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58    </w:t>
            </w:r>
          </w:p>
        </w:tc>
        <w:tc>
          <w:tcPr>
            <w:tcW w:w="8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42    </w:t>
            </w:r>
          </w:p>
        </w:tc>
        <w:tc>
          <w:tcPr>
            <w:tcW w:w="85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16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71</w:t>
                      </w:r>
                    </w:p>
                  </w:txbxContent>
                </v:textbox>
                <w10:wrap type="none"/>
              </v:rect>
            </w:pict>
          </mc:Fallback>
        </mc:AlternateContent>
      </w:r>
    </w:p>
    <w:p>
      <w:pPr>
        <w:pStyle w:val="TextBody"/>
        <w:bidi w:val="0"/>
        <w:spacing w:lineRule="auto" w:line="333" w:before="0" w:after="0"/>
        <w:jc w:val="left"/>
        <w:rPr>
          <w:color w:val="000000"/>
        </w:rPr>
      </w:pPr>
      <w:r>
        <w:rPr>
          <w:color w:val="000000"/>
        </w:rPr>
        <w:t>    </w:t>
      </w:r>
      <w:r>
        <w:rPr>
          <w:rFonts w:ascii="Times New Roman;serif" w:hAnsi="Times New Roman;serif"/>
          <w:b w:val="false"/>
          <w:color w:val="000000"/>
          <w:sz w:val="20"/>
        </w:rPr>
        <w:t>Item 8 | Notes to the Consolidated Financial Statements</w:t>
      </w:r>
    </w:p>
    <w:p>
      <w:pPr>
        <w:pStyle w:val="TextBody"/>
        <w:bidi w:val="0"/>
        <w:spacing w:before="0" w:after="0"/>
        <w:ind w:left="0" w:right="0" w:firstLine="360"/>
        <w:jc w:val="left"/>
        <w:rPr/>
      </w:pPr>
      <w:r>
        <w:rPr/>
      </w:r>
    </w:p>
    <w:tbl>
      <w:tblPr>
        <w:tblW w:w="5010" w:type="dxa"/>
        <w:jc w:val="left"/>
        <w:tblInd w:w="0" w:type="dxa"/>
        <w:tblLayout w:type="fixed"/>
        <w:tblCellMar>
          <w:top w:w="28" w:type="dxa"/>
          <w:left w:w="28" w:type="dxa"/>
          <w:bottom w:w="28" w:type="dxa"/>
          <w:right w:w="28" w:type="dxa"/>
        </w:tblCellMar>
      </w:tblPr>
      <w:tblGrid>
        <w:gridCol w:w="874"/>
        <w:gridCol w:w="767"/>
        <w:gridCol w:w="774"/>
        <w:gridCol w:w="371"/>
        <w:gridCol w:w="250"/>
        <w:gridCol w:w="250"/>
        <w:gridCol w:w="371"/>
        <w:gridCol w:w="250"/>
        <w:gridCol w:w="250"/>
        <w:gridCol w:w="250"/>
        <w:gridCol w:w="250"/>
        <w:gridCol w:w="353"/>
      </w:tblGrid>
      <w:tr>
        <w:trPr/>
        <w:tc>
          <w:tcPr>
            <w:tcW w:w="87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DRE</w:t>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13    </w:t>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10    </w:t>
            </w:r>
          </w:p>
        </w:tc>
        <w:tc>
          <w:tcPr>
            <w:tcW w:w="8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3    </w:t>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WCC</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16    </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8    </w:t>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7    </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13    </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14    </w:t>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3    </w:t>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16    </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10    </w:t>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3    </w:t>
            </w:r>
          </w:p>
        </w:tc>
      </w:tr>
      <w:tr>
        <w:trPr/>
        <w:tc>
          <w:tcPr>
            <w:tcW w:w="241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Charges</w:t>
            </w:r>
          </w:p>
        </w:tc>
        <w:tc>
          <w:tcPr>
            <w:tcW w:w="8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58    </w:t>
            </w:r>
          </w:p>
        </w:tc>
        <w:tc>
          <w:tcPr>
            <w:tcW w:w="8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42    </w:t>
            </w:r>
          </w:p>
        </w:tc>
        <w:tc>
          <w:tcPr>
            <w:tcW w:w="85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16    </w:t>
            </w:r>
          </w:p>
        </w:tc>
      </w:tr>
    </w:tbl>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72</w:t>
                      </w:r>
                    </w:p>
                  </w:txbxContent>
                </v:textbox>
                <w10:wrap type="none"/>
              </v:rect>
            </w:pict>
          </mc:Fallback>
        </mc:AlternateContent>
      </w:r>
    </w:p>
    <w:p>
      <w:pPr>
        <w:pStyle w:val="TextBody"/>
        <w:bidi w:val="0"/>
        <w:spacing w:lineRule="auto" w:line="333" w:before="0" w:after="0"/>
        <w:jc w:val="left"/>
        <w:rPr>
          <w:color w:val="000000"/>
        </w:rPr>
      </w:pPr>
      <w:r>
        <w:rPr>
          <w:color w:val="000000"/>
        </w:rPr>
        <w:t>    </w:t>
      </w:r>
      <w:r>
        <w:rPr>
          <w:rFonts w:ascii="Times New Roman;serif" w:hAnsi="Times New Roman;serif"/>
          <w:b w:val="false"/>
          <w:color w:val="000000"/>
          <w:sz w:val="20"/>
        </w:rPr>
        <w:t>Item 8 | Notes to the Consolidated Financial Statements</w:t>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5 – Inventories, Net</w:t>
      </w:r>
    </w:p>
    <w:p>
      <w:pPr>
        <w:pStyle w:val="TextBody"/>
        <w:bidi w:val="0"/>
        <w:spacing w:before="0" w:after="0"/>
        <w:jc w:val="left"/>
        <w:rPr/>
      </w:pPr>
      <w:r>
        <w:rPr/>
      </w:r>
    </w:p>
    <w:p>
      <w:pPr>
        <w:pStyle w:val="TextBody"/>
        <w:bidi w:val="0"/>
        <w:spacing w:lineRule="auto" w:line="333" w:before="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Inventories, net of reserves of $118 million and $115 million as of December 31, 2025 and December 31, 2024, respectively, by category were as follows:</w:t>
      </w:r>
    </w:p>
    <w:tbl>
      <w:tblPr>
        <w:tblW w:w="7022" w:type="dxa"/>
        <w:jc w:val="left"/>
        <w:tblInd w:w="0" w:type="dxa"/>
        <w:tblLayout w:type="fixed"/>
        <w:tblCellMar>
          <w:top w:w="28" w:type="dxa"/>
          <w:left w:w="28" w:type="dxa"/>
          <w:bottom w:w="28" w:type="dxa"/>
          <w:right w:w="28" w:type="dxa"/>
        </w:tblCellMar>
      </w:tblPr>
      <w:tblGrid>
        <w:gridCol w:w="1884"/>
        <w:gridCol w:w="1653"/>
        <w:gridCol w:w="1668"/>
        <w:gridCol w:w="340"/>
        <w:gridCol w:w="282"/>
        <w:gridCol w:w="264"/>
        <w:gridCol w:w="308"/>
        <w:gridCol w:w="254"/>
        <w:gridCol w:w="369"/>
      </w:tblGrid>
      <w:tr>
        <w:trPr/>
        <w:tc>
          <w:tcPr>
            <w:tcW w:w="1884"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(Dollars in millions)</w:t>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742    </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778    </w:t>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 and Raw Materials, Components and Supplies</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94    </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102    </w:t>
            </w:r>
          </w:p>
        </w:tc>
      </w:tr>
      <w:tr>
        <w:trPr/>
        <w:tc>
          <w:tcPr>
            <w:tcW w:w="520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8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836    </w:t>
            </w:r>
          </w:p>
        </w:tc>
        <w:tc>
          <w:tcPr>
            <w:tcW w:w="93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880    </w:t>
            </w:r>
          </w:p>
        </w:tc>
      </w:tr>
    </w:tbl>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change in inventory reserves includes inventory charges primarily offset by the disposal of inventory previously reserved. The charges are primarily recorded in “Cost of Products” on our Consolidated Statements of Operations in the amount of $29 million, $32 million and $19 million, in 2025, 2024 and 2023, respectively.</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6 – Property, Plant and Equipment, Net</w:t>
      </w:r>
    </w:p>
    <w:p>
      <w:pPr>
        <w:pStyle w:val="TextBody"/>
        <w:bidi w:val="0"/>
        <w:spacing w:before="0" w:after="0"/>
        <w:jc w:val="left"/>
        <w:rPr/>
      </w:pPr>
      <w:r>
        <w:rPr/>
      </w:r>
    </w:p>
    <w:p>
      <w:pPr>
        <w:pStyle w:val="TextBody"/>
        <w:bidi w:val="0"/>
        <w:spacing w:lineRule="auto" w:line="333" w:before="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 was composed of the following:</w:t>
      </w:r>
    </w:p>
    <w:tbl>
      <w:tblPr>
        <w:tblW w:w="5986" w:type="dxa"/>
        <w:jc w:val="left"/>
        <w:tblInd w:w="0" w:type="dxa"/>
        <w:tblLayout w:type="fixed"/>
        <w:tblCellMar>
          <w:top w:w="28" w:type="dxa"/>
          <w:left w:w="28" w:type="dxa"/>
          <w:bottom w:w="28" w:type="dxa"/>
          <w:right w:w="28" w:type="dxa"/>
        </w:tblCellMar>
      </w:tblPr>
      <w:tblGrid>
        <w:gridCol w:w="1400"/>
        <w:gridCol w:w="1229"/>
        <w:gridCol w:w="1240"/>
        <w:gridCol w:w="397"/>
        <w:gridCol w:w="329"/>
        <w:gridCol w:w="310"/>
        <w:gridCol w:w="356"/>
        <w:gridCol w:w="294"/>
        <w:gridCol w:w="431"/>
      </w:tblGrid>
      <w:tr>
        <w:trPr/>
        <w:tc>
          <w:tcPr>
            <w:tcW w:w="1400"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(Dollars in millions)</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8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Buildings and Leasehold Improvements</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568    </w:t>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498    </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and Service Equipment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1,377    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1,213    </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Other</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329    </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290    </w:t>
            </w:r>
          </w:p>
        </w:tc>
      </w:tr>
      <w:tr>
        <w:trPr/>
        <w:tc>
          <w:tcPr>
            <w:tcW w:w="38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Gross</w:t>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2,274    </w:t>
            </w:r>
          </w:p>
        </w:tc>
        <w:tc>
          <w:tcPr>
            <w:tcW w:w="10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2,001    </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1,150    </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940    </w:t>
            </w:r>
          </w:p>
        </w:tc>
      </w:tr>
      <w:tr>
        <w:trPr/>
        <w:tc>
          <w:tcPr>
            <w:tcW w:w="386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Property, Plant and Equipment, Net</w:t>
            </w:r>
          </w:p>
        </w:tc>
        <w:tc>
          <w:tcPr>
            <w:tcW w:w="10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1,124    </w:t>
            </w:r>
          </w:p>
        </w:tc>
        <w:tc>
          <w:tcPr>
            <w:tcW w:w="108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1,061    </w:t>
            </w:r>
          </w:p>
        </w:tc>
      </w:tr>
    </w:tbl>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expense was $208 million, $185 million and $171 million in 2025, 2024 and 2023, respectively.</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73</w:t>
                      </w:r>
                    </w:p>
                  </w:txbxContent>
                </v:textbox>
                <w10:wrap type="none"/>
              </v:rect>
            </w:pict>
          </mc:Fallback>
        </mc:AlternateContent>
      </w:r>
    </w:p>
    <w:p>
      <w:pPr>
        <w:pStyle w:val="TextBody"/>
        <w:bidi w:val="0"/>
        <w:spacing w:lineRule="auto" w:line="333" w:before="60" w:after="283"/>
        <w:jc w:val="left"/>
        <w:rPr>
          <w:color w:val="000000"/>
        </w:rPr>
      </w:pPr>
      <w:r>
        <w:rPr>
          <w:color w:val="000000"/>
        </w:rPr>
        <w:t>    </w:t>
      </w:r>
      <w:r>
        <w:rPr>
          <w:rFonts w:ascii="Times New Roman;serif" w:hAnsi="Times New Roman;serif"/>
          <w:b w:val="false"/>
          <w:color w:val="000000"/>
          <w:sz w:val="20"/>
        </w:rPr>
        <w:t>Item 8 | Notes to the Consolidated Financial Statements</w:t>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 xml:space="preserve">7 – Intangible Assets, Net </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intangible assets, net were as follows:</w:t>
      </w:r>
    </w:p>
    <w:tbl>
      <w:tblPr>
        <w:tblW w:w="7167" w:type="dxa"/>
        <w:jc w:val="left"/>
        <w:tblInd w:w="0" w:type="dxa"/>
        <w:tblLayout w:type="fixed"/>
        <w:tblCellMar>
          <w:top w:w="28" w:type="dxa"/>
          <w:left w:w="28" w:type="dxa"/>
          <w:bottom w:w="28" w:type="dxa"/>
          <w:right w:w="28" w:type="dxa"/>
        </w:tblCellMar>
      </w:tblPr>
      <w:tblGrid>
        <w:gridCol w:w="1151"/>
        <w:gridCol w:w="1010"/>
        <w:gridCol w:w="1019"/>
        <w:gridCol w:w="343"/>
        <w:gridCol w:w="343"/>
        <w:gridCol w:w="350"/>
        <w:gridCol w:w="114"/>
        <w:gridCol w:w="114"/>
        <w:gridCol w:w="114"/>
        <w:gridCol w:w="414"/>
        <w:gridCol w:w="414"/>
        <w:gridCol w:w="418"/>
        <w:gridCol w:w="114"/>
        <w:gridCol w:w="114"/>
        <w:gridCol w:w="114"/>
        <w:gridCol w:w="297"/>
        <w:gridCol w:w="297"/>
        <w:gridCol w:w="427"/>
      </w:tblGrid>
      <w:tr>
        <w:trPr/>
        <w:tc>
          <w:tcPr>
            <w:tcW w:w="1151"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Intangible</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(Dollars in millions)</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Amortization</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31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and Acquired Technology</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704    </w:t>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(586)</w:t>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118    </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409    </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(242)</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167    </w:t>
            </w:r>
          </w:p>
        </w:tc>
      </w:tr>
      <w:tr>
        <w:trPr/>
        <w:tc>
          <w:tcPr>
            <w:tcW w:w="31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1,113    </w:t>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(828)</w:t>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285    </w:t>
            </w:r>
          </w:p>
        </w:tc>
      </w:tr>
      <w:tr>
        <w:trPr/>
        <w:tc>
          <w:tcPr>
            <w:tcW w:w="31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Intangible</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(Dollars in millions)</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Amortization</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31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and Acquired Technology</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718    </w:t>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(592)</w:t>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126    </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400    </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(201)</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199    </w:t>
            </w:r>
          </w:p>
        </w:tc>
      </w:tr>
      <w:tr>
        <w:trPr/>
        <w:tc>
          <w:tcPr>
            <w:tcW w:w="318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1,118    </w:t>
            </w:r>
          </w:p>
        </w:tc>
        <w:tc>
          <w:tcPr>
            <w:tcW w:w="342"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(793)</w:t>
            </w:r>
          </w:p>
        </w:tc>
        <w:tc>
          <w:tcPr>
            <w:tcW w:w="342"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325    </w:t>
            </w:r>
          </w:p>
        </w:tc>
      </w:tr>
    </w:tbl>
    <w:p>
      <w:pPr>
        <w:pStyle w:val="TextBody"/>
        <w:bidi w:val="0"/>
        <w:spacing w:before="0" w:after="0"/>
        <w:jc w:val="center"/>
        <w:rPr/>
      </w:pPr>
      <w:r>
        <w:rPr/>
      </w:r>
    </w:p>
    <w:tbl>
      <w:tblPr>
        <w:tblW w:w="13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Amortization expense was $59 million, $158 million and $156 million in 2025, 2024, and 2023, respectively. The decrease in amortization expense for 2025 was primarily due to full amortization of certain intangible assets as of December 31, 2024. Based on the carrying value of intangible assets at December 31, 2025, amortization expense for the subsequent five years is estimated as follows (dollars in millions):</w:t>
      </w:r>
    </w:p>
    <w:tbl>
      <w:tblPr>
        <w:tblW w:w="1517" w:type="dxa"/>
        <w:jc w:val="left"/>
        <w:tblInd w:w="0" w:type="dxa"/>
        <w:tblLayout w:type="fixed"/>
        <w:tblCellMar>
          <w:top w:w="28" w:type="dxa"/>
          <w:left w:w="28" w:type="dxa"/>
          <w:bottom w:w="28" w:type="dxa"/>
          <w:right w:w="28" w:type="dxa"/>
        </w:tblCellMar>
      </w:tblPr>
      <w:tblGrid>
        <w:gridCol w:w="250"/>
        <w:gridCol w:w="220"/>
        <w:gridCol w:w="221"/>
        <w:gridCol w:w="242"/>
        <w:gridCol w:w="242"/>
        <w:gridCol w:w="342"/>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Amount</w:t>
            </w:r>
          </w:p>
        </w:tc>
      </w:tr>
      <w:tr>
        <w:trPr/>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63    </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62    </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61    </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55    </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15    </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74</w:t>
                      </w:r>
                    </w:p>
                  </w:txbxContent>
                </v:textbox>
                <w10:wrap type="none"/>
              </v:rect>
            </w:pict>
          </mc:Fallback>
        </mc:AlternateContent>
      </w:r>
    </w:p>
    <w:p>
      <w:pPr>
        <w:pStyle w:val="TextBody"/>
        <w:bidi w:val="0"/>
        <w:spacing w:lineRule="auto" w:line="333" w:before="60" w:after="283"/>
        <w:jc w:val="left"/>
        <w:rPr>
          <w:color w:val="000000"/>
        </w:rPr>
      </w:pPr>
      <w:r>
        <w:rPr>
          <w:color w:val="000000"/>
        </w:rPr>
        <w:t>    </w:t>
      </w:r>
      <w:r>
        <w:rPr>
          <w:rFonts w:ascii="Times New Roman;serif" w:hAnsi="Times New Roman;serif"/>
          <w:b w:val="false"/>
          <w:color w:val="000000"/>
          <w:sz w:val="20"/>
        </w:rPr>
        <w:t>Item 8 | Notes to the Consolidated Financial Statements</w: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8 – Leases</w:t>
      </w:r>
    </w:p>
    <w:p>
      <w:pPr>
        <w:pStyle w:val="TextBody"/>
        <w:bidi w:val="0"/>
        <w:spacing w:before="0" w:after="0"/>
        <w:ind w:left="0" w:right="0" w:firstLine="360"/>
        <w:jc w:val="both"/>
        <w:rPr/>
      </w:pPr>
      <w:r>
        <w:rPr/>
      </w:r>
    </w:p>
    <w:p>
      <w:pPr>
        <w:pStyle w:val="TextBody"/>
        <w:bidi w:val="0"/>
        <w:spacing w:lineRule="auto" w:line="333" w:before="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lease expense components:</w:t>
      </w:r>
    </w:p>
    <w:tbl>
      <w:tblPr>
        <w:tblW w:w="9664" w:type="dxa"/>
        <w:jc w:val="left"/>
        <w:tblInd w:w="0" w:type="dxa"/>
        <w:tblLayout w:type="fixed"/>
        <w:tblCellMar>
          <w:top w:w="28" w:type="dxa"/>
          <w:left w:w="28" w:type="dxa"/>
          <w:bottom w:w="28" w:type="dxa"/>
          <w:right w:w="28" w:type="dxa"/>
        </w:tblCellMar>
      </w:tblPr>
      <w:tblGrid>
        <w:gridCol w:w="2390"/>
        <w:gridCol w:w="2096"/>
        <w:gridCol w:w="2114"/>
        <w:gridCol w:w="109"/>
        <w:gridCol w:w="109"/>
        <w:gridCol w:w="109"/>
        <w:gridCol w:w="390"/>
        <w:gridCol w:w="263"/>
        <w:gridCol w:w="250"/>
        <w:gridCol w:w="390"/>
        <w:gridCol w:w="263"/>
        <w:gridCol w:w="250"/>
        <w:gridCol w:w="281"/>
        <w:gridCol w:w="281"/>
        <w:gridCol w:w="369"/>
      </w:tblGrid>
      <w:tr>
        <w:trPr/>
        <w:tc>
          <w:tcPr>
            <w:tcW w:w="2390"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66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Lease Expense Components: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57    </w:t>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57    </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60    </w:t>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and Variable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185    </w:t>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205    </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174    </w:t>
            </w:r>
          </w:p>
        </w:tc>
      </w:tr>
      <w:tr>
        <w:trPr/>
        <w:tc>
          <w:tcPr>
            <w:tcW w:w="66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Subtotal of Operating Lease Expense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242    </w:t>
            </w:r>
          </w:p>
        </w:tc>
        <w:tc>
          <w:tcPr>
            <w:tcW w:w="9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262    </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234    </w:t>
            </w:r>
          </w:p>
        </w:tc>
      </w:tr>
      <w:tr>
        <w:trPr/>
        <w:tc>
          <w:tcPr>
            <w:tcW w:w="66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Expense: Amortization of Assets and Interest on Lease Liabilities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27    </w:t>
            </w:r>
          </w:p>
        </w:tc>
        <w:tc>
          <w:tcPr>
            <w:tcW w:w="9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24    </w:t>
            </w:r>
          </w:p>
        </w:tc>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19    </w:t>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w:t>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w:t>
            </w:r>
          </w:p>
        </w:tc>
      </w:tr>
      <w:tr>
        <w:trPr/>
        <w:tc>
          <w:tcPr>
            <w:tcW w:w="660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Lease Expense</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268    </w:t>
            </w:r>
          </w:p>
        </w:tc>
        <w:tc>
          <w:tcPr>
            <w:tcW w:w="90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284    </w:t>
            </w:r>
          </w:p>
        </w:tc>
        <w:tc>
          <w:tcPr>
            <w:tcW w:w="93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251    </w:t>
            </w:r>
          </w:p>
        </w:tc>
      </w:tr>
    </w:tbl>
    <w:p>
      <w:pPr>
        <w:pStyle w:val="TextBody"/>
        <w:bidi w:val="0"/>
        <w:spacing w:before="0" w:after="0"/>
        <w:ind w:left="0" w:right="0" w:firstLine="360"/>
        <w:jc w:val="both"/>
        <w:rPr/>
      </w:pPr>
      <w:r>
        <w:rPr/>
      </w:r>
    </w:p>
    <w:p>
      <w:pPr>
        <w:pStyle w:val="TextBody"/>
        <w:bidi w:val="0"/>
        <w:spacing w:lineRule="auto" w:line="333" w:before="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Future commitments under operating and finance leases are as follows:</w:t>
      </w:r>
    </w:p>
    <w:tbl>
      <w:tblPr>
        <w:tblW w:w="6674" w:type="dxa"/>
        <w:jc w:val="left"/>
        <w:tblInd w:w="0" w:type="dxa"/>
        <w:tblLayout w:type="fixed"/>
        <w:tblCellMar>
          <w:top w:w="28" w:type="dxa"/>
          <w:left w:w="28" w:type="dxa"/>
          <w:bottom w:w="28" w:type="dxa"/>
          <w:right w:w="28" w:type="dxa"/>
        </w:tblCellMar>
      </w:tblPr>
      <w:tblGrid>
        <w:gridCol w:w="1645"/>
        <w:gridCol w:w="1444"/>
        <w:gridCol w:w="1456"/>
        <w:gridCol w:w="109"/>
        <w:gridCol w:w="109"/>
        <w:gridCol w:w="109"/>
        <w:gridCol w:w="325"/>
        <w:gridCol w:w="325"/>
        <w:gridCol w:w="326"/>
        <w:gridCol w:w="242"/>
        <w:gridCol w:w="242"/>
        <w:gridCol w:w="342"/>
      </w:tblGrid>
      <w:tr>
        <w:trPr/>
        <w:tc>
          <w:tcPr>
            <w:tcW w:w="1645"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Finance</w:t>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Leases</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Leases</w:t>
            </w:r>
          </w:p>
        </w:tc>
      </w:tr>
      <w:tr>
        <w:trPr/>
        <w:tc>
          <w:tcPr>
            <w:tcW w:w="45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Maturity of Lease Liabilities as of December 31,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58    </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33    </w:t>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41    </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22    </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24    </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10    </w:t>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18    </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4    </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16    </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3    </w:t>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88    </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6    </w:t>
            </w:r>
          </w:p>
        </w:tc>
      </w:tr>
      <w:tr>
        <w:trPr/>
        <w:tc>
          <w:tcPr>
            <w:tcW w:w="4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245    </w:t>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78    </w:t>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(88)</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(8)</w:t>
            </w:r>
          </w:p>
        </w:tc>
      </w:tr>
      <w:tr>
        <w:trPr/>
        <w:tc>
          <w:tcPr>
            <w:tcW w:w="454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157    </w:t>
            </w:r>
          </w:p>
        </w:tc>
        <w:tc>
          <w:tcPr>
            <w:tcW w:w="82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70    </w:t>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75</w:t>
                      </w:r>
                    </w:p>
                  </w:txbxContent>
                </v:textbox>
                <w10:wrap type="none"/>
              </v:rect>
            </w:pict>
          </mc:Fallback>
        </mc:AlternateContent>
      </w:r>
    </w:p>
    <w:p>
      <w:pPr>
        <w:pStyle w:val="TextBody"/>
        <w:bidi w:val="0"/>
        <w:spacing w:lineRule="auto" w:line="333" w:before="60" w:after="283"/>
        <w:jc w:val="left"/>
        <w:rPr>
          <w:color w:val="000000"/>
        </w:rPr>
      </w:pPr>
      <w:r>
        <w:rPr>
          <w:color w:val="000000"/>
        </w:rPr>
        <w:t>    </w:t>
      </w:r>
      <w:r>
        <w:rPr>
          <w:rFonts w:ascii="Times New Roman;serif" w:hAnsi="Times New Roman;serif"/>
          <w:b w:val="false"/>
          <w:color w:val="000000"/>
          <w:sz w:val="20"/>
        </w:rPr>
        <w:t>Item 8 | Notes to the Consolidated Financial Statements</w:t>
      </w:r>
    </w:p>
    <w:tbl>
      <w:tblPr>
        <w:tblW w:w="9102" w:type="dxa"/>
        <w:jc w:val="left"/>
        <w:tblInd w:w="0" w:type="dxa"/>
        <w:tblLayout w:type="fixed"/>
        <w:tblCellMar>
          <w:top w:w="28" w:type="dxa"/>
          <w:left w:w="28" w:type="dxa"/>
          <w:bottom w:w="28" w:type="dxa"/>
          <w:right w:w="28" w:type="dxa"/>
        </w:tblCellMar>
      </w:tblPr>
      <w:tblGrid>
        <w:gridCol w:w="2123"/>
        <w:gridCol w:w="1868"/>
        <w:gridCol w:w="1874"/>
        <w:gridCol w:w="354"/>
        <w:gridCol w:w="354"/>
        <w:gridCol w:w="356"/>
        <w:gridCol w:w="354"/>
        <w:gridCol w:w="354"/>
        <w:gridCol w:w="356"/>
        <w:gridCol w:w="324"/>
        <w:gridCol w:w="324"/>
        <w:gridCol w:w="461"/>
      </w:tblGrid>
      <w:tr>
        <w:trPr/>
        <w:tc>
          <w:tcPr>
            <w:tcW w:w="2123"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w:t>
            </w:r>
          </w:p>
        </w:tc>
      </w:tr>
      <w:tr>
        <w:trPr/>
        <w:tc>
          <w:tcPr>
            <w:tcW w:w="5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(Dollars in millions except years and percentages)</w:t>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12/31/2025</w:t>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12/31/2024</w:t>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12/31/2023</w:t>
            </w:r>
          </w:p>
        </w:tc>
      </w:tr>
      <w:tr>
        <w:trPr/>
        <w:tc>
          <w:tcPr>
            <w:tcW w:w="58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Supplemental Information:</w:t>
            </w:r>
          </w:p>
        </w:tc>
        <w:tc>
          <w:tcPr>
            <w:tcW w:w="10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cash outflows from operating leases</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63    </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61    </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67    </w:t>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cash outflows from finance leases</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4    </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5    </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5    </w:t>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Financing cash outflows from finance leases</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27    </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35    </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18    </w:t>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97" w:before="75" w:after="30"/>
              <w:jc w:val="both"/>
              <w:rPr>
                <w:rFonts w:ascii="Times New Roman;serif" w:hAnsi="Times New Roman;serif"/>
                <w:b w:val="false"/>
                <w:color w:val="000000"/>
                <w:sz w:val="20"/>
              </w:rPr>
            </w:pPr>
            <w:r>
              <w:rPr>
                <w:rFonts w:ascii="Times New Roman;serif" w:hAnsi="Times New Roman;serif"/>
                <w:b w:val="false"/>
                <w:color w:val="000000"/>
                <w:sz w:val="20"/>
              </w:rPr>
              <w:t>Assets obtained in exchange for:</w:t>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leases</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45    </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32    </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70    </w:t>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Finance leases</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57    </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34    </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16    </w:t>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(years)</w:t>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leases</w:t>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Finance leases</w:t>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(percentages)</w:t>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leases</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8.4    %</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8.6    %</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8.8    %</w:t>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Finance leases</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6.7    %</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6.8    %</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8.2    %</w:t>
            </w:r>
          </w:p>
        </w:tc>
      </w:tr>
    </w:tbl>
    <w:p>
      <w:pPr>
        <w:pStyle w:val="TextBody"/>
        <w:bidi w:val="0"/>
        <w:spacing w:before="60" w:after="283"/>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76</w:t>
                      </w:r>
                    </w:p>
                  </w:txbxContent>
                </v:textbox>
                <w10:wrap type="none"/>
              </v:rect>
            </w:pict>
          </mc:Fallback>
        </mc:AlternateContent>
      </w:r>
    </w:p>
    <w:p>
      <w:pPr>
        <w:pStyle w:val="TextBody"/>
        <w:bidi w:val="0"/>
        <w:spacing w:lineRule="auto" w:line="333" w:before="60" w:after="283"/>
        <w:jc w:val="left"/>
        <w:rPr>
          <w:color w:val="000000"/>
        </w:rPr>
      </w:pPr>
      <w:r>
        <w:rPr>
          <w:color w:val="000000"/>
        </w:rPr>
        <w:t>    </w:t>
      </w:r>
      <w:r>
        <w:rPr>
          <w:rFonts w:ascii="Times New Roman;serif" w:hAnsi="Times New Roman;serif"/>
          <w:b w:val="false"/>
          <w:color w:val="000000"/>
          <w:sz w:val="20"/>
        </w:rPr>
        <w:t>Item 8 | Notes to the Consolidated Financial Statements</w:t>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9 – Borrowings and Other Debt Obligations</w:t>
      </w:r>
    </w:p>
    <w:p>
      <w:pPr>
        <w:pStyle w:val="TextBody"/>
        <w:bidi w:val="0"/>
        <w:spacing w:before="0" w:after="0"/>
        <w:jc w:val="left"/>
        <w:rPr/>
      </w:pPr>
      <w:r>
        <w:rPr/>
      </w:r>
    </w:p>
    <w:p>
      <w:pPr>
        <w:pStyle w:val="TextBody"/>
        <w:bidi w:val="0"/>
        <w:spacing w:lineRule="auto" w:line="319" w:before="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debt carrying values consisted of the following:</w:t>
      </w:r>
    </w:p>
    <w:tbl>
      <w:tblPr>
        <w:tblW w:w="6896" w:type="dxa"/>
        <w:jc w:val="left"/>
        <w:tblInd w:w="0" w:type="dxa"/>
        <w:tblLayout w:type="fixed"/>
        <w:tblCellMar>
          <w:top w:w="28" w:type="dxa"/>
          <w:left w:w="28" w:type="dxa"/>
          <w:bottom w:w="28" w:type="dxa"/>
          <w:right w:w="28" w:type="dxa"/>
        </w:tblCellMar>
      </w:tblPr>
      <w:tblGrid>
        <w:gridCol w:w="1576"/>
        <w:gridCol w:w="1390"/>
        <w:gridCol w:w="1399"/>
        <w:gridCol w:w="343"/>
        <w:gridCol w:w="343"/>
        <w:gridCol w:w="350"/>
        <w:gridCol w:w="138"/>
        <w:gridCol w:w="138"/>
        <w:gridCol w:w="138"/>
        <w:gridCol w:w="315"/>
        <w:gridCol w:w="315"/>
        <w:gridCol w:w="451"/>
      </w:tblGrid>
      <w:tr>
        <w:trPr/>
        <w:tc>
          <w:tcPr>
            <w:tcW w:w="1576"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(Dollars in millions)</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Current Portion</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30    </w:t>
            </w:r>
          </w:p>
        </w:tc>
        <w:tc>
          <w:tcPr>
            <w:tcW w:w="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17    </w:t>
            </w:r>
          </w:p>
        </w:tc>
      </w:tr>
      <w:tr>
        <w:trPr/>
        <w:tc>
          <w:tcPr>
            <w:tcW w:w="43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30    </w:t>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17    </w:t>
            </w:r>
          </w:p>
        </w:tc>
      </w:tr>
      <w:tr>
        <w:trPr/>
        <w:tc>
          <w:tcPr>
            <w:tcW w:w="43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6.75% Senior Notes due 2033 “2033 Senior Notes”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1,181    </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    </w:t>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8.625% Senior Notes due 2030 “2030 Senior Notes”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234    </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1,586    </w:t>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Long-term Portion</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40    </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31    </w:t>
            </w:r>
          </w:p>
        </w:tc>
      </w:tr>
      <w:tr>
        <w:trPr/>
        <w:tc>
          <w:tcPr>
            <w:tcW w:w="436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1,455    </w:t>
            </w:r>
          </w:p>
        </w:tc>
        <w:tc>
          <w:tcPr>
            <w:tcW w:w="414"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1,617    </w:t>
            </w:r>
          </w:p>
        </w:tc>
      </w:tr>
    </w:tbl>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2028 Senior Secured Notes</w:t>
      </w:r>
    </w:p>
    <w:p>
      <w:pPr>
        <w:pStyle w:val="TextBody"/>
        <w:bidi w:val="0"/>
        <w:spacing w:before="0" w:after="0"/>
        <w:jc w:val="left"/>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30, 2021, we issued 6.5% Senior Secured Notes in aggregate principal amount of $500 million maturing September 15, 2028 (the “2028 Senior Secured Notes”). Interest accrued at the rate of 6.5% per annum and was payable semiannually on September 15 and March 15. Proceeds from the issuance were reduced by debt issuance costs. In 2024, we fully redeemed the remaining $248 million principal amount.</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i/>
          <w:color w:val="000000"/>
          <w:sz w:val="20"/>
        </w:rPr>
      </w:pPr>
      <w:r>
        <w:rPr>
          <w:rFonts w:ascii="Times New Roman;serif" w:hAnsi="Times New Roman;serif"/>
          <w:b w:val="false"/>
          <w:i/>
          <w:color w:val="000000"/>
          <w:sz w:val="20"/>
        </w:rPr>
        <w:t>2030 Senior Notes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October 27, 2021, we issued 8.625% Senior Notes in aggregate principal amount of $1.6 billion maturing April 30, 2030 (the “2030 Senior Notes”). Interest accrues at the rate of 8.625% per annum and is payable semiannually on June 1 and December 1 of each year, and commenced June 1, 2022. Our 2030 Senior Notes were issued by Weatherford International Ltd., a Bermuda exempted company (“Weatherford Bermuda”) and guaranteed by the Company and Weatherford International, LLC, a Delaware limited liability company (“Weatherford Delaware”) and other subsidiary guarantors party thereto. On December 1, 2022, the indenture related to our 2030 Senior Notes was amended and supplemented to add Weatherford Delaware as co-issuer and co-obligor, and concurrently releases the guarantee of Weatherford Delaware.</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2025, we repurchased approximately $61 million of principal of our 2030 Senior Notes and acquired an additional $1.3 billion of principal through a tender offer and redemption. In connection with the tender offer and redemption, we also paid $41 million of accrued interest and a $30 million redemption premium. We recognized a non-cash loss on extinguishment of debt of $8 million, primarily related to the write-off of unamortized debt issuance costs. The tender offer and redemption used net proceeds from the issuance of $1.2 billion of 2033 Senior Notes (defined below) and cash on hand. In 2024, we repurchased $4 million in principal of our 2030 Senior Notes. At December 31, 2025 and December 31, 2024, the carrying value represents the remaining unpaid principal of $236 million and $1.6 billion, respectively, offset by unamortized deferred issuance cost of $2 million and $11 million, respectively.</w:t>
      </w:r>
    </w:p>
    <w:p>
      <w:pPr>
        <w:pStyle w:val="TextBody"/>
        <w:bidi w:val="0"/>
        <w:spacing w:before="0" w:after="0"/>
        <w:ind w:left="0" w:right="0" w:firstLine="360"/>
        <w:jc w:val="both"/>
        <w:rPr/>
      </w:pPr>
      <w:r>
        <w:rPr/>
      </w:r>
    </w:p>
    <w:p>
      <w:pPr>
        <w:pStyle w:val="TextBody"/>
        <w:bidi w:val="0"/>
        <w:spacing w:lineRule="auto" w:line="333" w:before="0" w:after="0"/>
        <w:jc w:val="both"/>
        <w:rPr>
          <w:rFonts w:ascii="Times New Roman;serif" w:hAnsi="Times New Roman;serif"/>
          <w:b w:val="false"/>
          <w:i/>
          <w:color w:val="000000"/>
          <w:sz w:val="20"/>
        </w:rPr>
      </w:pPr>
      <w:r>
        <w:rPr>
          <w:rFonts w:ascii="Times New Roman;serif" w:hAnsi="Times New Roman;serif"/>
          <w:b w:val="false"/>
          <w:i/>
          <w:color w:val="000000"/>
          <w:sz w:val="20"/>
        </w:rPr>
        <w:t>2033 Senior Notes</w:t>
      </w:r>
    </w:p>
    <w:p>
      <w:pPr>
        <w:pStyle w:val="TextBody"/>
        <w:bidi w:val="0"/>
        <w:spacing w:before="0" w:after="0"/>
        <w:jc w:val="both"/>
        <w:rPr/>
      </w:pPr>
      <w:r>
        <w:rPr/>
      </w:r>
    </w:p>
    <w:p>
      <w:pPr>
        <w:pStyle w:val="TextBody"/>
        <w:bidi w:val="0"/>
        <w:spacing w:lineRule="auto" w:line="33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6, 2025, we issued 6.75% Senior Note in aggregate principal amount of $1.2 billion maturing October 15, 2033 (the “2033 Senior Notes’). Interest accrues at the rate of 6.75% per annum and is payable semiannually on April 15th and October 15th of each year commencing April 15, 2026. Our 2033 Senior Notes were issued by Weatherford Bermuda and guaranteed by the Company and Weatherford Delaware and other subsidiary guarantors party thereto. On October 24, 2025, the indenture related to our 2033 Senior Notes was amended and supplemented to add Weatherford Delaware as co-issuer and co-obligor, and concurrently released the guarantee of Weatherford Delaware. At December 31, 2025, the carrying value represents the remaining unpaid principal of $1.2 billion, offset by unamortized deferred issuance cost of $19 million.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77</w:t>
                      </w:r>
                    </w:p>
                  </w:txbxContent>
                </v:textbox>
                <w10:wrap type="none"/>
              </v:rect>
            </w:pict>
          </mc:Fallback>
        </mc:AlternateContent>
      </w:r>
    </w:p>
    <w:p>
      <w:pPr>
        <w:pStyle w:val="TextBody"/>
        <w:bidi w:val="0"/>
        <w:spacing w:lineRule="auto" w:line="333" w:before="60" w:after="283"/>
        <w:jc w:val="left"/>
        <w:rPr>
          <w:color w:val="000000"/>
        </w:rPr>
      </w:pPr>
      <w:r>
        <w:rPr>
          <w:color w:val="000000"/>
        </w:rPr>
        <w:t>    </w:t>
      </w:r>
      <w:r>
        <w:rPr>
          <w:rFonts w:ascii="Times New Roman;serif" w:hAnsi="Times New Roman;serif"/>
          <w:b w:val="false"/>
          <w:color w:val="000000"/>
          <w:sz w:val="20"/>
        </w:rPr>
        <w:t>Item 8 | Notes to the Consolidated Financial Statements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Credit Agreement</w:t>
      </w:r>
    </w:p>
    <w:p>
      <w:pPr>
        <w:pStyle w:val="TextBody"/>
        <w:bidi w:val="0"/>
        <w:spacing w:before="0" w:after="0"/>
        <w:ind w:left="0" w:right="0" w:firstLine="360"/>
        <w:jc w:val="both"/>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Weatherford Bermuda, Weatherford Delaware, Weatherford Canada Ltd. (“Weatherford Canada”) and WOFS International Finance GmbH (“Weatherford Switzerland”), together as borrowers, and the Company as parent, have an amended and restated credit agreement (the “Credit Agreement”). The Credit Agreement is guaranteed by the Company and certain of our subsidiaries and secured by substantially all of the personal property of the Company and those subsidiaries. At December 31, 2025, the Credit Agreement allowed for a total commitment amount of $1 billion, maturing on the earlier of (a) September 18, 2030 and (b) to the extent that more than $200 million of 2030 Senior Notes or Permitted Refinancing Indebtedness in respect thereof is outstanding on such date, the date that is 91 days prior to the stated maturity date of the Senior Notes or any Permitted Refinancing Indebtedness in respect thereof. Financial covenants in the Credit Agreement include a $250 million minimum liquidity covenant (which may increase up to $400 million dependent on the nature of transactions we may decide to enter into), a minimum interest coverage ratio of 2.50 to 1.00, a maximum total net leverage ratio of 3.50 to 1.00, and a maximum secured net leverage ratio of 1.50 to 1.00. </w:t>
      </w:r>
    </w:p>
    <w:p>
      <w:pPr>
        <w:pStyle w:val="TextBody"/>
        <w:bidi w:val="0"/>
        <w:spacing w:before="0" w:after="0"/>
        <w:ind w:left="0" w:right="0" w:firstLine="360"/>
        <w:jc w:val="both"/>
        <w:rPr/>
      </w:pPr>
      <w:r>
        <w:rPr/>
      </w:r>
    </w:p>
    <w:p>
      <w:pPr>
        <w:pStyle w:val="TextBody"/>
        <w:bidi w:val="0"/>
        <w:spacing w:lineRule="auto" w:line="319"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18, 2025, we amended the Credit Agreement to (i) allow for an increase in total commitment amount from $720 million to $1 billion comprised of $600 million to be used either for revolving loans or financial letters of credit and $400 million to be used for performance letters of credit, (ii) extend the maturity date to the earlier of September 18, 2030 or January 29, 2030 if more than $200 million of 2030 Senior Notes or Permitted Refinancing Indebtedness are outstanding on that date and (iii) include an accordion feature that will allow for further increases of commitments up to $1.15 billion.</w:t>
      </w:r>
    </w:p>
    <w:p>
      <w:pPr>
        <w:pStyle w:val="TextBody"/>
        <w:bidi w:val="0"/>
        <w:spacing w:before="0" w:after="0"/>
        <w:ind w:left="0" w:right="0" w:firstLine="360"/>
        <w:jc w:val="both"/>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under the Credit Agreement we had zero borrowings, $7 million in financial letters of credit and $245 million in performance letters of credit outstanding. Additionally as of December 31, 2025, we had $207 million letters of credit under various uncommitted bi-lateral facilities ($47 million of which was cash collateral held and recorded in “Restricted Cash” on the Consolidated Balance Sheets).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2024, under the Credit Agreement we had zero borrowings, $12 million in financial letters of credit and $279 million in performance letters of credit outstanding. Additionally as of December 31, 2024, we had $91 million of letters of credit under various uncommitted bi-lateral facilities ($49 million of which was cash collateral held and recorded in “Restricted Cash” on the Consolidated Balance Sheets).</w:t>
      </w:r>
    </w:p>
    <w:p>
      <w:pPr>
        <w:pStyle w:val="TextBody"/>
        <w:bidi w:val="0"/>
        <w:spacing w:before="0" w:after="0"/>
        <w:jc w:val="both"/>
        <w:rPr/>
      </w:pPr>
      <w:r>
        <w:rPr/>
      </w:r>
    </w:p>
    <w:p>
      <w:pPr>
        <w:pStyle w:val="TextBody"/>
        <w:bidi w:val="0"/>
        <w:spacing w:lineRule="auto" w:line="319"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Covenants for the Senior Notes and Credit Agreement</w:t>
      </w:r>
    </w:p>
    <w:p>
      <w:pPr>
        <w:pStyle w:val="TextBody"/>
        <w:bidi w:val="0"/>
        <w:spacing w:before="0" w:after="0"/>
        <w:ind w:left="0" w:right="0" w:firstLine="360"/>
        <w:jc w:val="both"/>
        <w:rPr/>
      </w:pPr>
      <w:r>
        <w:rPr/>
      </w:r>
    </w:p>
    <w:p>
      <w:pPr>
        <w:pStyle w:val="TextBody"/>
        <w:bidi w:val="0"/>
        <w:spacing w:lineRule="auto" w:line="319"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and indentures governing the 2030 Senior Notes and 2033 Senior Notes contain covenants that limit, among other things, our ability and the ability of certain of our subsidiaries, to: incur, assume or guarantee additional indebtedness; pay dividends or distributions on capital stock or redeem or repurchase capital stock; make investments; sell stock of our subsidiaries; transfer or sell assets; create liens; enter into transactions with affiliates; and enter into mergers or consolidations. The Company is subject to a $250 million minimum liquidity covenant which may increase up to $400 million dependent on the nature of transactions we may decide to enter into, a minimum interest coverage ratio of 2.50 to 1.00, a maximum total net leverage ratio of 3.50 to 1.00, and a maximum secured net leverage ratio of 1.50 to 1.00. </w:t>
      </w:r>
    </w:p>
    <w:p>
      <w:pPr>
        <w:pStyle w:val="TextBody"/>
        <w:bidi w:val="0"/>
        <w:ind w:left="0" w:right="0" w:firstLine="3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78</w:t>
                      </w:r>
                    </w:p>
                  </w:txbxContent>
                </v:textbox>
                <w10:wrap type="none"/>
              </v:rect>
            </w:pict>
          </mc:Fallback>
        </mc:AlternateContent>
      </w:r>
    </w:p>
    <w:p>
      <w:pPr>
        <w:pStyle w:val="TextBody"/>
        <w:bidi w:val="0"/>
        <w:spacing w:lineRule="auto" w:line="333" w:before="60" w:after="283"/>
        <w:jc w:val="left"/>
        <w:rPr>
          <w:color w:val="000000"/>
        </w:rPr>
      </w:pPr>
      <w:r>
        <w:rPr>
          <w:color w:val="000000"/>
        </w:rPr>
        <w:t>    </w:t>
      </w:r>
      <w:r>
        <w:rPr>
          <w:rFonts w:ascii="Times New Roman;serif" w:hAnsi="Times New Roman;serif"/>
          <w:b w:val="false"/>
          <w:color w:val="000000"/>
          <w:sz w:val="20"/>
        </w:rPr>
        <w:t>Item 8 | Notes to the Consolidated Financial Statements</w:t>
      </w:r>
    </w:p>
    <w:p>
      <w:pPr>
        <w:pStyle w:val="TextBody"/>
        <w:bidi w:val="0"/>
        <w:spacing w:lineRule="auto" w:line="333" w:before="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scheduled debt maturities by year:</w:t>
      </w:r>
    </w:p>
    <w:tbl>
      <w:tblPr>
        <w:tblW w:w="4546" w:type="dxa"/>
        <w:jc w:val="left"/>
        <w:tblInd w:w="0" w:type="dxa"/>
        <w:tblLayout w:type="fixed"/>
        <w:tblCellMar>
          <w:top w:w="28" w:type="dxa"/>
          <w:left w:w="28" w:type="dxa"/>
          <w:bottom w:w="28" w:type="dxa"/>
          <w:right w:w="28" w:type="dxa"/>
        </w:tblCellMar>
      </w:tblPr>
      <w:tblGrid>
        <w:gridCol w:w="1252"/>
        <w:gridCol w:w="1102"/>
        <w:gridCol w:w="1111"/>
        <w:gridCol w:w="315"/>
        <w:gridCol w:w="315"/>
        <w:gridCol w:w="451"/>
      </w:tblGrid>
      <w:tr>
        <w:trPr/>
        <w:tc>
          <w:tcPr>
            <w:tcW w:w="125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(Dollars in millions)</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Amount</w:t>
            </w:r>
          </w:p>
        </w:tc>
      </w:tr>
      <w:tr>
        <w:trPr/>
        <w:tc>
          <w:tcPr>
            <w:tcW w:w="3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29    </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20    </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9    </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4    </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238    </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1,206    </w:t>
            </w:r>
          </w:p>
        </w:tc>
      </w:tr>
      <w:tr>
        <w:trPr/>
        <w:tc>
          <w:tcPr>
            <w:tcW w:w="3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Maturities</w:t>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1,506    </w:t>
            </w:r>
          </w:p>
        </w:tc>
      </w:tr>
      <w:tr>
        <w:trPr/>
        <w:tc>
          <w:tcPr>
            <w:tcW w:w="3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and Discount</w:t>
            </w:r>
          </w:p>
        </w:tc>
        <w:tc>
          <w:tcPr>
            <w:tcW w:w="10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(21)</w:t>
            </w:r>
          </w:p>
        </w:tc>
      </w:tr>
      <w:tr>
        <w:trPr/>
        <w:tc>
          <w:tcPr>
            <w:tcW w:w="346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Carrying Value</w:t>
            </w:r>
          </w:p>
        </w:tc>
        <w:tc>
          <w:tcPr>
            <w:tcW w:w="108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1,485    </w:t>
            </w:r>
          </w:p>
        </w:tc>
      </w:tr>
    </w:tbl>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10 – Fair Value of Financial Instruments, Assets and Other Assets</w:t>
      </w:r>
    </w:p>
    <w:p>
      <w:pPr>
        <w:pStyle w:val="TextBody"/>
        <w:bidi w:val="0"/>
        <w:spacing w:before="0" w:after="0"/>
        <w:jc w:val="left"/>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estimate fair value at a price that would be received to sell an asset or paid to transfer a liability in an orderly transaction between market participants in the principal market for the asset or liability. Our valuation techniques require inputs that we categorize using a three-level hierarchy, from highest to lowest level of observable inputs. Level 1 inputs are unadjusted quoted prices in active markets for identical assets or liabilities. Level 2 inputs are quoted prices or other market data for similar assets and liabilities in active markets, or inputs that are observable for the asset or liability, either directly or indirectly through market corroboration, for substantially the full term of the financial instrument. Level 3 inputs are unobservable inputs based upon our own judgment and assumptions used to measure assets and liabilities at fair value. Classification of a financial asset or liability within the hierarchy is determined based on the lowest level of input that is significant to the fair value measurement. The fair values of our foreign currency forward contracts (see “Note 11 – Derivative Financial Instruments”), warrants (before their expiration in 2023, see “Note 16 – Income per Share”), and plan assets of defined benefit pension plans (see “Note 12 – Employee Benefit Plans”) are all Level 2 valuations and the fair value of the credit default swap is a Level 3 valuation (see “Note 11 – Derivative Financial Instruments”). </w:t>
      </w:r>
    </w:p>
    <w:p>
      <w:pPr>
        <w:pStyle w:val="TextBody"/>
        <w:bidi w:val="0"/>
        <w:spacing w:before="0" w:after="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other financial instruments include cash and cash equivalents, accounts receivable, accounts payable, short-term borrowings and long-term debt. The carrying values of these financial instruments (excluding long-term debt) approximate their fair value due to their short maturities. </w:t>
      </w:r>
    </w:p>
    <w:p>
      <w:pPr>
        <w:pStyle w:val="TextBody"/>
        <w:bidi w:val="0"/>
        <w:spacing w:before="0" w:after="0"/>
        <w:ind w:left="0" w:right="0" w:firstLine="360"/>
        <w:jc w:val="both"/>
        <w:rPr/>
      </w:pPr>
      <w:r>
        <w:rPr/>
      </w:r>
    </w:p>
    <w:p>
      <w:pPr>
        <w:pStyle w:val="TextBody"/>
        <w:bidi w:val="0"/>
        <w:spacing w:lineRule="auto" w:line="333" w:before="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our long-term debt fluctuates with changes in applicable interest rates among other factors. Fair value will exceed carrying value when the current market interest rate is lower than the interest rate at which the debt was originally issued and will be less than the carrying value when the current market interest rate is greater than the interest rate at which the debt was originally issued. The fair value of our long-term debt (excluding Finance Leases) in the following table is classified as Level 2 in the fair value hierarchy and is established based on observable inputs in less active markets.</w:t>
      </w:r>
    </w:p>
    <w:tbl>
      <w:tblPr>
        <w:tblW w:w="8753" w:type="dxa"/>
        <w:jc w:val="left"/>
        <w:tblInd w:w="0" w:type="dxa"/>
        <w:tblLayout w:type="fixed"/>
        <w:tblCellMar>
          <w:top w:w="28" w:type="dxa"/>
          <w:left w:w="28" w:type="dxa"/>
          <w:bottom w:w="28" w:type="dxa"/>
          <w:right w:w="28" w:type="dxa"/>
        </w:tblCellMar>
      </w:tblPr>
      <w:tblGrid>
        <w:gridCol w:w="1350"/>
        <w:gridCol w:w="1188"/>
        <w:gridCol w:w="1197"/>
        <w:gridCol w:w="479"/>
        <w:gridCol w:w="479"/>
        <w:gridCol w:w="481"/>
        <w:gridCol w:w="354"/>
        <w:gridCol w:w="354"/>
        <w:gridCol w:w="341"/>
        <w:gridCol w:w="479"/>
        <w:gridCol w:w="479"/>
        <w:gridCol w:w="481"/>
        <w:gridCol w:w="322"/>
        <w:gridCol w:w="322"/>
        <w:gridCol w:w="447"/>
      </w:tblGrid>
      <w:tr>
        <w:trPr/>
        <w:tc>
          <w:tcPr>
            <w:tcW w:w="1350"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253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(Dollars in millions)</w:t>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3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8.625% Senior Notes due 2030</w:t>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234    </w:t>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242    </w:t>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1,586    </w:t>
            </w:r>
          </w:p>
        </w:tc>
        <w:tc>
          <w:tcPr>
            <w:tcW w:w="10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1,650    </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6.75% Senior Notes due 2033</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1,181    </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1,226    </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r>
      <w:tr>
        <w:trPr/>
        <w:tc>
          <w:tcPr>
            <w:tcW w:w="373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Long-Term Debt (excluding Finance Leases)</w:t>
            </w:r>
          </w:p>
        </w:tc>
        <w:tc>
          <w:tcPr>
            <w:tcW w:w="143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1,415    </w:t>
            </w:r>
          </w:p>
        </w:tc>
        <w:tc>
          <w:tcPr>
            <w:tcW w:w="104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1,468    </w:t>
            </w:r>
          </w:p>
        </w:tc>
        <w:tc>
          <w:tcPr>
            <w:tcW w:w="143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1,586    </w:t>
            </w:r>
          </w:p>
        </w:tc>
        <w:tc>
          <w:tcPr>
            <w:tcW w:w="109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1,650    </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79</w:t>
                      </w:r>
                    </w:p>
                  </w:txbxContent>
                </v:textbox>
                <w10:wrap type="none"/>
              </v:rect>
            </w:pict>
          </mc:Fallback>
        </mc:AlternateContent>
      </w:r>
    </w:p>
    <w:p>
      <w:pPr>
        <w:pStyle w:val="TextBody"/>
        <w:bidi w:val="0"/>
        <w:spacing w:lineRule="auto" w:line="333" w:before="60" w:after="283"/>
        <w:jc w:val="left"/>
        <w:rPr>
          <w:color w:val="000000"/>
        </w:rPr>
      </w:pPr>
      <w:r>
        <w:rPr>
          <w:color w:val="000000"/>
        </w:rPr>
        <w:t>    </w:t>
      </w:r>
      <w:r>
        <w:rPr>
          <w:rFonts w:ascii="Times New Roman;serif" w:hAnsi="Times New Roman;serif"/>
          <w:b w:val="false"/>
          <w:color w:val="000000"/>
          <w:sz w:val="20"/>
        </w:rPr>
        <w:t>Item 8 | Notes to the Consolidated Financial Statements</w:t>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 xml:space="preserve">11 – Derivative Financial Instruments </w:t>
      </w:r>
    </w:p>
    <w:p>
      <w:pPr>
        <w:pStyle w:val="TextBody"/>
        <w:bidi w:val="0"/>
        <w:spacing w:before="0" w:after="0"/>
        <w:jc w:val="left"/>
        <w:rPr/>
      </w:pPr>
      <w:r>
        <w:rPr/>
      </w:r>
    </w:p>
    <w:p>
      <w:pPr>
        <w:pStyle w:val="TextBody"/>
        <w:bidi w:val="0"/>
        <w:spacing w:lineRule="auto" w:line="333" w:before="0" w:after="0"/>
        <w:ind w:left="0" w:right="0" w:firstLine="360"/>
        <w:jc w:val="both"/>
        <w:rPr/>
      </w:pPr>
      <w:r>
        <w:rPr>
          <w:rFonts w:ascii="Times New Roman;serif" w:hAnsi="Times New Roman;serif"/>
          <w:b w:val="false"/>
          <w:color w:val="000000"/>
          <w:sz w:val="20"/>
        </w:rPr>
        <w:t xml:space="preserve">Both our foreign currency forward contracts and the credit default swap are undesignated hedging instruments under ASC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 xml:space="preserve">. </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Foreign Currency Forward Contracts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enter into foreign currency forward contracts to economically hedge our exposure to currency fluctuations in various foreign currencies. At December 31, 2025 and December 31, 2024, we had outstanding foreign currency forward contracts with notional amounts aggregating to $608 million and $543 million, respectively. The fair values of these derivatives were not material as of December 31, 2025 and December 31, 2024.</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Credit Default Swap</w:t>
      </w:r>
    </w:p>
    <w:p>
      <w:pPr>
        <w:pStyle w:val="TextBody"/>
        <w:bidi w:val="0"/>
        <w:spacing w:before="0" w:after="0"/>
        <w:ind w:left="0" w:right="0" w:firstLine="360"/>
        <w:jc w:val="both"/>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fourth quarter of 2024, we entered into a CDS with a third-party financial institution terminating in September of 2026 related to a secured loan between that third-party financial institution and our largest customer in Mexico. The secured loan was utilized by this customer to pay certain of our outstanding receivables and accordingly, in the fourth quarter of 2024, we received $25 million. The fair value of the derivative was not material as of December 31, 2025 and December 31, 2024. Under the CDS terms, within five business days upon notification of default, we could be required to pay the then outstanding notional balance net of recoveries. As of December 31, 2025, we had a notional balance of $14 million outstanding under the CDS and as of December 31, 2024 we had a notional balance of $25 million outstanding. Management expects the total notional balance under the CDS to be nil by December 31, 2026. </w:t>
      </w:r>
    </w:p>
    <w:p>
      <w:pPr>
        <w:pStyle w:val="TextBody"/>
        <w:bidi w:val="0"/>
        <w:spacing w:before="0" w:after="0"/>
        <w:ind w:left="0" w:right="0" w:firstLine="360"/>
        <w:jc w:val="both"/>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CDS was entered into during the fourth quarter of 2023 with the same parties for similar reasons as in the fourth quarter of 2024, and accordingly, in the first quarter of 2024, we received $142 million. The agreement was terminated in the third quarter of 2024, extinguishing the remaining notional balance.</w:t>
      </w:r>
    </w:p>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w:t>
                      </w:r>
                    </w:p>
                  </w:txbxContent>
                </v:textbox>
                <w10:wrap type="none"/>
              </v:rect>
            </w:pict>
          </mc:Fallback>
        </mc:AlternateContent>
      </w:r>
    </w:p>
    <w:p>
      <w:pPr>
        <w:pStyle w:val="TextBody"/>
        <w:bidi w:val="0"/>
        <w:spacing w:lineRule="auto" w:line="333" w:before="60" w:after="283"/>
        <w:jc w:val="left"/>
        <w:rPr>
          <w:color w:val="000000"/>
        </w:rPr>
      </w:pPr>
      <w:r>
        <w:rPr>
          <w:color w:val="000000"/>
        </w:rPr>
        <w:t>    </w:t>
      </w:r>
      <w:r>
        <w:rPr>
          <w:rFonts w:ascii="Times New Roman;serif" w:hAnsi="Times New Roman;serif"/>
          <w:b w:val="false"/>
          <w:color w:val="000000"/>
          <w:sz w:val="20"/>
        </w:rPr>
        <w:t>Item 8 | Notes to the Consolidated Financial Statements</w: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12 – Employee Benefit Plans</w:t>
      </w:r>
    </w:p>
    <w:p>
      <w:pPr>
        <w:pStyle w:val="TextBody"/>
        <w:bidi w:val="0"/>
        <w:spacing w:lineRule="auto" w:line="333" w:before="0" w:after="0"/>
        <w:ind w:left="0" w:right="0" w:firstLine="360"/>
        <w:jc w:val="both"/>
        <w:rPr>
          <w:color w:val="000000"/>
        </w:rPr>
      </w:pPr>
      <w:r>
        <w:rPr>
          <w:color w:val="000000"/>
        </w:rPr>
        <w:t> </w:t>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defined contribution plans covering certain employees. Contribution expenses related to these plans totaled $20 million, $20 million and $18 million for the years ended December 31, 2025, 2024 and 2023, respectively. </w:t>
      </w:r>
    </w:p>
    <w:p>
      <w:pPr>
        <w:pStyle w:val="TextBody"/>
        <w:bidi w:val="0"/>
        <w:spacing w:before="0" w:after="0"/>
        <w:ind w:left="0" w:right="0" w:firstLine="360"/>
        <w:jc w:val="both"/>
        <w:rPr/>
      </w:pPr>
      <w:r>
        <w:rPr/>
      </w:r>
    </w:p>
    <w:p>
      <w:pPr>
        <w:pStyle w:val="TextBody"/>
        <w:bidi w:val="0"/>
        <w:spacing w:lineRule="auto" w:line="319"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defined benefit pension and other post-retirement benefit plans covering certain current and former U.S. and international employees. Plan benefits are generally based on factors such as age, compensation levels and years of service. Net periodic benefit cost related to these plans totaled less than $1 million, $3 million, and $3 million for the years ended December 31, 2025, 2024 and 2023, respectively. The projected benefit obligations on a consolidated basis were $128 million and $126 million as of December 31, 2025 and December 31, 2024, respectively. The fair values of plan assets on a consolidated basis were $107 million and $100 million as of December 31, 2025 and December 31, 2024, respectively. The increase in both the projected benefit obligation and the plan assets year over year is due primarily to the weakening of the U.S. Dollar, partially offset by the settlement and payment of benefit obligations and annual interest and return activity. As of December 31, 2025, the net underfunded obligation consisted of $20 million of funded obligations recorded to “Other Non-current Assets” and $41 million of underfunded obligations substantially all recorded to “Other Non-current Liabilities” on our Consolidated Balance Sheets. As of December 31, 2024, the net underfunded obligation consisted of $17 million of funded obligations recorded to “Other Non-current Assets” and $43 million of underfunded obligations substantially all recorded to “Other Non-current Liabilities” on our Consolidated Balance Sheets. Additionally, the consolidated pre-tax amount in accumulated other comprehensive income as of December 31, 2025 and December 31, 2024, that has not yet been recognized as a component of net periodic benefit cost was a net gain of $12 million and $6 million, respectively. The increase is due to the deferral of actuarial gains for 2025, the weakening of the U.S. Dollar for our non-U.S. plans offset by the recognition of prior actuarial gains in net periodic benefit costs.</w:t>
      </w:r>
    </w:p>
    <w:p>
      <w:pPr>
        <w:pStyle w:val="TextBody"/>
        <w:bidi w:val="0"/>
        <w:spacing w:before="0" w:after="0"/>
        <w:ind w:left="0" w:right="0" w:firstLine="360"/>
        <w:jc w:val="both"/>
        <w:rPr/>
      </w:pPr>
      <w:r>
        <w:rPr/>
      </w:r>
    </w:p>
    <w:p>
      <w:pPr>
        <w:pStyle w:val="TextBody"/>
        <w:bidi w:val="0"/>
        <w:spacing w:lineRule="auto" w:line="333" w:before="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weighted average assumption rates used for benefit obligations were as follows:</w:t>
      </w:r>
    </w:p>
    <w:tbl>
      <w:tblPr>
        <w:tblW w:w="5670" w:type="dxa"/>
        <w:jc w:val="left"/>
        <w:tblInd w:w="0" w:type="dxa"/>
        <w:tblLayout w:type="fixed"/>
        <w:tblCellMar>
          <w:top w:w="28" w:type="dxa"/>
          <w:left w:w="28" w:type="dxa"/>
          <w:bottom w:w="28" w:type="dxa"/>
          <w:right w:w="28" w:type="dxa"/>
        </w:tblCellMar>
      </w:tblPr>
      <w:tblGrid>
        <w:gridCol w:w="1016"/>
        <w:gridCol w:w="890"/>
        <w:gridCol w:w="899"/>
        <w:gridCol w:w="470"/>
        <w:gridCol w:w="470"/>
        <w:gridCol w:w="470"/>
        <w:gridCol w:w="422"/>
        <w:gridCol w:w="422"/>
        <w:gridCol w:w="611"/>
      </w:tblGrid>
      <w:tr>
        <w:trPr/>
        <w:tc>
          <w:tcPr>
            <w:tcW w:w="101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8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Discount rate:</w:t>
            </w:r>
          </w:p>
        </w:tc>
        <w:tc>
          <w:tcPr>
            <w:tcW w:w="14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Plans</w:t>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4.75% - 5.25%</w:t>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4.75%</w:t>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Plans</w:t>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3.30% - 11.50%</w:t>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3.13% - 10.60%</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Rate of Compensation Increase:</w:t>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Plans</w:t>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Plans</w:t>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 - 3.00%</w:t>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 - 3.00%</w:t>
            </w:r>
          </w:p>
        </w:tc>
      </w:tr>
    </w:tbl>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years ended December 31, 2025, 2024 and 2023, we made contributions and paid direct benefits of $3 million, $4 million and $5 million, respectively, in connection with our defined benefit pension and other post-retirement benefit plans. In 2026, we expect to fund approximately $2 million related to those plans.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13 – Disputes, Litigation and Legal Contingencies</w:t>
      </w:r>
    </w:p>
    <w:p>
      <w:pPr>
        <w:pStyle w:val="TextBody"/>
        <w:bidi w:val="0"/>
        <w:spacing w:before="0" w:after="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lawsuits and claims arising out of the nature of our business. We have certain claims, disputes and pending litigation for which we do not believe a negative outcome is probable or for which we can only estimate a range of liability. It is possible, however, that an unexpected judgment could be rendered against us, or we could decide to resolve a case or cases, which would result in a liability that could be uninsured and beyond the amounts we currently have reserved and in some cases those losses could be material. If one or more negative outcomes were to occur relative to these cases, the aggregate impact to our financial condition could be material.</w:t>
      </w:r>
    </w:p>
    <w:p>
      <w:pPr>
        <w:pStyle w:val="TextBody"/>
        <w:bidi w:val="0"/>
        <w:spacing w:lineRule="auto" w:line="333" w:before="0" w:after="0"/>
        <w:ind w:left="0" w:right="0" w:firstLine="36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81</w:t>
                      </w:r>
                    </w:p>
                  </w:txbxContent>
                </v:textbox>
                <w10:wrap type="none"/>
              </v:rect>
            </w:pict>
          </mc:Fallback>
        </mc:AlternateContent>
      </w:r>
    </w:p>
    <w:p>
      <w:pPr>
        <w:pStyle w:val="TextBody"/>
        <w:bidi w:val="0"/>
        <w:spacing w:lineRule="auto" w:line="333" w:before="60" w:after="283"/>
        <w:jc w:val="left"/>
        <w:rPr>
          <w:color w:val="000000"/>
        </w:rPr>
      </w:pPr>
      <w:r>
        <w:rPr>
          <w:color w:val="000000"/>
        </w:rPr>
        <w:t>    </w:t>
      </w:r>
      <w:r>
        <w:rPr>
          <w:rFonts w:ascii="Times New Roman;serif" w:hAnsi="Times New Roman;serif"/>
          <w:b w:val="false"/>
          <w:color w:val="000000"/>
          <w:sz w:val="20"/>
        </w:rPr>
        <w:t>Item 8 | Notes to the Consolidated Financial Statements</w: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14 – Share-Based Compensation</w:t>
      </w:r>
    </w:p>
    <w:p>
      <w:pPr>
        <w:pStyle w:val="TextBody"/>
        <w:bidi w:val="0"/>
        <w:spacing w:before="0" w:after="0"/>
        <w:ind w:left="0" w:right="0" w:firstLine="720"/>
        <w:jc w:val="left"/>
        <w:rPr/>
      </w:pPr>
      <w:r>
        <w:rPr/>
      </w:r>
    </w:p>
    <w:p>
      <w:pPr>
        <w:pStyle w:val="TextBody"/>
        <w:bidi w:val="0"/>
        <w:spacing w:lineRule="auto" w:line="333"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Share-Based Plan</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Weatherford International plc Fourth Amended and Restated 2019 Equity Incentive Plan, (“2019 Equity Plan”) authorizes the issuance of 9.9 million shares of ordinary shares by the Board of Directors in the form of options, share appreciation rights, restricted share awards, restricted share units (“RSUs”), performance-based restricted share units (“PSUs”) and other share-based and performance-based awards to any employee, consultant, or non-employee director (“Grantees”). The provisions of each award vary based on the type of award granted. Awards made under the 2019 Equity Plan vest and settle in shares of newly issued ordinary shares or cash. As of December 31, 2025, there were 2.4 million shares available for future grants.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granted RSUs and PSUs under the 2019 Equity Plan during 2025, 2024 and 2023. All awards generally require continued employment and vest over one to three years. The Grantees do not have the rights of a shareholder under these awards until such date as the shares are issued. Dividend equivalent rights are accrued during the vesting period and paid upon distribution of the shares.</w:t>
      </w:r>
    </w:p>
    <w:p>
      <w:pPr>
        <w:pStyle w:val="TextBody"/>
        <w:bidi w:val="0"/>
        <w:spacing w:before="0" w:after="0"/>
        <w:ind w:left="0" w:right="0" w:firstLine="360"/>
        <w:jc w:val="both"/>
        <w:rPr/>
      </w:pPr>
      <w:r>
        <w:rPr/>
      </w:r>
    </w:p>
    <w:p>
      <w:pPr>
        <w:pStyle w:val="TextBody"/>
        <w:bidi w:val="0"/>
        <w:spacing w:lineRule="auto" w:line="319"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Share-Based Compensation Expense</w:t>
      </w:r>
    </w:p>
    <w:p>
      <w:pPr>
        <w:pStyle w:val="TextBody"/>
        <w:bidi w:val="0"/>
        <w:spacing w:before="0" w:after="0"/>
        <w:ind w:left="0" w:right="0" w:firstLine="360"/>
        <w:jc w:val="both"/>
        <w:rPr/>
      </w:pPr>
      <w:r>
        <w:rPr/>
      </w:r>
    </w:p>
    <w:p>
      <w:pPr>
        <w:pStyle w:val="TextBody"/>
        <w:bidi w:val="0"/>
        <w:spacing w:lineRule="auto" w:line="319"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Share-based compensation expense was $38 million, $45 million and $35 million for the year ended December 31, 2025, December 31, 2024 and December 31, 2023, respectively. As of December 31, 2025, there was $46 million of unrecognized compensation cost, which is expected to be recognized over a weighted-average period of less than two years. </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RSUs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pPr>
      <w:r>
        <w:rPr>
          <w:rFonts w:ascii="Times New Roman;serif" w:hAnsi="Times New Roman;serif"/>
          <w:b w:val="false"/>
          <w:color w:val="000000"/>
          <w:sz w:val="20"/>
        </w:rPr>
        <w:t>RSUs</w:t>
      </w:r>
      <w:r>
        <w:rPr>
          <w:color w:val="000000"/>
        </w:rPr>
        <w:t xml:space="preserve"> </w:t>
      </w:r>
      <w:r>
        <w:rPr>
          <w:rFonts w:ascii="Times New Roman;serif" w:hAnsi="Times New Roman;serif"/>
          <w:b w:val="false"/>
          <w:color w:val="000000"/>
          <w:sz w:val="20"/>
        </w:rPr>
        <w:t xml:space="preserve">generally vest based on continued employment. The fair value of RSUs are determined based on the closing price of our shares on the date of grant. The total fair value, less forfeitures, is expensed over the vesting period. The weighted-average grant date fair value per unit (“WAGD FV”) of RSUs granted during 2025, 2024 and 2023 was $56.54, $93.98 and $54.85, respectively. The fair value of RSUs vested during 2025, 2024 and 2023 was $25 million, $28 million and $34 million, respectively. RSUs were primarily settled in shares, with cash settlements, including dividend equivalent rights, totaling less than $1 million each in 2025, 2024, and 2023. </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PSUs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pPr>
      <w:r>
        <w:rPr>
          <w:rFonts w:ascii="Times New Roman;serif" w:hAnsi="Times New Roman;serif"/>
          <w:b w:val="false"/>
          <w:color w:val="000000"/>
          <w:sz w:val="20"/>
        </w:rPr>
        <w:t>PSUs</w:t>
      </w:r>
      <w:r>
        <w:rPr>
          <w:color w:val="000000"/>
        </w:rPr>
        <w:t xml:space="preserve"> </w:t>
      </w:r>
      <w:r>
        <w:rPr>
          <w:rFonts w:ascii="Times New Roman;serif" w:hAnsi="Times New Roman;serif"/>
          <w:b w:val="false"/>
          <w:color w:val="000000"/>
          <w:sz w:val="20"/>
        </w:rPr>
        <w:t>generally vest based on continued employment and the achievement of an established target. The actual number of PSUs earned may range from 0% to 200%. The fair value of PSUs depends on whether the established target is a performance condition defined solely by reference to our own operations (“operational performance”) or the market performance of our shares (“market condition”). The total fair value, less forfeitures, is expensed over the vesting period. The WAGD FV per unit of PSUs granted during 2025, 2024 and 2023 was $55.53, $120.13 and $70.91, respectively. The fair value of PSUs vested during 2025 was $112 million, nil for 2024 and $118 million for 2023, PSUs were primarily settled in shares, with $1 million settled in cash, including dividend equivalent rights, in 2025 and no cash settlements in 2024 or 2023.</w:t>
      </w:r>
    </w:p>
    <w:p>
      <w:pPr>
        <w:pStyle w:val="TextBody"/>
        <w:bidi w:val="0"/>
        <w:spacing w:before="0" w:after="0"/>
        <w:ind w:left="0" w:right="0" w:firstLine="360"/>
        <w:jc w:val="both"/>
        <w:rPr/>
      </w:pPr>
      <w:r>
        <w:rPr/>
      </w:r>
    </w:p>
    <w:p>
      <w:pPr>
        <w:pStyle w:val="TextBody"/>
        <w:bidi w:val="0"/>
        <w:spacing w:lineRule="auto" w:line="33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PSUs subject to operational performance conditions is determined based on the closing price of our shares on the date of grant. The units are adjusted periodically based on the metric’s expected performance goal multiplier.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82</w:t>
                      </w:r>
                    </w:p>
                  </w:txbxContent>
                </v:textbox>
                <w10:wrap type="none"/>
              </v:rect>
            </w:pict>
          </mc:Fallback>
        </mc:AlternateContent>
      </w:r>
    </w:p>
    <w:p>
      <w:pPr>
        <w:pStyle w:val="TextBody"/>
        <w:bidi w:val="0"/>
        <w:spacing w:lineRule="auto" w:line="333" w:before="60" w:after="283"/>
        <w:jc w:val="left"/>
        <w:rPr>
          <w:color w:val="000000"/>
        </w:rPr>
      </w:pPr>
      <w:r>
        <w:rPr>
          <w:color w:val="000000"/>
        </w:rPr>
        <w:t>    </w:t>
      </w:r>
      <w:r>
        <w:rPr>
          <w:rFonts w:ascii="Times New Roman;serif" w:hAnsi="Times New Roman;serif"/>
          <w:b w:val="false"/>
          <w:color w:val="000000"/>
          <w:sz w:val="20"/>
        </w:rPr>
        <w:t>Item 8 | Notes to the Consolidated Financial Statements</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PSUs subject to market conditions was determined based on a Monte Carlo simulation method. Compensation cost is fully recognized if the employment condition is met, even if the market condition is not achieved, as the likelihood of achieving the market condition is incorporated into the fair value of the award. The weighted average of assumptions used in the models were as follows: </w:t>
      </w:r>
    </w:p>
    <w:tbl>
      <w:tblPr>
        <w:tblW w:w="6165" w:type="dxa"/>
        <w:jc w:val="left"/>
        <w:tblInd w:w="0" w:type="dxa"/>
        <w:tblLayout w:type="fixed"/>
        <w:tblCellMar>
          <w:top w:w="28" w:type="dxa"/>
          <w:left w:w="28" w:type="dxa"/>
          <w:bottom w:w="28" w:type="dxa"/>
          <w:right w:w="28" w:type="dxa"/>
        </w:tblCellMar>
      </w:tblPr>
      <w:tblGrid>
        <w:gridCol w:w="744"/>
        <w:gridCol w:w="654"/>
        <w:gridCol w:w="657"/>
        <w:gridCol w:w="348"/>
        <w:gridCol w:w="348"/>
        <w:gridCol w:w="355"/>
        <w:gridCol w:w="152"/>
        <w:gridCol w:w="152"/>
        <w:gridCol w:w="152"/>
        <w:gridCol w:w="348"/>
        <w:gridCol w:w="348"/>
        <w:gridCol w:w="355"/>
        <w:gridCol w:w="152"/>
        <w:gridCol w:w="152"/>
        <w:gridCol w:w="152"/>
        <w:gridCol w:w="319"/>
        <w:gridCol w:w="319"/>
        <w:gridCol w:w="458"/>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0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10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3.9    %</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4.3    %</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3.8    %</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47.0    %</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54.0    %</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62.0    %</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(in years)</w:t>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34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risk-free rate is obtained as of the grant date with terms matching the performance period. The dividend yield is based on historical dividend payments and expectations of management. For the years ended December 31, 2025 and December 31, 2024, expected volatility was based on our NASDAQ trading history, and for the year ended December 31, 2023, also incorporated the volatility of our constituents. The expected life in years is based on the time to vest from the grant date through the end of the performance measurement period. </w:t>
      </w:r>
    </w:p>
    <w:p>
      <w:pPr>
        <w:pStyle w:val="TextBody"/>
        <w:bidi w:val="0"/>
        <w:spacing w:before="0" w:after="0"/>
        <w:ind w:left="0" w:right="0" w:firstLine="360"/>
        <w:jc w:val="both"/>
        <w:rPr/>
      </w:pPr>
      <w:r>
        <w:rPr/>
      </w:r>
    </w:p>
    <w:p>
      <w:pPr>
        <w:pStyle w:val="TextBody"/>
        <w:bidi w:val="0"/>
        <w:spacing w:lineRule="auto" w:line="312" w:before="0" w:after="0"/>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Summary of Awards Activity</w:t>
      </w:r>
    </w:p>
    <w:p>
      <w:pPr>
        <w:pStyle w:val="TextBody"/>
        <w:bidi w:val="0"/>
        <w:spacing w:before="0" w:after="0"/>
        <w:ind w:left="0" w:right="0" w:firstLine="360"/>
        <w:jc w:val="both"/>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summary of activity for non-vested RSUs, and PSUs at target and their respective WAGD FV during 2025 is presented below. </w:t>
      </w:r>
    </w:p>
    <w:tbl>
      <w:tblPr>
        <w:tblW w:w="7005" w:type="dxa"/>
        <w:jc w:val="left"/>
        <w:tblInd w:w="0" w:type="dxa"/>
        <w:tblLayout w:type="fixed"/>
        <w:tblCellMar>
          <w:top w:w="28" w:type="dxa"/>
          <w:left w:w="28" w:type="dxa"/>
          <w:bottom w:w="28" w:type="dxa"/>
          <w:right w:w="28" w:type="dxa"/>
        </w:tblCellMar>
      </w:tblPr>
      <w:tblGrid>
        <w:gridCol w:w="1106"/>
        <w:gridCol w:w="972"/>
        <w:gridCol w:w="978"/>
        <w:gridCol w:w="279"/>
        <w:gridCol w:w="279"/>
        <w:gridCol w:w="283"/>
        <w:gridCol w:w="345"/>
        <w:gridCol w:w="345"/>
        <w:gridCol w:w="346"/>
        <w:gridCol w:w="329"/>
        <w:gridCol w:w="329"/>
        <w:gridCol w:w="333"/>
        <w:gridCol w:w="315"/>
        <w:gridCol w:w="315"/>
        <w:gridCol w:w="451"/>
      </w:tblGrid>
      <w:tr>
        <w:trPr/>
        <w:tc>
          <w:tcPr>
            <w:tcW w:w="1106"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3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(Units in thousands, except dollars)</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312" w:before="75" w:after="30"/>
              <w:jc w:val="center"/>
              <w:rPr>
                <w:rFonts w:ascii="Times New Roman;serif" w:hAnsi="Times New Roman;serif"/>
                <w:b/>
                <w:color w:val="000000"/>
                <w:sz w:val="20"/>
              </w:rPr>
            </w:pPr>
            <w:r>
              <w:rPr>
                <w:rFonts w:ascii="Times New Roman;serif" w:hAnsi="Times New Roman;serif"/>
                <w:b/>
                <w:color w:val="000000"/>
                <w:sz w:val="20"/>
              </w:rPr>
              <w:t>RSU</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5" w:before="75" w:after="283"/>
              <w:ind w:left="0" w:right="0" w:firstLine="257"/>
              <w:jc w:val="center"/>
              <w:rPr>
                <w:rFonts w:ascii="Times New Roman;serif" w:hAnsi="Times New Roman;serif"/>
                <w:b/>
                <w:color w:val="000000"/>
                <w:sz w:val="20"/>
              </w:rPr>
            </w:pPr>
            <w:r>
              <w:rPr>
                <w:rFonts w:ascii="Times New Roman;serif" w:hAnsi="Times New Roman;serif"/>
                <w:b/>
                <w:color w:val="000000"/>
                <w:sz w:val="20"/>
              </w:rPr>
              <w:t>WAGD</w:t>
            </w:r>
          </w:p>
          <w:p>
            <w:pPr>
              <w:pStyle w:val="TableContents"/>
              <w:bidi w:val="0"/>
              <w:spacing w:lineRule="auto" w:line="285" w:before="0" w:after="30"/>
              <w:ind w:left="0" w:right="0" w:firstLine="257"/>
              <w:jc w:val="center"/>
              <w:rPr/>
            </w:pPr>
            <w:r>
              <w:rPr>
                <w:rFonts w:ascii="Times New Roman;serif" w:hAnsi="Times New Roman;serif"/>
                <w:b/>
                <w:color w:val="000000"/>
                <w:sz w:val="20"/>
              </w:rPr>
              <w:t>FV</w:t>
            </w:r>
            <w:r>
              <w:rPr>
                <w:rFonts w:ascii="Times New Roman;serif" w:hAnsi="Times New Roman;serif"/>
                <w:b/>
                <w:color w:val="000000"/>
                <w:sz w:val="13"/>
              </w:rPr>
              <w:t>(1)</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312" w:before="75" w:after="30"/>
              <w:jc w:val="center"/>
              <w:rPr/>
            </w:pPr>
            <w:r>
              <w:rPr>
                <w:rFonts w:ascii="Times New Roman;serif" w:hAnsi="Times New Roman;serif"/>
                <w:b/>
                <w:color w:val="000000"/>
                <w:sz w:val="20"/>
              </w:rPr>
              <w:t>PSU</w:t>
            </w:r>
            <w:r>
              <w:rPr>
                <w:rFonts w:ascii="Times New Roman;serif" w:hAnsi="Times New Roman;serif"/>
                <w:b/>
                <w:color w:val="000000"/>
                <w:sz w:val="13"/>
              </w:rPr>
              <w:t>(2)</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5" w:before="75" w:after="283"/>
              <w:ind w:left="0" w:right="0" w:firstLine="257"/>
              <w:jc w:val="center"/>
              <w:rPr>
                <w:rFonts w:ascii="Times New Roman;serif" w:hAnsi="Times New Roman;serif"/>
                <w:b/>
                <w:color w:val="000000"/>
                <w:sz w:val="20"/>
              </w:rPr>
            </w:pPr>
            <w:r>
              <w:rPr>
                <w:rFonts w:ascii="Times New Roman;serif" w:hAnsi="Times New Roman;serif"/>
                <w:b/>
                <w:color w:val="000000"/>
                <w:sz w:val="20"/>
              </w:rPr>
              <w:t>WAGD</w:t>
            </w:r>
          </w:p>
          <w:p>
            <w:pPr>
              <w:pStyle w:val="TableContents"/>
              <w:bidi w:val="0"/>
              <w:spacing w:lineRule="auto" w:line="285" w:before="0" w:after="30"/>
              <w:ind w:left="0" w:right="0" w:firstLine="257"/>
              <w:jc w:val="center"/>
              <w:rPr/>
            </w:pPr>
            <w:r>
              <w:rPr>
                <w:rFonts w:ascii="Times New Roman;serif" w:hAnsi="Times New Roman;serif"/>
                <w:b/>
                <w:color w:val="000000"/>
                <w:sz w:val="20"/>
              </w:rPr>
              <w:t>FV</w:t>
            </w:r>
            <w:r>
              <w:rPr>
                <w:rFonts w:ascii="Times New Roman;serif" w:hAnsi="Times New Roman;serif"/>
                <w:b/>
                <w:color w:val="000000"/>
                <w:sz w:val="13"/>
              </w:rPr>
              <w:t>(1)</w:t>
            </w:r>
          </w:p>
        </w:tc>
      </w:tr>
      <w:tr>
        <w:trPr/>
        <w:tc>
          <w:tcPr>
            <w:tcW w:w="3056" w:type="dxa"/>
            <w:gridSpan w:val="3"/>
            <w:tcBorders/>
            <w:shd w:fill="CCEEFF" w:val="clear"/>
            <w:tcMar>
              <w:top w:w="0" w:type="dxa"/>
              <w:left w:w="0" w:type="dxa"/>
              <w:bottom w:w="0" w:type="dxa"/>
              <w:right w:w="0" w:type="dxa"/>
            </w:tcMar>
            <w:vAlign w:val="center"/>
          </w:tcPr>
          <w:p>
            <w:pPr>
              <w:pStyle w:val="TableContents"/>
              <w:bidi w:val="0"/>
              <w:spacing w:lineRule="auto" w:line="312" w:before="75" w:after="30"/>
              <w:ind w:left="0" w:right="0" w:firstLine="26"/>
              <w:jc w:val="left"/>
              <w:rPr>
                <w:rFonts w:ascii="Times New Roman;serif" w:hAnsi="Times New Roman;serif"/>
                <w:b w:val="false"/>
                <w:color w:val="000000"/>
                <w:sz w:val="20"/>
              </w:rPr>
            </w:pPr>
            <w:r>
              <w:rPr>
                <w:rFonts w:ascii="Times New Roman;serif" w:hAnsi="Times New Roman;serif"/>
                <w:b w:val="false"/>
                <w:color w:val="000000"/>
                <w:sz w:val="20"/>
              </w:rPr>
              <w:t>Non-Vested at December 31, 2024</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640    </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66.91    </w:t>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1,751    </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39.21    </w:t>
            </w:r>
          </w:p>
        </w:tc>
      </w:tr>
      <w:tr>
        <w:trPr/>
        <w:tc>
          <w:tcPr>
            <w:tcW w:w="3056" w:type="dxa"/>
            <w:gridSpan w:val="3"/>
            <w:tcBorders/>
            <w:shd w:fill="FFFFFF" w:val="clear"/>
            <w:tcMar>
              <w:top w:w="0" w:type="dxa"/>
              <w:left w:w="0" w:type="dxa"/>
              <w:bottom w:w="0" w:type="dxa"/>
              <w:right w:w="0" w:type="dxa"/>
            </w:tcMar>
            <w:vAlign w:val="center"/>
          </w:tcPr>
          <w:p>
            <w:pPr>
              <w:pStyle w:val="TableContents"/>
              <w:bidi w:val="0"/>
              <w:spacing w:lineRule="auto" w:line="312" w:before="75" w:after="30"/>
              <w:ind w:left="0" w:right="0" w:firstLine="161"/>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488    </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56.54 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413    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55.53    </w:t>
            </w:r>
          </w:p>
        </w:tc>
      </w:tr>
      <w:tr>
        <w:trPr/>
        <w:tc>
          <w:tcPr>
            <w:tcW w:w="3056" w:type="dxa"/>
            <w:gridSpan w:val="3"/>
            <w:tcBorders/>
            <w:shd w:fill="CCEEFF" w:val="clear"/>
            <w:tcMar>
              <w:top w:w="0" w:type="dxa"/>
              <w:left w:w="0" w:type="dxa"/>
              <w:bottom w:w="0" w:type="dxa"/>
              <w:right w:w="0" w:type="dxa"/>
            </w:tcMar>
            <w:vAlign w:val="center"/>
          </w:tcPr>
          <w:p>
            <w:pPr>
              <w:pStyle w:val="TableContents"/>
              <w:bidi w:val="0"/>
              <w:spacing w:lineRule="auto" w:line="312" w:before="75" w:after="30"/>
              <w:ind w:left="0" w:right="0" w:firstLine="161"/>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(344)</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56.50    </w:t>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(1,366)</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23.15    </w:t>
            </w:r>
          </w:p>
        </w:tc>
      </w:tr>
      <w:tr>
        <w:trPr/>
        <w:tc>
          <w:tcPr>
            <w:tcW w:w="3056" w:type="dxa"/>
            <w:gridSpan w:val="3"/>
            <w:tcBorders/>
            <w:shd w:fill="FFFFFF" w:val="clear"/>
            <w:tcMar>
              <w:top w:w="0" w:type="dxa"/>
              <w:left w:w="0" w:type="dxa"/>
              <w:bottom w:w="0" w:type="dxa"/>
              <w:right w:w="0" w:type="dxa"/>
            </w:tcMar>
            <w:vAlign w:val="center"/>
          </w:tcPr>
          <w:p>
            <w:pPr>
              <w:pStyle w:val="TableContents"/>
              <w:bidi w:val="0"/>
              <w:spacing w:lineRule="auto" w:line="312" w:before="75" w:after="30"/>
              <w:ind w:left="0" w:right="0" w:firstLine="161"/>
              <w:jc w:val="left"/>
              <w:rPr>
                <w:rFonts w:ascii="Times New Roman;serif" w:hAnsi="Times New Roman;serif"/>
                <w:b w:val="false"/>
                <w:color w:val="000000"/>
                <w:sz w:val="20"/>
              </w:rPr>
            </w:pPr>
            <w:r>
              <w:rPr>
                <w:rFonts w:ascii="Times New Roman;serif" w:hAnsi="Times New Roman;serif"/>
                <w:b w:val="false"/>
                <w:color w:val="000000"/>
                <w:sz w:val="20"/>
              </w:rPr>
              <w:t>Cancelled or Forfeited</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(63)</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60.96    </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(83)</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81.92 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3"/>
            <w:tcBorders/>
            <w:shd w:fill="CCEEFF" w:val="clear"/>
            <w:tcMar>
              <w:top w:w="0" w:type="dxa"/>
              <w:left w:w="0" w:type="dxa"/>
              <w:bottom w:w="0" w:type="dxa"/>
              <w:right w:w="0" w:type="dxa"/>
            </w:tcMar>
            <w:vAlign w:val="center"/>
          </w:tcPr>
          <w:p>
            <w:pPr>
              <w:pStyle w:val="TableContents"/>
              <w:bidi w:val="0"/>
              <w:spacing w:lineRule="auto" w:line="312" w:before="55" w:after="30"/>
              <w:ind w:left="0" w:right="0" w:firstLine="161"/>
              <w:jc w:val="left"/>
              <w:rPr>
                <w:rFonts w:ascii="Times New Roman;serif" w:hAnsi="Times New Roman;serif"/>
                <w:b w:val="false"/>
                <w:color w:val="000000"/>
                <w:sz w:val="20"/>
              </w:rPr>
            </w:pPr>
            <w:r>
              <w:rPr>
                <w:rFonts w:ascii="Times New Roman;serif" w:hAnsi="Times New Roman;serif"/>
                <w:b w:val="false"/>
                <w:color w:val="000000"/>
                <w:sz w:val="20"/>
              </w:rPr>
              <w:t>Non-Vested at December 31, 2025</w:t>
            </w:r>
          </w:p>
        </w:tc>
        <w:tc>
          <w:tcPr>
            <w:tcW w:w="8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55" w:after="30"/>
              <w:jc w:val="right"/>
              <w:rPr>
                <w:color w:val="000000"/>
              </w:rPr>
            </w:pPr>
            <w:r>
              <w:rPr>
                <w:color w:val="000000"/>
              </w:rPr>
              <w:t>    </w:t>
            </w:r>
            <w:r>
              <w:rPr>
                <w:rFonts w:ascii="Times New Roman;serif" w:hAnsi="Times New Roman;serif"/>
                <w:b w:val="false"/>
                <w:color w:val="000000"/>
                <w:sz w:val="20"/>
              </w:rPr>
              <w:t>721    </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65.38    </w:t>
            </w:r>
          </w:p>
        </w:tc>
        <w:tc>
          <w:tcPr>
            <w:tcW w:w="99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55" w:after="30"/>
              <w:jc w:val="right"/>
              <w:rPr>
                <w:color w:val="000000"/>
              </w:rPr>
            </w:pPr>
            <w:r>
              <w:rPr>
                <w:color w:val="000000"/>
              </w:rPr>
              <w:t>    </w:t>
            </w:r>
            <w:r>
              <w:rPr>
                <w:rFonts w:ascii="Times New Roman;serif" w:hAnsi="Times New Roman;serif"/>
                <w:b w:val="false"/>
                <w:color w:val="000000"/>
                <w:sz w:val="20"/>
              </w:rPr>
              <w:t>715    </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74.37    </w:t>
            </w:r>
          </w:p>
        </w:tc>
      </w:tr>
    </w:tbl>
    <w:p>
      <w:pPr>
        <w:pStyle w:val="TextBody"/>
        <w:bidi w:val="0"/>
        <w:spacing w:lineRule="auto" w:line="319" w:before="0" w:after="0"/>
        <w:jc w:val="both"/>
        <w:rPr>
          <w:rFonts w:ascii="Times New Roman;serif" w:hAnsi="Times New Roman;serif"/>
          <w:b w:val="false"/>
          <w:color w:val="000000"/>
          <w:sz w:val="14"/>
        </w:rPr>
      </w:pPr>
      <w:r>
        <w:rPr>
          <w:rFonts w:ascii="Times New Roman;serif" w:hAnsi="Times New Roman;serif"/>
          <w:b w:val="false"/>
          <w:color w:val="000000"/>
          <w:sz w:val="14"/>
        </w:rPr>
        <w:t>(1) The WAGD FV for granted awards has been adjusted on a net basis for RSUs and PSUs that require remeasurement to fair value at</w:t>
      </w:r>
    </w:p>
    <w:p>
      <w:pPr>
        <w:pStyle w:val="TextBody"/>
        <w:bidi w:val="0"/>
        <w:spacing w:lineRule="auto" w:line="319" w:before="0" w:after="0"/>
        <w:ind w:left="0" w:right="0" w:firstLine="720"/>
        <w:jc w:val="both"/>
        <w:rPr>
          <w:rFonts w:ascii="Times New Roman;serif" w:hAnsi="Times New Roman;serif"/>
          <w:b w:val="false"/>
          <w:color w:val="000000"/>
          <w:sz w:val="14"/>
        </w:rPr>
      </w:pPr>
      <w:r>
        <w:rPr>
          <w:rFonts w:ascii="Times New Roman;serif" w:hAnsi="Times New Roman;serif"/>
          <w:b w:val="false"/>
          <w:color w:val="000000"/>
          <w:sz w:val="14"/>
        </w:rPr>
        <w:t>each balance sheet date.</w:t>
      </w:r>
    </w:p>
    <w:p>
      <w:pPr>
        <w:pStyle w:val="TextBody"/>
        <w:bidi w:val="0"/>
        <w:spacing w:lineRule="auto" w:line="319" w:before="0" w:after="0"/>
        <w:jc w:val="both"/>
        <w:rPr>
          <w:rFonts w:ascii="Times New Roman;serif" w:hAnsi="Times New Roman;serif"/>
          <w:b w:val="false"/>
          <w:color w:val="000000"/>
          <w:sz w:val="14"/>
        </w:rPr>
      </w:pPr>
      <w:r>
        <w:rPr>
          <w:rFonts w:ascii="Times New Roman;serif" w:hAnsi="Times New Roman;serif"/>
          <w:b w:val="false"/>
          <w:color w:val="000000"/>
          <w:sz w:val="14"/>
        </w:rPr>
        <w:t>(2) The table presents PSUs at the target level; however; under the award terms, a maximum of 1,299 PSUs may vest, consisting of 715 PSUs at target 105 PSUs that have already been earned and 479 additional PSUs that may be earned under applicable performance multipliers. Due to above</w:t>
        <w:noBreakHyphen/>
        <w:t xml:space="preserve">target performance, an additional 218 PSUs vested, resulting in 1,584 PSUs vesting during 2025 compared to 1,366 at target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83</w:t>
                      </w:r>
                    </w:p>
                  </w:txbxContent>
                </v:textbox>
                <w10:wrap type="none"/>
              </v:rect>
            </w:pict>
          </mc:Fallback>
        </mc:AlternateContent>
      </w:r>
    </w:p>
    <w:p>
      <w:pPr>
        <w:pStyle w:val="TextBody"/>
        <w:bidi w:val="0"/>
        <w:spacing w:lineRule="auto" w:line="333" w:before="60" w:after="283"/>
        <w:jc w:val="left"/>
        <w:rPr>
          <w:color w:val="000000"/>
        </w:rPr>
      </w:pPr>
      <w:r>
        <w:rPr>
          <w:color w:val="000000"/>
        </w:rPr>
        <w:t>    </w:t>
      </w:r>
      <w:r>
        <w:rPr>
          <w:rFonts w:ascii="Times New Roman;serif" w:hAnsi="Times New Roman;serif"/>
          <w:b w:val="false"/>
          <w:color w:val="000000"/>
          <w:sz w:val="20"/>
        </w:rPr>
        <w:t>Item 8 | Notes to the Consolidated Financial Statements</w: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 xml:space="preserve">15 – Shareholders’ Equity </w:t>
      </w:r>
    </w:p>
    <w:p>
      <w:pPr>
        <w:pStyle w:val="TextBody"/>
        <w:bidi w:val="0"/>
        <w:spacing w:before="0" w:after="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ordinary shares outstanding balance decreased from 72.1 million as of December 31, 2024 to 71.6 million as of December 31, 2025. The decrease was due to the cancellation of 1.8 million of our ordinary shares repurchased during the year, partially offset by the issuance of 1.3 million of our ordinary shares for equity awards vested and delivered, net of shares withheld for taxes. Cash paid for repurchases of our ordinary shares during the year totaled $101 million, including $1 million settled in 2025 related to repurchases with a trade date of December 31, 2024. Ordinary shares for the year ended December 31, 2024 remained consistent with the year ended December 31, 2023, as issuances of our ordinary shares related to acquisitions and vesting and settlement of equity awards were offset by repurchases of our ordinary shares. Ordinary shares for the year ended December 31, 2023 primarily increased upon the vesting and settlement of awards made under the 2019 Equity Plan. </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23, 2024, we announced our Board authorization of a dividend program under which we intend to pay regular quarterly cash dividends, subject to our Board’s discretion and continuing determination that it is in the best interest of the Company and complies with applicable legal requirements. During the twelve months ended December 31, 2025, we declared and paid $72 million in dividends and accrued $2 million in accrued dividend equivalent rights on share-based awards. During the twelve months ended December 31, 2024, we declared and paid $36 million in dividends and accrued $2 million in dividend equivalent rights on share-based awards.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84</w:t>
                      </w:r>
                    </w:p>
                  </w:txbxContent>
                </v:textbox>
                <w10:wrap type="none"/>
              </v:rect>
            </w:pict>
          </mc:Fallback>
        </mc:AlternateContent>
      </w:r>
    </w:p>
    <w:p>
      <w:pPr>
        <w:pStyle w:val="TextBody"/>
        <w:bidi w:val="0"/>
        <w:spacing w:lineRule="auto" w:line="333" w:before="60" w:after="283"/>
        <w:jc w:val="left"/>
        <w:rPr>
          <w:color w:val="000000"/>
        </w:rPr>
      </w:pPr>
      <w:r>
        <w:rPr>
          <w:color w:val="000000"/>
        </w:rPr>
        <w:t>    </w:t>
      </w:r>
      <w:r>
        <w:rPr>
          <w:rFonts w:ascii="Times New Roman;serif" w:hAnsi="Times New Roman;serif"/>
          <w:b w:val="false"/>
          <w:color w:val="000000"/>
          <w:sz w:val="20"/>
        </w:rPr>
        <w:t>Item 8 | Notes to the Consolidated Financial Statements</w: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 xml:space="preserve">16 – Income per Share </w:t>
      </w:r>
    </w:p>
    <w:p>
      <w:pPr>
        <w:pStyle w:val="TextBody"/>
        <w:bidi w:val="0"/>
        <w:spacing w:before="0" w:after="0"/>
        <w:ind w:left="0" w:right="0" w:firstLine="360"/>
        <w:jc w:val="both"/>
        <w:rPr/>
      </w:pPr>
      <w:r>
        <w:rPr/>
      </w:r>
    </w:p>
    <w:p>
      <w:pPr>
        <w:pStyle w:val="TextBody"/>
        <w:bidi w:val="0"/>
        <w:spacing w:lineRule="auto" w:line="319" w:before="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reconciliation of the number of weighted average shares used for the basic and diluted income per share calculation for the periods presented was as follows:</w:t>
      </w:r>
    </w:p>
    <w:tbl>
      <w:tblPr>
        <w:tblW w:w="7811" w:type="dxa"/>
        <w:jc w:val="left"/>
        <w:tblInd w:w="0" w:type="dxa"/>
        <w:tblLayout w:type="fixed"/>
        <w:tblCellMar>
          <w:top w:w="28" w:type="dxa"/>
          <w:left w:w="28" w:type="dxa"/>
          <w:bottom w:w="28" w:type="dxa"/>
          <w:right w:w="28" w:type="dxa"/>
        </w:tblCellMar>
      </w:tblPr>
      <w:tblGrid>
        <w:gridCol w:w="1759"/>
        <w:gridCol w:w="1554"/>
        <w:gridCol w:w="1562"/>
        <w:gridCol w:w="421"/>
        <w:gridCol w:w="281"/>
        <w:gridCol w:w="250"/>
        <w:gridCol w:w="421"/>
        <w:gridCol w:w="281"/>
        <w:gridCol w:w="250"/>
        <w:gridCol w:w="407"/>
        <w:gridCol w:w="272"/>
        <w:gridCol w:w="353"/>
      </w:tblGrid>
      <w:tr>
        <w:trPr/>
        <w:tc>
          <w:tcPr>
            <w:tcW w:w="1759"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(Shares in millions)</w:t>
            </w:r>
          </w:p>
        </w:tc>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Weatherford</w:t>
            </w:r>
          </w:p>
        </w:tc>
        <w:tc>
          <w:tcPr>
            <w:tcW w:w="9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431    </w:t>
            </w:r>
          </w:p>
        </w:tc>
        <w:tc>
          <w:tcPr>
            <w:tcW w:w="9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506    </w:t>
            </w:r>
          </w:p>
        </w:tc>
        <w:tc>
          <w:tcPr>
            <w:tcW w:w="10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417    </w:t>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 Outstanding</w:t>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72.2    </w:t>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73.0    </w:t>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71.9    </w:t>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Awards Granted in Stock Incentive Plans</w:t>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0.4    </w:t>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1.9    </w:t>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1.7    </w:t>
            </w:r>
          </w:p>
        </w:tc>
      </w:tr>
      <w:tr>
        <w:trPr/>
        <w:tc>
          <w:tcPr>
            <w:tcW w:w="4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Outstanding</w:t>
            </w:r>
          </w:p>
        </w:tc>
        <w:tc>
          <w:tcPr>
            <w:tcW w:w="9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72.6    </w:t>
            </w:r>
          </w:p>
        </w:tc>
        <w:tc>
          <w:tcPr>
            <w:tcW w:w="9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74.9    </w:t>
            </w:r>
          </w:p>
        </w:tc>
        <w:tc>
          <w:tcPr>
            <w:tcW w:w="10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73.6    </w:t>
            </w:r>
          </w:p>
        </w:tc>
      </w:tr>
      <w:tr>
        <w:trPr/>
        <w:tc>
          <w:tcPr>
            <w:tcW w:w="48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Income Per Share Attributable to Weatherford</w:t>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5.96    </w:t>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6.93    </w:t>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5.79    </w:t>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Income Per Share Attributable to Weatherford</w:t>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5.93    </w:t>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6.75    </w:t>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5.66    </w:t>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Antidilutive Weighted Average Shares:</w:t>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Warrants</w:t>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7.4    </w:t>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Equity Awards</w:t>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0.6    </w:t>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0.4    </w:t>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0.7    </w:t>
            </w:r>
          </w:p>
        </w:tc>
      </w:tr>
      <w:tr>
        <w:trPr/>
        <w:tc>
          <w:tcPr>
            <w:tcW w:w="487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Antidilutive Weighted Average Shares</w:t>
            </w:r>
          </w:p>
        </w:tc>
        <w:tc>
          <w:tcPr>
            <w:tcW w:w="95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0.6    </w:t>
            </w:r>
          </w:p>
        </w:tc>
        <w:tc>
          <w:tcPr>
            <w:tcW w:w="95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0.4    </w:t>
            </w:r>
          </w:p>
        </w:tc>
        <w:tc>
          <w:tcPr>
            <w:tcW w:w="103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8.1    </w:t>
            </w:r>
          </w:p>
        </w:tc>
      </w:tr>
    </w:tbl>
    <w:p>
      <w:pPr>
        <w:pStyle w:val="TextBody"/>
        <w:bidi w:val="0"/>
        <w:spacing w:lineRule="auto" w:line="333" w:before="1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Basic income per share for all periods presented equals net income divided by our weighted average shares outstanding during the period. Diluted income per share is computed by dividing net income available to shareholders by our weighted average shares outstanding during the period including potential dilutive ordinary shares. Antidilutive shares represent securities that could dilute income per share in the future, and are excluded from the computation of income per share. </w:t>
      </w:r>
    </w:p>
    <w:p>
      <w:pPr>
        <w:pStyle w:val="TextBody"/>
        <w:bidi w:val="0"/>
        <w:spacing w:before="0" w:after="0"/>
        <w:jc w:val="left"/>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Warrants to purchase 7.8 million ordinary shares at $99.96 per share were issued on December 13, 2019 and expired on December 13, 2023. For the year ended December 31, 2023 the warrants were excluded from the diluted weighted average shares outstanding as the exercise price of the warrants was greater than the average market price of the Company’s ordinary shares.</w:t>
      </w:r>
    </w:p>
    <w:p>
      <w:pPr>
        <w:pStyle w:val="TextBody"/>
        <w:bidi w:val="0"/>
        <w:spacing w:before="10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85</w:t>
                      </w:r>
                    </w:p>
                  </w:txbxContent>
                </v:textbox>
                <w10:wrap type="none"/>
              </v:rect>
            </w:pict>
          </mc:Fallback>
        </mc:AlternateContent>
      </w:r>
    </w:p>
    <w:p>
      <w:pPr>
        <w:pStyle w:val="TextBody"/>
        <w:bidi w:val="0"/>
        <w:spacing w:lineRule="auto" w:line="333" w:before="60" w:after="283"/>
        <w:jc w:val="left"/>
        <w:rPr>
          <w:color w:val="000000"/>
        </w:rPr>
      </w:pPr>
      <w:r>
        <w:rPr>
          <w:color w:val="000000"/>
        </w:rPr>
        <w:t>    </w:t>
      </w:r>
      <w:r>
        <w:rPr>
          <w:rFonts w:ascii="Times New Roman;serif" w:hAnsi="Times New Roman;serif"/>
          <w:b w:val="false"/>
          <w:color w:val="000000"/>
          <w:sz w:val="20"/>
        </w:rPr>
        <w:t>Item 8 | Notes to the Consolidated Financial Statements</w: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17 – Income Taxes</w:t>
      </w:r>
    </w:p>
    <w:p>
      <w:pPr>
        <w:pStyle w:val="TextBody"/>
        <w:bidi w:val="0"/>
        <w:spacing w:before="0" w:after="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provide for income taxes based on the laws and rates in effect in the countries in which operations are conducted, or in which we or our subsidiaries are considered resident for income tax purposes. The relationship between our pre-tax income or loss and our income tax provision or benefit varies from period to period as a result of various factors which include changes in total pre-tax income or loss, the jurisdictions in which our income is earned, the tax laws in those jurisdictions and in our operating structure. </w:t>
      </w:r>
    </w:p>
    <w:p>
      <w:pPr>
        <w:pStyle w:val="TextBody"/>
        <w:bidi w:val="0"/>
        <w:spacing w:before="0" w:after="0"/>
        <w:ind w:left="0" w:right="0" w:firstLine="360"/>
        <w:jc w:val="both"/>
        <w:rPr/>
      </w:pPr>
      <w:r>
        <w:rPr/>
      </w:r>
    </w:p>
    <w:p>
      <w:pPr>
        <w:pStyle w:val="TextBody"/>
        <w:bidi w:val="0"/>
        <w:spacing w:lineRule="auto" w:line="333" w:before="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income tax provision consisted of the following:</w:t>
      </w:r>
    </w:p>
    <w:tbl>
      <w:tblPr>
        <w:tblW w:w="5523" w:type="dxa"/>
        <w:jc w:val="left"/>
        <w:tblInd w:w="0" w:type="dxa"/>
        <w:tblLayout w:type="fixed"/>
        <w:tblCellMar>
          <w:top w:w="28" w:type="dxa"/>
          <w:left w:w="28" w:type="dxa"/>
          <w:bottom w:w="28" w:type="dxa"/>
          <w:right w:w="28" w:type="dxa"/>
        </w:tblCellMar>
      </w:tblPr>
      <w:tblGrid>
        <w:gridCol w:w="1057"/>
        <w:gridCol w:w="930"/>
        <w:gridCol w:w="938"/>
        <w:gridCol w:w="364"/>
        <w:gridCol w:w="250"/>
        <w:gridCol w:w="250"/>
        <w:gridCol w:w="364"/>
        <w:gridCol w:w="250"/>
        <w:gridCol w:w="250"/>
        <w:gridCol w:w="255"/>
        <w:gridCol w:w="255"/>
        <w:gridCol w:w="360"/>
      </w:tblGrid>
      <w:tr>
        <w:trPr/>
        <w:tc>
          <w:tcPr>
            <w:tcW w:w="105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(Dollars in millions)</w:t>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Provision</w:t>
            </w:r>
          </w:p>
        </w:tc>
        <w:tc>
          <w:tcPr>
            <w:tcW w:w="8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(111)</w:t>
            </w:r>
          </w:p>
        </w:tc>
        <w:tc>
          <w:tcPr>
            <w:tcW w:w="8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(181)</w:t>
            </w:r>
          </w:p>
        </w:tc>
        <w:tc>
          <w:tcPr>
            <w:tcW w:w="8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(143)</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Deferred (Provision) Benefit </w:t>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14    </w:t>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(8)</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86    </w:t>
            </w:r>
          </w:p>
        </w:tc>
      </w:tr>
      <w:tr>
        <w:trPr/>
        <w:tc>
          <w:tcPr>
            <w:tcW w:w="292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86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(97)</w:t>
            </w:r>
          </w:p>
        </w:tc>
        <w:tc>
          <w:tcPr>
            <w:tcW w:w="86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(189)</w:t>
            </w:r>
          </w:p>
        </w:tc>
        <w:tc>
          <w:tcPr>
            <w:tcW w:w="87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(57)</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86</w:t>
                      </w:r>
                    </w:p>
                  </w:txbxContent>
                </v:textbox>
                <w10:wrap type="none"/>
              </v:rect>
            </w:pict>
          </mc:Fallback>
        </mc:AlternateContent>
      </w:r>
    </w:p>
    <w:p>
      <w:pPr>
        <w:pStyle w:val="TextBody"/>
        <w:bidi w:val="0"/>
        <w:spacing w:lineRule="auto" w:line="333" w:before="60" w:after="283"/>
        <w:jc w:val="left"/>
        <w:rPr>
          <w:color w:val="000000"/>
        </w:rPr>
      </w:pPr>
      <w:r>
        <w:rPr>
          <w:color w:val="000000"/>
        </w:rPr>
        <w:t>    </w:t>
      </w:r>
      <w:r>
        <w:rPr>
          <w:rFonts w:ascii="Times New Roman;serif" w:hAnsi="Times New Roman;serif"/>
          <w:b w:val="false"/>
          <w:color w:val="000000"/>
          <w:sz w:val="20"/>
        </w:rPr>
        <w:t>Item 8 | Notes to the Consolidated Financial Statements</w:t>
      </w:r>
    </w:p>
    <w:p>
      <w:pPr>
        <w:pStyle w:val="TextBody"/>
        <w:bidi w:val="0"/>
        <w:spacing w:before="0" w:after="0"/>
        <w:ind w:left="0" w:right="0" w:firstLine="360"/>
        <w:jc w:val="both"/>
        <w:rPr/>
      </w:pPr>
      <w:r>
        <w:rPr/>
      </w:r>
    </w:p>
    <w:p>
      <w:pPr>
        <w:pStyle w:val="TextBody"/>
        <w:bidi w:val="0"/>
        <w:spacing w:lineRule="auto" w:line="319"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difference between the Irish income tax provision and the consolidated income tax provision is analyzed below. During the fourth quarter of 2025, we adopted ASU 2023-09 (see "Note 1 Summary of Significant Accounting Policies" for further discussion on ASU 2023-09) on a prospective basis. As such, we have updated income tax disclosure presentations as of and for the year ended December 31, 2025 in order to comply with ASU 2023-09, but have not retrospectively applied these presentational changes to any of the prior periods presented. This adoption of ASU 2023-09 resulted in presentational differences of our income tax disclosures and did not result in a change to the calculations of our income before income taxes, current tax expense, deferred tax expense or effective tax rates for the year ended December 31, 2025. The Company is domiciled in Ireland and is subject to Ireland corporate income tax. In addition, we are subject to other income taxes, including those in the U.S. and in various foreign jurisdictions. Our consolidated effective tax rate reconciliation for the year ended December 31, 2025 is summarized below (in millions, except percentages):</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tbl>
      <w:tblPr>
        <w:tblW w:w="7693" w:type="dxa"/>
        <w:jc w:val="left"/>
        <w:tblInd w:w="0" w:type="dxa"/>
        <w:tblLayout w:type="fixed"/>
        <w:tblCellMar>
          <w:top w:w="28" w:type="dxa"/>
          <w:left w:w="28" w:type="dxa"/>
          <w:bottom w:w="28" w:type="dxa"/>
          <w:right w:w="28" w:type="dxa"/>
        </w:tblCellMar>
      </w:tblPr>
      <w:tblGrid>
        <w:gridCol w:w="1929"/>
        <w:gridCol w:w="1699"/>
        <w:gridCol w:w="1711"/>
        <w:gridCol w:w="365"/>
        <w:gridCol w:w="365"/>
        <w:gridCol w:w="365"/>
        <w:gridCol w:w="365"/>
        <w:gridCol w:w="365"/>
        <w:gridCol w:w="529"/>
      </w:tblGrid>
      <w:tr>
        <w:trPr/>
        <w:tc>
          <w:tcPr>
            <w:tcW w:w="1929"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(Dollars in millions)</w:t>
            </w:r>
          </w:p>
        </w:tc>
        <w:tc>
          <w:tcPr>
            <w:tcW w:w="235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Irish Income Tax Provision Tax Rate of 25%</w:t>
            </w:r>
          </w:p>
        </w:tc>
        <w:tc>
          <w:tcPr>
            <w:tcW w:w="10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(138)</w:t>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25.0    %</w:t>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State and Local Income Taxes, net of federal income tax effect</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Foreign Tax Effects</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Angola</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(9)</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1.7    %</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Argentina</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Changes in valuation allowances</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16    </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(2.9)    %</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Other</w:t>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(8)</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1.4    %</w:t>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Bermuda</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Statutory tax rate difference</w:t>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(12)</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2.2    %</w:t>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Changes in valuation allowances</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(18)</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3.3    %</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Iraq</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Changes in valuation allowances</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9    </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(1.7)    %</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Other</w:t>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(11)</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2.1    %</w:t>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Saudi Arabia</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8    </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(1.5)    %</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Switzerland</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Statutory tax rate difference</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43    </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(7.9)    %</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Changes in valuation allowances</w:t>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22    </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(4.0)    %</w:t>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Other</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3    </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(0.5)    %</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United Arab Emirates</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Statutory tax rate difference</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(9)</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1.5    %</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Other</w:t>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1    </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(0.1)    %</w:t>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United States</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Changes in valuation allowances</w:t>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9    </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(1.7)    %</w:t>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Other</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2    </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(0.4)    %</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foreign jurisdictions</w:t>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(22)</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4.1    %</w:t>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 of cross border tax laws</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0.4    %</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Changes in valuation allowances</w:t>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(9)</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1.6    %</w:t>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Nontaxable or nondeductible items</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(6)</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1.2    %</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Changes in unrecognized tax benefits</w:t>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34    </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(6.3)    %</w:t>
            </w:r>
          </w:p>
        </w:tc>
      </w:tr>
      <w:tr>
        <w:trPr/>
        <w:tc>
          <w:tcPr>
            <w:tcW w:w="533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Tax Provision</w:t>
            </w:r>
          </w:p>
        </w:tc>
        <w:tc>
          <w:tcPr>
            <w:tcW w:w="109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(97)</w:t>
            </w:r>
          </w:p>
        </w:tc>
        <w:tc>
          <w:tcPr>
            <w:tcW w:w="125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17.5    %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87</w:t>
                      </w:r>
                    </w:p>
                  </w:txbxContent>
                </v:textbox>
                <w10:wrap type="none"/>
              </v:rect>
            </w:pict>
          </mc:Fallback>
        </mc:AlternateContent>
      </w:r>
    </w:p>
    <w:p>
      <w:pPr>
        <w:pStyle w:val="TextBody"/>
        <w:bidi w:val="0"/>
        <w:spacing w:lineRule="auto" w:line="333" w:before="60" w:after="283"/>
        <w:jc w:val="left"/>
        <w:rPr>
          <w:color w:val="000000"/>
        </w:rPr>
      </w:pPr>
      <w:r>
        <w:rPr>
          <w:color w:val="000000"/>
        </w:rPr>
        <w:t>    </w:t>
      </w:r>
      <w:r>
        <w:rPr>
          <w:rFonts w:ascii="Times New Roman;serif" w:hAnsi="Times New Roman;serif"/>
          <w:b w:val="false"/>
          <w:color w:val="000000"/>
          <w:sz w:val="20"/>
        </w:rPr>
        <w:t>Item 8 | Notes to the Consolidated Financial Statements</w:t>
      </w:r>
    </w:p>
    <w:p>
      <w:pPr>
        <w:pStyle w:val="TextBody"/>
        <w:bidi w:val="0"/>
        <w:spacing w:before="0" w:after="10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2876"/>
        <w:gridCol w:w="2504"/>
        <w:gridCol w:w="2523"/>
        <w:gridCol w:w="365"/>
        <w:gridCol w:w="360"/>
        <w:gridCol w:w="349"/>
        <w:gridCol w:w="365"/>
        <w:gridCol w:w="354"/>
        <w:gridCol w:w="509"/>
      </w:tblGrid>
      <w:tr>
        <w:trPr/>
        <w:tc>
          <w:tcPr>
            <w:tcW w:w="2876" w:type="dxa"/>
            <w:tcBorders/>
            <w:vAlign w:val="center"/>
          </w:tcPr>
          <w:p>
            <w:pPr>
              <w:pStyle w:val="TableContents"/>
              <w:bidi w:val="0"/>
              <w:spacing w:before="0" w:after="283"/>
              <w:jc w:val="left"/>
              <w:rPr>
                <w:sz w:val="4"/>
                <w:szCs w:val="4"/>
              </w:rPr>
            </w:pPr>
            <w:r>
              <w:rPr>
                <w:sz w:val="4"/>
                <w:szCs w:val="4"/>
              </w:rPr>
            </w:r>
          </w:p>
        </w:tc>
        <w:tc>
          <w:tcPr>
            <w:tcW w:w="2504"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7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7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(Dollars in millions)</w:t>
            </w:r>
          </w:p>
        </w:tc>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2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79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Irish Income Tax Provision Tax Rate of 25%</w:t>
            </w:r>
          </w:p>
        </w:tc>
        <w:tc>
          <w:tcPr>
            <w:tcW w:w="10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(185)</w:t>
            </w:r>
          </w:p>
        </w:tc>
        <w:tc>
          <w:tcPr>
            <w:tcW w:w="12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(126)</w:t>
            </w:r>
          </w:p>
        </w:tc>
      </w:tr>
      <w:tr>
        <w:trPr/>
        <w:tc>
          <w:tcPr>
            <w:tcW w:w="7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Provision on Operating Earnings/Losses Subject to Rates Different than the Irish Income Tax Rate</w:t>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(75)</w:t>
            </w:r>
          </w:p>
        </w:tc>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52    </w:t>
            </w:r>
          </w:p>
        </w:tc>
      </w:tr>
      <w:tr>
        <w:trPr/>
        <w:tc>
          <w:tcPr>
            <w:tcW w:w="7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(Provision) Benefit on Swiss Loss from internal liquidation of subsidiary and internal restructuring</w:t>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    </w:t>
            </w:r>
          </w:p>
        </w:tc>
        <w:tc>
          <w:tcPr>
            <w:tcW w:w="1228"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2    </w:t>
            </w:r>
          </w:p>
        </w:tc>
      </w:tr>
      <w:tr>
        <w:trPr/>
        <w:tc>
          <w:tcPr>
            <w:tcW w:w="7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(Increase) in Valuation Allowance on Operating Earnings/Losses</w:t>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81    </w:t>
            </w:r>
          </w:p>
        </w:tc>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35    </w:t>
            </w:r>
          </w:p>
        </w:tc>
      </w:tr>
      <w:tr>
        <w:trPr/>
        <w:tc>
          <w:tcPr>
            <w:tcW w:w="7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Uncertain Tax Positions</w:t>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(10)</w:t>
            </w:r>
          </w:p>
        </w:tc>
        <w:tc>
          <w:tcPr>
            <w:tcW w:w="1228"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(20)</w:t>
            </w:r>
          </w:p>
        </w:tc>
      </w:tr>
      <w:tr>
        <w:trPr/>
        <w:tc>
          <w:tcPr>
            <w:tcW w:w="790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Tax Provision</w:t>
            </w:r>
          </w:p>
        </w:tc>
        <w:tc>
          <w:tcPr>
            <w:tcW w:w="107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(189)</w:t>
            </w:r>
          </w:p>
        </w:tc>
        <w:tc>
          <w:tcPr>
            <w:tcW w:w="122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(57)</w:t>
            </w:r>
          </w:p>
        </w:tc>
      </w:tr>
    </w:tbl>
    <w:p>
      <w:pPr>
        <w:pStyle w:val="TextBody"/>
        <w:bidi w:val="0"/>
        <w:spacing w:before="100" w:after="283"/>
        <w:jc w:val="center"/>
        <w:rPr/>
      </w:pPr>
      <w:r>
        <w:rPr/>
      </w:r>
    </w:p>
    <w:p>
      <w:pPr>
        <w:pStyle w:val="TextBody"/>
        <w:bidi w:val="0"/>
        <w:spacing w:lineRule="auto" w:line="312" w:before="1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income tax provisions generally do not correlate to our consolidated income (loss) before tax. Our income tax provisions are primarily driven by profits in certain jurisdictions, deemed profit countries and withholding taxes on intercompany and third-party transactions that do not directly correlate to ordinary income or loss. Certain charges and impairments recognized do not result in significant tax benefit as a result of being attributed to a non-income tax jurisdiction or our inability to forecast realization of the tax benefit of such losses. </w:t>
      </w:r>
    </w:p>
    <w:p>
      <w:pPr>
        <w:pStyle w:val="TextBody"/>
        <w:bidi w:val="0"/>
        <w:spacing w:before="0" w:after="0"/>
        <w:ind w:left="0" w:right="0" w:firstLine="360"/>
        <w:jc w:val="both"/>
        <w:rPr/>
      </w:pPr>
      <w:r>
        <w:rPr/>
      </w:r>
    </w:p>
    <w:p>
      <w:pPr>
        <w:pStyle w:val="TextBody"/>
        <w:bidi w:val="0"/>
        <w:spacing w:lineRule="auto" w:line="319"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2025, income tax expense was lower than 2024, primarily driven by the lower earnings and the release of $70 million in benefits from previously uncertain tax positions due to audit settlements and lapses in the statute of limitations, partially offset by a decrease in the amount of valuation allowance releases as compared to 2024. During the year ended December 31, 2024, income tax expense was primarily driven by increased activity and operating profits, profit mix in various jurisdictions that we operate and lower valuation allowance releases. During the year ended December 31, 2023, income tax expense includes a one-time benefit of $115 million, due to the release of valuation allowances and the recognition of benefits from previously uncertain tax positions. Those benefits were offset by the establishment of valuation allowance of approximately $50 million against the sale of Blue Chip Swap securities and currency devaluation in Argentina (see Note 18 – Blue Chip Swap Securities - Argentina). </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Deferred tax assets and liabilities are recognized for the estimated future tax effects of temporary differences between the tax basis of an asset or liability and its reported amount in the Consolidated Financial Statements. The measurement of deferred tax assets and liabilities is based on enacted tax laws and rates currently in effect in each of the jurisdictions in which we have operations.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88</w:t>
                      </w:r>
                    </w:p>
                  </w:txbxContent>
                </v:textbox>
                <w10:wrap type="none"/>
              </v:rect>
            </w:pict>
          </mc:Fallback>
        </mc:AlternateContent>
      </w:r>
    </w:p>
    <w:p>
      <w:pPr>
        <w:pStyle w:val="TextBody"/>
        <w:bidi w:val="0"/>
        <w:spacing w:lineRule="auto" w:line="333" w:before="60" w:after="283"/>
        <w:jc w:val="left"/>
        <w:rPr>
          <w:color w:val="000000"/>
        </w:rPr>
      </w:pPr>
      <w:r>
        <w:rPr>
          <w:color w:val="000000"/>
        </w:rPr>
        <w:t>    </w:t>
      </w:r>
      <w:r>
        <w:rPr>
          <w:rFonts w:ascii="Times New Roman;serif" w:hAnsi="Times New Roman;serif"/>
          <w:b w:val="false"/>
          <w:color w:val="000000"/>
          <w:sz w:val="20"/>
        </w:rPr>
        <w:t>Item 8 | Notes to the Consolidated Financial Statements</w:t>
      </w:r>
    </w:p>
    <w:p>
      <w:pPr>
        <w:pStyle w:val="TextBody"/>
        <w:bidi w:val="0"/>
        <w:spacing w:lineRule="auto" w:line="333" w:before="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the net deferred tax asset were as follows: </w:t>
      </w:r>
    </w:p>
    <w:tbl>
      <w:tblPr>
        <w:tblW w:w="6807" w:type="dxa"/>
        <w:jc w:val="left"/>
        <w:tblInd w:w="0" w:type="dxa"/>
        <w:tblLayout w:type="fixed"/>
        <w:tblCellMar>
          <w:top w:w="28" w:type="dxa"/>
          <w:left w:w="28" w:type="dxa"/>
          <w:bottom w:w="28" w:type="dxa"/>
          <w:right w:w="28" w:type="dxa"/>
        </w:tblCellMar>
      </w:tblPr>
      <w:tblGrid>
        <w:gridCol w:w="1533"/>
        <w:gridCol w:w="1350"/>
        <w:gridCol w:w="1361"/>
        <w:gridCol w:w="419"/>
        <w:gridCol w:w="419"/>
        <w:gridCol w:w="421"/>
        <w:gridCol w:w="381"/>
        <w:gridCol w:w="381"/>
        <w:gridCol w:w="542"/>
      </w:tblGrid>
      <w:tr>
        <w:trPr/>
        <w:tc>
          <w:tcPr>
            <w:tcW w:w="1533"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(Dollars in millions)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Tax Assets:</w:t>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Operating Losses Carryforwards</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605    </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585    </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Unused Recognized Built in Losses</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47    </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47    </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and Reserves</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63    </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138    </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 Carryforwards</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17    </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13    </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Benefits</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30    </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29    </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102    </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109    </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34    </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34    </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Interest Deferral</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57    </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58    </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Base Adjustment</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52    </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53    </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Deferred</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60    </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57    </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Differences between Financial and Tax Basis</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162    </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142    </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(1,057)</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(1,122)</w:t>
            </w:r>
          </w:p>
        </w:tc>
      </w:tr>
      <w:tr>
        <w:trPr/>
        <w:tc>
          <w:tcPr>
            <w:tcW w:w="42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 Deferred Tax Assets</w:t>
            </w:r>
          </w:p>
        </w:tc>
        <w:tc>
          <w:tcPr>
            <w:tcW w:w="1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172    </w:t>
            </w:r>
          </w:p>
        </w:tc>
        <w:tc>
          <w:tcPr>
            <w:tcW w:w="13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143    </w:t>
            </w:r>
          </w:p>
        </w:tc>
      </w:tr>
      <w:tr>
        <w:trPr/>
        <w:tc>
          <w:tcPr>
            <w:tcW w:w="4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Tax Liabilities:</w:t>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(23)</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(17)</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Differences between Financial and Tax Basis</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(22)</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(22)</w:t>
            </w:r>
          </w:p>
        </w:tc>
      </w:tr>
      <w:tr>
        <w:trPr/>
        <w:tc>
          <w:tcPr>
            <w:tcW w:w="42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 Deferred Tax Liabilities</w:t>
            </w:r>
          </w:p>
        </w:tc>
        <w:tc>
          <w:tcPr>
            <w:tcW w:w="1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(45)</w:t>
            </w:r>
          </w:p>
        </w:tc>
        <w:tc>
          <w:tcPr>
            <w:tcW w:w="13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55" w:after="30"/>
              <w:jc w:val="right"/>
              <w:rPr>
                <w:color w:val="000000"/>
              </w:rPr>
            </w:pPr>
            <w:r>
              <w:rPr>
                <w:color w:val="000000"/>
              </w:rPr>
              <w:t>    </w:t>
            </w:r>
            <w:r>
              <w:rPr>
                <w:rFonts w:ascii="Times New Roman;serif" w:hAnsi="Times New Roman;serif"/>
                <w:b w:val="false"/>
                <w:color w:val="000000"/>
                <w:sz w:val="20"/>
              </w:rPr>
              <w:t>(39)</w:t>
            </w:r>
          </w:p>
        </w:tc>
      </w:tr>
      <w:tr>
        <w:trPr/>
        <w:tc>
          <w:tcPr>
            <w:tcW w:w="42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Deferred Tax Asset </w:t>
            </w:r>
          </w:p>
        </w:tc>
        <w:tc>
          <w:tcPr>
            <w:tcW w:w="125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127    </w:t>
            </w:r>
          </w:p>
        </w:tc>
        <w:tc>
          <w:tcPr>
            <w:tcW w:w="13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104    </w:t>
            </w:r>
          </w:p>
        </w:tc>
      </w:tr>
    </w:tbl>
    <w:p>
      <w:pPr>
        <w:pStyle w:val="TextBody"/>
        <w:bidi w:val="0"/>
        <w:spacing w:before="0" w:after="0"/>
        <w:ind w:left="0" w:right="0" w:firstLine="360"/>
        <w:jc w:val="both"/>
        <w:rPr/>
      </w:pPr>
      <w:r>
        <w:rPr/>
      </w:r>
    </w:p>
    <w:p>
      <w:pPr>
        <w:pStyle w:val="TextBody"/>
        <w:bidi w:val="0"/>
        <w:spacing w:lineRule="auto" w:line="319" w:before="0" w:after="0"/>
        <w:ind w:left="0" w:right="0" w:firstLine="360"/>
        <w:jc w:val="both"/>
        <w:rPr/>
      </w:pPr>
      <w:r>
        <w:rPr>
          <w:rFonts w:ascii="Times New Roman;serif" w:hAnsi="Times New Roman;serif"/>
          <w:b w:val="false"/>
          <w:color w:val="000000"/>
          <w:sz w:val="20"/>
        </w:rPr>
        <w:t>We record deferred tax assets for net operating losses and temporary differences between the book and tax basis of assets and liabilities that are expected to produce tax deductions in future periods. The ultimate realization of the deferred tax assets is dependent upon the generation of future taxable income in the appropriate tax jurisdiction during the periods in which those deferred tax assets would be deductible. The Company assesses the realizability of its deferred tax assets each period by considering whether it is more likely than not that all or a portion of the deferred tax assets will not be realized. The Company considers all available evidence (both positive and negative) when determining whether a valuation allowance is required,</w:t>
      </w:r>
      <w:r>
        <w:rPr>
          <w:color w:val="000000"/>
        </w:rPr>
        <w:t xml:space="preserve"> </w:t>
      </w:r>
      <w:r>
        <w:rPr>
          <w:rFonts w:ascii="Times New Roman;serif" w:hAnsi="Times New Roman;serif"/>
          <w:b w:val="false"/>
          <w:color w:val="000000"/>
          <w:sz w:val="20"/>
        </w:rPr>
        <w:t xml:space="preserve">with emphasis on our past operating results, the existence of cumulative losses in the most recent years and our forecast of near- term taxable income. The Company evaluates possible sources of taxable income that may be available to realize the benefit of deferred tax assets, including projected future taxable income, the reversal of existing temporary differences, taxable income in carryback years and available tax planning strategies, in making this assessment. </w:t>
      </w:r>
    </w:p>
    <w:p>
      <w:pPr>
        <w:pStyle w:val="TextBody"/>
        <w:bidi w:val="0"/>
        <w:spacing w:before="0" w:after="0"/>
        <w:ind w:left="0" w:right="0" w:firstLine="360"/>
        <w:jc w:val="both"/>
        <w:rPr/>
      </w:pPr>
      <w:r>
        <w:rPr/>
      </w:r>
    </w:p>
    <w:p>
      <w:pPr>
        <w:pStyle w:val="TextBody"/>
        <w:bidi w:val="0"/>
        <w:spacing w:lineRule="auto" w:line="312"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valuation allowance decreased by $65 million in 2025. The decrease is primarily driven by $24 million of remeasurement of net deferred tax assets and $12 million due to the release of valuation allowances where deferred tax assets are now considered more likely than not to be realized in the future. The remaining net decrease in the valuation allowance during the year relates to the movement in our underlying valued net deferred tax assets based on current year activity as well as changes attributable to foreign currency translation.</w:t>
      </w:r>
    </w:p>
    <w:p>
      <w:pPr>
        <w:pStyle w:val="TextBody"/>
        <w:bidi w:val="0"/>
        <w:spacing w:before="0" w:after="0"/>
        <w:ind w:left="0" w:right="0" w:firstLine="360"/>
        <w:jc w:val="left"/>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Deferred income taxes generally have not been recognized on the cumulative undistributed earnings of our non-Irish subsidiaries because they are considered to be indefinitely reinvested. Distribution of these earnings in the form of dividends or otherwise may result in a combination of income and withholding taxes payable in various countries. Due to complexities in the tax laws and the manner of repatriation, it is not practicable to estimate the unrecognized amount of deferred income taxes and the related dividend withholding taxes associated with these undistributed earnings.</w:t>
      </w:r>
    </w:p>
    <w:p>
      <w:pPr>
        <w:pStyle w:val="TextBody"/>
        <w:bidi w:val="0"/>
        <w:ind w:left="0" w:right="0" w:firstLine="3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89</w:t>
                      </w:r>
                    </w:p>
                  </w:txbxContent>
                </v:textbox>
                <w10:wrap type="none"/>
              </v:rect>
            </w:pict>
          </mc:Fallback>
        </mc:AlternateContent>
      </w:r>
    </w:p>
    <w:p>
      <w:pPr>
        <w:pStyle w:val="TextBody"/>
        <w:bidi w:val="0"/>
        <w:spacing w:lineRule="auto" w:line="333" w:before="60" w:after="283"/>
        <w:jc w:val="left"/>
        <w:rPr>
          <w:color w:val="000000"/>
        </w:rPr>
      </w:pPr>
      <w:r>
        <w:rPr>
          <w:color w:val="000000"/>
        </w:rPr>
        <w:t>    </w:t>
      </w:r>
      <w:r>
        <w:rPr>
          <w:rFonts w:ascii="Times New Roman;serif" w:hAnsi="Times New Roman;serif"/>
          <w:b w:val="false"/>
          <w:color w:val="000000"/>
          <w:sz w:val="20"/>
        </w:rPr>
        <w:t>Item 8 | Notes to the Consolidated Financial Statements</w:t>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December 31, 2025, we had approximately $3.1 billion of net operating losses (“NOLs”) in various jurisdictions. Our non-indefinite loss carryforwards, which are limited by Internal Revenue Code section 382 and total $0.4 billion as of December 31, 2025, and if not utilized, will mostly expire for U.S. subsidiaries from 2035 through 2036. Our non-indefinite loss carryforwards for our non-US subsidiaries will mostly expire at various dates from 2026 through 2044.</w:t>
      </w:r>
    </w:p>
    <w:p>
      <w:pPr>
        <w:pStyle w:val="TextBody"/>
        <w:bidi w:val="0"/>
        <w:spacing w:before="0" w:after="0"/>
        <w:ind w:left="0" w:right="0" w:firstLine="360"/>
        <w:jc w:val="both"/>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2021, we executed a liquidation transaction of one of our Swiss holding companies which resulted in the forfeiture of impairment losses of $1.3 billion generated in 2020. In addition, the liquidation transaction resulted in approximately $5.6 billion of tax losses (NOLs) in Switzerland, of which $2.7 billion was deemed worthless and is not included in the deferred tax table as of December 31, 2025.</w:t>
      </w:r>
    </w:p>
    <w:p>
      <w:pPr>
        <w:pStyle w:val="TextBody"/>
        <w:bidi w:val="0"/>
        <w:spacing w:before="0" w:after="0"/>
        <w:ind w:left="0" w:right="0" w:firstLine="360"/>
        <w:jc w:val="both"/>
        <w:rPr/>
      </w:pPr>
      <w:r>
        <w:rPr/>
      </w:r>
    </w:p>
    <w:p>
      <w:pPr>
        <w:pStyle w:val="TextBody"/>
        <w:bidi w:val="0"/>
        <w:spacing w:lineRule="auto" w:line="333"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A tabular reconciliation of the total amounts of uncertain tax positions at the beginning and end of the period is as follows:</w:t>
      </w:r>
    </w:p>
    <w:tbl>
      <w:tblPr>
        <w:tblW w:w="7720" w:type="dxa"/>
        <w:jc w:val="left"/>
        <w:tblInd w:w="0" w:type="dxa"/>
        <w:tblLayout w:type="fixed"/>
        <w:tblCellMar>
          <w:top w:w="28" w:type="dxa"/>
          <w:left w:w="28" w:type="dxa"/>
          <w:bottom w:w="28" w:type="dxa"/>
          <w:right w:w="28" w:type="dxa"/>
        </w:tblCellMar>
      </w:tblPr>
      <w:tblGrid>
        <w:gridCol w:w="1729"/>
        <w:gridCol w:w="1521"/>
        <w:gridCol w:w="1534"/>
        <w:gridCol w:w="421"/>
        <w:gridCol w:w="281"/>
        <w:gridCol w:w="250"/>
        <w:gridCol w:w="421"/>
        <w:gridCol w:w="281"/>
        <w:gridCol w:w="250"/>
        <w:gridCol w:w="407"/>
        <w:gridCol w:w="272"/>
        <w:gridCol w:w="353"/>
      </w:tblGrid>
      <w:tr>
        <w:trPr/>
        <w:tc>
          <w:tcPr>
            <w:tcW w:w="1729"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(Dollars in millions)</w:t>
            </w:r>
          </w:p>
        </w:tc>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Beginning of Year</w:t>
            </w:r>
          </w:p>
        </w:tc>
        <w:tc>
          <w:tcPr>
            <w:tcW w:w="9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201    </w:t>
            </w:r>
          </w:p>
        </w:tc>
        <w:tc>
          <w:tcPr>
            <w:tcW w:w="9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203    </w:t>
            </w:r>
          </w:p>
        </w:tc>
        <w:tc>
          <w:tcPr>
            <w:tcW w:w="10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191    </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for tax positions of prior periods</w:t>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7    </w:t>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7    </w:t>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9    </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based on tax positions for the current period</w:t>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14    </w:t>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13    </w:t>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19    </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for tax positions of prior periods</w:t>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w:t>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(2)</w:t>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(12)</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relating to settlements with taxing authorities</w:t>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(33)</w:t>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(5)</w:t>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(3)</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due to a lapse of the statute of limitations</w:t>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(15)</w:t>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(8)</w:t>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(6)</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Effects</w:t>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7    </w:t>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(7)</w:t>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5    </w:t>
            </w:r>
          </w:p>
        </w:tc>
      </w:tr>
      <w:tr>
        <w:trPr/>
        <w:tc>
          <w:tcPr>
            <w:tcW w:w="478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End of Year</w:t>
            </w:r>
          </w:p>
        </w:tc>
        <w:tc>
          <w:tcPr>
            <w:tcW w:w="95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179    </w:t>
            </w:r>
          </w:p>
        </w:tc>
        <w:tc>
          <w:tcPr>
            <w:tcW w:w="95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201    </w:t>
            </w:r>
          </w:p>
        </w:tc>
        <w:tc>
          <w:tcPr>
            <w:tcW w:w="103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55" w:after="30"/>
              <w:jc w:val="right"/>
              <w:rPr>
                <w:rFonts w:ascii="Times New Roman;serif" w:hAnsi="Times New Roman;serif"/>
                <w:b w:val="false"/>
                <w:color w:val="000000"/>
                <w:sz w:val="20"/>
              </w:rPr>
            </w:pPr>
            <w:r>
              <w:rPr>
                <w:rFonts w:ascii="Times New Roman;serif" w:hAnsi="Times New Roman;serif"/>
                <w:b w:val="false"/>
                <w:color w:val="000000"/>
                <w:sz w:val="20"/>
              </w:rPr>
              <w:t>$    203    </w:t>
            </w:r>
          </w:p>
        </w:tc>
      </w:tr>
    </w:tbl>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Substantially all of the uncertain tax positions, if released in future periods, would impact our effective tax rate. Within the total balance is $51 million and $48 million as of December 31, 2025 and 2024, respectively, that would be offset by net operating losses and other tax attributes if settled. Our income tax provision includes penalties and interest expense (benefit) on uncertain tax positions of $5 million, $1 million and $12 million for years ended December 31, 2025, 2024, and 2023, respectively. The expense of $5 million in 2025 includes $21 million of interest and penalty release related to benefit from previously uncertain tax positions. The amounts in the table above exclude cumulative accrued interest and penalties of $114 million and $112 million at December 31, 2025 and 2024, respectively, which are included in other non-current liabilities.</w:t>
      </w:r>
    </w:p>
    <w:p>
      <w:pPr>
        <w:pStyle w:val="TextBody"/>
        <w:bidi w:val="0"/>
        <w:spacing w:before="0" w:after="0"/>
        <w:ind w:left="0" w:right="0" w:firstLine="360"/>
        <w:jc w:val="both"/>
        <w:rPr/>
      </w:pPr>
      <w:r>
        <w:rPr/>
      </w:r>
    </w:p>
    <w:p>
      <w:pPr>
        <w:pStyle w:val="TextBody"/>
        <w:bidi w:val="0"/>
        <w:spacing w:lineRule="auto" w:line="333"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income tax in many of the approximately 75 countries where we operate. We are continuously under tax examination in various jurisdictions and cannot predict the timing or outcome regarding the resolutions or if they will have a material impact on our financial statements. As of December 31, 2025, the following table summarizes the tax years that remain subject to examination for the major jurisdictions in which we operate: </w:t>
      </w:r>
    </w:p>
    <w:p>
      <w:pPr>
        <w:pStyle w:val="TextBody"/>
        <w:bidi w:val="0"/>
        <w:spacing w:before="0" w:after="60"/>
        <w:ind w:left="0" w:right="0" w:firstLine="360"/>
        <w:jc w:val="both"/>
        <w:rPr/>
      </w:pPr>
      <w:r>
        <w:rPr/>
      </w:r>
    </w:p>
    <w:tbl>
      <w:tblPr>
        <w:tblW w:w="4695" w:type="dxa"/>
        <w:jc w:val="left"/>
        <w:tblInd w:w="0" w:type="dxa"/>
        <w:tblLayout w:type="fixed"/>
        <w:tblCellMar>
          <w:top w:w="28" w:type="dxa"/>
          <w:left w:w="28" w:type="dxa"/>
          <w:bottom w:w="28" w:type="dxa"/>
          <w:right w:w="28" w:type="dxa"/>
        </w:tblCellMar>
      </w:tblPr>
      <w:tblGrid>
        <w:gridCol w:w="712"/>
        <w:gridCol w:w="625"/>
        <w:gridCol w:w="628"/>
        <w:gridCol w:w="799"/>
        <w:gridCol w:w="799"/>
        <w:gridCol w:w="1132"/>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Tax Jurisdiction</w:t>
            </w:r>
          </w:p>
        </w:tc>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Tax Years under Examination</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Argentina</w:t>
            </w:r>
          </w:p>
        </w:tc>
        <w:tc>
          <w:tcPr>
            <w:tcW w:w="2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2017 - 2025</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2017 - 2025</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2015 - 2025</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Russia</w:t>
            </w:r>
          </w:p>
        </w:tc>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2022 - 2025</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Saudi Arabia</w:t>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2006 - 2025</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2021 - 2025</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(Federal)</w:t>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2021 - 2025</w:t>
            </w:r>
          </w:p>
        </w:tc>
      </w:tr>
    </w:tbl>
    <w:p>
      <w:pPr>
        <w:pStyle w:val="TextBody"/>
        <w:bidi w:val="0"/>
        <w:spacing w:before="0" w:after="0"/>
        <w:ind w:left="0" w:right="0" w:firstLine="360"/>
        <w:jc w:val="both"/>
        <w:rPr/>
      </w:pPr>
      <w:r>
        <w:rPr/>
      </w:r>
    </w:p>
    <w:p>
      <w:pPr>
        <w:pStyle w:val="TextBody"/>
        <w:bidi w:val="0"/>
        <w:spacing w:lineRule="auto" w:line="33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income taxes paid during the year ended December 31, 2025, net of refunds, by jurisdiction. Federal and state taxes paid did not meet the 5% disclosure threshold as required by ASU 2023-09. Cash taxes, net of refunds, were $168 million and $132 million for 2024 and 2023, respectively.</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90</w:t>
                      </w:r>
                    </w:p>
                  </w:txbxContent>
                </v:textbox>
                <w10:wrap type="none"/>
              </v:rect>
            </w:pict>
          </mc:Fallback>
        </mc:AlternateContent>
      </w:r>
    </w:p>
    <w:p>
      <w:pPr>
        <w:pStyle w:val="TextBody"/>
        <w:bidi w:val="0"/>
        <w:spacing w:lineRule="auto" w:line="333" w:before="60" w:after="283"/>
        <w:jc w:val="left"/>
        <w:rPr>
          <w:color w:val="000000"/>
        </w:rPr>
      </w:pPr>
      <w:r>
        <w:rPr>
          <w:color w:val="000000"/>
        </w:rPr>
        <w:t>    </w:t>
      </w:r>
      <w:r>
        <w:rPr>
          <w:rFonts w:ascii="Times New Roman;serif" w:hAnsi="Times New Roman;serif"/>
          <w:b w:val="false"/>
          <w:color w:val="000000"/>
          <w:sz w:val="20"/>
        </w:rPr>
        <w:t>Item 8 | Notes to the Consolidated Financial Statements</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tbl>
      <w:tblPr>
        <w:tblW w:w="2550" w:type="dxa"/>
        <w:jc w:val="left"/>
        <w:tblInd w:w="0" w:type="dxa"/>
        <w:tblLayout w:type="fixed"/>
        <w:tblCellMar>
          <w:top w:w="28" w:type="dxa"/>
          <w:left w:w="28" w:type="dxa"/>
          <w:bottom w:w="28" w:type="dxa"/>
          <w:right w:w="28" w:type="dxa"/>
        </w:tblCellMar>
      </w:tblPr>
      <w:tblGrid>
        <w:gridCol w:w="585"/>
        <w:gridCol w:w="515"/>
        <w:gridCol w:w="519"/>
        <w:gridCol w:w="271"/>
        <w:gridCol w:w="271"/>
        <w:gridCol w:w="389"/>
      </w:tblGrid>
      <w:tr>
        <w:trPr/>
        <w:tc>
          <w:tcPr>
            <w:tcW w:w="58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(Dollars in millions)</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Foreign</w:t>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Argentina</w:t>
            </w:r>
          </w:p>
        </w:tc>
        <w:tc>
          <w:tcPr>
            <w:tcW w:w="931" w:type="dxa"/>
            <w:gridSpan w:val="3"/>
            <w:tcBorders/>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    11    </w:t>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14    </w:t>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c>
          <w:tcPr>
            <w:tcW w:w="931" w:type="dxa"/>
            <w:gridSpan w:val="3"/>
            <w:tcBorders/>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13    </w:t>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Russia</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41    </w:t>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1" w:type="dxa"/>
            <w:gridSpan w:val="3"/>
            <w:tcBorders/>
            <w:tcMar>
              <w:top w:w="0" w:type="dxa"/>
              <w:left w:w="0" w:type="dxa"/>
              <w:bottom w:w="0" w:type="dxa"/>
              <w:right w:w="0" w:type="dxa"/>
            </w:tcMar>
            <w:vAlign w:val="center"/>
          </w:tcPr>
          <w:p>
            <w:pPr>
              <w:pStyle w:val="TableContents"/>
              <w:bidi w:val="0"/>
              <w:spacing w:lineRule="auto" w:line="240" w:before="75" w:after="30"/>
              <w:jc w:val="right"/>
              <w:rPr>
                <w:color w:val="000000"/>
              </w:rPr>
            </w:pPr>
            <w:r>
              <w:rPr>
                <w:color w:val="000000"/>
              </w:rPr>
              <w:t>    </w:t>
            </w:r>
            <w:r>
              <w:rPr>
                <w:rFonts w:ascii="Times New Roman;serif" w:hAnsi="Times New Roman;serif"/>
                <w:b w:val="false"/>
                <w:color w:val="000000"/>
                <w:sz w:val="20"/>
              </w:rPr>
              <w:t>78    </w:t>
            </w:r>
          </w:p>
        </w:tc>
      </w:tr>
      <w:tr>
        <w:trPr/>
        <w:tc>
          <w:tcPr>
            <w:tcW w:w="1619"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931"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75" w:after="30"/>
              <w:jc w:val="right"/>
              <w:rPr>
                <w:rFonts w:ascii="Times New Roman;serif" w:hAnsi="Times New Roman;serif"/>
                <w:b/>
                <w:color w:val="000000"/>
                <w:sz w:val="20"/>
              </w:rPr>
            </w:pPr>
            <w:r>
              <w:rPr>
                <w:rFonts w:ascii="Times New Roman;serif" w:hAnsi="Times New Roman;serif"/>
                <w:b/>
                <w:color w:val="000000"/>
                <w:sz w:val="20"/>
              </w:rPr>
              <w:t>$    157    </w:t>
            </w:r>
          </w:p>
        </w:tc>
      </w:tr>
    </w:tbl>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18 – Blue Chip Swap Securities - Argentina</w:t>
      </w:r>
    </w:p>
    <w:p>
      <w:pPr>
        <w:pStyle w:val="TextBody"/>
        <w:bidi w:val="0"/>
        <w:spacing w:before="0" w:after="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functional currency for our Argentine operations is the U.S. dollar and we use Argentina’s official exchange rate to remeasure our Argentine peso-denominated net monetary assets into U.S. dollars at each balance sheet date. The Central Bank of Argentina has maintained certain currency controls that limited our ability to access U.S. dollars in Argentina and to remit cash from our Argentine operations. </w:t>
      </w:r>
    </w:p>
    <w:p>
      <w:pPr>
        <w:pStyle w:val="TextBody"/>
        <w:bidi w:val="0"/>
        <w:spacing w:before="0" w:after="0"/>
        <w:jc w:val="left"/>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An indirect foreign exchange mechanism known as a Blue Chip Swap (“BCS”) allows entities to remit U.S. dollars from Argentina through the purchase and sale of BCS securities. During each of the years ended December 31, 2025 and 2024, we completed a series of BCS transactions at implied exchange rates (“BCS rates”) that were approximately 2% and 26% higher, respectively, than the official exchange rate, resulting in a loss of $2 million and $10 million, respectively. We continue to use the official exchange rate for remeasurement of our Argentine peso-denominated net monetary assets under U.S. GAAP as the BCS rates do not meet the criteria for remeasurement under U.S. GAAP.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19 – Subsequent Events</w:t>
      </w:r>
    </w:p>
    <w:p>
      <w:pPr>
        <w:pStyle w:val="TextBody"/>
        <w:bidi w:val="0"/>
        <w:spacing w:before="0" w:after="0"/>
        <w:ind w:left="0" w:right="0" w:firstLine="360"/>
        <w:jc w:val="left"/>
        <w:rPr/>
      </w:pPr>
      <w:r>
        <w:rPr/>
      </w:r>
    </w:p>
    <w:p>
      <w:pPr>
        <w:pStyle w:val="TextBody"/>
        <w:bidi w:val="0"/>
        <w:spacing w:lineRule="auto" w:line="333"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Declaration of cash dividend</w:t>
      </w:r>
    </w:p>
    <w:p>
      <w:pPr>
        <w:pStyle w:val="TextBody"/>
        <w:bidi w:val="0"/>
        <w:spacing w:before="0" w:after="0"/>
        <w:ind w:left="0" w:right="0" w:firstLine="360"/>
        <w:jc w:val="left"/>
        <w:rPr/>
      </w:pPr>
      <w:r>
        <w:rPr/>
      </w:r>
    </w:p>
    <w:p>
      <w:pPr>
        <w:pStyle w:val="TextBody"/>
        <w:bidi w:val="0"/>
        <w:spacing w:lineRule="auto" w:line="333"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26, 2026, our Board of Directors declared a cash dividend of $0.275 per share of the Company’s ordinary shares, payable on March 5, 2026 to shareholders of record as of February 6, 2026. </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91</w:t>
                      </w:r>
                    </w:p>
                  </w:txbxContent>
                </v:textbox>
                <w10:wrap type="none"/>
              </v:rect>
            </w:pict>
          </mc:Fallback>
        </mc:AlternateContent>
      </w:r>
    </w:p>
    <w:p>
      <w:pPr>
        <w:pStyle w:val="TextBody"/>
        <w:bidi w:val="0"/>
        <w:spacing w:lineRule="auto" w:line="333" w:before="60" w:after="283"/>
        <w:jc w:val="left"/>
        <w:rPr>
          <w:color w:val="000000"/>
        </w:rPr>
      </w:pPr>
      <w:r>
        <w:rPr>
          <w:color w:val="000000"/>
        </w:rPr>
        <w:t>    </w:t>
      </w:r>
      <w:r>
        <w:rPr>
          <w:rFonts w:ascii="Times New Roman;serif" w:hAnsi="Times New Roman;serif"/>
          <w:b w:val="false"/>
          <w:color w:val="000000"/>
          <w:sz w:val="20"/>
        </w:rPr>
        <w:t>Item 9 | Changes in and Disagreement with Accountants on Accounting and Financial Disclosure</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Item 9. Changes in and Disagreement with Accountants on Accounting and Financial Disclosure.</w:t>
      </w:r>
    </w:p>
    <w:p>
      <w:pPr>
        <w:pStyle w:val="TextBody"/>
        <w:bidi w:val="0"/>
        <w:spacing w:lineRule="auto" w:line="333" w:before="0" w:after="0"/>
        <w:ind w:left="0" w:right="0" w:firstLine="360"/>
        <w:jc w:val="both"/>
        <w:rPr>
          <w:color w:val="000000"/>
        </w:rPr>
      </w:pPr>
      <w:r>
        <w:rPr>
          <w:color w:val="000000"/>
        </w:rPr>
        <w:t> </w:t>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92</w:t>
                      </w:r>
                    </w:p>
                  </w:txbxContent>
                </v:textbox>
                <w10:wrap type="none"/>
              </v:rect>
            </w:pict>
          </mc:Fallback>
        </mc:AlternateContent>
      </w:r>
    </w:p>
    <w:p>
      <w:pPr>
        <w:pStyle w:val="TextBody"/>
        <w:bidi w:val="0"/>
        <w:spacing w:lineRule="auto" w:line="333" w:before="60" w:after="283"/>
        <w:jc w:val="left"/>
        <w:rPr>
          <w:color w:val="000000"/>
        </w:rPr>
      </w:pPr>
      <w:r>
        <w:rPr>
          <w:color w:val="000000"/>
        </w:rPr>
        <w:t>    </w: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before="0" w:after="0"/>
        <w:jc w:val="left"/>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Disclosure controls and procedures (as defined in Rules 13a-15(e) and 15d-15(e) under the Exchange Act) are designed to ensure that information required to be disclosed in our reports filed under the Exchange Act is recorded, processed, summarized and reported within the time periods specified in the SEC’s rules and forms. This information is collected and communicated to management, including our Chief Executive Officer (“CEO”) and the Chief Financial Officer (“CFO”), as appropriate, to allow timely decisions regarding required disclosures. Our management, under the supervision of and with the participation of our CEO and CFO, evaluated the effectiveness of the design and operation of our disclosure controls and procedures at December 31, 2025. Based on that evaluation, our CEO and CFO concluded that our disclosure controls and procedures were effective as of December 31, 2025. </w:t>
      </w:r>
    </w:p>
    <w:p>
      <w:pPr>
        <w:pStyle w:val="TextBody"/>
        <w:bidi w:val="0"/>
        <w:spacing w:before="0" w:after="0"/>
        <w:ind w:left="0" w:right="0" w:firstLine="360"/>
        <w:jc w:val="both"/>
        <w:rPr/>
      </w:pPr>
      <w:r>
        <w:rPr/>
      </w:r>
    </w:p>
    <w:p>
      <w:pPr>
        <w:pStyle w:val="TextBody"/>
        <w:bidi w:val="0"/>
        <w:spacing w:lineRule="auto" w:line="333" w:before="0" w:after="0"/>
        <w:jc w:val="left"/>
        <w:rPr>
          <w:rFonts w:ascii="Times New Roman;serif" w:hAnsi="Times New Roman;serif"/>
          <w:b/>
          <w:i/>
          <w:color w:val="000000"/>
          <w:sz w:val="20"/>
        </w:rPr>
      </w:pPr>
      <w:r>
        <w:rPr>
          <w:rFonts w:ascii="Times New Roman;serif" w:hAnsi="Times New Roman;serif"/>
          <w:b/>
          <w:i/>
          <w:color w:val="000000"/>
          <w:sz w:val="20"/>
        </w:rPr>
        <w:t>Management’s Annual Report on Internal Control Over Financial Reporting</w:t>
      </w:r>
    </w:p>
    <w:p>
      <w:pPr>
        <w:pStyle w:val="TextBody"/>
        <w:bidi w:val="0"/>
        <w:spacing w:before="0" w:after="0"/>
        <w:jc w:val="left"/>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of the Company is responsible for establishing and maintaining adequate internal control over financial reporting as such term is defined in Rules 13a-15(f) of the Exchange Act. The Company’s internal controls are designed to provide reasonable, but not absolute, assurance as to the reliability of its financial reporting and the preparation of financial statements for external purposes in accordance with U.S. GAAP.</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CEO and CFO, does not expect that our internal control over financial reporting will prevent all errors and all fraud. A control system, no matter how well conceived and operated, can provide only reasonable, not absolute, assurance that the objectives of the control system are met. Further, the benefits of controls must be considered relative to their costs. Because of the inherent limitations in a system of internal control over financial reporting, no evaluation of controls can provide absolute assurance that all control issues and instances of fraud, if 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control system is also based, in part, upon certain assumptions about the likelihood of future events, and there can be no assurance that any design will succeed in achieving its stated goals under all potential future conditions. Because of the inherent limitations in a cost-effective control system, misstatements due to error or fraud may occur and not be detected.</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assessed the effectiveness of the Company’s internal control over financial reporting as of December 31, 2025, using the criteria set forth by the Committee of Sponsoring Organizations of the Treadway Commission in Internal Control – An Integrated Framework (2013). As a result of this assessment, management concluded that as of December 31, 2025, our internal control over financial reporting was effective based on these criteria.</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KPMG LLP has issued an attestation report dated February 4, 2026, on our internal control over financial reporting, which is contained in this Annual Report on Form 10-K. </w:t>
      </w:r>
    </w:p>
    <w:p>
      <w:pPr>
        <w:pStyle w:val="TextBody"/>
        <w:bidi w:val="0"/>
        <w:spacing w:before="0" w:after="0"/>
        <w:ind w:left="0" w:right="0" w:firstLine="360"/>
        <w:jc w:val="both"/>
        <w:rPr/>
      </w:pPr>
      <w:r>
        <w:rPr/>
      </w:r>
    </w:p>
    <w:p>
      <w:pPr>
        <w:pStyle w:val="TextBody"/>
        <w:bidi w:val="0"/>
        <w:spacing w:lineRule="auto" w:line="333" w:before="0" w:after="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before="0" w:after="0"/>
        <w:ind w:left="0" w:right="0" w:firstLine="360"/>
        <w:jc w:val="both"/>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changes in our internal control over financial reporting, that occurred during the fourth quarter ended December 31, 2025, that has materially affected, or is reasonably likely to materially affect, our internal control over financial reporting.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before="0" w:after="0"/>
        <w:ind w:left="0" w:right="0" w:firstLine="450"/>
        <w:jc w:val="both"/>
        <w:rPr/>
      </w:pPr>
      <w:r>
        <w:rPr/>
      </w:r>
    </w:p>
    <w:p>
      <w:pPr>
        <w:pStyle w:val="TextBody"/>
        <w:bidi w:val="0"/>
        <w:spacing w:lineRule="auto" w:line="312"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December 31, 2025, no director or executive officer of the Company adopted or terminated a “Rule 10b5-1 trading arrangement” or “non-Rule 10b5-1 trading arrangement,” as each term is defined in Item 408(a) of Regulation S-K.</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w:t>
                      </w:r>
                    </w:p>
                  </w:txbxContent>
                </v:textbox>
                <w10:wrap type="none"/>
              </v:rect>
            </w:pict>
          </mc:Fallback>
        </mc:AlternateContent>
      </w:r>
    </w:p>
    <w:p>
      <w:pPr>
        <w:pStyle w:val="TextBody"/>
        <w:bidi w:val="0"/>
        <w:spacing w:lineRule="auto" w:line="333" w:before="0" w:after="0"/>
        <w:jc w:val="left"/>
        <w:rPr>
          <w:color w:val="000000"/>
        </w:rPr>
      </w:pPr>
      <w:r>
        <w:rPr>
          <w:color w:val="000000"/>
        </w:rPr>
        <w:t>            </w:t>
      </w:r>
      <w:r>
        <w:rPr>
          <w:rFonts w:ascii="Times New Roman;serif" w:hAnsi="Times New Roman;serif"/>
          <w:b w:val="false"/>
          <w:color w:val="000000"/>
          <w:sz w:val="20"/>
        </w:rPr>
        <w:t>Item 10 | Directors, Executive Officers and Corporate Governance</w:t>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before="0" w:after="0"/>
        <w:jc w:val="left"/>
        <w:rPr/>
      </w:pPr>
      <w:r>
        <w:rPr/>
      </w:r>
    </w:p>
    <w:p>
      <w:pPr>
        <w:pStyle w:val="TextBody"/>
        <w:bidi w:val="0"/>
        <w:spacing w:lineRule="auto" w:line="297"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60" w:after="60"/>
        <w:ind w:left="0" w:right="0" w:firstLine="450"/>
        <w:jc w:val="center"/>
        <w:rPr>
          <w:rFonts w:ascii="Times New Roman;serif" w:hAnsi="Times New Roman;serif"/>
          <w:b/>
          <w:color w:val="000000"/>
          <w:sz w:val="20"/>
        </w:rPr>
      </w:pPr>
      <w:r>
        <w:rPr>
          <w:rFonts w:ascii="Times New Roman;serif" w:hAnsi="Times New Roman;serif"/>
          <w:b/>
          <w:color w:val="000000"/>
          <w:sz w:val="20"/>
        </w:rPr>
        <w:t>PART III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333" w:before="0" w:after="0"/>
        <w:ind w:left="0" w:right="0" w:firstLine="360"/>
        <w:jc w:val="both"/>
        <w:rPr>
          <w:color w:val="000000"/>
        </w:rPr>
      </w:pPr>
      <w:r>
        <w:rPr>
          <w:color w:val="000000"/>
        </w:rPr>
        <w:t> </w:t>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incorporated by reference from our Proxy Statement for the 2026 Annual General Meeting of Shareholders. See also “Item 1. Business. Executive Officers of Weatherford” of this report.</w:t>
      </w:r>
    </w:p>
    <w:p>
      <w:pPr>
        <w:pStyle w:val="TextBody"/>
        <w:bidi w:val="0"/>
        <w:spacing w:lineRule="auto" w:line="333" w:before="0" w:after="0"/>
        <w:ind w:left="0" w:right="0" w:firstLine="360"/>
        <w:jc w:val="both"/>
        <w:rPr>
          <w:color w:val="000000"/>
        </w:rPr>
      </w:pPr>
      <w:r>
        <w:rPr>
          <w:color w:val="000000"/>
        </w:rPr>
        <w:t> </w:t>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adopted a code of ethics entitled “Weatherford Code of Business Conduct English,” which applies to all our employees, officers and directors. Copies of these codes can also be found at www.weatherford.com.</w:t>
      </w:r>
    </w:p>
    <w:p>
      <w:pPr>
        <w:pStyle w:val="TextBody"/>
        <w:bidi w:val="0"/>
        <w:spacing w:lineRule="auto" w:line="333" w:before="0" w:after="0"/>
        <w:ind w:left="0" w:right="0" w:firstLine="360"/>
        <w:jc w:val="both"/>
        <w:rPr>
          <w:color w:val="000000"/>
        </w:rPr>
      </w:pPr>
      <w:r>
        <w:rPr>
          <w:color w:val="000000"/>
        </w:rPr>
        <w:t> </w:t>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intend to satisfy the requirement under Item 5.05 of Form 8-K to disclose any amendments to our Weatherford Code of Business Conduct and any waiver from any provision to it by posting such information on our website at www.weatherford.com.</w:t>
      </w:r>
    </w:p>
    <w:p>
      <w:pPr>
        <w:pStyle w:val="TextBody"/>
        <w:bidi w:val="0"/>
        <w:spacing w:before="0" w:after="0"/>
        <w:ind w:left="0" w:right="0" w:firstLine="360"/>
        <w:jc w:val="both"/>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an insider trading policy governing the purchase, sale and other dispositions of Weatherford’s securities that applies to Weatherford and all personnel of Weatherford and its subsidiaries, including directors, officers, employees and other covered persons. Weatherford believes that its insider trading policy is reasonably designed to promote compliance with insider trading laws, rules and regulations, as well as applicable listing standards. A copy of Weatherford’s insider trading policy is filed as Exhibit 19 to this report.</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333" w:before="0" w:after="0"/>
        <w:ind w:left="0" w:right="0" w:firstLine="360"/>
        <w:jc w:val="both"/>
        <w:rPr>
          <w:color w:val="000000"/>
        </w:rPr>
      </w:pPr>
      <w:r>
        <w:rPr>
          <w:color w:val="000000"/>
        </w:rPr>
        <w:t> </w:t>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incorporated by reference from our Proxy Statement for the 2026 Annual General Meeting of Shareholders.</w:t>
      </w:r>
    </w:p>
    <w:p>
      <w:pPr>
        <w:pStyle w:val="TextBody"/>
        <w:bidi w:val="0"/>
        <w:spacing w:lineRule="auto" w:line="333"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before="0" w:after="0"/>
        <w:jc w:val="left"/>
        <w:rPr/>
      </w:pPr>
      <w:r>
        <w:rPr/>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incorporated by reference from our Proxy Statement for the 2026 Annual General Meeting of Shareholders.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94</w:t>
                      </w:r>
                    </w:p>
                  </w:txbxContent>
                </v:textbox>
                <w10:wrap type="none"/>
              </v:rect>
            </w:pict>
          </mc:Fallback>
        </mc:AlternateContent>
      </w:r>
    </w:p>
    <w:p>
      <w:pPr>
        <w:pStyle w:val="TextBody"/>
        <w:bidi w:val="0"/>
        <w:spacing w:lineRule="auto" w:line="333" w:before="0" w:after="0"/>
        <w:jc w:val="left"/>
        <w:rPr>
          <w:color w:val="000000"/>
        </w:rPr>
      </w:pPr>
      <w:r>
        <w:rPr>
          <w:color w:val="000000"/>
        </w:rPr>
        <w:t>    </w:t>
      </w:r>
      <w:r>
        <w:rPr>
          <w:rFonts w:ascii="Times New Roman;serif" w:hAnsi="Times New Roman;serif"/>
          <w:b w:val="false"/>
          <w:color w:val="000000"/>
          <w:sz w:val="20"/>
        </w:rPr>
        <w:t>Item 15 | Exhibits</w: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333" w:before="0" w:after="0"/>
        <w:ind w:left="0" w:right="0" w:firstLine="360"/>
        <w:jc w:val="both"/>
        <w:rPr>
          <w:color w:val="000000"/>
        </w:rPr>
      </w:pPr>
      <w:r>
        <w:rPr>
          <w:color w:val="000000"/>
        </w:rPr>
        <w:t> </w:t>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incorporated by reference from our Proxy Statement for the 2026 Annual General Meeting of Shareholders.</w:t>
      </w:r>
    </w:p>
    <w:p>
      <w:pPr>
        <w:pStyle w:val="TextBody"/>
        <w:bidi w:val="0"/>
        <w:spacing w:lineRule="auto" w:line="333"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60" w:after="60"/>
        <w:jc w:val="both"/>
        <w:rPr>
          <w:rFonts w:ascii="Times New Roman;serif" w:hAnsi="Times New Roman;serif"/>
          <w:b/>
          <w:color w:val="000000"/>
          <w:sz w:val="20"/>
        </w:rPr>
      </w:pPr>
      <w:r>
        <w:rPr>
          <w:rFonts w:ascii="Times New Roman;serif" w:hAnsi="Times New Roman;serif"/>
          <w:b/>
          <w:color w:val="000000"/>
          <w:sz w:val="20"/>
        </w:rPr>
        <w:t>Item 14. Principal Accounting Fees and Services.</w:t>
      </w:r>
    </w:p>
    <w:p>
      <w:pPr>
        <w:pStyle w:val="TextBody"/>
        <w:bidi w:val="0"/>
        <w:spacing w:lineRule="auto" w:line="333" w:before="0" w:after="0"/>
        <w:ind w:left="0" w:right="0" w:firstLine="360"/>
        <w:jc w:val="both"/>
        <w:rPr>
          <w:color w:val="000000"/>
        </w:rPr>
      </w:pPr>
      <w:r>
        <w:rPr>
          <w:color w:val="000000"/>
        </w:rPr>
        <w:t> </w:t>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incorporated by reference from our Proxy Statement for the 2026 Annual General Meeting of Shareholders.</w:t>
      </w:r>
    </w:p>
    <w:p>
      <w:pPr>
        <w:pStyle w:val="TextBody"/>
        <w:bidi w:val="0"/>
        <w:spacing w:before="60" w:after="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60" w:after="60"/>
        <w:jc w:val="center"/>
        <w:rPr>
          <w:rFonts w:ascii="Times New Roman;serif" w:hAnsi="Times New Roman;serif"/>
          <w:b/>
          <w:color w:val="000000"/>
          <w:sz w:val="20"/>
        </w:rPr>
      </w:pPr>
      <w:r>
        <w:rPr>
          <w:rFonts w:ascii="Times New Roman;serif" w:hAnsi="Times New Roman;serif"/>
          <w:b/>
          <w:color w:val="000000"/>
          <w:sz w:val="20"/>
        </w:rPr>
        <w:t>PART IV</w:t>
      </w:r>
    </w:p>
    <w:p>
      <w:pPr>
        <w:pStyle w:val="TextBody"/>
        <w:bidi w:val="0"/>
        <w:spacing w:before="60" w:after="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Item 15. Exhibit and Financial Statement Schedules.</w:t>
      </w:r>
    </w:p>
    <w:p>
      <w:pPr>
        <w:pStyle w:val="TextBody"/>
        <w:bidi w:val="0"/>
        <w:spacing w:lineRule="auto" w:line="333" w:before="60" w:after="60"/>
        <w:jc w:val="both"/>
        <w:rPr>
          <w:color w:val="000000"/>
        </w:rPr>
      </w:pPr>
      <w:r>
        <w:rPr>
          <w:color w:val="000000"/>
        </w:rPr>
        <w:t> </w:t>
      </w:r>
    </w:p>
    <w:p>
      <w:pPr>
        <w:pStyle w:val="TextBody"/>
        <w:bidi w:val="0"/>
        <w:spacing w:lineRule="auto" w:line="333" w:before="0" w:after="0"/>
        <w:ind w:left="0" w:right="0" w:hanging="360"/>
        <w:jc w:val="left"/>
        <w:rPr/>
      </w:pPr>
      <w:r>
        <w:rPr>
          <w:rFonts w:ascii="Times New Roman;serif" w:hAnsi="Times New Roman;serif"/>
          <w:b/>
          <w:color w:val="000000"/>
          <w:sz w:val="20"/>
        </w:rPr>
        <w:t>(a)</w:t>
      </w:r>
      <w:r>
        <w:rPr>
          <w:rFonts w:ascii="Times New Roman;serif" w:hAnsi="Times New Roman;serif"/>
          <w:b w:val="false"/>
          <w:color w:val="000000"/>
          <w:sz w:val="20"/>
        </w:rPr>
        <w:t>The following documents are filed as part of this report or incorporated by reference:</w:t>
      </w:r>
    </w:p>
    <w:p>
      <w:pPr>
        <w:pStyle w:val="TextBody"/>
        <w:bidi w:val="0"/>
        <w:spacing w:lineRule="auto" w:line="333" w:before="60" w:after="283"/>
        <w:ind w:left="0" w:right="0" w:hanging="360"/>
        <w:jc w:val="left"/>
        <w:rPr/>
      </w:pPr>
      <w:r>
        <w:rPr>
          <w:rFonts w:ascii="Times New Roman;serif" w:hAnsi="Times New Roman;serif"/>
          <w:b w:val="false"/>
          <w:color w:val="000000"/>
          <w:sz w:val="20"/>
        </w:rPr>
        <w:t xml:space="preserve">1.The Consolidated Financial Statements of the Company listed on page </w:t>
      </w:r>
      <w:hyperlink w:anchor="i91624ee9dc05491895f41cf713dbca93_133">
        <w:r>
          <w:rPr>
            <w:rStyle w:val="InternetLink"/>
            <w:rFonts w:ascii="Times New Roman;serif" w:hAnsi="Times New Roman;serif"/>
            <w:b w:val="false"/>
            <w:color w:val="0000FF"/>
            <w:sz w:val="20"/>
            <w:u w:val="single"/>
          </w:rPr>
          <w:t>41</w:t>
        </w:r>
      </w:hyperlink>
      <w:r>
        <w:rPr>
          <w:color w:val="000000"/>
        </w:rPr>
        <w:t xml:space="preserve"> </w:t>
      </w:r>
      <w:r>
        <w:rPr>
          <w:rFonts w:ascii="Times New Roman;serif" w:hAnsi="Times New Roman;serif"/>
          <w:b w:val="false"/>
          <w:color w:val="000000"/>
          <w:sz w:val="20"/>
        </w:rPr>
        <w:t>of this report.</w:t>
      </w:r>
    </w:p>
    <w:p>
      <w:pPr>
        <w:pStyle w:val="TextBody"/>
        <w:bidi w:val="0"/>
        <w:spacing w:lineRule="auto" w:line="297"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financial statement schedules listed in Rule 5-04 of Regulation S-X (17 CFR 210.5-04) have been omitted because they are not applicable or the required information is shown in the consolidated financial statements or notes thereto.</w:t>
      </w:r>
    </w:p>
    <w:p>
      <w:pPr>
        <w:pStyle w:val="TextBody"/>
        <w:bidi w:val="0"/>
        <w:spacing w:lineRule="auto" w:line="333"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 exhibits of the Company listed below under Item 15(b); all exhibits are incorporated herein by reference to a prior filing as indicated, unless designated by a dagger (†) or double dagger (††).</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color w:val="000000"/>
          <w:sz w:val="20"/>
        </w:rPr>
        <w:t>(b)     </w:t>
      </w:r>
      <w:r>
        <w:rPr>
          <w:rFonts w:ascii="Times New Roman;serif" w:hAnsi="Times New Roman;serif"/>
          <w:b w:val="false"/>
          <w:color w:val="000000"/>
          <w:sz w:val="20"/>
        </w:rPr>
        <w:t>Exhibits:</w:t>
      </w:r>
    </w:p>
    <w:tbl>
      <w:tblPr>
        <w:tblW w:w="10205" w:type="dxa"/>
        <w:jc w:val="left"/>
        <w:tblInd w:w="0" w:type="dxa"/>
        <w:tblLayout w:type="fixed"/>
        <w:tblCellMar>
          <w:top w:w="28" w:type="dxa"/>
          <w:left w:w="28" w:type="dxa"/>
          <w:bottom w:w="28" w:type="dxa"/>
          <w:right w:w="28" w:type="dxa"/>
        </w:tblCellMar>
      </w:tblPr>
      <w:tblGrid>
        <w:gridCol w:w="339"/>
        <w:gridCol w:w="297"/>
        <w:gridCol w:w="298"/>
        <w:gridCol w:w="109"/>
        <w:gridCol w:w="109"/>
        <w:gridCol w:w="109"/>
        <w:gridCol w:w="1599"/>
        <w:gridCol w:w="1599"/>
        <w:gridCol w:w="1615"/>
        <w:gridCol w:w="109"/>
        <w:gridCol w:w="109"/>
        <w:gridCol w:w="109"/>
        <w:gridCol w:w="833"/>
        <w:gridCol w:w="833"/>
        <w:gridCol w:w="835"/>
        <w:gridCol w:w="109"/>
        <w:gridCol w:w="109"/>
        <w:gridCol w:w="109"/>
        <w:gridCol w:w="283"/>
        <w:gridCol w:w="283"/>
        <w:gridCol w:w="410"/>
      </w:tblGrid>
      <w:tr>
        <w:trPr/>
        <w:tc>
          <w:tcPr>
            <w:tcW w:w="33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9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Original Filed Exhibit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 Number</w:t>
            </w:r>
          </w:p>
        </w:tc>
      </w:tr>
      <w:tr>
        <w:trPr/>
        <w:tc>
          <w:tcPr>
            <w:tcW w:w="9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55"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Memorandum and Articles of Association of Weatherford International public limited company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55" w:after="283"/>
              <w:jc w:val="center"/>
              <w:rPr>
                <w:rFonts w:ascii="Times New Roman;serif" w:hAnsi="Times New Roman;serif"/>
                <w:b w:val="false"/>
                <w:color w:val="000000"/>
                <w:sz w:val="20"/>
              </w:rPr>
            </w:pPr>
            <w:r>
              <w:rPr>
                <w:rFonts w:ascii="Times New Roman;serif" w:hAnsi="Times New Roman;serif"/>
                <w:b w:val="false"/>
                <w:color w:val="000000"/>
                <w:sz w:val="20"/>
              </w:rPr>
              <w:t>Exhibit 3.1 of the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Company’s Current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Report on Form 8-K</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filed December 18, 2019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No. 1-36504</w:t>
            </w:r>
          </w:p>
        </w:tc>
      </w:tr>
      <w:tr>
        <w:trPr/>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3" w:type="dxa"/>
            <w:gridSpan w:val="3"/>
            <w:tcBorders/>
            <w:shd w:fill="FFFFFF" w:val="clear"/>
            <w:tcMar>
              <w:top w:w="0" w:type="dxa"/>
              <w:left w:w="0" w:type="dxa"/>
              <w:bottom w:w="0" w:type="dxa"/>
              <w:right w:w="0" w:type="dxa"/>
            </w:tcMar>
            <w:vAlign w:val="center"/>
          </w:tcPr>
          <w:p>
            <w:pPr>
              <w:pStyle w:val="TableContents"/>
              <w:bidi w:val="0"/>
              <w:spacing w:lineRule="auto" w:line="333" w:before="75" w:after="283"/>
              <w:jc w:val="left"/>
              <w:rPr>
                <w:rFonts w:ascii="Times New Roman;serif" w:hAnsi="Times New Roman;serif"/>
                <w:b w:val="false"/>
                <w:color w:val="000000"/>
                <w:sz w:val="20"/>
              </w:rPr>
            </w:pPr>
            <w:r>
              <w:rPr>
                <w:rFonts w:ascii="Times New Roman;serif" w:hAnsi="Times New Roman;serif"/>
                <w:b w:val="false"/>
                <w:color w:val="000000"/>
                <w:sz w:val="20"/>
              </w:rPr>
              <w:t>Description of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4.1 of the Company’s Annual Report on Form 10-K filed February 17,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No. 1-36504</w:t>
            </w:r>
          </w:p>
        </w:tc>
      </w:tr>
      <w:tr>
        <w:trPr/>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3" w:type="dxa"/>
            <w:gridSpan w:val="3"/>
            <w:tcBorders/>
            <w:shd w:fill="CCEEFF" w:val="clear"/>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20"/>
              </w:rPr>
            </w:pPr>
            <w:r>
              <w:rPr>
                <w:rFonts w:ascii="Times New Roman;serif" w:hAnsi="Times New Roman;serif"/>
                <w:b w:val="false"/>
                <w:color w:val="000000"/>
                <w:sz w:val="20"/>
              </w:rPr>
              <w:t>Indenture, dated October 27, 2021, by and among Weatherford International Ltd., as issuer, the guarantors party thereto and Deutsche Bank Trust Company Americas, as trustee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3"/>
            <w:tcBorders/>
            <w:shd w:fill="CCEEFF" w:val="clear"/>
            <w:tcMar>
              <w:top w:w="0" w:type="dxa"/>
              <w:left w:w="0" w:type="dxa"/>
              <w:bottom w:w="0" w:type="dxa"/>
              <w:right w:w="0" w:type="dxa"/>
            </w:tcMar>
            <w:vAlign w:val="center"/>
          </w:tcPr>
          <w:p>
            <w:pPr>
              <w:pStyle w:val="TableContents"/>
              <w:bidi w:val="0"/>
              <w:spacing w:lineRule="auto" w:line="319" w:before="75" w:after="30"/>
              <w:jc w:val="center"/>
              <w:rPr>
                <w:rFonts w:ascii="Times New Roman;serif" w:hAnsi="Times New Roman;serif"/>
                <w:b w:val="false"/>
                <w:color w:val="000000"/>
                <w:sz w:val="20"/>
              </w:rPr>
            </w:pPr>
            <w:r>
              <w:rPr>
                <w:rFonts w:ascii="Times New Roman;serif" w:hAnsi="Times New Roman;serif"/>
                <w:b w:val="false"/>
                <w:color w:val="000000"/>
                <w:sz w:val="20"/>
              </w:rPr>
              <w:t>Exhibit 4.1 of the Company’s Current Report on Form 8-K filed October 27,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No. 1-36504</w:t>
            </w:r>
          </w:p>
        </w:tc>
      </w:tr>
      <w:tr>
        <w:trPr/>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3" w:type="dxa"/>
            <w:gridSpan w:val="3"/>
            <w:tcBorders/>
            <w:shd w:fill="FFFFFF" w:val="clear"/>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20"/>
              </w:rPr>
            </w:pPr>
            <w:r>
              <w:rPr>
                <w:rFonts w:ascii="Times New Roman;serif" w:hAnsi="Times New Roman;serif"/>
                <w:b w:val="false"/>
                <w:color w:val="000000"/>
                <w:sz w:val="20"/>
              </w:rPr>
              <w:t>Form of 8.625% Senior Note due 2030 (included in Exhibit 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3"/>
            <w:tcBorders/>
            <w:shd w:fill="FFFFFF" w:val="clear"/>
            <w:tcMar>
              <w:top w:w="0" w:type="dxa"/>
              <w:left w:w="0" w:type="dxa"/>
              <w:bottom w:w="0" w:type="dxa"/>
              <w:right w:w="0" w:type="dxa"/>
            </w:tcMar>
            <w:vAlign w:val="center"/>
          </w:tcPr>
          <w:p>
            <w:pPr>
              <w:pStyle w:val="TableContents"/>
              <w:bidi w:val="0"/>
              <w:spacing w:lineRule="auto" w:line="319" w:before="75" w:after="30"/>
              <w:jc w:val="center"/>
              <w:rPr>
                <w:rFonts w:ascii="Times New Roman;serif" w:hAnsi="Times New Roman;serif"/>
                <w:b w:val="false"/>
                <w:color w:val="000000"/>
                <w:sz w:val="20"/>
              </w:rPr>
            </w:pPr>
            <w:r>
              <w:rPr>
                <w:rFonts w:ascii="Times New Roman;serif" w:hAnsi="Times New Roman;serif"/>
                <w:b w:val="false"/>
                <w:color w:val="000000"/>
                <w:sz w:val="20"/>
              </w:rPr>
              <w:t>Included in Exhibit 4.1 of the Company’s Current Report on Form 8-K filed October 27,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No. 1-36504</w:t>
            </w:r>
          </w:p>
        </w:tc>
      </w:tr>
      <w:tr>
        <w:trPr/>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3" w:type="dxa"/>
            <w:gridSpan w:val="3"/>
            <w:tcBorders/>
            <w:shd w:fill="CCEEFF" w:val="clear"/>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20"/>
              </w:rPr>
            </w:pPr>
            <w:r>
              <w:rPr>
                <w:rFonts w:ascii="Times New Roman;serif" w:hAnsi="Times New Roman;serif"/>
                <w:b w:val="false"/>
                <w:color w:val="000000"/>
                <w:sz w:val="20"/>
              </w:rPr>
              <w:t>Supplemental Indenture, dated as of December 1, 2022, by and among Weatherford International, LLC, Weatherford International plc, as parent guarantor, Weatherford International Ltd., as issuer, and Deutsche Bank Trust Company Americas, as trustee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3"/>
            <w:tcBorders/>
            <w:shd w:fill="CCEEFF" w:val="clear"/>
            <w:tcMar>
              <w:top w:w="0" w:type="dxa"/>
              <w:left w:w="0" w:type="dxa"/>
              <w:bottom w:w="0" w:type="dxa"/>
              <w:right w:w="0" w:type="dxa"/>
            </w:tcMar>
            <w:vAlign w:val="center"/>
          </w:tcPr>
          <w:p>
            <w:pPr>
              <w:pStyle w:val="TableContents"/>
              <w:bidi w:val="0"/>
              <w:spacing w:lineRule="auto" w:line="319" w:before="75" w:after="30"/>
              <w:jc w:val="center"/>
              <w:rPr>
                <w:rFonts w:ascii="Times New Roman;serif" w:hAnsi="Times New Roman;serif"/>
                <w:b w:val="false"/>
                <w:color w:val="000000"/>
                <w:sz w:val="20"/>
              </w:rPr>
            </w:pPr>
            <w:r>
              <w:rPr>
                <w:rFonts w:ascii="Times New Roman;serif" w:hAnsi="Times New Roman;serif"/>
                <w:b w:val="false"/>
                <w:color w:val="000000"/>
                <w:sz w:val="20"/>
              </w:rPr>
              <w:t>Exhibit 4.2 of the Company’s Current Report on Form 8-K filed December 5,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No. 1-36504</w:t>
            </w:r>
          </w:p>
        </w:tc>
      </w:tr>
      <w:tr>
        <w:trPr/>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3" w:type="dxa"/>
            <w:gridSpan w:val="3"/>
            <w:tcBorders/>
            <w:shd w:fill="FFFFFF" w:val="clear"/>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20"/>
              </w:rPr>
            </w:pPr>
            <w:r>
              <w:rPr>
                <w:rFonts w:ascii="Times New Roman;serif" w:hAnsi="Times New Roman;serif"/>
                <w:b w:val="false"/>
                <w:color w:val="000000"/>
                <w:sz w:val="20"/>
              </w:rPr>
              <w:t>Indenture, dated as of October 6, 2025, by and among Weatherford International Ltd., as issuer, UMB Bank, N.A., as trustee, and the Guarantors party thereto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3"/>
            <w:tcBorders/>
            <w:shd w:fill="FFFFFF" w:val="clear"/>
            <w:tcMar>
              <w:top w:w="0" w:type="dxa"/>
              <w:left w:w="0" w:type="dxa"/>
              <w:bottom w:w="0" w:type="dxa"/>
              <w:right w:w="0" w:type="dxa"/>
            </w:tcMar>
            <w:vAlign w:val="center"/>
          </w:tcPr>
          <w:p>
            <w:pPr>
              <w:pStyle w:val="TableContents"/>
              <w:bidi w:val="0"/>
              <w:spacing w:lineRule="auto" w:line="319" w:before="75" w:after="30"/>
              <w:jc w:val="center"/>
              <w:rPr>
                <w:rFonts w:ascii="Times New Roman;serif" w:hAnsi="Times New Roman;serif"/>
                <w:b w:val="false"/>
                <w:color w:val="000000"/>
                <w:sz w:val="20"/>
              </w:rPr>
            </w:pPr>
            <w:r>
              <w:rPr>
                <w:rFonts w:ascii="Times New Roman;serif" w:hAnsi="Times New Roman;serif"/>
                <w:b w:val="false"/>
                <w:color w:val="000000"/>
                <w:sz w:val="20"/>
              </w:rPr>
              <w:t>Exhibit 4.1 of the Company’s Current Report on Form 8-K filed October 6,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No. 1-36504</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95</w:t>
                      </w:r>
                    </w:p>
                  </w:txbxContent>
                </v:textbox>
                <w10:wrap type="none"/>
              </v:rect>
            </w:pict>
          </mc:Fallback>
        </mc:AlternateContent>
      </w:r>
    </w:p>
    <w:p>
      <w:pPr>
        <w:pStyle w:val="TextBody"/>
        <w:bidi w:val="0"/>
        <w:spacing w:lineRule="auto" w:line="333" w:before="60" w:after="283"/>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24"/>
        <w:gridCol w:w="284"/>
        <w:gridCol w:w="285"/>
        <w:gridCol w:w="109"/>
        <w:gridCol w:w="109"/>
        <w:gridCol w:w="109"/>
        <w:gridCol w:w="1783"/>
        <w:gridCol w:w="1599"/>
        <w:gridCol w:w="1603"/>
        <w:gridCol w:w="109"/>
        <w:gridCol w:w="109"/>
        <w:gridCol w:w="109"/>
        <w:gridCol w:w="805"/>
        <w:gridCol w:w="805"/>
        <w:gridCol w:w="807"/>
        <w:gridCol w:w="109"/>
        <w:gridCol w:w="109"/>
        <w:gridCol w:w="109"/>
        <w:gridCol w:w="270"/>
        <w:gridCol w:w="270"/>
        <w:gridCol w:w="389"/>
      </w:tblGrid>
      <w:tr>
        <w:trPr/>
        <w:tc>
          <w:tcPr>
            <w:tcW w:w="32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8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Original Filed Exhibit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 Number</w:t>
            </w:r>
          </w:p>
        </w:tc>
      </w:tr>
      <w:tr>
        <w:trPr/>
        <w:tc>
          <w:tcPr>
            <w:tcW w:w="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5" w:type="dxa"/>
            <w:gridSpan w:val="3"/>
            <w:tcBorders/>
            <w:shd w:fill="CCEEFF" w:val="clear"/>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20"/>
              </w:rPr>
            </w:pPr>
            <w:r>
              <w:rPr>
                <w:rFonts w:ascii="Times New Roman;serif" w:hAnsi="Times New Roman;serif"/>
                <w:b w:val="false"/>
                <w:color w:val="000000"/>
                <w:sz w:val="20"/>
              </w:rPr>
              <w:t>Form of 6.750% Senior Note due 2033 (included in Exhibit 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CCEEFF" w:val="clear"/>
            <w:tcMar>
              <w:top w:w="0" w:type="dxa"/>
              <w:left w:w="0" w:type="dxa"/>
              <w:bottom w:w="0" w:type="dxa"/>
              <w:right w:w="0" w:type="dxa"/>
            </w:tcMar>
            <w:vAlign w:val="center"/>
          </w:tcPr>
          <w:p>
            <w:pPr>
              <w:pStyle w:val="TableContents"/>
              <w:bidi w:val="0"/>
              <w:spacing w:lineRule="auto" w:line="319" w:before="75" w:after="30"/>
              <w:jc w:val="center"/>
              <w:rPr>
                <w:rFonts w:ascii="Times New Roman;serif" w:hAnsi="Times New Roman;serif"/>
                <w:b w:val="false"/>
                <w:color w:val="000000"/>
                <w:sz w:val="20"/>
              </w:rPr>
            </w:pPr>
            <w:r>
              <w:rPr>
                <w:rFonts w:ascii="Times New Roman;serif" w:hAnsi="Times New Roman;serif"/>
                <w:b w:val="false"/>
                <w:color w:val="000000"/>
                <w:sz w:val="20"/>
              </w:rPr>
              <w:t>Exhibit 4.2 of the Company’s Current Report on Form 8-K filed October 6,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No. 1-36504</w:t>
            </w:r>
          </w:p>
        </w:tc>
      </w:tr>
      <w:tr>
        <w:trPr/>
        <w:tc>
          <w:tcPr>
            <w:tcW w:w="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5" w:type="dxa"/>
            <w:gridSpan w:val="3"/>
            <w:tcBorders/>
            <w:shd w:fill="FFFFFF" w:val="clear"/>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20"/>
              </w:rPr>
            </w:pPr>
            <w:r>
              <w:rPr>
                <w:rFonts w:ascii="Times New Roman;serif" w:hAnsi="Times New Roman;serif"/>
                <w:b w:val="false"/>
                <w:color w:val="000000"/>
                <w:sz w:val="20"/>
              </w:rPr>
              <w:t>Supplemental Indenture, dated as of October 24, 2025, by and among Weatherford International, LLC, Weatherford International plc, as parent guarantor, Weatherford International Ltd., as issuer, and UMB Bank, N.A., as trustee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5" w:type="dxa"/>
            <w:gridSpan w:val="3"/>
            <w:tcBorders/>
            <w:shd w:fill="CCEEFF" w:val="clear"/>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20"/>
              </w:rPr>
            </w:pPr>
            <w:r>
              <w:rPr>
                <w:rFonts w:ascii="Times New Roman;serif" w:hAnsi="Times New Roman;serif"/>
                <w:b w:val="false"/>
                <w:color w:val="000000"/>
                <w:sz w:val="20"/>
              </w:rPr>
              <w:t>Form of Deed of Indemnity of Weatherford International plc entered into by each director of Weatherford International plc and each of the following executive officers of Weatherford International plc: Scott C. Weatherholt (July 23, 2020), Girish K. Saligram (October 12, 2020), Desmond J. Mills (November 2, 2022), Richard Ward (January 8, 2024) and Anuj Dhruv (April 21,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CCEEFF" w:val="clear"/>
            <w:tcMar>
              <w:top w:w="0" w:type="dxa"/>
              <w:left w:w="0" w:type="dxa"/>
              <w:bottom w:w="0" w:type="dxa"/>
              <w:right w:w="0" w:type="dxa"/>
            </w:tcMar>
            <w:vAlign w:val="center"/>
          </w:tcPr>
          <w:p>
            <w:pPr>
              <w:pStyle w:val="TableContents"/>
              <w:bidi w:val="0"/>
              <w:spacing w:lineRule="auto" w:line="240" w:before="75"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Exhibit 10.11 of the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Company’s Current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Report on Form 8-K12B </w:t>
            </w:r>
          </w:p>
          <w:p>
            <w:pPr>
              <w:pStyle w:val="TableContents"/>
              <w:bidi w:val="0"/>
              <w:spacing w:lineRule="auto" w:line="240" w:before="0" w:after="30"/>
              <w:jc w:val="center"/>
              <w:rPr>
                <w:rFonts w:ascii="Times New Roman;serif" w:hAnsi="Times New Roman;serif"/>
                <w:b w:val="false"/>
                <w:color w:val="000000"/>
                <w:sz w:val="20"/>
              </w:rPr>
            </w:pPr>
            <w:r>
              <w:rPr>
                <w:rFonts w:ascii="Times New Roman;serif" w:hAnsi="Times New Roman;serif"/>
                <w:b w:val="false"/>
                <w:color w:val="000000"/>
                <w:sz w:val="20"/>
              </w:rPr>
              <w:t>filed June 17, 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No. 1-36504</w:t>
            </w:r>
          </w:p>
        </w:tc>
      </w:tr>
      <w:tr>
        <w:trPr/>
        <w:tc>
          <w:tcPr>
            <w:tcW w:w="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5" w:type="dxa"/>
            <w:gridSpan w:val="3"/>
            <w:tcBorders/>
            <w:shd w:fill="FFFFFF" w:val="clear"/>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20"/>
              </w:rPr>
            </w:pPr>
            <w:r>
              <w:rPr>
                <w:rFonts w:ascii="Times New Roman;serif" w:hAnsi="Times New Roman;serif"/>
                <w:b w:val="false"/>
                <w:color w:val="000000"/>
                <w:sz w:val="20"/>
              </w:rPr>
              <w:t>Form of Deed of Indemnity of Weatherford International Ltd entered into by each director of Weatherford International plc and each of the following executive officers of Weatherford International plc: Scott C. Weatherholt (July 23, 2020), Girish K. Saligram (October 12, 2020), Desmond J. Mills (November 2, 2022), Richard Ward (January 8, 2024) and Anuj Dhruv (April 21,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FFFFFF" w:val="clear"/>
            <w:tcMar>
              <w:top w:w="0" w:type="dxa"/>
              <w:left w:w="0" w:type="dxa"/>
              <w:bottom w:w="0" w:type="dxa"/>
              <w:right w:w="0" w:type="dxa"/>
            </w:tcMar>
            <w:vAlign w:val="center"/>
          </w:tcPr>
          <w:p>
            <w:pPr>
              <w:pStyle w:val="TableContents"/>
              <w:bidi w:val="0"/>
              <w:spacing w:lineRule="auto" w:line="240" w:before="75"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Exhibit 10.12 of the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Company’s Current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Report on Form 8-K12B </w:t>
            </w:r>
          </w:p>
          <w:p>
            <w:pPr>
              <w:pStyle w:val="TableContents"/>
              <w:bidi w:val="0"/>
              <w:spacing w:lineRule="auto" w:line="240" w:before="0" w:after="30"/>
              <w:jc w:val="center"/>
              <w:rPr>
                <w:rFonts w:ascii="Times New Roman;serif" w:hAnsi="Times New Roman;serif"/>
                <w:b w:val="false"/>
                <w:color w:val="000000"/>
                <w:sz w:val="20"/>
              </w:rPr>
            </w:pPr>
            <w:r>
              <w:rPr>
                <w:rFonts w:ascii="Times New Roman;serif" w:hAnsi="Times New Roman;serif"/>
                <w:b w:val="false"/>
                <w:color w:val="000000"/>
                <w:sz w:val="20"/>
              </w:rPr>
              <w:t>filed June 17, 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No. 1-36504</w:t>
            </w:r>
          </w:p>
        </w:tc>
      </w:tr>
      <w:tr>
        <w:trPr/>
        <w:tc>
          <w:tcPr>
            <w:tcW w:w="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5" w:type="dxa"/>
            <w:gridSpan w:val="3"/>
            <w:tcBorders/>
            <w:shd w:fill="CCEEFF" w:val="clear"/>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20"/>
              </w:rPr>
            </w:pPr>
            <w:r>
              <w:rPr>
                <w:rFonts w:ascii="Times New Roman;serif" w:hAnsi="Times New Roman;serif"/>
                <w:b w:val="false"/>
                <w:color w:val="000000"/>
                <w:sz w:val="20"/>
              </w:rPr>
              <w:t>Third Amended and Restated Weatherford International PLC Change in Control Severance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10.1 of the Company’s Current Report on Form 8-K filed on January 23,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No. 1-36504</w:t>
            </w:r>
          </w:p>
        </w:tc>
      </w:tr>
      <w:tr>
        <w:trPr/>
        <w:tc>
          <w:tcPr>
            <w:tcW w:w="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5" w:type="dxa"/>
            <w:gridSpan w:val="3"/>
            <w:tcBorders/>
            <w:shd w:fill="FFFFFF" w:val="clear"/>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20"/>
              </w:rPr>
            </w:pPr>
            <w:r>
              <w:rPr>
                <w:rFonts w:ascii="Times New Roman;serif" w:hAnsi="Times New Roman;serif"/>
                <w:b w:val="false"/>
                <w:color w:val="000000"/>
                <w:sz w:val="20"/>
              </w:rPr>
              <w:t>Amended and Restated Weatherford International plc Executive Severance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10.10 of the Company’s Annual Report on Form 10-K for the year ended December 31, 2022, filed February 8,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No. 1-36504</w:t>
            </w:r>
          </w:p>
        </w:tc>
      </w:tr>
      <w:tr>
        <w:trPr/>
        <w:tc>
          <w:tcPr>
            <w:tcW w:w="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5" w:type="dxa"/>
            <w:gridSpan w:val="3"/>
            <w:tcBorders/>
            <w:shd w:fill="CCEEFF" w:val="clear"/>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20"/>
              </w:rPr>
            </w:pPr>
            <w:r>
              <w:rPr>
                <w:rFonts w:ascii="Times New Roman;serif" w:hAnsi="Times New Roman;serif"/>
                <w:b w:val="false"/>
                <w:color w:val="000000"/>
                <w:sz w:val="20"/>
              </w:rPr>
              <w:t>Amended and Restated Weatherford International plc Nonqualified Deferred Compensation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10.11 of the Company’s Annual Report on Form 10-K for the year ended December 31, 2022, filed February 8,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No. 1-36504</w:t>
            </w:r>
          </w:p>
        </w:tc>
      </w:tr>
      <w:tr>
        <w:trPr/>
        <w:tc>
          <w:tcPr>
            <w:tcW w:w="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5" w:type="dxa"/>
            <w:gridSpan w:val="3"/>
            <w:tcBorders/>
            <w:shd w:fill="FFFFFF" w:val="clear"/>
            <w:tcMar>
              <w:top w:w="0" w:type="dxa"/>
              <w:left w:w="0" w:type="dxa"/>
              <w:bottom w:w="0" w:type="dxa"/>
              <w:right w:w="0" w:type="dxa"/>
            </w:tcMar>
            <w:vAlign w:val="center"/>
          </w:tcPr>
          <w:p>
            <w:pPr>
              <w:pStyle w:val="TableContents"/>
              <w:bidi w:val="0"/>
              <w:spacing w:lineRule="auto" w:line="319" w:before="75" w:after="30"/>
              <w:jc w:val="left"/>
              <w:rPr>
                <w:rFonts w:ascii="Times New Roman;serif" w:hAnsi="Times New Roman;serif"/>
                <w:b w:val="false"/>
                <w:color w:val="000000"/>
                <w:sz w:val="20"/>
              </w:rPr>
            </w:pPr>
            <w:r>
              <w:rPr>
                <w:rFonts w:ascii="Times New Roman;serif" w:hAnsi="Times New Roman;serif"/>
                <w:b w:val="false"/>
                <w:color w:val="000000"/>
                <w:sz w:val="20"/>
              </w:rPr>
              <w:t>Weatherford International plc Third Amended and Restated 2019 Equity Incentive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FFFFFF" w:val="clear"/>
            <w:tcMar>
              <w:top w:w="0" w:type="dxa"/>
              <w:left w:w="0" w:type="dxa"/>
              <w:bottom w:w="0" w:type="dxa"/>
              <w:right w:w="0" w:type="dxa"/>
            </w:tcMar>
            <w:vAlign w:val="center"/>
          </w:tcPr>
          <w:p>
            <w:pPr>
              <w:pStyle w:val="TableContents"/>
              <w:bidi w:val="0"/>
              <w:spacing w:lineRule="auto" w:line="319" w:before="75" w:after="283"/>
              <w:jc w:val="center"/>
              <w:rPr>
                <w:rFonts w:ascii="Times New Roman;serif" w:hAnsi="Times New Roman;serif"/>
                <w:b w:val="false"/>
                <w:color w:val="000000"/>
                <w:sz w:val="20"/>
              </w:rPr>
            </w:pPr>
            <w:r>
              <w:rPr>
                <w:rFonts w:ascii="Times New Roman;serif" w:hAnsi="Times New Roman;serif"/>
                <w:b w:val="false"/>
                <w:color w:val="000000"/>
                <w:sz w:val="20"/>
              </w:rPr>
              <w:t>Exhibit 10.2 of the</w:t>
            </w:r>
          </w:p>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Company’s Current</w:t>
            </w:r>
          </w:p>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Report on Form 8-K filed January 23,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No. 1-36504</w:t>
            </w:r>
          </w:p>
        </w:tc>
      </w:tr>
      <w:tr>
        <w:trPr/>
        <w:tc>
          <w:tcPr>
            <w:tcW w:w="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5" w:type="dxa"/>
            <w:gridSpan w:val="3"/>
            <w:tcBorders/>
            <w:shd w:fill="CCEEFF" w:val="clear"/>
            <w:tcMar>
              <w:top w:w="0" w:type="dxa"/>
              <w:left w:w="0" w:type="dxa"/>
              <w:bottom w:w="0" w:type="dxa"/>
              <w:right w:w="0" w:type="dxa"/>
            </w:tcMar>
            <w:vAlign w:val="center"/>
          </w:tcPr>
          <w:p>
            <w:pPr>
              <w:pStyle w:val="TableContents"/>
              <w:bidi w:val="0"/>
              <w:spacing w:lineRule="auto" w:line="319" w:before="75" w:after="30"/>
              <w:jc w:val="left"/>
              <w:rPr>
                <w:rFonts w:ascii="Times New Roman;serif" w:hAnsi="Times New Roman;serif"/>
                <w:b w:val="false"/>
                <w:color w:val="000000"/>
                <w:sz w:val="20"/>
              </w:rPr>
            </w:pPr>
            <w:r>
              <w:rPr>
                <w:rFonts w:ascii="Times New Roman;serif" w:hAnsi="Times New Roman;serif"/>
                <w:b w:val="false"/>
                <w:color w:val="000000"/>
                <w:sz w:val="20"/>
              </w:rPr>
              <w:t>Weatherford International plc Fourth Amended and Restated 2019 Equity Incentive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CCEEFF" w:val="clear"/>
            <w:tcMar>
              <w:top w:w="0" w:type="dxa"/>
              <w:left w:w="0" w:type="dxa"/>
              <w:bottom w:w="0" w:type="dxa"/>
              <w:right w:w="0" w:type="dxa"/>
            </w:tcMar>
            <w:vAlign w:val="center"/>
          </w:tcPr>
          <w:p>
            <w:pPr>
              <w:pStyle w:val="TableContents"/>
              <w:bidi w:val="0"/>
              <w:spacing w:lineRule="auto" w:line="319" w:before="75" w:after="30"/>
              <w:jc w:val="center"/>
              <w:rPr>
                <w:rFonts w:ascii="Times New Roman;serif" w:hAnsi="Times New Roman;serif"/>
                <w:b w:val="false"/>
                <w:color w:val="000000"/>
                <w:sz w:val="20"/>
              </w:rPr>
            </w:pPr>
            <w:r>
              <w:rPr>
                <w:rFonts w:ascii="Times New Roman;serif" w:hAnsi="Times New Roman;serif"/>
                <w:b w:val="false"/>
                <w:color w:val="000000"/>
                <w:sz w:val="20"/>
              </w:rPr>
              <w:t>Exhibit 10.1 of the Company’s Current Report on Form 8-K filed June 13,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No. 1-36504</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96</w:t>
                      </w:r>
                    </w:p>
                  </w:txbxContent>
                </v:textbox>
                <w10:wrap type="none"/>
              </v:rect>
            </w:pict>
          </mc:Fallback>
        </mc:AlternateContent>
      </w:r>
    </w:p>
    <w:p>
      <w:pPr>
        <w:pStyle w:val="TextBody"/>
        <w:bidi w:val="0"/>
        <w:spacing w:lineRule="auto" w:line="333" w:before="60" w:after="283"/>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31"/>
        <w:gridCol w:w="290"/>
        <w:gridCol w:w="291"/>
        <w:gridCol w:w="109"/>
        <w:gridCol w:w="109"/>
        <w:gridCol w:w="109"/>
        <w:gridCol w:w="1706"/>
        <w:gridCol w:w="1553"/>
        <w:gridCol w:w="1570"/>
        <w:gridCol w:w="109"/>
        <w:gridCol w:w="109"/>
        <w:gridCol w:w="109"/>
        <w:gridCol w:w="843"/>
        <w:gridCol w:w="843"/>
        <w:gridCol w:w="846"/>
        <w:gridCol w:w="109"/>
        <w:gridCol w:w="109"/>
        <w:gridCol w:w="109"/>
        <w:gridCol w:w="276"/>
        <w:gridCol w:w="276"/>
        <w:gridCol w:w="399"/>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9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Original Filed Exhibit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 Number</w:t>
            </w:r>
          </w:p>
        </w:tc>
      </w:tr>
      <w:tr>
        <w:trPr/>
        <w:tc>
          <w:tcPr>
            <w:tcW w:w="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shd w:fill="FFFFFF" w:val="clear"/>
            <w:tcMar>
              <w:top w:w="0" w:type="dxa"/>
              <w:left w:w="0" w:type="dxa"/>
              <w:bottom w:w="0" w:type="dxa"/>
              <w:right w:w="0" w:type="dxa"/>
            </w:tcMar>
            <w:vAlign w:val="center"/>
          </w:tcPr>
          <w:p>
            <w:pPr>
              <w:pStyle w:val="TableContents"/>
              <w:bidi w:val="0"/>
              <w:spacing w:lineRule="auto" w:line="319" w:before="75" w:after="30"/>
              <w:jc w:val="left"/>
              <w:rPr>
                <w:rFonts w:ascii="Times New Roman;serif" w:hAnsi="Times New Roman;serif"/>
                <w:b w:val="false"/>
                <w:color w:val="000000"/>
                <w:sz w:val="20"/>
              </w:rPr>
            </w:pPr>
            <w:r>
              <w:rPr>
                <w:rFonts w:ascii="Times New Roman;serif" w:hAnsi="Times New Roman;serif"/>
                <w:b w:val="false"/>
                <w:color w:val="000000"/>
                <w:sz w:val="20"/>
              </w:rPr>
              <w:t>Second Amended and Restated Weatherford International plc Short-Term Incentive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10.4 of the Company’s Quarterly Report for the period ending June 30, 2024 filed July 24,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No. 1-36504</w:t>
            </w:r>
          </w:p>
        </w:tc>
      </w:tr>
      <w:tr>
        <w:trPr/>
        <w:tc>
          <w:tcPr>
            <w:tcW w:w="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shd w:fill="CCEEFF" w:val="clear"/>
            <w:tcMar>
              <w:top w:w="0" w:type="dxa"/>
              <w:left w:w="0" w:type="dxa"/>
              <w:bottom w:w="0" w:type="dxa"/>
              <w:right w:w="0" w:type="dxa"/>
            </w:tcMar>
            <w:vAlign w:val="center"/>
          </w:tcPr>
          <w:p>
            <w:pPr>
              <w:pStyle w:val="TableContents"/>
              <w:bidi w:val="0"/>
              <w:spacing w:lineRule="auto" w:line="319" w:before="75" w:after="30"/>
              <w:jc w:val="left"/>
              <w:rPr>
                <w:rFonts w:ascii="Times New Roman;serif" w:hAnsi="Times New Roman;serif"/>
                <w:b w:val="false"/>
                <w:color w:val="000000"/>
                <w:sz w:val="20"/>
              </w:rPr>
            </w:pPr>
            <w:r>
              <w:rPr>
                <w:rFonts w:ascii="Times New Roman;serif" w:hAnsi="Times New Roman;serif"/>
                <w:b w:val="false"/>
                <w:color w:val="000000"/>
                <w:sz w:val="20"/>
              </w:rPr>
              <w:t>Form of Executive Officer Restricted Share Unit Award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shd w:fill="CCEEFF" w:val="clear"/>
            <w:tcMar>
              <w:top w:w="0" w:type="dxa"/>
              <w:left w:w="0" w:type="dxa"/>
              <w:bottom w:w="0" w:type="dxa"/>
              <w:right w:w="0" w:type="dxa"/>
            </w:tcMar>
            <w:vAlign w:val="center"/>
          </w:tcPr>
          <w:p>
            <w:pPr>
              <w:pStyle w:val="TableContents"/>
              <w:bidi w:val="0"/>
              <w:spacing w:lineRule="auto" w:line="312" w:before="75" w:after="30"/>
              <w:jc w:val="center"/>
              <w:rPr>
                <w:rFonts w:ascii="Times New Roman;serif" w:hAnsi="Times New Roman;serif"/>
                <w:b w:val="false"/>
                <w:color w:val="000000"/>
                <w:sz w:val="20"/>
              </w:rPr>
            </w:pPr>
            <w:r>
              <w:rPr>
                <w:rFonts w:ascii="Times New Roman;serif" w:hAnsi="Times New Roman;serif"/>
                <w:b w:val="false"/>
                <w:color w:val="000000"/>
                <w:sz w:val="20"/>
              </w:rPr>
              <w:t>Exhibit 10.1 of the Company’s Current Report on Form 8-K filed January 20,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No. 1-36504</w:t>
            </w:r>
          </w:p>
        </w:tc>
      </w:tr>
      <w:tr>
        <w:trPr/>
        <w:tc>
          <w:tcPr>
            <w:tcW w:w="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shd w:fill="FFFFFF" w:val="clear"/>
            <w:tcMar>
              <w:top w:w="0" w:type="dxa"/>
              <w:left w:w="0" w:type="dxa"/>
              <w:bottom w:w="0" w:type="dxa"/>
              <w:right w:w="0" w:type="dxa"/>
            </w:tcMar>
            <w:vAlign w:val="center"/>
          </w:tcPr>
          <w:p>
            <w:pPr>
              <w:pStyle w:val="TableContents"/>
              <w:bidi w:val="0"/>
              <w:spacing w:lineRule="auto" w:line="319" w:before="75" w:after="30"/>
              <w:jc w:val="left"/>
              <w:rPr>
                <w:rFonts w:ascii="Times New Roman;serif" w:hAnsi="Times New Roman;serif"/>
                <w:b w:val="false"/>
                <w:color w:val="000000"/>
                <w:sz w:val="20"/>
              </w:rPr>
            </w:pPr>
            <w:r>
              <w:rPr>
                <w:rFonts w:ascii="Times New Roman;serif" w:hAnsi="Times New Roman;serif"/>
                <w:b w:val="false"/>
                <w:color w:val="000000"/>
                <w:sz w:val="20"/>
              </w:rPr>
              <w:t>Form of Executive Officer Restricted Share Unit Award Agreement adopted January 18,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shd w:fill="FFFFFF" w:val="clear"/>
            <w:tcMar>
              <w:top w:w="0" w:type="dxa"/>
              <w:left w:w="0" w:type="dxa"/>
              <w:bottom w:w="0" w:type="dxa"/>
              <w:right w:w="0" w:type="dxa"/>
            </w:tcMar>
            <w:vAlign w:val="center"/>
          </w:tcPr>
          <w:p>
            <w:pPr>
              <w:pStyle w:val="TableContents"/>
              <w:bidi w:val="0"/>
              <w:spacing w:lineRule="auto" w:line="319" w:before="75" w:after="30"/>
              <w:jc w:val="center"/>
              <w:rPr>
                <w:rFonts w:ascii="Times New Roman;serif" w:hAnsi="Times New Roman;serif"/>
                <w:b w:val="false"/>
                <w:color w:val="000000"/>
                <w:sz w:val="20"/>
              </w:rPr>
            </w:pPr>
            <w:r>
              <w:rPr>
                <w:rFonts w:ascii="Times New Roman;serif" w:hAnsi="Times New Roman;serif"/>
                <w:b w:val="false"/>
                <w:color w:val="000000"/>
                <w:sz w:val="20"/>
              </w:rPr>
              <w:t>Exhibit 10.3 of the Company’s Current Report on Form 8-K filed January 23,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No. 1-36504</w:t>
            </w:r>
          </w:p>
        </w:tc>
      </w:tr>
      <w:tr>
        <w:trPr/>
        <w:tc>
          <w:tcPr>
            <w:tcW w:w="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shd w:fill="CCEEFF" w:val="clear"/>
            <w:tcMar>
              <w:top w:w="0" w:type="dxa"/>
              <w:left w:w="0" w:type="dxa"/>
              <w:bottom w:w="0" w:type="dxa"/>
              <w:right w:w="0" w:type="dxa"/>
            </w:tcMar>
            <w:vAlign w:val="center"/>
          </w:tcPr>
          <w:p>
            <w:pPr>
              <w:pStyle w:val="TableContents"/>
              <w:bidi w:val="0"/>
              <w:spacing w:lineRule="auto" w:line="319" w:before="75" w:after="30"/>
              <w:jc w:val="left"/>
              <w:rPr>
                <w:rFonts w:ascii="Times New Roman;serif" w:hAnsi="Times New Roman;serif"/>
                <w:b w:val="false"/>
                <w:color w:val="000000"/>
                <w:sz w:val="20"/>
              </w:rPr>
            </w:pPr>
            <w:r>
              <w:rPr>
                <w:rFonts w:ascii="Times New Roman;serif" w:hAnsi="Times New Roman;serif"/>
                <w:b w:val="false"/>
                <w:color w:val="000000"/>
                <w:sz w:val="20"/>
              </w:rPr>
              <w:t>Form of Executive Officer Performance Share Unit Award Agreement adopted January 18,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shd w:fill="CCEEFF" w:val="clear"/>
            <w:tcMar>
              <w:top w:w="0" w:type="dxa"/>
              <w:left w:w="0" w:type="dxa"/>
              <w:bottom w:w="0" w:type="dxa"/>
              <w:right w:w="0" w:type="dxa"/>
            </w:tcMar>
            <w:vAlign w:val="center"/>
          </w:tcPr>
          <w:p>
            <w:pPr>
              <w:pStyle w:val="TableContents"/>
              <w:bidi w:val="0"/>
              <w:spacing w:lineRule="auto" w:line="319" w:before="75" w:after="30"/>
              <w:jc w:val="center"/>
              <w:rPr>
                <w:rFonts w:ascii="Times New Roman;serif" w:hAnsi="Times New Roman;serif"/>
                <w:b w:val="false"/>
                <w:color w:val="000000"/>
                <w:sz w:val="20"/>
              </w:rPr>
            </w:pPr>
            <w:r>
              <w:rPr>
                <w:rFonts w:ascii="Times New Roman;serif" w:hAnsi="Times New Roman;serif"/>
                <w:b w:val="false"/>
                <w:color w:val="000000"/>
                <w:sz w:val="20"/>
              </w:rPr>
              <w:t>Exhibit 10.4 of the Company’s Current Report on Form 8-K filed January 23,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No. 1-36504</w:t>
            </w:r>
          </w:p>
        </w:tc>
      </w:tr>
      <w:tr>
        <w:trPr/>
        <w:tc>
          <w:tcPr>
            <w:tcW w:w="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shd w:fill="FFFFFF" w:val="clear"/>
            <w:tcMar>
              <w:top w:w="0" w:type="dxa"/>
              <w:left w:w="0" w:type="dxa"/>
              <w:bottom w:w="0" w:type="dxa"/>
              <w:right w:w="0" w:type="dxa"/>
            </w:tcMar>
            <w:vAlign w:val="center"/>
          </w:tcPr>
          <w:p>
            <w:pPr>
              <w:pStyle w:val="TableContents"/>
              <w:bidi w:val="0"/>
              <w:spacing w:lineRule="auto" w:line="319" w:before="75" w:after="30"/>
              <w:jc w:val="left"/>
              <w:rPr>
                <w:rFonts w:ascii="Times New Roman;serif" w:hAnsi="Times New Roman;serif"/>
                <w:b w:val="false"/>
                <w:color w:val="000000"/>
                <w:sz w:val="20"/>
              </w:rPr>
            </w:pPr>
            <w:r>
              <w:rPr>
                <w:rFonts w:ascii="Times New Roman;serif" w:hAnsi="Times New Roman;serif"/>
                <w:b w:val="false"/>
                <w:color w:val="000000"/>
                <w:sz w:val="20"/>
              </w:rPr>
              <w:t xml:space="preserve">Form of Executive Officer Restricted Share Unit Award Agreement adopted January 18, 2024 and amended July 23, 2024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10.1 of the Company’s Quarterly Report for the period ending September 30, 2024 filed October 23,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No. 1-36504</w:t>
            </w:r>
          </w:p>
        </w:tc>
      </w:tr>
      <w:tr>
        <w:trPr/>
        <w:tc>
          <w:tcPr>
            <w:tcW w:w="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shd w:fill="CCEEFF" w:val="clear"/>
            <w:tcMar>
              <w:top w:w="0" w:type="dxa"/>
              <w:left w:w="0" w:type="dxa"/>
              <w:bottom w:w="0" w:type="dxa"/>
              <w:right w:w="0" w:type="dxa"/>
            </w:tcMar>
            <w:vAlign w:val="center"/>
          </w:tcPr>
          <w:p>
            <w:pPr>
              <w:pStyle w:val="TableContents"/>
              <w:bidi w:val="0"/>
              <w:spacing w:lineRule="auto" w:line="319" w:before="75" w:after="30"/>
              <w:jc w:val="left"/>
              <w:rPr>
                <w:rFonts w:ascii="Times New Roman;serif" w:hAnsi="Times New Roman;serif"/>
                <w:b w:val="false"/>
                <w:color w:val="000000"/>
                <w:sz w:val="20"/>
              </w:rPr>
            </w:pPr>
            <w:r>
              <w:rPr>
                <w:rFonts w:ascii="Times New Roman;serif" w:hAnsi="Times New Roman;serif"/>
                <w:b w:val="false"/>
                <w:color w:val="000000"/>
                <w:sz w:val="20"/>
              </w:rPr>
              <w:t xml:space="preserve">Form of Executive Officer Performance Share Unit Award Agreement adopted January 18, 2024 and amended July 23, 2024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10.2 of the Company’s Quarterly Report for the period ending September 30, 2024 filed October 23,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No. 1-36504</w:t>
            </w:r>
          </w:p>
        </w:tc>
      </w:tr>
      <w:tr>
        <w:trPr/>
        <w:tc>
          <w:tcPr>
            <w:tcW w:w="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shd w:fill="FFFFFF" w:val="clear"/>
            <w:tcMar>
              <w:top w:w="0" w:type="dxa"/>
              <w:left w:w="0" w:type="dxa"/>
              <w:bottom w:w="0" w:type="dxa"/>
              <w:right w:w="0" w:type="dxa"/>
            </w:tcMar>
            <w:vAlign w:val="center"/>
          </w:tcPr>
          <w:p>
            <w:pPr>
              <w:pStyle w:val="TableContents"/>
              <w:bidi w:val="0"/>
              <w:spacing w:lineRule="auto" w:line="319" w:before="75" w:after="30"/>
              <w:jc w:val="left"/>
              <w:rPr>
                <w:rFonts w:ascii="Times New Roman;serif" w:hAnsi="Times New Roman;serif"/>
                <w:b w:val="false"/>
                <w:color w:val="000000"/>
                <w:sz w:val="20"/>
              </w:rPr>
            </w:pPr>
            <w:r>
              <w:rPr>
                <w:rFonts w:ascii="Times New Roman;serif" w:hAnsi="Times New Roman;serif"/>
                <w:b w:val="false"/>
                <w:color w:val="000000"/>
                <w:sz w:val="20"/>
              </w:rPr>
              <w:t xml:space="preserve">Form of Non-Executive Director Restricted Share Unit Award Agreement adopted January 18, 2024 and amended July 23, 2024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10.7 of the Company’s Quarterly Report for the period ending June 30, 2024 filed July 24,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No. 1-36504</w:t>
            </w:r>
          </w:p>
        </w:tc>
      </w:tr>
      <w:tr>
        <w:trPr/>
        <w:tc>
          <w:tcPr>
            <w:tcW w:w="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shd w:fill="CCEEFF" w:val="clear"/>
            <w:tcMar>
              <w:top w:w="0" w:type="dxa"/>
              <w:left w:w="0" w:type="dxa"/>
              <w:bottom w:w="0" w:type="dxa"/>
              <w:right w:w="0" w:type="dxa"/>
            </w:tcMar>
            <w:vAlign w:val="center"/>
          </w:tcPr>
          <w:p>
            <w:pPr>
              <w:pStyle w:val="TableContents"/>
              <w:bidi w:val="0"/>
              <w:spacing w:lineRule="auto" w:line="319" w:before="75" w:after="30"/>
              <w:jc w:val="left"/>
              <w:rPr>
                <w:rFonts w:ascii="Times New Roman;serif" w:hAnsi="Times New Roman;serif"/>
                <w:b w:val="false"/>
                <w:color w:val="000000"/>
                <w:sz w:val="20"/>
              </w:rPr>
            </w:pPr>
            <w:r>
              <w:rPr>
                <w:rFonts w:ascii="Times New Roman;serif" w:hAnsi="Times New Roman;serif"/>
                <w:b w:val="false"/>
                <w:color w:val="000000"/>
                <w:sz w:val="20"/>
              </w:rPr>
              <w:t>Form of Executive Officer Restricted Share Unit Award Agreement adopted March 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10.1 of the Company’s Quarterly Report for the period ending March 31, 2025 filed April 23,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No. 1-36504</w:t>
            </w:r>
          </w:p>
        </w:tc>
      </w:tr>
      <w:tr>
        <w:trPr/>
        <w:tc>
          <w:tcPr>
            <w:tcW w:w="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shd w:fill="FFFFFF" w:val="clear"/>
            <w:tcMar>
              <w:top w:w="0" w:type="dxa"/>
              <w:left w:w="0" w:type="dxa"/>
              <w:bottom w:w="0" w:type="dxa"/>
              <w:right w:w="0" w:type="dxa"/>
            </w:tcMar>
            <w:vAlign w:val="center"/>
          </w:tcPr>
          <w:p>
            <w:pPr>
              <w:pStyle w:val="TableContents"/>
              <w:bidi w:val="0"/>
              <w:spacing w:lineRule="auto" w:line="319" w:before="75" w:after="30"/>
              <w:jc w:val="left"/>
              <w:rPr>
                <w:rFonts w:ascii="Times New Roman;serif" w:hAnsi="Times New Roman;serif"/>
                <w:b w:val="false"/>
                <w:color w:val="000000"/>
                <w:sz w:val="20"/>
              </w:rPr>
            </w:pPr>
            <w:r>
              <w:rPr>
                <w:rFonts w:ascii="Times New Roman;serif" w:hAnsi="Times New Roman;serif"/>
                <w:b w:val="false"/>
                <w:color w:val="000000"/>
                <w:sz w:val="20"/>
              </w:rPr>
              <w:t>Amended and Restated Credit Agreement, dated October 17, 2022, by and among Weatherford International Ltd., Weatherford International, LLC, Weatherford International plc, Wells Fargo Bank, National Association, as administrative agent, and the lenders party thereto from time to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shd w:fill="FFFFFF" w:val="clear"/>
            <w:tcMar>
              <w:top w:w="0" w:type="dxa"/>
              <w:left w:w="0" w:type="dxa"/>
              <w:bottom w:w="0" w:type="dxa"/>
              <w:right w:w="0" w:type="dxa"/>
            </w:tcMar>
            <w:vAlign w:val="center"/>
          </w:tcPr>
          <w:p>
            <w:pPr>
              <w:pStyle w:val="TableContents"/>
              <w:bidi w:val="0"/>
              <w:spacing w:lineRule="auto" w:line="319" w:before="75" w:after="30"/>
              <w:jc w:val="center"/>
              <w:rPr>
                <w:rFonts w:ascii="Times New Roman;serif" w:hAnsi="Times New Roman;serif"/>
                <w:b w:val="false"/>
                <w:color w:val="000000"/>
                <w:sz w:val="20"/>
              </w:rPr>
            </w:pPr>
            <w:r>
              <w:rPr>
                <w:rFonts w:ascii="Times New Roman;serif" w:hAnsi="Times New Roman;serif"/>
                <w:b w:val="false"/>
                <w:color w:val="000000"/>
                <w:sz w:val="20"/>
              </w:rPr>
              <w:t>Exhibit 10.1 of the Company’s Current Report on Form 8-K filed on October 18,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No. 1-36504</w:t>
            </w:r>
          </w:p>
        </w:tc>
      </w:tr>
      <w:tr>
        <w:trPr/>
        <w:tc>
          <w:tcPr>
            <w:tcW w:w="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shd w:fill="CCEEFF" w:val="clear"/>
            <w:tcMar>
              <w:top w:w="0" w:type="dxa"/>
              <w:left w:w="0" w:type="dxa"/>
              <w:bottom w:w="0" w:type="dxa"/>
              <w:right w:w="0" w:type="dxa"/>
            </w:tcMar>
            <w:vAlign w:val="center"/>
          </w:tcPr>
          <w:p>
            <w:pPr>
              <w:pStyle w:val="TableContents"/>
              <w:bidi w:val="0"/>
              <w:spacing w:lineRule="auto" w:line="319" w:before="75" w:after="30"/>
              <w:jc w:val="left"/>
              <w:rPr>
                <w:rFonts w:ascii="Times New Roman;serif" w:hAnsi="Times New Roman;serif"/>
                <w:b w:val="false"/>
                <w:color w:val="000000"/>
                <w:sz w:val="20"/>
              </w:rPr>
            </w:pPr>
            <w:r>
              <w:rPr>
                <w:rFonts w:ascii="Times New Roman;serif" w:hAnsi="Times New Roman;serif"/>
                <w:b w:val="false"/>
                <w:color w:val="000000"/>
                <w:sz w:val="20"/>
              </w:rPr>
              <w:t>First Amendment to Amended and Restated Credit Agreement, dated as of November 22, 2022, by and among Weatherford International Ltd., Weatherford International, LLC, Weatherford Canada Ltd., Weatherford International plc and Wells Fargo Bank, National Association, as administrative agent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shd w:fill="CCEEFF" w:val="clear"/>
            <w:tcMar>
              <w:top w:w="0" w:type="dxa"/>
              <w:left w:w="0" w:type="dxa"/>
              <w:bottom w:w="0" w:type="dxa"/>
              <w:right w:w="0" w:type="dxa"/>
            </w:tcMar>
            <w:vAlign w:val="center"/>
          </w:tcPr>
          <w:p>
            <w:pPr>
              <w:pStyle w:val="TableContents"/>
              <w:bidi w:val="0"/>
              <w:spacing w:lineRule="auto" w:line="319" w:before="75" w:after="30"/>
              <w:jc w:val="center"/>
              <w:rPr>
                <w:rFonts w:ascii="Times New Roman;serif" w:hAnsi="Times New Roman;serif"/>
                <w:b w:val="false"/>
                <w:color w:val="000000"/>
                <w:sz w:val="20"/>
              </w:rPr>
            </w:pPr>
            <w:r>
              <w:rPr>
                <w:rFonts w:ascii="Times New Roman;serif" w:hAnsi="Times New Roman;serif"/>
                <w:b w:val="false"/>
                <w:color w:val="000000"/>
                <w:sz w:val="20"/>
              </w:rPr>
              <w:t>Exhibit 10.1 of the Company’s Current Report on Form 8-K filed on November 28,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No. 1-36504</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97</w:t>
                      </w:r>
                    </w:p>
                  </w:txbxContent>
                </v:textbox>
                <w10:wrap type="none"/>
              </v:rect>
            </w:pict>
          </mc:Fallback>
        </mc:AlternateContent>
      </w:r>
    </w:p>
    <w:p>
      <w:pPr>
        <w:pStyle w:val="TextBody"/>
        <w:bidi w:val="0"/>
        <w:spacing w:lineRule="auto" w:line="333" w:before="60" w:after="283"/>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17"/>
        <w:gridCol w:w="278"/>
        <w:gridCol w:w="279"/>
        <w:gridCol w:w="109"/>
        <w:gridCol w:w="109"/>
        <w:gridCol w:w="109"/>
        <w:gridCol w:w="1750"/>
        <w:gridCol w:w="1750"/>
        <w:gridCol w:w="1766"/>
        <w:gridCol w:w="109"/>
        <w:gridCol w:w="109"/>
        <w:gridCol w:w="109"/>
        <w:gridCol w:w="723"/>
        <w:gridCol w:w="723"/>
        <w:gridCol w:w="725"/>
        <w:gridCol w:w="109"/>
        <w:gridCol w:w="109"/>
        <w:gridCol w:w="109"/>
        <w:gridCol w:w="265"/>
        <w:gridCol w:w="265"/>
        <w:gridCol w:w="383"/>
      </w:tblGrid>
      <w:tr>
        <w:trPr/>
        <w:tc>
          <w:tcPr>
            <w:tcW w:w="31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8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Original Filed Exhibit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 Number</w:t>
            </w:r>
          </w:p>
        </w:tc>
      </w:tr>
      <w:tr>
        <w:trPr/>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gridSpan w:val="3"/>
            <w:tcBorders/>
            <w:shd w:fill="FFFFFF" w:val="clear"/>
            <w:tcMar>
              <w:top w:w="0" w:type="dxa"/>
              <w:left w:w="0" w:type="dxa"/>
              <w:bottom w:w="0" w:type="dxa"/>
              <w:right w:w="0" w:type="dxa"/>
            </w:tcMar>
            <w:vAlign w:val="center"/>
          </w:tcPr>
          <w:p>
            <w:pPr>
              <w:pStyle w:val="TableContents"/>
              <w:bidi w:val="0"/>
              <w:spacing w:lineRule="auto" w:line="319" w:before="75" w:after="30"/>
              <w:jc w:val="left"/>
              <w:rPr>
                <w:rFonts w:ascii="Times New Roman;serif" w:hAnsi="Times New Roman;serif"/>
                <w:b w:val="false"/>
                <w:color w:val="000000"/>
                <w:sz w:val="20"/>
              </w:rPr>
            </w:pPr>
            <w:r>
              <w:rPr>
                <w:rFonts w:ascii="Times New Roman;serif" w:hAnsi="Times New Roman;serif"/>
                <w:b w:val="false"/>
                <w:color w:val="000000"/>
                <w:sz w:val="20"/>
              </w:rPr>
              <w:t>Additional Lender Supplement, dated as of November 22, 2022, by and among Weatherford International Ltd., Weatherford International, LLC, Weatherford International plc, ATB Financial and Wells Fargo Bank, National Association, as administrative agent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FFFFFF" w:val="clear"/>
            <w:tcMar>
              <w:top w:w="0" w:type="dxa"/>
              <w:left w:w="0" w:type="dxa"/>
              <w:bottom w:w="0" w:type="dxa"/>
              <w:right w:w="0" w:type="dxa"/>
            </w:tcMar>
            <w:vAlign w:val="center"/>
          </w:tcPr>
          <w:p>
            <w:pPr>
              <w:pStyle w:val="TableContents"/>
              <w:bidi w:val="0"/>
              <w:spacing w:lineRule="auto" w:line="319" w:before="75" w:after="30"/>
              <w:jc w:val="center"/>
              <w:rPr>
                <w:rFonts w:ascii="Times New Roman;serif" w:hAnsi="Times New Roman;serif"/>
                <w:b w:val="false"/>
                <w:color w:val="000000"/>
                <w:sz w:val="20"/>
              </w:rPr>
            </w:pPr>
            <w:r>
              <w:rPr>
                <w:rFonts w:ascii="Times New Roman;serif" w:hAnsi="Times New Roman;serif"/>
                <w:b w:val="false"/>
                <w:color w:val="000000"/>
                <w:sz w:val="20"/>
              </w:rPr>
              <w:t>Exhibit 10.2 of the Company’s Current Report on Form 8-K filed on November 28,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No. 1-36504</w:t>
            </w:r>
          </w:p>
        </w:tc>
      </w:tr>
      <w:tr>
        <w:trPr/>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gridSpan w:val="3"/>
            <w:tcBorders/>
            <w:shd w:fill="CCEEFF" w:val="clear"/>
            <w:tcMar>
              <w:top w:w="0" w:type="dxa"/>
              <w:left w:w="0" w:type="dxa"/>
              <w:bottom w:w="0" w:type="dxa"/>
              <w:right w:w="0" w:type="dxa"/>
            </w:tcMar>
            <w:vAlign w:val="center"/>
          </w:tcPr>
          <w:p>
            <w:pPr>
              <w:pStyle w:val="TableContents"/>
              <w:bidi w:val="0"/>
              <w:spacing w:lineRule="auto" w:line="319" w:before="75" w:after="30"/>
              <w:jc w:val="left"/>
              <w:rPr>
                <w:rFonts w:ascii="Times New Roman;serif" w:hAnsi="Times New Roman;serif"/>
                <w:b w:val="false"/>
                <w:color w:val="000000"/>
                <w:sz w:val="20"/>
              </w:rPr>
            </w:pPr>
            <w:r>
              <w:rPr>
                <w:rFonts w:ascii="Times New Roman;serif" w:hAnsi="Times New Roman;serif"/>
                <w:b w:val="false"/>
                <w:color w:val="000000"/>
                <w:sz w:val="20"/>
              </w:rPr>
              <w:t>Canadian Borrower Joinder, dated as of November 22, 2022, by Weatherford Canada Ltd. and delivered to Wells Fargo Bank, National Association, as administrative agent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CCEEFF" w:val="clear"/>
            <w:tcMar>
              <w:top w:w="0" w:type="dxa"/>
              <w:left w:w="0" w:type="dxa"/>
              <w:bottom w:w="0" w:type="dxa"/>
              <w:right w:w="0" w:type="dxa"/>
            </w:tcMar>
            <w:vAlign w:val="center"/>
          </w:tcPr>
          <w:p>
            <w:pPr>
              <w:pStyle w:val="TableContents"/>
              <w:bidi w:val="0"/>
              <w:spacing w:lineRule="auto" w:line="319" w:before="75" w:after="30"/>
              <w:jc w:val="center"/>
              <w:rPr>
                <w:rFonts w:ascii="Times New Roman;serif" w:hAnsi="Times New Roman;serif"/>
                <w:b w:val="false"/>
                <w:color w:val="000000"/>
                <w:sz w:val="20"/>
              </w:rPr>
            </w:pPr>
            <w:r>
              <w:rPr>
                <w:rFonts w:ascii="Times New Roman;serif" w:hAnsi="Times New Roman;serif"/>
                <w:b w:val="false"/>
                <w:color w:val="000000"/>
                <w:sz w:val="20"/>
              </w:rPr>
              <w:t>Exhibit 10.3 of the Company’s Current Report on Form 8-K filed on November 28,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No. 1-36504</w:t>
            </w:r>
          </w:p>
        </w:tc>
      </w:tr>
      <w:tr>
        <w:trPr/>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gridSpan w:val="3"/>
            <w:tcBorders/>
            <w:shd w:fill="FFFFFF" w:val="clear"/>
            <w:tcMar>
              <w:top w:w="0" w:type="dxa"/>
              <w:left w:w="0" w:type="dxa"/>
              <w:bottom w:w="0" w:type="dxa"/>
              <w:right w:w="0" w:type="dxa"/>
            </w:tcMar>
            <w:vAlign w:val="center"/>
          </w:tcPr>
          <w:p>
            <w:pPr>
              <w:pStyle w:val="TableContents"/>
              <w:bidi w:val="0"/>
              <w:spacing w:lineRule="auto" w:line="319" w:before="75" w:after="30"/>
              <w:jc w:val="left"/>
              <w:rPr>
                <w:rFonts w:ascii="Times New Roman;serif" w:hAnsi="Times New Roman;serif"/>
                <w:b w:val="false"/>
                <w:color w:val="000000"/>
                <w:sz w:val="20"/>
              </w:rPr>
            </w:pPr>
            <w:r>
              <w:rPr>
                <w:rFonts w:ascii="Times New Roman;serif" w:hAnsi="Times New Roman;serif"/>
                <w:b w:val="false"/>
                <w:color w:val="000000"/>
                <w:sz w:val="20"/>
              </w:rPr>
              <w:t>Second Amendment to Amended and Restated Credit Agreement, dated as of January 6, 2023 by and among Weatherford International Ltd., Weatherford International, LLC, Weatherford Canada Ltd., and Wells Fargo Bank, National Association, as administrative agent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FFFFFF" w:val="clear"/>
            <w:tcMar>
              <w:top w:w="0" w:type="dxa"/>
              <w:left w:w="0" w:type="dxa"/>
              <w:bottom w:w="0" w:type="dxa"/>
              <w:right w:w="0" w:type="dxa"/>
            </w:tcMar>
            <w:vAlign w:val="center"/>
          </w:tcPr>
          <w:p>
            <w:pPr>
              <w:pStyle w:val="TableContents"/>
              <w:bidi w:val="0"/>
              <w:spacing w:lineRule="auto" w:line="319" w:before="75" w:after="30"/>
              <w:jc w:val="center"/>
              <w:rPr>
                <w:rFonts w:ascii="Times New Roman;serif" w:hAnsi="Times New Roman;serif"/>
                <w:b w:val="false"/>
                <w:color w:val="000000"/>
                <w:sz w:val="20"/>
              </w:rPr>
            </w:pPr>
            <w:r>
              <w:rPr>
                <w:rFonts w:ascii="Times New Roman;serif" w:hAnsi="Times New Roman;serif"/>
                <w:b w:val="false"/>
                <w:color w:val="000000"/>
                <w:sz w:val="20"/>
              </w:rPr>
              <w:t>Exhibit 10.44 of the Company’s Annual Report on Form 10-K for the year ended December 31, 2022, filed February 8,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No. 1-36504</w:t>
            </w:r>
          </w:p>
        </w:tc>
      </w:tr>
      <w:tr>
        <w:trPr/>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gridSpan w:val="3"/>
            <w:tcBorders/>
            <w:shd w:fill="CCEEFF" w:val="clear"/>
            <w:tcMar>
              <w:top w:w="0" w:type="dxa"/>
              <w:left w:w="0" w:type="dxa"/>
              <w:bottom w:w="0" w:type="dxa"/>
              <w:right w:w="0" w:type="dxa"/>
            </w:tcMar>
            <w:vAlign w:val="center"/>
          </w:tcPr>
          <w:p>
            <w:pPr>
              <w:pStyle w:val="TableContents"/>
              <w:bidi w:val="0"/>
              <w:spacing w:lineRule="auto" w:line="319" w:before="75" w:after="30"/>
              <w:jc w:val="left"/>
              <w:rPr>
                <w:rFonts w:ascii="Times New Roman;serif" w:hAnsi="Times New Roman;serif"/>
                <w:b w:val="false"/>
                <w:color w:val="000000"/>
                <w:sz w:val="20"/>
              </w:rPr>
            </w:pPr>
            <w:r>
              <w:rPr>
                <w:rFonts w:ascii="Times New Roman;serif" w:hAnsi="Times New Roman;serif"/>
                <w:b w:val="false"/>
                <w:color w:val="000000"/>
                <w:sz w:val="20"/>
              </w:rPr>
              <w:t>Third Amendment to Amended and Restated Credit Agreement, dated as of March 24, 2023, by and among Weatherford International Ltd., Weatherford International, LLC, Weatherford Canada Ltd., Weatherford International plc and Wells Fargo Bank, National Association, as administrative agent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CCEEFF" w:val="clear"/>
            <w:tcMar>
              <w:top w:w="0" w:type="dxa"/>
              <w:left w:w="0" w:type="dxa"/>
              <w:bottom w:w="0" w:type="dxa"/>
              <w:right w:w="0" w:type="dxa"/>
            </w:tcMar>
            <w:vAlign w:val="center"/>
          </w:tcPr>
          <w:p>
            <w:pPr>
              <w:pStyle w:val="TableContents"/>
              <w:bidi w:val="0"/>
              <w:spacing w:lineRule="auto" w:line="319" w:before="75" w:after="30"/>
              <w:jc w:val="center"/>
              <w:rPr>
                <w:rFonts w:ascii="Times New Roman;serif" w:hAnsi="Times New Roman;serif"/>
                <w:b w:val="false"/>
                <w:color w:val="000000"/>
                <w:sz w:val="20"/>
              </w:rPr>
            </w:pPr>
            <w:r>
              <w:rPr>
                <w:rFonts w:ascii="Times New Roman;serif" w:hAnsi="Times New Roman;serif"/>
                <w:b w:val="false"/>
                <w:color w:val="000000"/>
                <w:sz w:val="20"/>
              </w:rPr>
              <w:t>Exhibit 10.1 of the Company’s Current Report on Form 8-K filed March 24,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No. 1-36504</w:t>
            </w:r>
          </w:p>
        </w:tc>
      </w:tr>
      <w:tr>
        <w:trPr/>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gridSpan w:val="3"/>
            <w:tcBorders/>
            <w:shd w:fill="FFFFFF" w:val="clear"/>
            <w:tcMar>
              <w:top w:w="0" w:type="dxa"/>
              <w:left w:w="0" w:type="dxa"/>
              <w:bottom w:w="0" w:type="dxa"/>
              <w:right w:w="0" w:type="dxa"/>
            </w:tcMar>
            <w:vAlign w:val="center"/>
          </w:tcPr>
          <w:p>
            <w:pPr>
              <w:pStyle w:val="TableContents"/>
              <w:bidi w:val="0"/>
              <w:spacing w:lineRule="auto" w:line="319" w:before="75" w:after="30"/>
              <w:jc w:val="left"/>
              <w:rPr>
                <w:rFonts w:ascii="Times New Roman;serif" w:hAnsi="Times New Roman;serif"/>
                <w:b w:val="false"/>
                <w:color w:val="000000"/>
                <w:sz w:val="20"/>
              </w:rPr>
            </w:pPr>
            <w:r>
              <w:rPr>
                <w:rFonts w:ascii="Times New Roman;serif" w:hAnsi="Times New Roman;serif"/>
                <w:b w:val="false"/>
                <w:color w:val="000000"/>
                <w:sz w:val="20"/>
              </w:rPr>
              <w:t>Fourth Amendment to Amended and Restated Credit Agreement, dated as of October 24, 2023, by and among Weatherford International Ltd., Weatherford International, LLC, Weatherford Canada Ltd. WOFS International Finance GmbH, Weatherford International plc, the lenders party thereto and Wells Fargo Bank, National Association, as administrative agent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FFFFFF" w:val="clear"/>
            <w:tcMar>
              <w:top w:w="0" w:type="dxa"/>
              <w:left w:w="0" w:type="dxa"/>
              <w:bottom w:w="0" w:type="dxa"/>
              <w:right w:w="0" w:type="dxa"/>
            </w:tcMar>
            <w:vAlign w:val="center"/>
          </w:tcPr>
          <w:p>
            <w:pPr>
              <w:pStyle w:val="TableContents"/>
              <w:bidi w:val="0"/>
              <w:spacing w:lineRule="auto" w:line="319" w:before="75" w:after="30"/>
              <w:jc w:val="center"/>
              <w:rPr>
                <w:rFonts w:ascii="Times New Roman;serif" w:hAnsi="Times New Roman;serif"/>
                <w:b w:val="false"/>
                <w:color w:val="000000"/>
                <w:sz w:val="20"/>
              </w:rPr>
            </w:pPr>
            <w:r>
              <w:rPr>
                <w:rFonts w:ascii="Times New Roman;serif" w:hAnsi="Times New Roman;serif"/>
                <w:b w:val="false"/>
                <w:color w:val="000000"/>
                <w:sz w:val="20"/>
              </w:rPr>
              <w:t xml:space="preserve">Exhibit 10.1 of the Company’s Current Report on Form 8-K filed October 24, 2023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No. 1-36504</w:t>
            </w:r>
          </w:p>
        </w:tc>
      </w:tr>
      <w:tr>
        <w:trPr/>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gridSpan w:val="3"/>
            <w:tcBorders/>
            <w:shd w:fill="CCEEFF" w:val="clear"/>
            <w:tcMar>
              <w:top w:w="0" w:type="dxa"/>
              <w:left w:w="0" w:type="dxa"/>
              <w:bottom w:w="0" w:type="dxa"/>
              <w:right w:w="0" w:type="dxa"/>
            </w:tcMar>
            <w:vAlign w:val="center"/>
          </w:tcPr>
          <w:p>
            <w:pPr>
              <w:pStyle w:val="TableContents"/>
              <w:bidi w:val="0"/>
              <w:spacing w:lineRule="auto" w:line="319" w:before="75" w:after="30"/>
              <w:jc w:val="left"/>
              <w:rPr>
                <w:rFonts w:ascii="Times New Roman;serif" w:hAnsi="Times New Roman;serif"/>
                <w:b w:val="false"/>
                <w:color w:val="000000"/>
                <w:sz w:val="20"/>
              </w:rPr>
            </w:pPr>
            <w:r>
              <w:rPr>
                <w:rFonts w:ascii="Times New Roman;serif" w:hAnsi="Times New Roman;serif"/>
                <w:b w:val="false"/>
                <w:color w:val="000000"/>
                <w:sz w:val="20"/>
              </w:rPr>
              <w:t>Fifth Amendment to Amended and Restated Credit Agreement, dated as of December 20, 2023, by and among Weatherford International Ltd., Weatherford International, LLC, Weatherford Canada Ltd. WOFS International Finance GmbH, Weatherford International plc, the lenders party thereto and Wells Fargo Bank, National Association, as administrative agent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10.33 of the Company’s Annual Report on Form 10-K filed February 7,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No. 1-36504</w:t>
            </w:r>
          </w:p>
        </w:tc>
      </w:tr>
      <w:tr>
        <w:trPr/>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gridSpan w:val="3"/>
            <w:tcBorders/>
            <w:shd w:fill="FFFFFF" w:val="clear"/>
            <w:tcMar>
              <w:top w:w="0" w:type="dxa"/>
              <w:left w:w="0" w:type="dxa"/>
              <w:bottom w:w="0" w:type="dxa"/>
              <w:right w:w="0" w:type="dxa"/>
            </w:tcMar>
            <w:vAlign w:val="center"/>
          </w:tcPr>
          <w:p>
            <w:pPr>
              <w:pStyle w:val="TableContents"/>
              <w:bidi w:val="0"/>
              <w:spacing w:lineRule="auto" w:line="319" w:before="75" w:after="30"/>
              <w:jc w:val="left"/>
              <w:rPr>
                <w:rFonts w:ascii="Times New Roman;serif" w:hAnsi="Times New Roman;serif"/>
                <w:b w:val="false"/>
                <w:color w:val="000000"/>
                <w:sz w:val="20"/>
              </w:rPr>
            </w:pPr>
            <w:r>
              <w:rPr>
                <w:rFonts w:ascii="Times New Roman;serif" w:hAnsi="Times New Roman;serif"/>
                <w:b w:val="false"/>
                <w:color w:val="000000"/>
                <w:sz w:val="20"/>
              </w:rPr>
              <w:t>Additional Lender Supplement, dated as of April 22, 2024, by and among Weatherford International Ltd., Weatherford International, LLC, Weatherford Canada Ltd., WOFS International Finance GmbH, Weatherford International plc, JPMorgan Chase Bank, N.A., as an Additional Lender and Issuing Bank, DNB Bank ASA, New York Branch, as an Issuing Bank, DNB Capital LLC, as an Additional Lender, the other Lenders and Issuing Banks party thereto and Wells Fargo Bank, National Association, as administrative agent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10.1 of the Company’s Quarterly Report for the period ending March 31, 2024 filed April 24,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No. 1-36504</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98</w:t>
                      </w:r>
                    </w:p>
                  </w:txbxContent>
                </v:textbox>
                <w10:wrap type="none"/>
              </v:rect>
            </w:pict>
          </mc:Fallback>
        </mc:AlternateContent>
      </w:r>
    </w:p>
    <w:p>
      <w:pPr>
        <w:pStyle w:val="TextBody"/>
        <w:bidi w:val="0"/>
        <w:spacing w:lineRule="auto" w:line="333" w:before="60" w:after="283"/>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13"/>
        <w:gridCol w:w="274"/>
        <w:gridCol w:w="275"/>
        <w:gridCol w:w="109"/>
        <w:gridCol w:w="109"/>
        <w:gridCol w:w="109"/>
        <w:gridCol w:w="1804"/>
        <w:gridCol w:w="1804"/>
        <w:gridCol w:w="1821"/>
        <w:gridCol w:w="109"/>
        <w:gridCol w:w="109"/>
        <w:gridCol w:w="109"/>
        <w:gridCol w:w="677"/>
        <w:gridCol w:w="677"/>
        <w:gridCol w:w="679"/>
        <w:gridCol w:w="109"/>
        <w:gridCol w:w="109"/>
        <w:gridCol w:w="109"/>
        <w:gridCol w:w="261"/>
        <w:gridCol w:w="261"/>
        <w:gridCol w:w="378"/>
      </w:tblGrid>
      <w:tr>
        <w:trPr/>
        <w:tc>
          <w:tcPr>
            <w:tcW w:w="31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8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Original Filed Exhibit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 Number</w:t>
            </w:r>
          </w:p>
        </w:tc>
      </w:tr>
      <w:tr>
        <w:trPr/>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9" w:type="dxa"/>
            <w:gridSpan w:val="3"/>
            <w:tcBorders/>
            <w:shd w:fill="CCEEFF" w:val="clear"/>
            <w:tcMar>
              <w:top w:w="0" w:type="dxa"/>
              <w:left w:w="0" w:type="dxa"/>
              <w:bottom w:w="0" w:type="dxa"/>
              <w:right w:w="0" w:type="dxa"/>
            </w:tcMar>
            <w:vAlign w:val="center"/>
          </w:tcPr>
          <w:p>
            <w:pPr>
              <w:pStyle w:val="TableContents"/>
              <w:bidi w:val="0"/>
              <w:spacing w:lineRule="auto" w:line="319" w:before="75" w:after="30"/>
              <w:jc w:val="left"/>
              <w:rPr>
                <w:rFonts w:ascii="Times New Roman;serif" w:hAnsi="Times New Roman;serif"/>
                <w:b w:val="false"/>
                <w:color w:val="000000"/>
                <w:sz w:val="20"/>
              </w:rPr>
            </w:pPr>
            <w:r>
              <w:rPr>
                <w:rFonts w:ascii="Times New Roman;serif" w:hAnsi="Times New Roman;serif"/>
                <w:b w:val="false"/>
                <w:color w:val="000000"/>
                <w:sz w:val="20"/>
              </w:rPr>
              <w:t>Sixth Amendment to Amended and Restated Credit Agreement, dated as of June 6, 2024, by and among Weatherford International Ltd., Weatherford International, LLC, Weatherford Canada Ltd., WOFS International Finance GmbH, Weatherford International plc, the lenders party thereto and Wells Fargo Bank, National Association, as administrative agent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10.1 to the Company’s Current Report on Form 8-K filed June 11,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No. 1-36504</w:t>
            </w:r>
          </w:p>
        </w:tc>
      </w:tr>
      <w:tr>
        <w:trPr/>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9" w:type="dxa"/>
            <w:gridSpan w:val="3"/>
            <w:tcBorders/>
            <w:shd w:fill="FFFFFF" w:val="clear"/>
            <w:tcMar>
              <w:top w:w="0" w:type="dxa"/>
              <w:left w:w="0" w:type="dxa"/>
              <w:bottom w:w="0" w:type="dxa"/>
              <w:right w:w="0" w:type="dxa"/>
            </w:tcMar>
            <w:vAlign w:val="center"/>
          </w:tcPr>
          <w:p>
            <w:pPr>
              <w:pStyle w:val="TableContents"/>
              <w:bidi w:val="0"/>
              <w:spacing w:lineRule="auto" w:line="319" w:before="75" w:after="30"/>
              <w:jc w:val="left"/>
              <w:rPr>
                <w:rFonts w:ascii="Times New Roman;serif" w:hAnsi="Times New Roman;serif"/>
                <w:b w:val="false"/>
                <w:color w:val="000000"/>
                <w:sz w:val="20"/>
              </w:rPr>
            </w:pPr>
            <w:r>
              <w:rPr>
                <w:rFonts w:ascii="Times New Roman;serif" w:hAnsi="Times New Roman;serif"/>
                <w:b w:val="false"/>
                <w:color w:val="000000"/>
                <w:sz w:val="20"/>
              </w:rPr>
              <w:t>Additional Lender Supplement, dated as of June 6, 2024, by and among Weatherford International Ltd., Weatherford International, LLC, Weatherford Canada Ltd., WOFS International Finance GmbH, Weatherford International plc, Arab Banking Corporation (B.S.C.) New York Branch, as an Additional Lender, the other Issuing Banks party thereto and Wells Fargo Bank, National Association, as administrative agent. *Schedules and similar attachments have been omitted pursuant to Regulation S-K Item 601(a)(5). Weatherford agrees to furnish a supplemental copy of any omitted schedule or attachment to the Securities and Exchange Commission upon request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10.2 to the Company’s Current Report on Form 8-K filed June 11,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No. 1-36504</w:t>
            </w:r>
          </w:p>
        </w:tc>
      </w:tr>
      <w:tr>
        <w:trPr/>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9" w:type="dxa"/>
            <w:gridSpan w:val="3"/>
            <w:tcBorders/>
            <w:shd w:fill="CCEEFF" w:val="clear"/>
            <w:tcMar>
              <w:top w:w="0" w:type="dxa"/>
              <w:left w:w="0" w:type="dxa"/>
              <w:bottom w:w="0" w:type="dxa"/>
              <w:right w:w="0" w:type="dxa"/>
            </w:tcMar>
            <w:vAlign w:val="center"/>
          </w:tcPr>
          <w:p>
            <w:pPr>
              <w:pStyle w:val="TableContents"/>
              <w:bidi w:val="0"/>
              <w:spacing w:lineRule="auto" w:line="319" w:before="75" w:after="30"/>
              <w:jc w:val="left"/>
              <w:rPr>
                <w:rFonts w:ascii="Times New Roman;serif" w:hAnsi="Times New Roman;serif"/>
                <w:b w:val="false"/>
                <w:color w:val="000000"/>
                <w:sz w:val="20"/>
              </w:rPr>
            </w:pPr>
            <w:r>
              <w:rPr>
                <w:rFonts w:ascii="Times New Roman;serif" w:hAnsi="Times New Roman;serif"/>
                <w:b w:val="false"/>
                <w:color w:val="000000"/>
                <w:sz w:val="20"/>
              </w:rPr>
              <w:t>Seventh Amendment to Amended and Restated Credit Agreement, dated as of June 24, 2024, by and among Weatherford International Ltd., Weatherford International, LLC, Weatherford Canada Ltd., WOFS International Finance GmbH, Weatherford International plc, the lenders party thereto and Wells Fargo Bank, National Association, as administrative agent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Exhibit 10.3 of the Company’s Quarterly Report for the period ending June 30, 2024 filed July 24, 2024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No. 1-36504</w:t>
            </w:r>
          </w:p>
        </w:tc>
      </w:tr>
      <w:tr>
        <w:trPr/>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9" w:type="dxa"/>
            <w:gridSpan w:val="3"/>
            <w:tcBorders/>
            <w:shd w:fill="FFFFFF" w:val="clear"/>
            <w:tcMar>
              <w:top w:w="0" w:type="dxa"/>
              <w:left w:w="0" w:type="dxa"/>
              <w:bottom w:w="0" w:type="dxa"/>
              <w:right w:w="0" w:type="dxa"/>
            </w:tcMar>
            <w:vAlign w:val="center"/>
          </w:tcPr>
          <w:p>
            <w:pPr>
              <w:pStyle w:val="TableContents"/>
              <w:bidi w:val="0"/>
              <w:spacing w:lineRule="auto" w:line="319" w:before="75" w:after="30"/>
              <w:jc w:val="left"/>
              <w:rPr>
                <w:rFonts w:ascii="Times New Roman;serif" w:hAnsi="Times New Roman;serif"/>
                <w:b w:val="false"/>
                <w:color w:val="000000"/>
                <w:sz w:val="20"/>
              </w:rPr>
            </w:pPr>
            <w:r>
              <w:rPr>
                <w:rFonts w:ascii="Times New Roman;serif" w:hAnsi="Times New Roman;serif"/>
                <w:b w:val="false"/>
                <w:color w:val="000000"/>
                <w:sz w:val="20"/>
              </w:rPr>
              <w:t>Eighth Amendment to Amended and Restated Credit Agreement, dated as of November 22, 2024, by and among Weatherford International Ltd., Weatherford International, LLC, Weatherford Canada Ltd., WOFS International Finance GmbH, Weatherford International plc, the lenders party thereto and Wells Fargo Bank, National Association, as administrative agent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10.37 of the Company’s Annual Report on Form 10-K for the period ending December 31, 2024 filed February 6,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No. 1-36504</w:t>
            </w:r>
          </w:p>
        </w:tc>
      </w:tr>
      <w:tr>
        <w:trPr/>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9" w:type="dxa"/>
            <w:gridSpan w:val="3"/>
            <w:tcBorders/>
            <w:shd w:fill="CCEEFF" w:val="clear"/>
            <w:tcMar>
              <w:top w:w="0" w:type="dxa"/>
              <w:left w:w="0" w:type="dxa"/>
              <w:bottom w:w="0" w:type="dxa"/>
              <w:right w:w="0" w:type="dxa"/>
            </w:tcMar>
            <w:vAlign w:val="center"/>
          </w:tcPr>
          <w:p>
            <w:pPr>
              <w:pStyle w:val="TableContents"/>
              <w:bidi w:val="0"/>
              <w:spacing w:lineRule="auto" w:line="319" w:before="75" w:after="30"/>
              <w:jc w:val="left"/>
              <w:rPr>
                <w:rFonts w:ascii="Times New Roman;serif" w:hAnsi="Times New Roman;serif"/>
                <w:b w:val="false"/>
                <w:color w:val="000000"/>
                <w:sz w:val="20"/>
              </w:rPr>
            </w:pPr>
            <w:r>
              <w:rPr>
                <w:rFonts w:ascii="Times New Roman;serif" w:hAnsi="Times New Roman;serif"/>
                <w:b w:val="false"/>
                <w:color w:val="000000"/>
                <w:sz w:val="20"/>
              </w:rPr>
              <w:t>Ninth Amendment to Amended and Restated Credit Agreement, dated as of May 2, 2025, by and among Weatherford International Ltd., Weatherford International, LLC, Weatherford Canada Ltd., WOFS International Finance GmbH, Weatherford International plc, the lenders party thereto and Wells Fargo Bank, National Association, as administrative agent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10.2 of the Company’s Quarterly Report for the period ended June 30, 2025 filed July 23,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No. 1-36504</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99</w:t>
                      </w:r>
                    </w:p>
                  </w:txbxContent>
                </v:textbox>
                <w10:wrap type="none"/>
              </v:rect>
            </w:pict>
          </mc:Fallback>
        </mc:AlternateContent>
      </w:r>
    </w:p>
    <w:p>
      <w:pPr>
        <w:pStyle w:val="TextBody"/>
        <w:bidi w:val="0"/>
        <w:spacing w:lineRule="auto" w:line="333" w:before="60" w:after="283"/>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27"/>
        <w:gridCol w:w="287"/>
        <w:gridCol w:w="288"/>
        <w:gridCol w:w="109"/>
        <w:gridCol w:w="109"/>
        <w:gridCol w:w="109"/>
        <w:gridCol w:w="1801"/>
        <w:gridCol w:w="1724"/>
        <w:gridCol w:w="1740"/>
        <w:gridCol w:w="109"/>
        <w:gridCol w:w="109"/>
        <w:gridCol w:w="109"/>
        <w:gridCol w:w="704"/>
        <w:gridCol w:w="704"/>
        <w:gridCol w:w="706"/>
        <w:gridCol w:w="109"/>
        <w:gridCol w:w="109"/>
        <w:gridCol w:w="109"/>
        <w:gridCol w:w="273"/>
        <w:gridCol w:w="273"/>
        <w:gridCol w:w="397"/>
      </w:tblGrid>
      <w:tr>
        <w:trPr/>
        <w:tc>
          <w:tcPr>
            <w:tcW w:w="32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9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Original Filed Exhibit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 Number</w:t>
            </w:r>
          </w:p>
        </w:tc>
      </w:tr>
      <w:tr>
        <w:trPr/>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shd w:fill="FFFFFF" w:val="clear"/>
            <w:tcMar>
              <w:top w:w="0" w:type="dxa"/>
              <w:left w:w="0" w:type="dxa"/>
              <w:bottom w:w="0" w:type="dxa"/>
              <w:right w:w="0" w:type="dxa"/>
            </w:tcMar>
            <w:vAlign w:val="center"/>
          </w:tcPr>
          <w:p>
            <w:pPr>
              <w:pStyle w:val="TableContents"/>
              <w:bidi w:val="0"/>
              <w:spacing w:lineRule="auto" w:line="319" w:before="75" w:after="30"/>
              <w:jc w:val="left"/>
              <w:rPr>
                <w:rFonts w:ascii="Times New Roman;serif" w:hAnsi="Times New Roman;serif"/>
                <w:b w:val="false"/>
                <w:color w:val="000000"/>
                <w:sz w:val="20"/>
              </w:rPr>
            </w:pPr>
            <w:r>
              <w:rPr>
                <w:rFonts w:ascii="Times New Roman;serif" w:hAnsi="Times New Roman;serif"/>
                <w:b w:val="false"/>
                <w:color w:val="000000"/>
                <w:sz w:val="20"/>
              </w:rPr>
              <w:t>Tenth Amendment to Amended and Restated Credit Agreement, dated as of September 18, 2025, by and among Weatherford International Ltd., Weatherford International, LLC, Weatherford Canada Ltd., WOFS International Finance GmbH, Weatherford International plc, the lenders party thereto and Wells Fargo Bank, National Association, as administrative agent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Exhibit 10.1 of the Company’s Current Report on Form 8-K filed September 23, 2025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No. 1-36504</w:t>
            </w:r>
          </w:p>
        </w:tc>
      </w:tr>
      <w:tr>
        <w:trPr/>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shd w:fill="CCEEFF" w:val="clear"/>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20"/>
              </w:rPr>
            </w:pPr>
            <w:r>
              <w:rPr>
                <w:rFonts w:ascii="Times New Roman;serif" w:hAnsi="Times New Roman;serif"/>
                <w:b w:val="false"/>
                <w:color w:val="000000"/>
                <w:sz w:val="20"/>
              </w:rPr>
              <w:t>Form of Confidentiality and Restricted Covenant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CCEEFF" w:val="clear"/>
            <w:tcMar>
              <w:top w:w="0" w:type="dxa"/>
              <w:left w:w="0" w:type="dxa"/>
              <w:bottom w:w="0" w:type="dxa"/>
              <w:right w:w="0" w:type="dxa"/>
            </w:tcMar>
            <w:vAlign w:val="center"/>
          </w:tcPr>
          <w:p>
            <w:pPr>
              <w:pStyle w:val="TableContents"/>
              <w:bidi w:val="0"/>
              <w:spacing w:lineRule="auto" w:line="319" w:before="75" w:after="30"/>
              <w:jc w:val="center"/>
              <w:rPr>
                <w:rFonts w:ascii="Times New Roman;serif" w:hAnsi="Times New Roman;serif"/>
                <w:b w:val="false"/>
                <w:color w:val="000000"/>
                <w:sz w:val="20"/>
              </w:rPr>
            </w:pPr>
            <w:r>
              <w:rPr>
                <w:rFonts w:ascii="Times New Roman;serif" w:hAnsi="Times New Roman;serif"/>
                <w:b w:val="false"/>
                <w:color w:val="000000"/>
                <w:sz w:val="20"/>
              </w:rPr>
              <w:t>Exhibit 10.39 to the Company’s Annual Report on Form 10-K filed February 7,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No. 1-36504</w:t>
            </w:r>
          </w:p>
        </w:tc>
      </w:tr>
      <w:tr>
        <w:trPr/>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shd w:fill="FFFFFF" w:val="clear"/>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20"/>
              </w:rPr>
            </w:pPr>
            <w:r>
              <w:rPr>
                <w:rFonts w:ascii="Times New Roman;serif" w:hAnsi="Times New Roman;serif"/>
                <w:b w:val="false"/>
                <w:color w:val="000000"/>
                <w:sz w:val="20"/>
              </w:rPr>
              <w:t>Weatherford International plc Insider Trading Policy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FFFFFF" w:val="clear"/>
            <w:tcMar>
              <w:top w:w="0" w:type="dxa"/>
              <w:left w:w="0" w:type="dxa"/>
              <w:bottom w:w="0" w:type="dxa"/>
              <w:right w:w="0" w:type="dxa"/>
            </w:tcMar>
            <w:vAlign w:val="center"/>
          </w:tcPr>
          <w:p>
            <w:pPr>
              <w:pStyle w:val="TableContents"/>
              <w:bidi w:val="0"/>
              <w:spacing w:before="75" w:after="3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shd w:fill="CCEEFF" w:val="clear"/>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20"/>
              </w:rPr>
            </w:pPr>
            <w:r>
              <w:rPr>
                <w:rFonts w:ascii="Times New Roman;serif" w:hAnsi="Times New Roman;serif"/>
                <w:b w:val="false"/>
                <w:color w:val="000000"/>
                <w:sz w:val="20"/>
              </w:rPr>
              <w:t>Subsidiaries of Weatherford International plc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shd w:fill="FFFFFF" w:val="clear"/>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20"/>
              </w:rPr>
            </w:pPr>
            <w:r>
              <w:rPr>
                <w:rFonts w:ascii="Times New Roman;serif" w:hAnsi="Times New Roman;serif"/>
                <w:b w:val="false"/>
                <w:color w:val="000000"/>
                <w:sz w:val="20"/>
              </w:rPr>
              <w:t>Consent of KPMG LLP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15"/>
            <w:tcBorders/>
            <w:shd w:fill="CCEEFF" w:val="clear"/>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pursuant to Section 302 of the Sarbanes-Oxley Act of 2002</w:t>
            </w:r>
          </w:p>
        </w:tc>
      </w:tr>
      <w:tr>
        <w:trPr/>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15"/>
            <w:tcBorders/>
            <w:shd w:fill="FFFFFF" w:val="clear"/>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20"/>
              </w:rPr>
            </w:pPr>
            <w:r>
              <w:rPr>
                <w:rFonts w:ascii="Times New Roman;serif" w:hAnsi="Times New Roman;serif"/>
                <w:b w:val="false"/>
                <w:color w:val="000000"/>
                <w:sz w:val="20"/>
              </w:rPr>
              <w:t>Certification of Chief Financial Officer pursuant to Section 302 of the Sarbanes-Oxley Act of 2002</w:t>
            </w:r>
          </w:p>
        </w:tc>
      </w:tr>
      <w:tr>
        <w:trPr/>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15"/>
            <w:tcBorders/>
            <w:shd w:fill="CCEEFF" w:val="clear"/>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pursuant to Section 906 of the Sarbanes-Oxley Act of 2002</w:t>
            </w:r>
          </w:p>
        </w:tc>
      </w:tr>
      <w:tr>
        <w:trPr/>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15"/>
            <w:tcBorders/>
            <w:shd w:fill="FFFFFF" w:val="clear"/>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20"/>
              </w:rPr>
            </w:pPr>
            <w:r>
              <w:rPr>
                <w:rFonts w:ascii="Times New Roman;serif" w:hAnsi="Times New Roman;serif"/>
                <w:b w:val="false"/>
                <w:color w:val="000000"/>
                <w:sz w:val="20"/>
              </w:rPr>
              <w:t>Certification of Chief Financial Officer pursuant to Section 906 of the Sarbanes-Oxley Act of 2002</w:t>
            </w:r>
          </w:p>
        </w:tc>
      </w:tr>
      <w:tr>
        <w:trPr/>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shd w:fill="CCEEFF" w:val="clear"/>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20"/>
              </w:rPr>
            </w:pPr>
            <w:r>
              <w:rPr>
                <w:rFonts w:ascii="Times New Roman;serif" w:hAnsi="Times New Roman;serif"/>
                <w:b w:val="false"/>
                <w:color w:val="000000"/>
                <w:sz w:val="20"/>
              </w:rPr>
              <w:t>Weatherford International plc Executive Officer Clawback Policy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CCEEFF" w:val="clear"/>
            <w:tcMar>
              <w:top w:w="0" w:type="dxa"/>
              <w:left w:w="0" w:type="dxa"/>
              <w:bottom w:w="0" w:type="dxa"/>
              <w:right w:w="0" w:type="dxa"/>
            </w:tcMar>
            <w:vAlign w:val="center"/>
          </w:tcPr>
          <w:p>
            <w:pPr>
              <w:pStyle w:val="TableContents"/>
              <w:bidi w:val="0"/>
              <w:spacing w:lineRule="auto" w:line="319" w:before="75" w:after="30"/>
              <w:jc w:val="center"/>
              <w:rPr>
                <w:rFonts w:ascii="Times New Roman;serif" w:hAnsi="Times New Roman;serif"/>
                <w:b w:val="false"/>
                <w:color w:val="000000"/>
                <w:sz w:val="20"/>
              </w:rPr>
            </w:pPr>
            <w:r>
              <w:rPr>
                <w:rFonts w:ascii="Times New Roman;serif" w:hAnsi="Times New Roman;serif"/>
                <w:b w:val="false"/>
                <w:color w:val="000000"/>
                <w:sz w:val="20"/>
              </w:rPr>
              <w:t>Exhibit 97 to the Company’s Annual Report on Form 10-K filed February 7,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No. 1-36504</w:t>
            </w:r>
          </w:p>
        </w:tc>
      </w:tr>
      <w:tr>
        <w:trPr/>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 Management contract or compensatory plan or arrangement.</w:t>
      </w:r>
    </w:p>
    <w:p>
      <w:pPr>
        <w:pStyle w:val="TextBody"/>
        <w:bidi w:val="0"/>
        <w:spacing w:lineRule="auto" w:line="333" w:before="0" w:after="60"/>
        <w:ind w:left="0" w:right="0" w:firstLine="360"/>
        <w:jc w:val="both"/>
        <w:rPr>
          <w:color w:val="000000"/>
        </w:rPr>
      </w:pPr>
      <w:r>
        <w:rPr>
          <w:color w:val="000000"/>
        </w:rPr>
        <w:t xml:space="preserve">† </w:t>
      </w:r>
      <w:r>
        <w:rPr>
          <w:rFonts w:ascii="Times New Roman;serif" w:hAnsi="Times New Roman;serif"/>
          <w:b w:val="false"/>
          <w:color w:val="000000"/>
          <w:sz w:val="20"/>
        </w:rPr>
        <w:t>Filed herewith.</w:t>
      </w:r>
    </w:p>
    <w:p>
      <w:pPr>
        <w:pStyle w:val="TextBody"/>
        <w:bidi w:val="0"/>
        <w:spacing w:lineRule="auto" w:line="333" w:before="0" w:after="60"/>
        <w:ind w:left="0" w:right="0" w:firstLine="360"/>
        <w:jc w:val="both"/>
        <w:rPr>
          <w:color w:val="000000"/>
        </w:rPr>
      </w:pPr>
      <w:r>
        <w:rPr>
          <w:color w:val="000000"/>
        </w:rPr>
        <w:t xml:space="preserve">†† </w:t>
      </w:r>
      <w:r>
        <w:rPr>
          <w:rFonts w:ascii="Times New Roman;serif" w:hAnsi="Times New Roman;serif"/>
          <w:b w:val="false"/>
          <w:color w:val="000000"/>
          <w:sz w:val="20"/>
        </w:rPr>
        <w:t>Furnished herewith.</w:t>
      </w:r>
    </w:p>
    <w:p>
      <w:pPr>
        <w:pStyle w:val="TextBody"/>
        <w:bidi w:val="0"/>
        <w:spacing w:before="0" w:after="0"/>
        <w:jc w:val="left"/>
        <w:rPr/>
      </w:pPr>
      <w:r>
        <w:rPr/>
      </w:r>
    </w:p>
    <w:p>
      <w:pPr>
        <w:pStyle w:val="TextBody"/>
        <w:bidi w:val="0"/>
        <w:spacing w:lineRule="auto" w:line="33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permitted by Item 601(b)(4)(iii)(A) of Regulation S-K, the Company has not filed with this Annual Report on Form 10-K certain instruments defining the rights of holders of long-term debt of the Company and its subsidiaries because the total amount of securities authorized under any of such instruments does not exceed 10% of the total assets of the Company and its subsidiaries on a consolidated basis. We will furnish a copy of any of such instruments to the Securities and Exchange Commission upon request. We will furnish to any requesting shareholder a copy of any of the above named exhibits upon the payment of our reasonable expenses of obtaining, duplicating and mailing the requested exhibits. All requests for copies of exhibits should be made in writing to our U.S. Investor Relations Department at 2000 St James Place, Houston, TX 77056.</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100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100</w:t>
                      </w:r>
                    </w:p>
                  </w:txbxContent>
                </v:textbox>
                <w10:wrap type="none"/>
              </v:rect>
            </w:pict>
          </mc:Fallback>
        </mc:AlternateContent>
      </w:r>
    </w:p>
    <w:p>
      <w:pPr>
        <w:pStyle w:val="TextBody"/>
        <w:bidi w:val="0"/>
        <w:spacing w:lineRule="auto" w:line="333" w:before="60" w:after="283"/>
        <w:jc w:val="left"/>
        <w:rPr>
          <w:color w:val="000000"/>
        </w:rPr>
      </w:pPr>
      <w:r>
        <w:rPr>
          <w:color w:val="000000"/>
        </w:rPr>
        <w:t>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before="0" w:after="0"/>
        <w:jc w:val="left"/>
        <w:rPr/>
      </w:pPr>
      <w:r>
        <w:rPr/>
      </w:r>
    </w:p>
    <w:p>
      <w:pPr>
        <w:pStyle w:val="TextBody"/>
        <w:bidi w:val="0"/>
        <w:spacing w:lineRule="auto" w:line="333"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101</w:t>
                      </w:r>
                    </w:p>
                  </w:txbxContent>
                </v:textbox>
                <w10:wrap type="none"/>
              </v:rect>
            </w:pict>
          </mc:Fallback>
        </mc:AlternateContent>
      </w:r>
    </w:p>
    <w:p>
      <w:pPr>
        <w:pStyle w:val="TextBody"/>
        <w:bidi w:val="0"/>
        <w:spacing w:lineRule="auto" w:line="333" w:before="60" w:after="283"/>
        <w:jc w:val="left"/>
        <w:rPr>
          <w:color w:val="000000"/>
        </w:rPr>
      </w:pPr>
      <w:r>
        <w:rPr>
          <w:color w:val="000000"/>
        </w:rPr>
        <w:t>    </w:t>
      </w:r>
    </w:p>
    <w:p>
      <w:pPr>
        <w:pStyle w:val="TextBody"/>
        <w:bidi w:val="0"/>
        <w:spacing w:lineRule="auto" w:line="333" w:before="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33"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KNOW ALL BY THESE PRESENTS, that each person whose signature appears below hereby constitutes and appoints Girishchandra K. Saligram and Anuj Dhruv and each of them, individually, his or her true and lawful agent, proxy and attorney-in-fact,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substitutes, may lawfully do or cause to be done by virtue thereof.</w:t>
      </w:r>
    </w:p>
    <w:p>
      <w:pPr>
        <w:pStyle w:val="TextBody"/>
        <w:bidi w:val="0"/>
        <w:spacing w:before="0" w:after="0"/>
        <w:ind w:left="0" w:right="0" w:firstLine="360"/>
        <w:jc w:val="both"/>
        <w:rPr/>
      </w:pPr>
      <w:r>
        <w:rPr/>
      </w:r>
    </w:p>
    <w:p>
      <w:pPr>
        <w:pStyle w:val="TextBody"/>
        <w:bidi w:val="0"/>
        <w:spacing w:lineRule="auto" w:line="333" w:before="6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333" w:before="60" w:after="60"/>
        <w:ind w:left="0" w:right="0" w:firstLine="8820"/>
        <w:jc w:val="both"/>
        <w:rPr>
          <w:color w:val="000000"/>
        </w:rPr>
      </w:pPr>
      <w:r>
        <w:rPr>
          <w:color w:val="000000"/>
        </w:rPr>
        <w:t> </w:t>
      </w:r>
    </w:p>
    <w:p>
      <w:pPr>
        <w:pStyle w:val="TextBody"/>
        <w:bidi w:val="0"/>
        <w:spacing w:lineRule="auto" w:line="333" w:before="60" w:after="60"/>
        <w:ind w:left="0" w:right="0" w:firstLine="5760"/>
        <w:jc w:val="left"/>
        <w:rPr>
          <w:rFonts w:ascii="Times New Roman;serif" w:hAnsi="Times New Roman;serif"/>
          <w:b/>
          <w:color w:val="000000"/>
          <w:sz w:val="20"/>
        </w:rPr>
      </w:pPr>
      <w:r>
        <w:rPr>
          <w:rFonts w:ascii="Times New Roman;serif" w:hAnsi="Times New Roman;serif"/>
          <w:b/>
          <w:color w:val="000000"/>
          <w:sz w:val="20"/>
        </w:rPr>
        <w:t>Weatherford International plc</w:t>
      </w:r>
    </w:p>
    <w:p>
      <w:pPr>
        <w:pStyle w:val="TextBody"/>
        <w:bidi w:val="0"/>
        <w:spacing w:lineRule="auto" w:line="333" w:before="60" w:after="60"/>
        <w:ind w:left="0" w:right="0" w:firstLine="8820"/>
        <w:jc w:val="center"/>
        <w:rPr>
          <w:color w:val="000000"/>
        </w:rPr>
      </w:pPr>
      <w:r>
        <w:rPr>
          <w:color w:val="000000"/>
        </w:rPr>
        <w:t> </w:t>
      </w:r>
    </w:p>
    <w:p>
      <w:pPr>
        <w:pStyle w:val="TextBody"/>
        <w:bidi w:val="0"/>
        <w:spacing w:lineRule="auto" w:line="333" w:before="60" w:after="60"/>
        <w:ind w:left="0" w:right="0" w:firstLine="57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Girishchandra K. Saligram</w:t>
      </w:r>
    </w:p>
    <w:p>
      <w:pPr>
        <w:pStyle w:val="TextBody"/>
        <w:bidi w:val="0"/>
        <w:spacing w:lineRule="auto" w:line="333" w:before="0" w:after="60"/>
        <w:ind w:left="0" w:right="0" w:firstLine="5760"/>
        <w:jc w:val="left"/>
        <w:rPr>
          <w:rFonts w:ascii="Times New Roman;serif" w:hAnsi="Times New Roman;serif"/>
          <w:b w:val="false"/>
          <w:color w:val="000000"/>
          <w:sz w:val="20"/>
        </w:rPr>
      </w:pPr>
      <w:r>
        <w:rPr>
          <w:rFonts w:ascii="Times New Roman;serif" w:hAnsi="Times New Roman;serif"/>
          <w:b w:val="false"/>
          <w:color w:val="000000"/>
          <w:sz w:val="20"/>
        </w:rPr>
        <w:t>Girishchandra K. Saligram</w:t>
      </w:r>
    </w:p>
    <w:p>
      <w:pPr>
        <w:pStyle w:val="TextBody"/>
        <w:bidi w:val="0"/>
        <w:spacing w:lineRule="auto" w:line="333" w:before="0" w:after="60"/>
        <w:ind w:left="0" w:right="0" w:firstLine="5760"/>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p>
      <w:pPr>
        <w:pStyle w:val="TextBody"/>
        <w:bidi w:val="0"/>
        <w:spacing w:lineRule="auto" w:line="333" w:before="0" w:after="60"/>
        <w:ind w:left="0" w:right="0" w:firstLine="576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p>
      <w:pPr>
        <w:pStyle w:val="TextBody"/>
        <w:bidi w:val="0"/>
        <w:spacing w:lineRule="auto" w:line="333" w:before="0" w:after="60"/>
        <w:ind w:left="0" w:right="0" w:firstLine="5760"/>
        <w:jc w:val="left"/>
        <w:rPr>
          <w:rFonts w:ascii="Times New Roman;serif" w:hAnsi="Times New Roman;serif"/>
          <w:b w:val="false"/>
          <w:color w:val="000000"/>
          <w:sz w:val="20"/>
        </w:rPr>
      </w:pPr>
      <w:r>
        <w:rPr>
          <w:rFonts w:ascii="Times New Roman;serif" w:hAnsi="Times New Roman;serif"/>
          <w:b w:val="false"/>
          <w:color w:val="000000"/>
          <w:sz w:val="20"/>
        </w:rPr>
        <w:t>Date: February 4, 2026</w:t>
      </w:r>
    </w:p>
    <w:p>
      <w:pPr>
        <w:pStyle w:val="TextBody"/>
        <w:bidi w:val="0"/>
        <w:spacing w:before="0" w:after="60"/>
        <w:ind w:left="0" w:right="0" w:firstLine="5760"/>
        <w:jc w:val="center"/>
        <w:rPr/>
      </w:pPr>
      <w:r>
        <w:rPr/>
      </w:r>
    </w:p>
    <w:p>
      <w:pPr>
        <w:pStyle w:val="TextBody"/>
        <w:bidi w:val="0"/>
        <w:spacing w:lineRule="auto" w:line="333" w:before="6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by the following persons on behalf of the Registrant and in the capacities and on the dates indicated.</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102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102</w:t>
                      </w:r>
                    </w:p>
                  </w:txbxContent>
                </v:textbox>
                <w10:wrap type="none"/>
              </v:rect>
            </w:pict>
          </mc:Fallback>
        </mc:AlternateContent>
      </w:r>
    </w:p>
    <w:p>
      <w:pPr>
        <w:pStyle w:val="TextBody"/>
        <w:bidi w:val="0"/>
        <w:spacing w:lineRule="auto" w:line="333" w:before="60" w:after="283"/>
        <w:jc w:val="left"/>
        <w:rPr>
          <w:color w:val="000000"/>
        </w:rPr>
      </w:pPr>
      <w:r>
        <w:rPr>
          <w:color w:val="000000"/>
        </w:rPr>
        <w:t>    </w:t>
      </w:r>
    </w:p>
    <w:tbl>
      <w:tblPr>
        <w:tblW w:w="8369" w:type="dxa"/>
        <w:jc w:val="left"/>
        <w:tblInd w:w="0" w:type="dxa"/>
        <w:tblLayout w:type="fixed"/>
        <w:tblCellMar>
          <w:top w:w="28" w:type="dxa"/>
          <w:left w:w="28" w:type="dxa"/>
          <w:bottom w:w="28" w:type="dxa"/>
          <w:right w:w="28" w:type="dxa"/>
        </w:tblCellMar>
      </w:tblPr>
      <w:tblGrid>
        <w:gridCol w:w="900"/>
        <w:gridCol w:w="793"/>
        <w:gridCol w:w="796"/>
        <w:gridCol w:w="1444"/>
        <w:gridCol w:w="1444"/>
        <w:gridCol w:w="1462"/>
        <w:gridCol w:w="448"/>
        <w:gridCol w:w="448"/>
        <w:gridCol w:w="634"/>
      </w:tblGrid>
      <w:tr>
        <w:trPr/>
        <w:tc>
          <w:tcPr>
            <w:tcW w:w="90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Signatures</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w:t>
            </w:r>
          </w:p>
        </w:tc>
      </w:tr>
      <w:tr>
        <w:trPr/>
        <w:tc>
          <w:tcPr>
            <w:tcW w:w="248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Girishchandra K. Saligram</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President, Chief Executive Officer</w:t>
            </w:r>
          </w:p>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20"/>
              </w:rPr>
              <w:t>and Director</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4, 2026</w:t>
            </w:r>
          </w:p>
        </w:tc>
      </w:tr>
      <w:tr>
        <w:trPr/>
        <w:tc>
          <w:tcPr>
            <w:tcW w:w="2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Girishchandra K. Saligram</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Anuj Dhruv</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Vice President and</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4, 2026</w:t>
            </w:r>
          </w:p>
        </w:tc>
      </w:tr>
      <w:tr>
        <w:trPr/>
        <w:tc>
          <w:tcPr>
            <w:tcW w:w="2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Anuj Dhruv</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Desmond J. Mills</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Senior Vice President and Chief Accounting Officer</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4, 2026</w:t>
            </w:r>
          </w:p>
        </w:tc>
      </w:tr>
      <w:tr>
        <w:trPr/>
        <w:tc>
          <w:tcPr>
            <w:tcW w:w="2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Desmond J. Mills</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Charles M. Sledge</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Chairman of the Board and Director</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4, 2026</w:t>
            </w:r>
          </w:p>
        </w:tc>
      </w:tr>
      <w:tr>
        <w:trPr/>
        <w:tc>
          <w:tcPr>
            <w:tcW w:w="2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Charles M. Sledge</w:t>
            </w:r>
          </w:p>
        </w:tc>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Benjamin C. Duster IV</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4, 2026</w:t>
            </w:r>
          </w:p>
        </w:tc>
      </w:tr>
      <w:tr>
        <w:trPr/>
        <w:tc>
          <w:tcPr>
            <w:tcW w:w="2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Benjamin C. Duster IV</w:t>
            </w:r>
          </w:p>
        </w:tc>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Neal P. Goldman</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4, 2026</w:t>
            </w:r>
          </w:p>
        </w:tc>
      </w:tr>
      <w:tr>
        <w:trPr/>
        <w:tc>
          <w:tcPr>
            <w:tcW w:w="2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Neal P. Goldman</w:t>
            </w:r>
          </w:p>
        </w:tc>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Jacqueline Mutschler</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4, 2026</w:t>
            </w:r>
          </w:p>
        </w:tc>
      </w:tr>
      <w:tr>
        <w:trPr/>
        <w:tc>
          <w:tcPr>
            <w:tcW w:w="2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Jacqueline Mutschler</w:t>
            </w:r>
          </w:p>
        </w:tc>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Steven Beringhause</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4, 2026</w:t>
            </w:r>
          </w:p>
        </w:tc>
      </w:tr>
      <w:tr>
        <w:trPr/>
        <w:tc>
          <w:tcPr>
            <w:tcW w:w="2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Steven Beringhause</w:t>
            </w:r>
          </w:p>
        </w:tc>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103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Weatherford International plc – 2025 Form 10-K | 103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106</Pages>
  <Words>43249</Words>
  <Characters>241408</Characters>
  <CharactersWithSpaces>289727</CharactersWithSpaces>
  <Paragraphs>3372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