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912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1299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Reed David John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522"/>
        <w:spacing w:after="0"/>
        <w:rPr>
          <w:sz w:val="20"/>
          <w:szCs w:val="20"/>
          <w:color w:val="auto"/>
        </w:rPr>
      </w:pPr>
      <w:r>
        <w:rPr>
          <w:rFonts w:ascii="Times New Roman" w:cs="Times New Roman" w:eastAsia="Times New Roman" w:hAnsi="Times New Roman"/>
          <w:sz w:val="17"/>
          <w:szCs w:val="17"/>
          <w:color w:val="0000FF"/>
        </w:rPr>
        <w:t>EVP, Chief Commercial Officer</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02/06/2025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10,279</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24,444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02/06/2025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4,045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65.36</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20,399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10,279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rPr>
              <w:t>02/06/2025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10,279</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2019 EIP and the relevant award agreements.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318"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2025-02-10T16:30:56Z</dcterms:created>
  <dcterms:modified xsi:type="dcterms:W3CDTF">2025-02-10T16:30:56Z</dcterms:modified>
</cp:coreProperties>
</file>