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5"/>
          <w:szCs w:val="25"/>
          <w:u w:val="single" w:color="auto"/>
          <w:color w:val="auto"/>
        </w:rPr>
        <w:t>Weatherford International plc</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Ordinary Shares, $0.001 par value per share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G48833118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December 31, 2022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to designate the rule pursuant to which the Schedule is filed:</w:t>
      </w:r>
    </w:p>
    <w:p>
      <w:pPr>
        <w:spacing w:after="0" w:line="225"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500" w:right="9040" w:hanging="6"/>
        <w:spacing w:after="0" w:line="225" w:lineRule="exact"/>
        <w:tabs>
          <w:tab w:leader="none" w:pos="11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1140" w:hanging="565"/>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D. E. Shaw Galvanic Portfolios, L.L.C.</w:t>
      </w:r>
    </w:p>
    <w:p>
      <w:pPr>
        <w:spacing w:after="0" w:line="206" w:lineRule="exact"/>
        <w:rPr>
          <w:rFonts w:ascii="Arial" w:cs="Arial" w:eastAsia="Arial" w:hAnsi="Arial"/>
          <w:sz w:val="18"/>
          <w:szCs w:val="18"/>
          <w:b w:val="1"/>
          <w:bCs w:val="1"/>
          <w:color w:val="auto"/>
        </w:rPr>
      </w:pPr>
    </w:p>
    <w:p>
      <w:pPr>
        <w:ind w:left="1140" w:hanging="565"/>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2260" w:hanging="1118"/>
        <w:spacing w:after="0" w:line="207" w:lineRule="exact"/>
        <w:tabs>
          <w:tab w:leader="none" w:pos="2260" w:val="left"/>
        </w:tabs>
        <w:numPr>
          <w:ilvl w:val="1"/>
          <w:numId w:val="3"/>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2260" w:hanging="1118"/>
        <w:spacing w:after="0" w:line="207" w:lineRule="exact"/>
        <w:tabs>
          <w:tab w:leader="none" w:pos="2260" w:val="left"/>
        </w:tabs>
        <w:numPr>
          <w:ilvl w:val="1"/>
          <w:numId w:val="3"/>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1140" w:hanging="565"/>
        <w:spacing w:after="0"/>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1140" w:right="7040" w:hanging="565"/>
        <w:spacing w:after="0" w:line="282" w:lineRule="auto"/>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820" w:right="6540" w:hanging="558"/>
        <w:spacing w:after="0" w:line="279" w:lineRule="auto"/>
        <w:tabs>
          <w:tab w:leader="none" w:pos="28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820" w:right="6420" w:hanging="558"/>
        <w:spacing w:after="0" w:line="282" w:lineRule="auto"/>
        <w:tabs>
          <w:tab w:leader="none" w:pos="28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820" w:right="6200" w:hanging="558"/>
        <w:spacing w:after="0" w:line="292" w:lineRule="auto"/>
        <w:tabs>
          <w:tab w:leader="none" w:pos="28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1140" w:right="4760" w:hanging="565"/>
        <w:spacing w:after="0" w:line="292" w:lineRule="auto"/>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1140" w:hanging="565"/>
        <w:spacing w:after="0" w:line="207" w:lineRule="exact"/>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1140" w:right="5840" w:hanging="565"/>
        <w:spacing w:after="0" w:line="292" w:lineRule="auto"/>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3.8%</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70,797,397 Ordinary Shares outstanding, consisting of: (i) 70,608,639 Ordinary Shares outstanding as of October 21, 2022, as reported in the Issuer’s Form 10-Q filed with the SEC on October 26, 2022,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jc w:val="both"/>
        <w:ind w:left="1140" w:right="7600" w:hanging="565"/>
        <w:spacing w:after="0" w:line="347" w:lineRule="auto"/>
        <w:tabs>
          <w:tab w:leader="none" w:pos="11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D. E. Shaw Manager II, L.L.C.</w:t>
      </w:r>
    </w:p>
    <w:p>
      <w:pPr>
        <w:spacing w:after="0" w:line="115" w:lineRule="exact"/>
        <w:rPr>
          <w:rFonts w:ascii="Arial" w:cs="Arial" w:eastAsia="Arial" w:hAnsi="Arial"/>
          <w:sz w:val="16"/>
          <w:szCs w:val="16"/>
          <w:b w:val="1"/>
          <w:bCs w:val="1"/>
          <w:color w:val="auto"/>
        </w:rPr>
      </w:pPr>
    </w:p>
    <w:p>
      <w:pPr>
        <w:ind w:left="1140" w:hanging="565"/>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2260" w:hanging="1118"/>
        <w:spacing w:after="0" w:line="207" w:lineRule="exact"/>
        <w:tabs>
          <w:tab w:leader="none" w:pos="2260" w:val="left"/>
        </w:tabs>
        <w:numPr>
          <w:ilvl w:val="1"/>
          <w:numId w:val="10"/>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2260" w:hanging="1118"/>
        <w:spacing w:after="0" w:line="207" w:lineRule="exact"/>
        <w:tabs>
          <w:tab w:leader="none" w:pos="2260" w:val="left"/>
        </w:tabs>
        <w:numPr>
          <w:ilvl w:val="1"/>
          <w:numId w:val="10"/>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1140" w:hanging="565"/>
        <w:spacing w:after="0"/>
        <w:tabs>
          <w:tab w:leader="none" w:pos="11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1140" w:right="7040" w:hanging="565"/>
        <w:spacing w:after="0" w:line="282" w:lineRule="auto"/>
        <w:tabs>
          <w:tab w:leader="none" w:pos="11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820" w:right="6540" w:hanging="558"/>
        <w:spacing w:after="0" w:line="279" w:lineRule="auto"/>
        <w:tabs>
          <w:tab w:leader="none" w:pos="28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820" w:right="6420" w:hanging="558"/>
        <w:spacing w:after="0" w:line="282" w:lineRule="auto"/>
        <w:tabs>
          <w:tab w:leader="none" w:pos="28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820" w:right="6200" w:hanging="558"/>
        <w:spacing w:after="0" w:line="292" w:lineRule="auto"/>
        <w:tabs>
          <w:tab w:leader="none" w:pos="28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1140" w:right="4760" w:hanging="565"/>
        <w:spacing w:after="0" w:line="292" w:lineRule="auto"/>
        <w:tabs>
          <w:tab w:leader="none" w:pos="11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1140" w:hanging="565"/>
        <w:spacing w:after="0" w:line="207" w:lineRule="exact"/>
        <w:tabs>
          <w:tab w:leader="none" w:pos="11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1140" w:right="5840" w:hanging="565"/>
        <w:spacing w:after="0" w:line="292" w:lineRule="auto"/>
        <w:tabs>
          <w:tab w:leader="none" w:pos="11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3.8%</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70,797,397 Ordinary Shares outstanding, consisting of: (i) 70,608,639 Ordinary Shares outstanding as of October 21, 2022, as reported in the Issuer’s Form 10-Q filed with the SEC on October 26, 2022,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jc w:val="both"/>
        <w:ind w:left="1140" w:right="7660" w:hanging="565"/>
        <w:spacing w:after="0" w:line="386" w:lineRule="auto"/>
        <w:tabs>
          <w:tab w:leader="none" w:pos="114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D. E. Shaw Adviser II, L.L.C.</w:t>
      </w:r>
    </w:p>
    <w:p>
      <w:pPr>
        <w:spacing w:after="0" w:line="93" w:lineRule="exact"/>
        <w:rPr>
          <w:rFonts w:ascii="Arial" w:cs="Arial" w:eastAsia="Arial" w:hAnsi="Arial"/>
          <w:sz w:val="15"/>
          <w:szCs w:val="15"/>
          <w:b w:val="1"/>
          <w:bCs w:val="1"/>
          <w:color w:val="auto"/>
        </w:rPr>
      </w:pPr>
    </w:p>
    <w:p>
      <w:pPr>
        <w:ind w:left="1140" w:hanging="565"/>
        <w:spacing w:after="0"/>
        <w:tabs>
          <w:tab w:leader="none" w:pos="11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2260" w:hanging="1118"/>
        <w:spacing w:after="0" w:line="207" w:lineRule="exact"/>
        <w:tabs>
          <w:tab w:leader="none" w:pos="2260" w:val="left"/>
        </w:tabs>
        <w:numPr>
          <w:ilvl w:val="1"/>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2260" w:hanging="1118"/>
        <w:spacing w:after="0" w:line="207" w:lineRule="exact"/>
        <w:tabs>
          <w:tab w:leader="none" w:pos="2260" w:val="left"/>
        </w:tabs>
        <w:numPr>
          <w:ilvl w:val="1"/>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1140" w:hanging="565"/>
        <w:spacing w:after="0"/>
        <w:tabs>
          <w:tab w:leader="none" w:pos="11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1140" w:right="7040" w:hanging="565"/>
        <w:spacing w:after="0" w:line="282" w:lineRule="auto"/>
        <w:tabs>
          <w:tab w:leader="none" w:pos="11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820" w:right="6540" w:hanging="558"/>
        <w:spacing w:after="0" w:line="279" w:lineRule="auto"/>
        <w:tabs>
          <w:tab w:leader="none" w:pos="28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820" w:right="6420" w:hanging="558"/>
        <w:spacing w:after="0" w:line="282" w:lineRule="auto"/>
        <w:tabs>
          <w:tab w:leader="none" w:pos="28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820" w:right="6200" w:hanging="558"/>
        <w:spacing w:after="0" w:line="292" w:lineRule="auto"/>
        <w:tabs>
          <w:tab w:leader="none" w:pos="28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1140" w:right="4760" w:hanging="565"/>
        <w:spacing w:after="0" w:line="292" w:lineRule="auto"/>
        <w:tabs>
          <w:tab w:leader="none" w:pos="11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2,701,059</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1140" w:hanging="565"/>
        <w:spacing w:after="0" w:line="207" w:lineRule="exact"/>
        <w:tabs>
          <w:tab w:leader="none" w:pos="11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1140" w:right="5840" w:hanging="565"/>
        <w:spacing w:after="0" w:line="292" w:lineRule="auto"/>
        <w:tabs>
          <w:tab w:leader="none" w:pos="11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3.8%</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70,797,397 Ordinary Shares outstanding, consisting of: (i) 70,608,639 Ordinary Shares outstanding as of October 21, 2022, as reported in the Issuer’s Form 10-Q filed with the SEC on October 26, 2022,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1140" w:right="7660" w:hanging="565"/>
        <w:spacing w:after="0" w:line="386" w:lineRule="auto"/>
        <w:tabs>
          <w:tab w:leader="none" w:pos="114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D. E. Shaw &amp; Co., L.L.C.</w:t>
      </w:r>
    </w:p>
    <w:p>
      <w:pPr>
        <w:spacing w:after="0" w:line="93" w:lineRule="exact"/>
        <w:rPr>
          <w:rFonts w:ascii="Arial" w:cs="Arial" w:eastAsia="Arial" w:hAnsi="Arial"/>
          <w:sz w:val="15"/>
          <w:szCs w:val="15"/>
          <w:b w:val="1"/>
          <w:bCs w:val="1"/>
          <w:color w:val="auto"/>
        </w:rPr>
      </w:pPr>
    </w:p>
    <w:p>
      <w:pPr>
        <w:ind w:left="1140" w:hanging="565"/>
        <w:spacing w:after="0"/>
        <w:tabs>
          <w:tab w:leader="none" w:pos="11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2260" w:hanging="1118"/>
        <w:spacing w:after="0" w:line="207" w:lineRule="exact"/>
        <w:tabs>
          <w:tab w:leader="none" w:pos="2260" w:val="left"/>
        </w:tabs>
        <w:numPr>
          <w:ilvl w:val="1"/>
          <w:numId w:val="2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2260" w:hanging="1118"/>
        <w:spacing w:after="0" w:line="207" w:lineRule="exact"/>
        <w:tabs>
          <w:tab w:leader="none" w:pos="2260" w:val="left"/>
        </w:tabs>
        <w:numPr>
          <w:ilvl w:val="1"/>
          <w:numId w:val="2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1140" w:hanging="565"/>
        <w:spacing w:after="0"/>
        <w:tabs>
          <w:tab w:leader="none" w:pos="11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1140" w:right="7040" w:hanging="565"/>
        <w:spacing w:after="0" w:line="282" w:lineRule="auto"/>
        <w:tabs>
          <w:tab w:leader="none" w:pos="11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820" w:right="6540" w:hanging="558"/>
        <w:spacing w:after="0" w:line="279" w:lineRule="auto"/>
        <w:tabs>
          <w:tab w:leader="none" w:pos="282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2,727,579</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820" w:right="6420" w:hanging="558"/>
        <w:spacing w:after="0" w:line="282" w:lineRule="auto"/>
        <w:tabs>
          <w:tab w:leader="none" w:pos="282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820" w:right="6200" w:hanging="558"/>
        <w:spacing w:after="0" w:line="292" w:lineRule="auto"/>
        <w:tabs>
          <w:tab w:leader="none" w:pos="282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2,727,579</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1140" w:right="4760" w:hanging="565"/>
        <w:spacing w:after="0" w:line="292" w:lineRule="auto"/>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2,727,579</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1140" w:hanging="565"/>
        <w:spacing w:after="0" w:line="207" w:lineRule="exact"/>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1140" w:right="5840" w:hanging="565"/>
        <w:spacing w:after="0" w:line="292" w:lineRule="auto"/>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3.9%</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70,797,397 Ordinary Shares outstanding, consisting of: (i) 70,608,639 Ordinary Shares outstanding as of October 21, 2022, as reported in the Issuer’s Form 10-Q filed with the SEC on October 26, 2022,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1140" w:right="7660" w:hanging="565"/>
        <w:spacing w:after="0" w:line="386" w:lineRule="auto"/>
        <w:tabs>
          <w:tab w:leader="none" w:pos="114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D. E. Shaw &amp; Co., L.P.</w:t>
      </w:r>
    </w:p>
    <w:p>
      <w:pPr>
        <w:spacing w:after="0" w:line="93" w:lineRule="exact"/>
        <w:rPr>
          <w:rFonts w:ascii="Arial" w:cs="Arial" w:eastAsia="Arial" w:hAnsi="Arial"/>
          <w:sz w:val="15"/>
          <w:szCs w:val="15"/>
          <w:b w:val="1"/>
          <w:bCs w:val="1"/>
          <w:color w:val="auto"/>
        </w:rPr>
      </w:pPr>
    </w:p>
    <w:p>
      <w:pPr>
        <w:ind w:left="1140" w:hanging="565"/>
        <w:spacing w:after="0"/>
        <w:tabs>
          <w:tab w:leader="none" w:pos="11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2260" w:hanging="1118"/>
        <w:spacing w:after="0" w:line="207" w:lineRule="exact"/>
        <w:tabs>
          <w:tab w:leader="none" w:pos="2260" w:val="left"/>
        </w:tabs>
        <w:numPr>
          <w:ilvl w:val="1"/>
          <w:numId w:val="3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2260" w:hanging="1118"/>
        <w:spacing w:after="0" w:line="207" w:lineRule="exact"/>
        <w:tabs>
          <w:tab w:leader="none" w:pos="2260" w:val="left"/>
        </w:tabs>
        <w:numPr>
          <w:ilvl w:val="1"/>
          <w:numId w:val="3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1140" w:hanging="565"/>
        <w:spacing w:after="0"/>
        <w:tabs>
          <w:tab w:leader="none" w:pos="11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1140" w:right="7040" w:hanging="565"/>
        <w:spacing w:after="0" w:line="282" w:lineRule="auto"/>
        <w:tabs>
          <w:tab w:leader="none" w:pos="11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820" w:right="6540" w:hanging="558"/>
        <w:spacing w:after="0" w:line="279" w:lineRule="auto"/>
        <w:tabs>
          <w:tab w:leader="none" w:pos="282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2,732,509</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820" w:right="6420" w:hanging="558"/>
        <w:spacing w:after="0" w:line="282" w:lineRule="auto"/>
        <w:tabs>
          <w:tab w:leader="none" w:pos="282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820" w:right="6200" w:hanging="558"/>
        <w:spacing w:after="0" w:line="292" w:lineRule="auto"/>
        <w:tabs>
          <w:tab w:leader="none" w:pos="282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2,732,609</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1140" w:right="4760" w:hanging="565"/>
        <w:spacing w:after="0" w:line="292" w:lineRule="auto"/>
        <w:tabs>
          <w:tab w:leader="none" w:pos="11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2,732,609</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1140" w:hanging="565"/>
        <w:spacing w:after="0" w:line="207" w:lineRule="exact"/>
        <w:tabs>
          <w:tab w:leader="none" w:pos="11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1140" w:right="5840" w:hanging="565"/>
        <w:spacing w:after="0" w:line="292" w:lineRule="auto"/>
        <w:tabs>
          <w:tab w:leader="none" w:pos="11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3.9%</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1140" w:right="6460" w:hanging="565"/>
        <w:spacing w:after="0" w:line="282" w:lineRule="auto"/>
        <w:tabs>
          <w:tab w:leader="none" w:pos="11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70,797,397 Ordinary Shares outstanding, consisting of: (i) 70,608,639 Ordinary Shares outstanding as of October 21, 2022, as reported in the Issuer’s Form 10-Q filed with the SEC on October 26, 2022,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1140" w:right="7660" w:hanging="565"/>
        <w:spacing w:after="0" w:line="282" w:lineRule="auto"/>
        <w:tabs>
          <w:tab w:leader="none" w:pos="11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David E. Shaw</w:t>
      </w:r>
    </w:p>
    <w:p>
      <w:pPr>
        <w:spacing w:after="0" w:line="161" w:lineRule="exact"/>
        <w:rPr>
          <w:rFonts w:ascii="Arial" w:cs="Arial" w:eastAsia="Arial" w:hAnsi="Arial"/>
          <w:sz w:val="18"/>
          <w:szCs w:val="18"/>
          <w:b w:val="1"/>
          <w:bCs w:val="1"/>
          <w:color w:val="auto"/>
        </w:rPr>
      </w:pPr>
    </w:p>
    <w:p>
      <w:pPr>
        <w:ind w:left="1140" w:hanging="565"/>
        <w:spacing w:after="0"/>
        <w:tabs>
          <w:tab w:leader="none" w:pos="11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b w:val="1"/>
          <w:bCs w:val="1"/>
          <w:color w:val="auto"/>
        </w:rPr>
      </w:pPr>
    </w:p>
    <w:p>
      <w:pPr>
        <w:ind w:left="2260" w:hanging="1118"/>
        <w:spacing w:after="0" w:line="207" w:lineRule="exact"/>
        <w:tabs>
          <w:tab w:leader="none" w:pos="2260" w:val="left"/>
        </w:tabs>
        <w:numPr>
          <w:ilvl w:val="1"/>
          <w:numId w:val="3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b w:val="1"/>
          <w:bCs w:val="1"/>
          <w:color w:val="auto"/>
        </w:rPr>
      </w:pPr>
    </w:p>
    <w:p>
      <w:pPr>
        <w:ind w:left="2260" w:hanging="1118"/>
        <w:spacing w:after="0" w:line="207" w:lineRule="exact"/>
        <w:tabs>
          <w:tab w:leader="none" w:pos="2260" w:val="left"/>
        </w:tabs>
        <w:numPr>
          <w:ilvl w:val="1"/>
          <w:numId w:val="3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1140" w:hanging="565"/>
        <w:spacing w:after="0"/>
        <w:tabs>
          <w:tab w:leader="none" w:pos="11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1140" w:right="7040" w:hanging="565"/>
        <w:spacing w:after="0" w:line="282" w:lineRule="auto"/>
        <w:tabs>
          <w:tab w:leader="none" w:pos="11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820" w:right="6540" w:hanging="558"/>
        <w:spacing w:after="0" w:line="279" w:lineRule="auto"/>
        <w:tabs>
          <w:tab w:leader="none" w:pos="282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2,732,509</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820" w:right="6420" w:hanging="558"/>
        <w:spacing w:after="0" w:line="282" w:lineRule="auto"/>
        <w:tabs>
          <w:tab w:leader="none" w:pos="282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820" w:right="6200" w:hanging="558"/>
        <w:spacing w:after="0" w:line="292" w:lineRule="auto"/>
        <w:tabs>
          <w:tab w:leader="none" w:pos="282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2,732,609</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1140" w:right="4760" w:hanging="565"/>
        <w:spacing w:after="0" w:line="292" w:lineRule="auto"/>
        <w:tabs>
          <w:tab w:leader="none" w:pos="11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2,732,609</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1140" w:hanging="565"/>
        <w:spacing w:after="0" w:line="207" w:lineRule="exact"/>
        <w:tabs>
          <w:tab w:leader="none" w:pos="11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1140" w:right="5840" w:hanging="565"/>
        <w:spacing w:after="0" w:line="292" w:lineRule="auto"/>
        <w:tabs>
          <w:tab w:leader="none" w:pos="11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3.9%</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1140" w:hanging="565"/>
        <w:spacing w:after="0"/>
        <w:tabs>
          <w:tab w:leader="none" w:pos="11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70,797,397 Ordinary Shares outstanding, consisting of: (i) 70,608,639 Ordinary Shares outstanding as of October 21, 2022, as reported in the Issuer’s Form 10-Q filed with the SEC on October 26, 2022,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Weatherford International plc</w:t>
      </w:r>
    </w:p>
    <w:p>
      <w:pPr>
        <w:spacing w:after="0" w:line="207" w:lineRule="exact"/>
        <w:rPr>
          <w:sz w:val="20"/>
          <w:szCs w:val="20"/>
          <w:color w:val="auto"/>
        </w:rPr>
      </w:pPr>
    </w:p>
    <w:p>
      <w:pPr>
        <w:ind w:left="1400" w:right="6340" w:hanging="744"/>
        <w:spacing w:after="0" w:line="261" w:lineRule="auto"/>
        <w:tabs>
          <w:tab w:leader="none" w:pos="131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2000 St. James Place</w:t>
      </w:r>
    </w:p>
    <w:p>
      <w:pPr>
        <w:ind w:left="1400"/>
        <w:spacing w:after="0"/>
        <w:rPr>
          <w:rFonts w:ascii="Arial" w:cs="Arial" w:eastAsia="Arial" w:hAnsi="Arial"/>
          <w:sz w:val="18"/>
          <w:szCs w:val="18"/>
          <w:b w:val="1"/>
          <w:bCs w:val="1"/>
          <w:color w:val="auto"/>
        </w:rPr>
      </w:pPr>
      <w:r>
        <w:rPr>
          <w:rFonts w:ascii="Arial" w:cs="Arial" w:eastAsia="Arial" w:hAnsi="Arial"/>
          <w:sz w:val="18"/>
          <w:szCs w:val="18"/>
          <w:color w:val="auto"/>
        </w:rPr>
        <w:t>Houston, TX 77056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9" w:lineRule="exact"/>
        <w:rPr>
          <w:rFonts w:ascii="Arial" w:cs="Arial" w:eastAsia="Arial" w:hAnsi="Arial"/>
          <w:sz w:val="18"/>
          <w:szCs w:val="18"/>
          <w:b w:val="1"/>
          <w:bCs w:val="1"/>
          <w:color w:val="auto"/>
        </w:rPr>
      </w:pPr>
    </w:p>
    <w:p>
      <w:pPr>
        <w:ind w:left="1400" w:right="702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D. E. Shaw Galvanic Portfolios, L.L.C. D. E. Shaw Manager II, L.L.C.</w:t>
      </w:r>
    </w:p>
    <w:p>
      <w:pPr>
        <w:ind w:left="1400" w:right="768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D. E. Shaw Adviser II, L.L.C. D. E. Shaw &amp; Co., L.L.C.</w:t>
      </w:r>
    </w:p>
    <w:p>
      <w:pPr>
        <w:ind w:left="1400" w:right="81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D. E. Shaw &amp; Co., L.P. David E. Shaw</w:t>
      </w:r>
    </w:p>
    <w:p>
      <w:pPr>
        <w:spacing w:after="0" w:line="181" w:lineRule="exact"/>
        <w:rPr>
          <w:rFonts w:ascii="Arial" w:cs="Arial" w:eastAsia="Arial" w:hAnsi="Arial"/>
          <w:sz w:val="18"/>
          <w:szCs w:val="18"/>
          <w:b w:val="1"/>
          <w:bCs w:val="1"/>
          <w:color w:val="auto"/>
        </w:rPr>
      </w:pPr>
    </w:p>
    <w:p>
      <w:pPr>
        <w:ind w:left="1400" w:right="5460" w:hanging="744"/>
        <w:spacing w:after="0" w:line="313" w:lineRule="auto"/>
        <w:tabs>
          <w:tab w:leader="none" w:pos="1313"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The business address for each reporting person is:</w:t>
      </w:r>
    </w:p>
    <w:p>
      <w:pPr>
        <w:ind w:left="1400"/>
        <w:spacing w:after="0" w:line="186" w:lineRule="auto"/>
        <w:rPr>
          <w:sz w:val="20"/>
          <w:szCs w:val="20"/>
          <w:color w:val="auto"/>
        </w:rPr>
      </w:pPr>
      <w:r>
        <w:rPr>
          <w:rFonts w:ascii="Arial" w:cs="Arial" w:eastAsia="Arial" w:hAnsi="Arial"/>
          <w:sz w:val="18"/>
          <w:szCs w:val="18"/>
          <w:color w:val="auto"/>
        </w:rPr>
        <w:t>1166 Avenue of the Americas,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400"/>
        <w:spacing w:after="0"/>
        <w:rPr>
          <w:sz w:val="20"/>
          <w:szCs w:val="20"/>
          <w:color w:val="auto"/>
        </w:rPr>
      </w:pPr>
      <w:r>
        <w:rPr>
          <w:rFonts w:ascii="Arial" w:cs="Arial" w:eastAsia="Arial" w:hAnsi="Arial"/>
          <w:sz w:val="18"/>
          <w:szCs w:val="18"/>
          <w:color w:val="auto"/>
        </w:rPr>
        <w:t>New York, NY 10036</w:t>
      </w:r>
    </w:p>
    <w:p>
      <w:pPr>
        <w:spacing w:after="0" w:line="205"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ind w:left="1400" w:right="120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D. E. Shaw Galvanic Portfolios, L.L.C. is a limited liability company organized under the laws of the state of Delaware. D. E. Shaw Manager II, L.L.C. is a limited liability company organized under the laws of the state of Delaware.</w:t>
      </w:r>
    </w:p>
    <w:p>
      <w:pPr>
        <w:spacing w:after="0" w:line="1" w:lineRule="exact"/>
        <w:rPr>
          <w:rFonts w:ascii="Arial" w:cs="Arial" w:eastAsia="Arial" w:hAnsi="Arial"/>
          <w:sz w:val="18"/>
          <w:szCs w:val="18"/>
          <w:b w:val="1"/>
          <w:bCs w:val="1"/>
          <w:color w:val="auto"/>
        </w:rPr>
      </w:pPr>
    </w:p>
    <w:p>
      <w:pPr>
        <w:ind w:left="1400" w:right="188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D. E. Shaw Adviser II, L.L.C. is a limited liability company organized under the laws of the state of Delaware. D. E. Shaw &amp; Co., L.L.C. is a limited liability company organized under the laws of the state of Delaware.</w:t>
      </w:r>
    </w:p>
    <w:p>
      <w:pPr>
        <w:spacing w:after="0" w:line="1" w:lineRule="exact"/>
        <w:rPr>
          <w:rFonts w:ascii="Arial" w:cs="Arial" w:eastAsia="Arial" w:hAnsi="Arial"/>
          <w:sz w:val="18"/>
          <w:szCs w:val="18"/>
          <w:b w:val="1"/>
          <w:bCs w:val="1"/>
          <w:color w:val="auto"/>
        </w:rPr>
      </w:pPr>
    </w:p>
    <w:p>
      <w:pPr>
        <w:ind w:left="1400" w:right="28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D. E. Shaw &amp; Co., L.P. is a limited partnership organized under the laws of the state of Delaware. David E. Shaw is a citizen of the United States of America.</w:t>
      </w:r>
    </w:p>
    <w:p>
      <w:pPr>
        <w:spacing w:after="0" w:line="18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Ordinary Shares, $0.001 par value per share</w:t>
      </w:r>
    </w:p>
    <w:p>
      <w:pPr>
        <w:spacing w:after="0" w:line="207" w:lineRule="exact"/>
        <w:rPr>
          <w:sz w:val="20"/>
          <w:szCs w:val="20"/>
          <w:color w:val="auto"/>
        </w:rPr>
      </w:pPr>
    </w:p>
    <w:p>
      <w:pPr>
        <w:ind w:left="1400" w:right="8720" w:hanging="744"/>
        <w:spacing w:after="0" w:line="312" w:lineRule="auto"/>
        <w:tabs>
          <w:tab w:leader="none" w:pos="131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G48833118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040" w:type="dxa"/>
            <w:vAlign w:val="bottom"/>
            <w:gridSpan w:val="2"/>
          </w:tcPr>
          <w:p>
            <w:pPr>
              <w:ind w:left="10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3220" w:type="dxa"/>
            <w:vAlign w:val="bottom"/>
          </w:tcPr>
          <w:p>
            <w:pPr>
              <w:spacing w:after="0"/>
              <w:rPr>
                <w:sz w:val="24"/>
                <w:szCs w:val="24"/>
                <w:color w:val="auto"/>
              </w:rPr>
            </w:pPr>
          </w:p>
        </w:tc>
        <w:tc>
          <w:tcPr>
            <w:tcW w:w="682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220" w:type="dxa"/>
            <w:vAlign w:val="bottom"/>
          </w:tcPr>
          <w:p>
            <w:pPr>
              <w:ind w:left="100"/>
              <w:spacing w:after="0"/>
              <w:rPr>
                <w:sz w:val="20"/>
                <w:szCs w:val="20"/>
                <w:color w:val="auto"/>
              </w:rPr>
            </w:pPr>
            <w:r>
              <w:rPr>
                <w:rFonts w:ascii="Arial" w:cs="Arial" w:eastAsia="Arial" w:hAnsi="Arial"/>
                <w:sz w:val="18"/>
                <w:szCs w:val="18"/>
                <w:b w:val="1"/>
                <w:bCs w:val="1"/>
                <w:color w:val="auto"/>
              </w:rPr>
              <w:t>Ownership</w:t>
            </w:r>
          </w:p>
        </w:tc>
        <w:tc>
          <w:tcPr>
            <w:tcW w:w="6820" w:type="dxa"/>
            <w:vAlign w:val="bottom"/>
          </w:tcPr>
          <w:p>
            <w:pPr>
              <w:spacing w:after="0"/>
              <w:rPr>
                <w:sz w:val="24"/>
                <w:szCs w:val="24"/>
                <w:color w:val="auto"/>
              </w:rPr>
            </w:pP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As of December 31, 2022:</w:t>
            </w:r>
          </w:p>
        </w:tc>
        <w:tc>
          <w:tcPr>
            <w:tcW w:w="6820" w:type="dxa"/>
            <w:vAlign w:val="bottom"/>
          </w:tcPr>
          <w:p>
            <w:pPr>
              <w:spacing w:after="0"/>
              <w:rPr>
                <w:sz w:val="24"/>
                <w:szCs w:val="24"/>
                <w:color w:val="auto"/>
              </w:rPr>
            </w:pP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(a)  Amount beneficially owned:</w:t>
            </w:r>
          </w:p>
        </w:tc>
        <w:tc>
          <w:tcPr>
            <w:tcW w:w="6820" w:type="dxa"/>
            <w:vAlign w:val="bottom"/>
          </w:tcPr>
          <w:p>
            <w:pPr>
              <w:spacing w:after="0"/>
              <w:rPr>
                <w:sz w:val="24"/>
                <w:szCs w:val="24"/>
                <w:color w:val="auto"/>
              </w:rPr>
            </w:pPr>
          </w:p>
        </w:tc>
      </w:tr>
      <w:tr>
        <w:trPr>
          <w:trHeight w:val="418"/>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D. E. Shaw Galvanic Portfolios, L.L.C.:</w:t>
            </w:r>
          </w:p>
        </w:tc>
        <w:tc>
          <w:tcPr>
            <w:tcW w:w="6820" w:type="dxa"/>
            <w:vAlign w:val="bottom"/>
          </w:tcPr>
          <w:p>
            <w:pPr>
              <w:ind w:left="1200"/>
              <w:spacing w:after="0"/>
              <w:rPr>
                <w:sz w:val="20"/>
                <w:szCs w:val="20"/>
                <w:color w:val="auto"/>
              </w:rPr>
            </w:pPr>
            <w:r>
              <w:rPr>
                <w:rFonts w:ascii="Arial" w:cs="Arial" w:eastAsia="Arial" w:hAnsi="Arial"/>
                <w:sz w:val="18"/>
                <w:szCs w:val="18"/>
                <w:color w:val="auto"/>
              </w:rPr>
              <w:t>2,701,059 shares</w:t>
            </w:r>
          </w:p>
        </w:tc>
      </w:tr>
      <w:tr>
        <w:trPr>
          <w:trHeight w:val="216"/>
        </w:trPr>
        <w:tc>
          <w:tcPr>
            <w:tcW w:w="1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w w:val="91"/>
              </w:rPr>
              <w:t>This is composed of (i) 2,512,301 shares in the name of D. E. Shaw Galvanic</w:t>
            </w:r>
          </w:p>
        </w:tc>
      </w:tr>
      <w:tr>
        <w:trPr>
          <w:trHeight w:val="216"/>
        </w:trPr>
        <w:tc>
          <w:tcPr>
            <w:tcW w:w="1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rPr>
              <w:t>Portfolios, L.L.C. and (ii) 188,758 shares that D. E. Shaw Galvanic</w:t>
            </w:r>
          </w:p>
        </w:tc>
      </w:tr>
      <w:tr>
        <w:trPr>
          <w:trHeight w:val="230"/>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rPr>
              <w:t>Portfolios, L.L.C. has the right to acquire upon exercise of warrants.</w:t>
            </w:r>
          </w:p>
        </w:tc>
      </w:tr>
      <w:tr>
        <w:trPr>
          <w:trHeight w:val="418"/>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D. E. Shaw Manager II, L.L.C.:</w:t>
            </w:r>
          </w:p>
        </w:tc>
        <w:tc>
          <w:tcPr>
            <w:tcW w:w="6820" w:type="dxa"/>
            <w:vAlign w:val="bottom"/>
          </w:tcPr>
          <w:p>
            <w:pPr>
              <w:ind w:left="1200"/>
              <w:spacing w:after="0"/>
              <w:rPr>
                <w:sz w:val="20"/>
                <w:szCs w:val="20"/>
                <w:color w:val="auto"/>
              </w:rPr>
            </w:pPr>
            <w:r>
              <w:rPr>
                <w:rFonts w:ascii="Arial" w:cs="Arial" w:eastAsia="Arial" w:hAnsi="Arial"/>
                <w:sz w:val="18"/>
                <w:szCs w:val="18"/>
                <w:color w:val="auto"/>
              </w:rPr>
              <w:t>2,701,059 shares</w:t>
            </w:r>
          </w:p>
        </w:tc>
      </w:tr>
      <w:tr>
        <w:trPr>
          <w:trHeight w:val="216"/>
        </w:trPr>
        <w:tc>
          <w:tcPr>
            <w:tcW w:w="1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w w:val="91"/>
              </w:rPr>
              <w:t>This is composed of (i) 2,512,301 shares in the name of D. E. Shaw Galvanic</w:t>
            </w:r>
          </w:p>
        </w:tc>
      </w:tr>
      <w:tr>
        <w:trPr>
          <w:trHeight w:val="216"/>
        </w:trPr>
        <w:tc>
          <w:tcPr>
            <w:tcW w:w="1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rPr>
              <w:t>Portfolios, L.L.C. and (ii) 188,758 shares that D. E. Shaw Galvanic</w:t>
            </w:r>
          </w:p>
        </w:tc>
      </w:tr>
      <w:tr>
        <w:trPr>
          <w:trHeight w:val="230"/>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rPr>
              <w:t>Portfolios, L.L.C. has the right to acquire upon exercise of warrants.</w:t>
            </w:r>
          </w:p>
        </w:tc>
      </w:tr>
      <w:tr>
        <w:trPr>
          <w:trHeight w:val="418"/>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D. E. Shaw Adviser II, L.L.C.:</w:t>
            </w:r>
          </w:p>
        </w:tc>
        <w:tc>
          <w:tcPr>
            <w:tcW w:w="6820" w:type="dxa"/>
            <w:vAlign w:val="bottom"/>
          </w:tcPr>
          <w:p>
            <w:pPr>
              <w:ind w:left="1200"/>
              <w:spacing w:after="0"/>
              <w:rPr>
                <w:sz w:val="20"/>
                <w:szCs w:val="20"/>
                <w:color w:val="auto"/>
              </w:rPr>
            </w:pPr>
            <w:r>
              <w:rPr>
                <w:rFonts w:ascii="Arial" w:cs="Arial" w:eastAsia="Arial" w:hAnsi="Arial"/>
                <w:sz w:val="18"/>
                <w:szCs w:val="18"/>
                <w:color w:val="auto"/>
              </w:rPr>
              <w:t>2,701,059 shares</w:t>
            </w:r>
          </w:p>
        </w:tc>
      </w:tr>
      <w:tr>
        <w:trPr>
          <w:trHeight w:val="216"/>
        </w:trPr>
        <w:tc>
          <w:tcPr>
            <w:tcW w:w="1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w w:val="91"/>
              </w:rPr>
              <w:t>This is composed of (i) 2,512,301 shares in the name of D. E. Shaw Galvanic</w:t>
            </w:r>
          </w:p>
        </w:tc>
      </w:tr>
      <w:tr>
        <w:trPr>
          <w:trHeight w:val="216"/>
        </w:trPr>
        <w:tc>
          <w:tcPr>
            <w:tcW w:w="1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rPr>
              <w:t>Portfolios, L.L.C. and (ii) 188,758 shares that D. E. Shaw Galvanic</w:t>
            </w:r>
          </w:p>
        </w:tc>
      </w:tr>
      <w:tr>
        <w:trPr>
          <w:trHeight w:val="230"/>
        </w:trPr>
        <w:tc>
          <w:tcPr>
            <w:tcW w:w="1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820" w:type="dxa"/>
            <w:vAlign w:val="bottom"/>
          </w:tcPr>
          <w:p>
            <w:pPr>
              <w:ind w:left="1200"/>
              <w:spacing w:after="0"/>
              <w:rPr>
                <w:sz w:val="20"/>
                <w:szCs w:val="20"/>
                <w:color w:val="auto"/>
              </w:rPr>
            </w:pPr>
            <w:r>
              <w:rPr>
                <w:rFonts w:ascii="Arial" w:cs="Arial" w:eastAsia="Arial" w:hAnsi="Arial"/>
                <w:sz w:val="18"/>
                <w:szCs w:val="18"/>
                <w:color w:val="auto"/>
              </w:rPr>
              <w:t>Portfolios, L.L.C. has the right to acquire upon exercise of warrants.</w:t>
            </w:r>
          </w:p>
        </w:tc>
      </w:tr>
      <w:tr>
        <w:trPr>
          <w:trHeight w:val="702"/>
        </w:trPr>
        <w:tc>
          <w:tcPr>
            <w:tcW w:w="1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ind w:left="352"/>
        <w:spacing w:after="0"/>
        <w:rPr>
          <w:sz w:val="20"/>
          <w:szCs w:val="20"/>
          <w:color w:val="auto"/>
        </w:rPr>
      </w:pPr>
      <w:r>
        <w:rPr>
          <w:rFonts w:ascii="Arial" w:cs="Arial" w:eastAsia="Arial" w:hAnsi="Arial"/>
          <w:sz w:val="18"/>
          <w:szCs w:val="18"/>
          <w:color w:val="auto"/>
        </w:rPr>
        <w:t>D. E. Shaw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2"/>
        <w:spacing w:after="0"/>
        <w:rPr>
          <w:sz w:val="20"/>
          <w:szCs w:val="20"/>
          <w:color w:val="auto"/>
        </w:rPr>
      </w:pPr>
      <w:r>
        <w:rPr>
          <w:rFonts w:ascii="Arial" w:cs="Arial" w:eastAsia="Arial" w:hAnsi="Arial"/>
          <w:sz w:val="18"/>
          <w:szCs w:val="18"/>
          <w:color w:val="auto"/>
        </w:rPr>
        <w:t>D. E. Shaw &amp; Co.,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2"/>
        <w:spacing w:after="0"/>
        <w:rPr>
          <w:sz w:val="20"/>
          <w:szCs w:val="20"/>
          <w:color w:val="auto"/>
        </w:rPr>
      </w:pPr>
      <w:r>
        <w:rPr>
          <w:rFonts w:ascii="Arial" w:cs="Arial" w:eastAsia="Arial" w:hAnsi="Arial"/>
          <w:sz w:val="18"/>
          <w:szCs w:val="18"/>
          <w:color w:val="auto"/>
        </w:rPr>
        <w:t>David E. Shaw: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2" w:hanging="319"/>
        <w:spacing w:after="0"/>
        <w:tabs>
          <w:tab w:leader="none" w:pos="3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572" w:hanging="221"/>
        <w:spacing w:after="0"/>
        <w:tabs>
          <w:tab w:leader="none" w:pos="572" w:val="left"/>
        </w:tabs>
        <w:numPr>
          <w:ilvl w:val="3"/>
          <w:numId w:val="47"/>
        </w:numPr>
        <w:rPr>
          <w:rFonts w:ascii="Arial" w:cs="Arial" w:eastAsia="Arial" w:hAnsi="Arial"/>
          <w:sz w:val="18"/>
          <w:szCs w:val="18"/>
          <w:color w:val="auto"/>
        </w:rPr>
      </w:pPr>
      <w:r>
        <w:rPr>
          <w:rFonts w:ascii="Arial" w:cs="Arial" w:eastAsia="Arial" w:hAnsi="Arial"/>
          <w:sz w:val="18"/>
          <w:szCs w:val="18"/>
          <w:color w:val="auto"/>
        </w:rPr>
        <w:t>E. Shaw Galvanic Portfolios, L.L.C.:</w:t>
      </w:r>
    </w:p>
    <w:p>
      <w:pPr>
        <w:spacing w:after="0" w:line="9" w:lineRule="exact"/>
        <w:rPr>
          <w:rFonts w:ascii="Arial" w:cs="Arial" w:eastAsia="Arial" w:hAnsi="Arial"/>
          <w:sz w:val="18"/>
          <w:szCs w:val="18"/>
          <w:color w:val="auto"/>
        </w:rPr>
      </w:pPr>
    </w:p>
    <w:p>
      <w:pPr>
        <w:ind w:left="572" w:hanging="221"/>
        <w:spacing w:after="0"/>
        <w:tabs>
          <w:tab w:leader="none" w:pos="572" w:val="left"/>
        </w:tabs>
        <w:numPr>
          <w:ilvl w:val="3"/>
          <w:numId w:val="48"/>
        </w:numPr>
        <w:rPr>
          <w:rFonts w:ascii="Arial" w:cs="Arial" w:eastAsia="Arial" w:hAnsi="Arial"/>
          <w:sz w:val="18"/>
          <w:szCs w:val="18"/>
          <w:color w:val="auto"/>
        </w:rPr>
      </w:pPr>
      <w:r>
        <w:rPr>
          <w:rFonts w:ascii="Arial" w:cs="Arial" w:eastAsia="Arial" w:hAnsi="Arial"/>
          <w:sz w:val="18"/>
          <w:szCs w:val="18"/>
          <w:color w:val="auto"/>
        </w:rPr>
        <w:t>E. Shaw Manager II, L.L.C.:</w:t>
      </w:r>
    </w:p>
    <w:p>
      <w:pPr>
        <w:spacing w:after="0" w:line="9" w:lineRule="exact"/>
        <w:rPr>
          <w:rFonts w:ascii="Arial" w:cs="Arial" w:eastAsia="Arial" w:hAnsi="Arial"/>
          <w:sz w:val="18"/>
          <w:szCs w:val="18"/>
          <w:color w:val="auto"/>
        </w:rPr>
      </w:pPr>
    </w:p>
    <w:p>
      <w:pPr>
        <w:ind w:left="572" w:hanging="221"/>
        <w:spacing w:after="0"/>
        <w:tabs>
          <w:tab w:leader="none" w:pos="572" w:val="left"/>
        </w:tabs>
        <w:numPr>
          <w:ilvl w:val="3"/>
          <w:numId w:val="49"/>
        </w:numPr>
        <w:rPr>
          <w:rFonts w:ascii="Arial" w:cs="Arial" w:eastAsia="Arial" w:hAnsi="Arial"/>
          <w:sz w:val="18"/>
          <w:szCs w:val="18"/>
          <w:color w:val="auto"/>
        </w:rPr>
      </w:pPr>
      <w:r>
        <w:rPr>
          <w:rFonts w:ascii="Arial" w:cs="Arial" w:eastAsia="Arial" w:hAnsi="Arial"/>
          <w:sz w:val="18"/>
          <w:szCs w:val="18"/>
          <w:color w:val="auto"/>
        </w:rPr>
        <w:t>E. Shaw Adviser II, L.L.C.:</w:t>
      </w:r>
    </w:p>
    <w:p>
      <w:pPr>
        <w:spacing w:after="0" w:line="9" w:lineRule="exact"/>
        <w:rPr>
          <w:rFonts w:ascii="Arial" w:cs="Arial" w:eastAsia="Arial" w:hAnsi="Arial"/>
          <w:sz w:val="18"/>
          <w:szCs w:val="18"/>
          <w:color w:val="auto"/>
        </w:rPr>
      </w:pPr>
    </w:p>
    <w:p>
      <w:pPr>
        <w:ind w:left="572" w:hanging="221"/>
        <w:spacing w:after="0"/>
        <w:tabs>
          <w:tab w:leader="none" w:pos="572" w:val="left"/>
        </w:tabs>
        <w:numPr>
          <w:ilvl w:val="3"/>
          <w:numId w:val="50"/>
        </w:numPr>
        <w:rPr>
          <w:rFonts w:ascii="Arial" w:cs="Arial" w:eastAsia="Arial" w:hAnsi="Arial"/>
          <w:sz w:val="18"/>
          <w:szCs w:val="18"/>
          <w:color w:val="auto"/>
        </w:rPr>
      </w:pPr>
      <w:r>
        <w:rPr>
          <w:rFonts w:ascii="Arial" w:cs="Arial" w:eastAsia="Arial" w:hAnsi="Arial"/>
          <w:sz w:val="18"/>
          <w:szCs w:val="18"/>
          <w:color w:val="auto"/>
        </w:rPr>
        <w:t>E. Shaw &amp; Co., L.L.C.:</w:t>
      </w:r>
    </w:p>
    <w:p>
      <w:pPr>
        <w:spacing w:after="0" w:line="9" w:lineRule="exact"/>
        <w:rPr>
          <w:rFonts w:ascii="Arial" w:cs="Arial" w:eastAsia="Arial" w:hAnsi="Arial"/>
          <w:sz w:val="18"/>
          <w:szCs w:val="18"/>
          <w:color w:val="auto"/>
        </w:rPr>
      </w:pPr>
    </w:p>
    <w:p>
      <w:pPr>
        <w:ind w:left="352" w:right="2820" w:hanging="1"/>
        <w:spacing w:after="0" w:line="260" w:lineRule="auto"/>
        <w:tabs>
          <w:tab w:leader="none" w:pos="572" w:val="left"/>
        </w:tabs>
        <w:numPr>
          <w:ilvl w:val="3"/>
          <w:numId w:val="51"/>
        </w:numPr>
        <w:rPr>
          <w:rFonts w:ascii="Arial" w:cs="Arial" w:eastAsia="Arial" w:hAnsi="Arial"/>
          <w:sz w:val="18"/>
          <w:szCs w:val="18"/>
          <w:color w:val="auto"/>
        </w:rPr>
      </w:pPr>
      <w:r>
        <w:rPr>
          <w:rFonts w:ascii="Arial" w:cs="Arial" w:eastAsia="Arial" w:hAnsi="Arial"/>
          <w:sz w:val="18"/>
          <w:szCs w:val="18"/>
          <w:color w:val="auto"/>
        </w:rPr>
        <w:t>E. Shaw &amp; Co., L.P.: David E. Shaw:</w:t>
      </w:r>
    </w:p>
    <w:p>
      <w:pPr>
        <w:spacing w:after="0" w:line="185" w:lineRule="exact"/>
        <w:rPr>
          <w:rFonts w:ascii="Arial" w:cs="Arial" w:eastAsia="Arial" w:hAnsi="Arial"/>
          <w:sz w:val="18"/>
          <w:szCs w:val="18"/>
          <w:color w:val="auto"/>
        </w:rPr>
      </w:pPr>
    </w:p>
    <w:p>
      <w:pPr>
        <w:ind w:left="332" w:hanging="332"/>
        <w:spacing w:after="0"/>
        <w:tabs>
          <w:tab w:leader="none" w:pos="3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Number of shares to which the person has:</w:t>
      </w:r>
    </w:p>
    <w:p>
      <w:pPr>
        <w:spacing w:after="0" w:line="34" w:lineRule="exact"/>
        <w:rPr>
          <w:rFonts w:ascii="Arial" w:cs="Arial" w:eastAsia="Arial" w:hAnsi="Arial"/>
          <w:sz w:val="17"/>
          <w:szCs w:val="17"/>
          <w:color w:val="auto"/>
        </w:rPr>
      </w:pPr>
    </w:p>
    <w:p>
      <w:pPr>
        <w:ind w:left="652" w:hanging="328"/>
        <w:spacing w:after="0"/>
        <w:tabs>
          <w:tab w:leader="none" w:pos="652" w:val="left"/>
        </w:tabs>
        <w:numPr>
          <w:ilvl w:val="2"/>
          <w:numId w:val="52"/>
        </w:numPr>
        <w:rPr>
          <w:rFonts w:ascii="Arial" w:cs="Arial" w:eastAsia="Arial" w:hAnsi="Arial"/>
          <w:sz w:val="17"/>
          <w:szCs w:val="17"/>
          <w:color w:val="auto"/>
        </w:rPr>
      </w:pPr>
      <w:r>
        <w:rPr>
          <w:rFonts w:ascii="Arial" w:cs="Arial" w:eastAsia="Arial" w:hAnsi="Arial"/>
          <w:sz w:val="17"/>
          <w:szCs w:val="17"/>
          <w:color w:val="auto"/>
        </w:rPr>
        <w:t>Sole power to vote or to direct the vote:</w:t>
      </w:r>
    </w:p>
    <w:p>
      <w:pPr>
        <w:spacing w:after="0" w:line="20" w:lineRule="exact"/>
        <w:rPr>
          <w:rFonts w:ascii="Arial" w:cs="Arial" w:eastAsia="Arial" w:hAnsi="Arial"/>
          <w:sz w:val="17"/>
          <w:szCs w:val="17"/>
          <w:color w:val="auto"/>
        </w:rPr>
      </w:pPr>
    </w:p>
    <w:p>
      <w:pPr>
        <w:ind w:left="572" w:hanging="221"/>
        <w:spacing w:after="0"/>
        <w:tabs>
          <w:tab w:leader="none" w:pos="572" w:val="left"/>
        </w:tabs>
        <w:numPr>
          <w:ilvl w:val="3"/>
          <w:numId w:val="52"/>
        </w:numPr>
        <w:rPr>
          <w:rFonts w:ascii="Arial" w:cs="Arial" w:eastAsia="Arial" w:hAnsi="Arial"/>
          <w:sz w:val="18"/>
          <w:szCs w:val="18"/>
          <w:color w:val="auto"/>
        </w:rPr>
      </w:pPr>
      <w:r>
        <w:rPr>
          <w:rFonts w:ascii="Arial" w:cs="Arial" w:eastAsia="Arial" w:hAnsi="Arial"/>
          <w:sz w:val="18"/>
          <w:szCs w:val="18"/>
          <w:color w:val="auto"/>
        </w:rPr>
        <w:t>E. Shaw Galvanic Portfolios, L.L.C.:</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D. E. Shaw Manager II, L.L.C.:</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D. E. Shaw Adviser II, L.L.C.:</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D. E. Shaw &amp; Co., L.L.C.:</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D. E. Shaw &amp; Co., L.P.:</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David E. Shaw:</w:t>
      </w:r>
    </w:p>
    <w:p>
      <w:pPr>
        <w:spacing w:after="0" w:line="211" w:lineRule="exact"/>
        <w:rPr>
          <w:sz w:val="20"/>
          <w:szCs w:val="20"/>
          <w:color w:val="auto"/>
        </w:rPr>
      </w:pPr>
    </w:p>
    <w:p>
      <w:pPr>
        <w:ind w:left="352" w:right="1200" w:hanging="28"/>
        <w:spacing w:after="0" w:line="274" w:lineRule="auto"/>
        <w:tabs>
          <w:tab w:leader="none" w:pos="649"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Shared power to vote or to direct the vote: D. E. Shaw Galvanic Portfolios, L.L.C.:</w:t>
      </w:r>
    </w:p>
    <w:p>
      <w:pPr>
        <w:ind w:left="352" w:right="2260"/>
        <w:spacing w:after="0" w:line="281" w:lineRule="auto"/>
        <w:rPr>
          <w:rFonts w:ascii="Arial" w:cs="Arial" w:eastAsia="Arial" w:hAnsi="Arial"/>
          <w:sz w:val="17"/>
          <w:szCs w:val="17"/>
          <w:color w:val="auto"/>
        </w:rPr>
      </w:pPr>
      <w:r>
        <w:rPr>
          <w:rFonts w:ascii="Arial" w:cs="Arial" w:eastAsia="Arial" w:hAnsi="Arial"/>
          <w:sz w:val="16"/>
          <w:szCs w:val="16"/>
          <w:color w:val="auto"/>
        </w:rPr>
        <w:t>D. E. Shaw Manager II, L.L.C.: D. E. Shaw Adviser II, L.L.C.: D. E. Shaw &amp; Co., L.L.C.:</w:t>
      </w:r>
    </w:p>
    <w:p>
      <w:pPr>
        <w:spacing w:after="0" w:line="1" w:lineRule="exact"/>
        <w:rPr>
          <w:rFonts w:ascii="Arial" w:cs="Arial" w:eastAsia="Arial" w:hAnsi="Arial"/>
          <w:sz w:val="17"/>
          <w:szCs w:val="17"/>
          <w:color w:val="auto"/>
        </w:rPr>
      </w:pPr>
    </w:p>
    <w:p>
      <w:pPr>
        <w:ind w:left="352" w:right="2820"/>
        <w:spacing w:after="0" w:line="260" w:lineRule="auto"/>
        <w:rPr>
          <w:rFonts w:ascii="Arial" w:cs="Arial" w:eastAsia="Arial" w:hAnsi="Arial"/>
          <w:sz w:val="17"/>
          <w:szCs w:val="17"/>
          <w:color w:val="auto"/>
        </w:rPr>
      </w:pPr>
      <w:r>
        <w:rPr>
          <w:rFonts w:ascii="Arial" w:cs="Arial" w:eastAsia="Arial" w:hAnsi="Arial"/>
          <w:sz w:val="18"/>
          <w:szCs w:val="18"/>
          <w:color w:val="auto"/>
        </w:rPr>
        <w:t>D. E. Shaw &amp; Co., L.P.: David E. Shaw: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2,727,579 shares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is composed of (i) 2,512,301 shares in the name of D. E. Shaw Galvanic Portfolios, L.L.C., (ii) 188,758 shares that D. E. Shaw Galvanic Portfolios, L.L.C. has the right to acquire upon exercise of warrants, (iii) 13,548 shares in the name of D. E. Shaw Oculus Portfolios, L.L.C., and (iv) 12,972 shares in the name of D. E. Shaw Composite Portfolios, L.L.C.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2,732,609 shares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is composed of (i) 2,512,301 shares in the name of D. E. Shaw Galvanic Portfolios, L.L.C., (ii) 188,758 shares that D. E. Shaw Galvanic Portfolios, L.L.C. has the right to acquire upon exercise of warrants, (iii) 13,548 shares in the name of D. E. Shaw Oculus Portfolios, L.L.C., (iv) 12,972 shares in the name of D. E. Shaw Composite Portfolios, L.L.C., and (v) 5,030 shares in the name of D. E. Shaw Investment Management,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2,732,609 shares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is composed of (i) 2,512,301 shares in the name of D. E. Shaw Galvanic Portfolios, L.L.C., (ii) 188,758 shares that D. E. Shaw Galvanic Portfolios, L.L.C. has the right to acquire upon exercise of warrants, (iii) 13,548 shares in the name of D. E. Shaw Oculus Portfolios, L.L.C., (iv) 12,972 shares in the name of D. E. Shaw Composite Portfolios, L.L.C., and (v) 5,030 shares in the name of D. E. Shaw Investment Management, L.L.C.</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2,701,059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2,701,059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2,701,059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2,727,579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2,732,509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2,732,509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92" w:space="720"/>
            <w:col w:w="5600"/>
          </w:cols>
          <w:pgMar w:left="328" w:top="908" w:right="359" w:bottom="1440" w:gutter="0" w:footer="0" w:header="0"/>
        </w:sectPr>
      </w:pPr>
    </w:p>
    <w:bookmarkStart w:id="9" w:name="page10"/>
    <w:bookmarkEnd w:id="9"/>
    <w:p>
      <w:pPr>
        <w:ind w:left="340"/>
        <w:spacing w:after="0"/>
        <w:rPr>
          <w:sz w:val="20"/>
          <w:szCs w:val="20"/>
          <w:color w:val="auto"/>
        </w:rPr>
      </w:pPr>
      <w:r>
        <w:rPr>
          <w:rFonts w:ascii="Arial" w:cs="Arial" w:eastAsia="Arial" w:hAnsi="Arial"/>
          <w:sz w:val="16"/>
          <w:szCs w:val="16"/>
          <w:color w:val="auto"/>
        </w:rPr>
        <w:t>(iii) Sole power to dispose or to direct the disposition of:</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Galvanic Portfolios,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Manager II,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Adviser II,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&amp; Co.,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&amp; Co.,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4900" w:space="720"/>
            <w:col w:w="5620"/>
          </w:cols>
          <w:pgMar w:left="320" w:top="908" w:right="339" w:bottom="1440" w:gutter="0" w:footer="0" w:header="0"/>
        </w:sectPr>
      </w:pPr>
    </w:p>
    <w:p>
      <w:pPr>
        <w:spacing w:after="0" w:line="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(iv) Shared power to dispose or to direct the disposition of:</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Galvanic Portfolios,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Manager II,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Adviser II,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&amp; Co.,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 Shaw &amp; Co.,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2,701,059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2,701,059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2,701,059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2,727,579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2,732,609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2,732,609 shares</w:t>
      </w:r>
    </w:p>
    <w:p>
      <w:pPr>
        <w:spacing w:after="0" w:line="234"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David E. Shaw does not own any shares directly. By virtue of David E. Shaw’s position as President and sole shareholder of D. E. Shaw &amp; Co., Inc., which is the general partner of D. E. Shaw &amp; Co., L.P., which in turn is the investment adviser of D. E. Shaw Oculus Portfolios, L.L.C. and D. E. Shaw Composite Portfolios, L.L.C. and the managing member of D. E. Shaw Investment Management, L.L.C. and D. E. Shaw Adviser II, L.L.C., which in turn is the investment adviser of D. E. Shaw Galvanic Portfolios, L.L.C., and by virtue of David E. Shaw’s position as President and sole shareholder of</w:t>
      </w:r>
    </w:p>
    <w:p>
      <w:pPr>
        <w:spacing w:after="0" w:line="1"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D. E. Shaw &amp; Co. II, Inc., which is the managing member of D. E. Shaw &amp; Co., L.L.C., which in turn is the manager of D. E. Shaw Oculus Portfolios, L.L.C. and D. E. Shaw Composite Portfolios, L.L.C. and the managing member of D. E. Shaw Manager II, L.L.C., which in turn is the manager of</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 E. Shaw Galvanic Portfolios, L.L.C., David E. Shaw may be deemed to have the shared power to vote or direct the vote of 2,732,509 shares, and the shared power to dispose or direct the disposition of 2,732,609 shares, the 2,732,609 shares as described above constituting 3.9% of the outstanding shares and, therefore, David E. Shaw may be deemed to be the beneficial owner of such shares. David E. Shaw disclaims beneficial ownership of such 2,732,609 shares.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c>
          <w:tcPr>
            <w:tcW w:w="0" w:type="dxa"/>
            <w:vAlign w:val="bottom"/>
          </w:tcPr>
          <w:p>
            <w:pPr>
              <w:spacing w:after="0"/>
              <w:rPr>
                <w:sz w:val="1"/>
                <w:szCs w:val="1"/>
                <w:color w:val="auto"/>
              </w:rPr>
            </w:pPr>
          </w:p>
        </w:tc>
      </w:tr>
      <w:tr>
        <w:trPr>
          <w:trHeight w:val="234"/>
        </w:trPr>
        <w:tc>
          <w:tcPr>
            <w:tcW w:w="1200" w:type="dxa"/>
            <w:vAlign w:val="bottom"/>
            <w:vMerge w:val="restart"/>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Company or Control Person.</w:t>
            </w: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Notice of Dissolution of Group</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Certification</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2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After reasonable inquiry and to the best of their knowledge and belief, the undersigned certify that the information set forth in this statement is true, complete and correct. Powers of Attorney, dated March 1, 2017, granted by David E. Shaw in favor of Nathan Thomas, are attached 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Galvanic Portfolios,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Manager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Adviser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904" w:right="9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u w:val="single" w:color="auto"/>
          <w:color w:val="auto"/>
        </w:rPr>
        <w:t>Exhibit 1</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CERTAIN REGULATORY FILINGS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INCLUDING CERTAIN FILINGS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 THE INVESTMENT ADVISERS ACT OF 1940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Edward Fishman,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Julius Gaudio,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Martin Lebwohl,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Maximilian 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Sweet,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Nathan Thomas,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Wepsic,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acting individually, as my agent and attorney-in-fact, with full power of substitution, for the purpose of, from time to time, (i) executing in my name and/or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United States or non-United States governmental or regulatory authority, including without limitation Form ADV, Forms 3, 4, 5, and 13F, and Schedules 13D and 13G required to be filed with the United States Securities and Exchange Commission, and (ii) delivering, furnishing, or filing any such documents to or with the appropriate governmental or regulatory authority. Any such determination shall be conclusively evidenced by such person’s execution, delivery, furnishing, and/or filing of the applicable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and replaces the power granted on January 1, 2017, which is hereby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E. SHAW, as President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E. Shaw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David E. 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u w:val="single" w:color="auto"/>
          <w:color w:val="auto"/>
        </w:rPr>
        <w:t>Exhibit 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CERTAIN REGULATORY FILINGS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INCLUDING CERTAIN FILINGS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THE INVESTMENT ADVISERS ACT OF 1940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Edward Fishman,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Julius Gaudio,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Martin Lebwohl,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Maximilian 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Sweet,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Nathan Thomas,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Wepsic,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acting individually, as my agent and attorney-in-fact, with full power of substitution, for the purpose of, from time to time, (i) executing in my name and/or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United States or non-United States governmental or regulatory authority, including without limitation Form ADV, Forms 3, 4, 5, and 13F, and Schedules 13D and 13G required to be filed with the United States Securities and Exchange Commission, and (ii) delivering, furnishing, or filing any such documents to or with the appropriate governmental or regulatory authority. Any such determination shall be conclusively evidenced by such person’s execution, delivery, furnishing, and/or filing of the applicable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and replaces the power granted on January 1, 2017, which is hereby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E. SHAW, as President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E. Shaw &amp; Co.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David E. 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u w:val="single" w:color="auto"/>
          <w:color w:val="auto"/>
        </w:rPr>
        <w:t>Exhibit 3</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Ordinary Shares, $0.001 par value per share, of Weatherford International plc, and that this Agreement be included as an Exhibit to such joint filing.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hereby executes this Agreement as of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2023.</w:t>
      </w:r>
    </w:p>
    <w:p>
      <w:pPr>
        <w:spacing w:after="0" w:line="3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Galvanic Portfolios,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Manager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Adviser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1"/>
    </w:lvl>
    <w:lvl w:ilvl="1">
      <w:lvlJc w:val="left"/>
      <w:lvlText w:val="(%2)"/>
      <w:numFmt w:val="lowerLetter"/>
      <w:start w:val="1"/>
    </w:lvl>
  </w:abstractNum>
  <w:abstractNum w:abstractNumId="3">
    <w:nsid w:val="836C40E"/>
    <w:multiLevelType w:val="hybridMultilevel"/>
    <w:lvl w:ilvl="0">
      <w:lvlJc w:val="left"/>
      <w:lvlText w:val="%1."/>
      <w:numFmt w:val="decimal"/>
      <w:start w:val="3"/>
    </w:lvl>
    <w:lvl w:ilvl="1">
      <w:lvlJc w:val="left"/>
      <w:lvlText w:val="%2"/>
      <w:numFmt w:val="lowerLetter"/>
      <w:start w:val="1"/>
    </w:lvl>
  </w:abstractNum>
  <w:abstractNum w:abstractNumId="4">
    <w:nsid w:val="2901D82"/>
    <w:multiLevelType w:val="hybridMultilevel"/>
    <w:lvl w:ilvl="0">
      <w:lvlJc w:val="left"/>
      <w:lvlText w:val="%1"/>
      <w:numFmt w:val="decimal"/>
      <w:start w:val="1"/>
    </w:lvl>
    <w:lvl w:ilvl="1">
      <w:lvlJc w:val="left"/>
      <w:lvlText w:val="%2."/>
      <w:numFmt w:val="decimal"/>
      <w:start w:val="6"/>
    </w:lvl>
  </w:abstractNum>
  <w:abstractNum w:abstractNumId="5">
    <w:nsid w:val="3A95F874"/>
    <w:multiLevelType w:val="hybridMultilevel"/>
    <w:lvl w:ilvl="0">
      <w:lvlJc w:val="left"/>
      <w:lvlText w:val="%1."/>
      <w:numFmt w:val="decimal"/>
      <w:start w:val="9"/>
    </w:lvl>
    <w:lvl w:ilvl="1">
      <w:lvlJc w:val="left"/>
      <w:lvlText w:val="%2"/>
      <w:numFmt w:val="decimal"/>
      <w:start w:val="1"/>
    </w:lvl>
  </w:abstractNum>
  <w:abstractNum w:abstractNumId="6">
    <w:nsid w:val="8138641"/>
    <w:multiLevelType w:val="hybridMultilevel"/>
    <w:lvl w:ilvl="0">
      <w:lvlJc w:val="left"/>
      <w:lvlText w:val="1"/>
      <w:numFmt w:val="bullet"/>
      <w:start w:val="1"/>
    </w:lvl>
  </w:abstractNum>
  <w:abstractNum w:abstractNumId="7">
    <w:nsid w:val="1E7FF521"/>
    <w:multiLevelType w:val="hybridMultilevel"/>
    <w:lvl w:ilvl="0">
      <w:lvlJc w:val="left"/>
      <w:lvlText w:val="2"/>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lvl w:ilvl="1">
      <w:lvlJc w:val="left"/>
      <w:lvlText w:val="(%2)"/>
      <w:numFmt w:val="lowerLetter"/>
      <w:start w:val="1"/>
    </w:lvl>
  </w:abstractNum>
  <w:abstractNum w:abstractNumId="10">
    <w:nsid w:val="6CEAF087"/>
    <w:multiLevelType w:val="hybridMultilevel"/>
    <w:lvl w:ilvl="0">
      <w:lvlJc w:val="left"/>
      <w:lvlText w:val="%1."/>
      <w:numFmt w:val="decimal"/>
      <w:start w:val="3"/>
    </w:lvl>
    <w:lvl w:ilvl="1">
      <w:lvlJc w:val="left"/>
      <w:lvlText w:val="%2"/>
      <w:numFmt w:val="lowerLetter"/>
      <w:start w:val="1"/>
    </w:lvl>
  </w:abstractNum>
  <w:abstractNum w:abstractNumId="11">
    <w:nsid w:val="22221A70"/>
    <w:multiLevelType w:val="hybridMultilevel"/>
    <w:lvl w:ilvl="0">
      <w:lvlJc w:val="left"/>
      <w:lvlText w:val="%1"/>
      <w:numFmt w:val="decimal"/>
      <w:start w:val="1"/>
    </w:lvl>
    <w:lvl w:ilvl="1">
      <w:lvlJc w:val="left"/>
      <w:lvlText w:val="%2."/>
      <w:numFmt w:val="decimal"/>
      <w:start w:val="6"/>
    </w:lvl>
  </w:abstractNum>
  <w:abstractNum w:abstractNumId="12">
    <w:nsid w:val="4516DDE9"/>
    <w:multiLevelType w:val="hybridMultilevel"/>
    <w:lvl w:ilvl="0">
      <w:lvlJc w:val="left"/>
      <w:lvlText w:val="%1."/>
      <w:numFmt w:val="decimal"/>
      <w:start w:val="9"/>
    </w:lvl>
    <w:lvl w:ilvl="1">
      <w:lvlJc w:val="left"/>
      <w:lvlText w:val="%2"/>
      <w:numFmt w:val="decimal"/>
      <w:start w:val="1"/>
    </w:lvl>
  </w:abstractNum>
  <w:abstractNum w:abstractNumId="13">
    <w:nsid w:val="3006C83E"/>
    <w:multiLevelType w:val="hybridMultilevel"/>
    <w:lvl w:ilvl="0">
      <w:lvlJc w:val="left"/>
      <w:lvlText w:val="1"/>
      <w:numFmt w:val="bullet"/>
      <w:start w:val="1"/>
    </w:lvl>
  </w:abstractNum>
  <w:abstractNum w:abstractNumId="14">
    <w:nsid w:val="614FD4A1"/>
    <w:multiLevelType w:val="hybridMultilevel"/>
    <w:lvl w:ilvl="0">
      <w:lvlJc w:val="left"/>
      <w:lvlText w:val="2"/>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lvl w:ilvl="1">
      <w:lvlJc w:val="left"/>
      <w:lvlText w:val="(%2)"/>
      <w:numFmt w:val="lowerLetter"/>
      <w:start w:val="1"/>
    </w:lvl>
  </w:abstractNum>
  <w:abstractNum w:abstractNumId="17">
    <w:nsid w:val="440BADFC"/>
    <w:multiLevelType w:val="hybridMultilevel"/>
    <w:lvl w:ilvl="0">
      <w:lvlJc w:val="left"/>
      <w:lvlText w:val="%1."/>
      <w:numFmt w:val="decimal"/>
      <w:start w:val="3"/>
    </w:lvl>
    <w:lvl w:ilvl="1">
      <w:lvlJc w:val="left"/>
      <w:lvlText w:val="%2"/>
      <w:numFmt w:val="lowerLetter"/>
      <w:start w:val="1"/>
    </w:lvl>
  </w:abstractNum>
  <w:abstractNum w:abstractNumId="18">
    <w:nsid w:val="5072367"/>
    <w:multiLevelType w:val="hybridMultilevel"/>
    <w:lvl w:ilvl="0">
      <w:lvlJc w:val="left"/>
      <w:lvlText w:val="%1"/>
      <w:numFmt w:val="decimal"/>
      <w:start w:val="1"/>
    </w:lvl>
    <w:lvl w:ilvl="1">
      <w:lvlJc w:val="left"/>
      <w:lvlText w:val="%2."/>
      <w:numFmt w:val="decimal"/>
      <w:start w:val="6"/>
    </w:lvl>
  </w:abstractNum>
  <w:abstractNum w:abstractNumId="19">
    <w:nsid w:val="3804823E"/>
    <w:multiLevelType w:val="hybridMultilevel"/>
    <w:lvl w:ilvl="0">
      <w:lvlJc w:val="left"/>
      <w:lvlText w:val="%1."/>
      <w:numFmt w:val="decimal"/>
      <w:start w:val="9"/>
    </w:lvl>
    <w:lvl w:ilvl="1">
      <w:lvlJc w:val="left"/>
      <w:lvlText w:val="%2"/>
      <w:numFmt w:val="decimal"/>
      <w:start w:val="1"/>
    </w:lvl>
  </w:abstractNum>
  <w:abstractNum w:abstractNumId="20">
    <w:nsid w:val="77465F01"/>
    <w:multiLevelType w:val="hybridMultilevel"/>
    <w:lvl w:ilvl="0">
      <w:lvlJc w:val="left"/>
      <w:lvlText w:val="1"/>
      <w:numFmt w:val="bullet"/>
      <w:start w:val="1"/>
    </w:lvl>
  </w:abstractNum>
  <w:abstractNum w:abstractNumId="21">
    <w:nsid w:val="7724C67E"/>
    <w:multiLevelType w:val="hybridMultilevel"/>
    <w:lvl w:ilvl="0">
      <w:lvlJc w:val="left"/>
      <w:lvlText w:val="2"/>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lvl w:ilvl="1">
      <w:lvlJc w:val="left"/>
      <w:lvlText w:val="(%2)"/>
      <w:numFmt w:val="lowerLetter"/>
      <w:start w:val="1"/>
    </w:lvl>
  </w:abstractNum>
  <w:abstractNum w:abstractNumId="24">
    <w:nsid w:val="5E884ADC"/>
    <w:multiLevelType w:val="hybridMultilevel"/>
    <w:lvl w:ilvl="0">
      <w:lvlJc w:val="left"/>
      <w:lvlText w:val="%1."/>
      <w:numFmt w:val="decimal"/>
      <w:start w:val="3"/>
    </w:lvl>
    <w:lvl w:ilvl="1">
      <w:lvlJc w:val="left"/>
      <w:lvlText w:val="%2"/>
      <w:numFmt w:val="lowerLetter"/>
      <w:start w:val="1"/>
    </w:lvl>
  </w:abstractNum>
  <w:abstractNum w:abstractNumId="25">
    <w:nsid w:val="51EAD36B"/>
    <w:multiLevelType w:val="hybridMultilevel"/>
    <w:lvl w:ilvl="0">
      <w:lvlJc w:val="left"/>
      <w:lvlText w:val="%1"/>
      <w:numFmt w:val="decimal"/>
      <w:start w:val="1"/>
    </w:lvl>
    <w:lvl w:ilvl="1">
      <w:lvlJc w:val="left"/>
      <w:lvlText w:val="%2."/>
      <w:numFmt w:val="decimal"/>
      <w:start w:val="6"/>
    </w:lvl>
  </w:abstractNum>
  <w:abstractNum w:abstractNumId="26">
    <w:nsid w:val="2D517796"/>
    <w:multiLevelType w:val="hybridMultilevel"/>
    <w:lvl w:ilvl="0">
      <w:lvlJc w:val="left"/>
      <w:lvlText w:val="%1."/>
      <w:numFmt w:val="decimal"/>
      <w:start w:val="9"/>
    </w:lvl>
    <w:lvl w:ilvl="1">
      <w:lvlJc w:val="left"/>
      <w:lvlText w:val="%2"/>
      <w:numFmt w:val="decimal"/>
      <w:start w:val="1"/>
    </w:lvl>
  </w:abstractNum>
  <w:abstractNum w:abstractNumId="27">
    <w:nsid w:val="580BD78F"/>
    <w:multiLevelType w:val="hybridMultilevel"/>
    <w:lvl w:ilvl="0">
      <w:lvlJc w:val="left"/>
      <w:lvlText w:val="1"/>
      <w:numFmt w:val="bullet"/>
      <w:start w:val="1"/>
    </w:lvl>
  </w:abstractNum>
  <w:abstractNum w:abstractNumId="28">
    <w:nsid w:val="153EA438"/>
    <w:multiLevelType w:val="hybridMultilevel"/>
    <w:lvl w:ilvl="0">
      <w:lvlJc w:val="left"/>
      <w:lvlText w:val="2"/>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lvl w:ilvl="1">
      <w:lvlJc w:val="left"/>
      <w:lvlText w:val="(%2)"/>
      <w:numFmt w:val="lowerLetter"/>
      <w:start w:val="1"/>
    </w:lvl>
  </w:abstractNum>
  <w:abstractNum w:abstractNumId="31">
    <w:nsid w:val="6A2342EC"/>
    <w:multiLevelType w:val="hybridMultilevel"/>
    <w:lvl w:ilvl="0">
      <w:lvlJc w:val="left"/>
      <w:lvlText w:val="%1."/>
      <w:numFmt w:val="decimal"/>
      <w:start w:val="3"/>
    </w:lvl>
    <w:lvl w:ilvl="1">
      <w:lvlJc w:val="left"/>
      <w:lvlText w:val="%2"/>
      <w:numFmt w:val="lowerLetter"/>
      <w:start w:val="1"/>
    </w:lvl>
  </w:abstractNum>
  <w:abstractNum w:abstractNumId="32">
    <w:nsid w:val="2A487CB0"/>
    <w:multiLevelType w:val="hybridMultilevel"/>
    <w:lvl w:ilvl="0">
      <w:lvlJc w:val="left"/>
      <w:lvlText w:val="%1"/>
      <w:numFmt w:val="decimal"/>
      <w:start w:val="1"/>
    </w:lvl>
    <w:lvl w:ilvl="1">
      <w:lvlJc w:val="left"/>
      <w:lvlText w:val="%2."/>
      <w:numFmt w:val="decimal"/>
      <w:start w:val="6"/>
    </w:lvl>
  </w:abstractNum>
  <w:abstractNum w:abstractNumId="33">
    <w:nsid w:val="1D4ED43B"/>
    <w:multiLevelType w:val="hybridMultilevel"/>
    <w:lvl w:ilvl="0">
      <w:lvlJc w:val="left"/>
      <w:lvlText w:val="%1."/>
      <w:numFmt w:val="decimal"/>
      <w:start w:val="9"/>
    </w:lvl>
    <w:lvl w:ilvl="1">
      <w:lvlJc w:val="left"/>
      <w:lvlText w:val="%2"/>
      <w:numFmt w:val="decimal"/>
      <w:start w:val="1"/>
    </w:lvl>
  </w:abstractNum>
  <w:abstractNum w:abstractNumId="34">
    <w:nsid w:val="725A06FB"/>
    <w:multiLevelType w:val="hybridMultilevel"/>
    <w:lvl w:ilvl="0">
      <w:lvlJc w:val="left"/>
      <w:lvlText w:val="1"/>
      <w:numFmt w:val="bullet"/>
      <w:start w:val="1"/>
    </w:lvl>
  </w:abstractNum>
  <w:abstractNum w:abstractNumId="35">
    <w:nsid w:val="2CD89A32"/>
    <w:multiLevelType w:val="hybridMultilevel"/>
    <w:lvl w:ilvl="0">
      <w:lvlJc w:val="left"/>
      <w:lvlText w:val="2"/>
      <w:numFmt w:val="bullet"/>
      <w:start w:val="1"/>
    </w:lvl>
  </w:abstractNum>
  <w:abstractNum w:abstractNumId="36">
    <w:nsid w:val="57E4CCAF"/>
    <w:multiLevelType w:val="hybridMultilevel"/>
    <w:lvl w:ilvl="0">
      <w:lvlJc w:val="left"/>
      <w:lvlText w:val="%1."/>
      <w:numFmt w:val="decimal"/>
      <w:start w:val="1"/>
    </w:lvl>
    <w:lvl w:ilvl="1">
      <w:lvlJc w:val="left"/>
      <w:lvlText w:val="(%2)"/>
      <w:numFmt w:val="lowerLetter"/>
      <w:start w:val="1"/>
    </w:lvl>
  </w:abstractNum>
  <w:abstractNum w:abstractNumId="37">
    <w:nsid w:val="7A6D8D3C"/>
    <w:multiLevelType w:val="hybridMultilevel"/>
    <w:lvl w:ilvl="0">
      <w:lvlJc w:val="left"/>
      <w:lvlText w:val="%1"/>
      <w:numFmt w:val="decimal"/>
      <w:start w:val="1"/>
    </w:lvl>
    <w:lvl w:ilvl="1">
      <w:lvlJc w:val="left"/>
      <w:lvlText w:val="%2."/>
      <w:numFmt w:val="decimal"/>
      <w:start w:val="6"/>
    </w:lvl>
  </w:abstractNum>
  <w:abstractNum w:abstractNumId="38">
    <w:nsid w:val="4B588F54"/>
    <w:multiLevelType w:val="hybridMultilevel"/>
    <w:lvl w:ilvl="0">
      <w:lvlJc w:val="left"/>
      <w:lvlText w:val="%1."/>
      <w:numFmt w:val="decimal"/>
      <w:start w:val="9"/>
    </w:lvl>
    <w:lvl w:ilvl="1">
      <w:lvlJc w:val="left"/>
      <w:lvlText w:val="%2"/>
      <w:numFmt w:val="decimal"/>
      <w:start w:val="1"/>
    </w:lvl>
  </w:abstractNum>
  <w:abstractNum w:abstractNumId="39">
    <w:nsid w:val="542289EC"/>
    <w:multiLevelType w:val="hybridMultilevel"/>
    <w:lvl w:ilvl="0">
      <w:lvlJc w:val="left"/>
      <w:lvlText w:val="1"/>
      <w:numFmt w:val="bullet"/>
      <w:start w:val="1"/>
    </w:lvl>
  </w:abstractNum>
  <w:abstractNum w:abstractNumId="40">
    <w:nsid w:val="6DE91B18"/>
    <w:multiLevelType w:val="hybridMultilevel"/>
    <w:lvl w:ilvl="0">
      <w:lvlJc w:val="left"/>
      <w:lvlText w:val="2"/>
      <w:numFmt w:val="bullet"/>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3"/>
    </w:lvl>
    <w:lvl w:ilvl="1">
      <w:lvlJc w:val="left"/>
      <w:lvlText w:val="%2"/>
      <w:numFmt w:val="upperLetter"/>
      <w:start w:val="1"/>
    </w:lvl>
  </w:abstractNum>
  <w:abstractNum w:abstractNumId="45">
    <w:nsid w:val="579478FE"/>
    <w:multiLevelType w:val="hybridMultilevel"/>
    <w:lvl w:ilvl="0">
      <w:lvlJc w:val="left"/>
      <w:lvlText w:val="(%1)"/>
      <w:numFmt w:val="lowerLetter"/>
      <w:start w:val="5"/>
    </w:lvl>
  </w:abstractNum>
  <w:abstractNum w:abstractNumId="46">
    <w:nsid w:val="749ABB4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4"/>
    </w:lvl>
  </w:abstractNum>
  <w:abstractNum w:abstractNumId="47">
    <w:nsid w:val="3DC240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48">
    <w:nsid w:val="1BA026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49">
    <w:nsid w:val="79A1DE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50">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51">
    <w:nsid w:val="12E685F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upperLetter"/>
      <w:start w:val="4"/>
    </w:lvl>
  </w:abstractNum>
  <w:abstractNum w:abstractNumId="52">
    <w:nsid w:val="70C6A52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2023-02-14T17:08:00Z</dcterms:created>
  <dcterms:modified xsi:type="dcterms:W3CDTF">2023-02-14T17:08:00Z</dcterms:modified>
</cp:coreProperties>
</file>