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59"/>
        <w:spacing w:after="0"/>
        <w:rPr>
          <w:sz w:val="20"/>
          <w:szCs w:val="20"/>
          <w:color w:val="auto"/>
        </w:rPr>
      </w:pPr>
      <w:r>
        <w:rPr>
          <w:rFonts w:ascii="Arial" w:cs="Arial" w:eastAsia="Arial" w:hAnsi="Arial"/>
          <w:sz w:val="32"/>
          <w:szCs w:val="32"/>
          <w:b w:val="1"/>
          <w:bCs w:val="1"/>
          <w:color w:val="auto"/>
        </w:rPr>
        <w:drawing>
          <wp:anchor simplePos="0" relativeHeight="251657728" behindDoc="1" locked="0" layoutInCell="0" allowOverlap="1">
            <wp:simplePos x="0" y="0"/>
            <wp:positionH relativeFrom="page">
              <wp:posOffset>276860</wp:posOffset>
            </wp:positionH>
            <wp:positionV relativeFrom="page">
              <wp:posOffset>166370</wp:posOffset>
            </wp:positionV>
            <wp:extent cx="6995160" cy="825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6995160" cy="8255"/>
                    </a:xfrm>
                    <a:prstGeom prst="rect">
                      <a:avLst/>
                    </a:prstGeom>
                    <a:noFill/>
                  </pic:spPr>
                </pic:pic>
              </a:graphicData>
            </a:graphic>
          </wp:anchor>
        </w:drawing>
        <w:drawing>
          <wp:anchor simplePos="0" relativeHeight="251657728" behindDoc="1" locked="0" layoutInCell="0" allowOverlap="1">
            <wp:simplePos x="0" y="0"/>
            <wp:positionH relativeFrom="page">
              <wp:posOffset>276860</wp:posOffset>
            </wp:positionH>
            <wp:positionV relativeFrom="page">
              <wp:posOffset>208915</wp:posOffset>
            </wp:positionV>
            <wp:extent cx="6995160" cy="82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6995160" cy="8255"/>
                    </a:xfrm>
                    <a:prstGeom prst="rect">
                      <a:avLst/>
                    </a:prstGeom>
                    <a:noFill/>
                  </pic:spPr>
                </pic:pic>
              </a:graphicData>
            </a:graphic>
          </wp:anchor>
        </w:drawing>
        <w:t>UNITED STATES</w:t>
      </w:r>
    </w:p>
    <w:p>
      <w:pPr>
        <w:spacing w:after="0" w:line="31" w:lineRule="exact"/>
        <w:rPr>
          <w:sz w:val="24"/>
          <w:szCs w:val="24"/>
          <w:color w:val="auto"/>
        </w:rPr>
      </w:pPr>
    </w:p>
    <w:p>
      <w:pPr>
        <w:jc w:val="center"/>
        <w:ind w:right="-59"/>
        <w:spacing w:after="0"/>
        <w:rPr>
          <w:sz w:val="20"/>
          <w:szCs w:val="20"/>
          <w:color w:val="auto"/>
        </w:rPr>
      </w:pPr>
      <w:r>
        <w:rPr>
          <w:rFonts w:ascii="Arial" w:cs="Arial" w:eastAsia="Arial" w:hAnsi="Arial"/>
          <w:sz w:val="32"/>
          <w:szCs w:val="32"/>
          <w:b w:val="1"/>
          <w:bCs w:val="1"/>
          <w:color w:val="auto"/>
        </w:rPr>
        <w:t>SECURITIES AND EXCHANGE COMMISSION</w:t>
      </w:r>
    </w:p>
    <w:p>
      <w:pPr>
        <w:jc w:val="center"/>
        <w:ind w:right="-59"/>
        <w:spacing w:after="0"/>
        <w:rPr>
          <w:sz w:val="20"/>
          <w:szCs w:val="20"/>
          <w:color w:val="auto"/>
        </w:rPr>
      </w:pPr>
      <w:r>
        <w:rPr>
          <w:rFonts w:ascii="Arial" w:cs="Arial" w:eastAsia="Arial" w:hAnsi="Arial"/>
          <w:sz w:val="22"/>
          <w:szCs w:val="22"/>
          <w:b w:val="1"/>
          <w:bCs w:val="1"/>
          <w:color w:val="auto"/>
        </w:rPr>
        <w:t>Washington, D.C. 20549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2757805</wp:posOffset>
            </wp:positionH>
            <wp:positionV relativeFrom="paragraph">
              <wp:posOffset>295910</wp:posOffset>
            </wp:positionV>
            <wp:extent cx="1474470" cy="889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474470" cy="8890"/>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342" w:lineRule="exact"/>
        <w:rPr>
          <w:sz w:val="24"/>
          <w:szCs w:val="24"/>
          <w:color w:val="auto"/>
        </w:rPr>
      </w:pPr>
    </w:p>
    <w:p>
      <w:pPr>
        <w:jc w:val="center"/>
        <w:ind w:right="-59"/>
        <w:spacing w:after="0"/>
        <w:rPr>
          <w:sz w:val="20"/>
          <w:szCs w:val="20"/>
          <w:color w:val="auto"/>
        </w:rPr>
      </w:pPr>
      <w:r>
        <w:rPr>
          <w:rFonts w:ascii="Arial" w:cs="Arial" w:eastAsia="Arial" w:hAnsi="Arial"/>
          <w:sz w:val="32"/>
          <w:szCs w:val="32"/>
          <w:b w:val="1"/>
          <w:bCs w:val="1"/>
          <w:color w:val="auto"/>
        </w:rPr>
        <w:t>SCHEDULE 13G</w:t>
      </w:r>
    </w:p>
    <w:p>
      <w:pPr>
        <w:spacing w:after="0" w:line="226" w:lineRule="exact"/>
        <w:rPr>
          <w:sz w:val="24"/>
          <w:szCs w:val="24"/>
          <w:color w:val="auto"/>
        </w:rPr>
      </w:pPr>
    </w:p>
    <w:p>
      <w:pPr>
        <w:jc w:val="center"/>
        <w:ind w:right="-59"/>
        <w:spacing w:after="0"/>
        <w:rPr>
          <w:sz w:val="20"/>
          <w:szCs w:val="20"/>
          <w:color w:val="auto"/>
        </w:rPr>
      </w:pPr>
      <w:r>
        <w:rPr>
          <w:rFonts w:ascii="Arial" w:cs="Arial" w:eastAsia="Arial" w:hAnsi="Arial"/>
          <w:sz w:val="22"/>
          <w:szCs w:val="22"/>
          <w:b w:val="1"/>
          <w:bCs w:val="1"/>
          <w:color w:val="auto"/>
        </w:rPr>
        <w:t>Under the Securities Exchange Act of 1934</w:t>
      </w:r>
    </w:p>
    <w:p>
      <w:pPr>
        <w:spacing w:after="0" w:line="14" w:lineRule="exact"/>
        <w:rPr>
          <w:sz w:val="24"/>
          <w:szCs w:val="24"/>
          <w:color w:val="auto"/>
        </w:rPr>
      </w:pPr>
    </w:p>
    <w:p>
      <w:pPr>
        <w:jc w:val="center"/>
        <w:ind w:right="-59"/>
        <w:spacing w:after="0"/>
        <w:rPr>
          <w:sz w:val="20"/>
          <w:szCs w:val="20"/>
          <w:color w:val="auto"/>
        </w:rPr>
      </w:pPr>
      <w:r>
        <w:rPr>
          <w:rFonts w:ascii="Arial" w:cs="Arial" w:eastAsia="Arial" w:hAnsi="Arial"/>
          <w:sz w:val="22"/>
          <w:szCs w:val="22"/>
          <w:b w:val="1"/>
          <w:bCs w:val="1"/>
          <w:color w:val="auto"/>
        </w:rPr>
        <w:t>(Amendment No. 1)*</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2757805</wp:posOffset>
            </wp:positionH>
            <wp:positionV relativeFrom="paragraph">
              <wp:posOffset>304165</wp:posOffset>
            </wp:positionV>
            <wp:extent cx="1474470" cy="825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1474470" cy="8255"/>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349" w:lineRule="exact"/>
        <w:rPr>
          <w:sz w:val="24"/>
          <w:szCs w:val="24"/>
          <w:color w:val="auto"/>
        </w:rPr>
      </w:pPr>
    </w:p>
    <w:p>
      <w:pPr>
        <w:jc w:val="center"/>
        <w:ind w:right="-59"/>
        <w:spacing w:after="0"/>
        <w:rPr>
          <w:sz w:val="20"/>
          <w:szCs w:val="20"/>
          <w:color w:val="auto"/>
        </w:rPr>
      </w:pPr>
      <w:r>
        <w:rPr>
          <w:rFonts w:ascii="Arial" w:cs="Arial" w:eastAsia="Arial" w:hAnsi="Arial"/>
          <w:sz w:val="40"/>
          <w:szCs w:val="40"/>
          <w:b w:val="1"/>
          <w:bCs w:val="1"/>
          <w:color w:val="auto"/>
        </w:rPr>
        <w:t>WEATHERFORD INTERNATIONAL PLC</w:t>
      </w:r>
    </w:p>
    <w:p>
      <w:pPr>
        <w:spacing w:after="0" w:line="35" w:lineRule="exact"/>
        <w:rPr>
          <w:sz w:val="24"/>
          <w:szCs w:val="24"/>
          <w:color w:val="auto"/>
        </w:rPr>
      </w:pPr>
    </w:p>
    <w:p>
      <w:pPr>
        <w:jc w:val="center"/>
        <w:ind w:right="-59"/>
        <w:spacing w:after="0"/>
        <w:rPr>
          <w:sz w:val="20"/>
          <w:szCs w:val="20"/>
          <w:color w:val="auto"/>
        </w:rPr>
      </w:pPr>
      <w:r>
        <w:rPr>
          <w:rFonts w:ascii="Arial" w:cs="Arial" w:eastAsia="Arial" w:hAnsi="Arial"/>
          <w:sz w:val="18"/>
          <w:szCs w:val="18"/>
          <w:b w:val="1"/>
          <w:bCs w:val="1"/>
          <w:color w:val="auto"/>
        </w:rPr>
        <w:t>(Name of Issuer)</w:t>
      </w:r>
    </w:p>
    <w:p>
      <w:pPr>
        <w:spacing w:after="0" w:line="200" w:lineRule="exact"/>
        <w:rPr>
          <w:sz w:val="24"/>
          <w:szCs w:val="24"/>
          <w:color w:val="auto"/>
        </w:rPr>
      </w:pPr>
    </w:p>
    <w:p>
      <w:pPr>
        <w:spacing w:after="0" w:line="221" w:lineRule="exact"/>
        <w:rPr>
          <w:sz w:val="24"/>
          <w:szCs w:val="24"/>
          <w:color w:val="auto"/>
        </w:rPr>
      </w:pPr>
    </w:p>
    <w:p>
      <w:pPr>
        <w:jc w:val="center"/>
        <w:ind w:right="-59"/>
        <w:spacing w:after="0"/>
        <w:rPr>
          <w:sz w:val="20"/>
          <w:szCs w:val="20"/>
          <w:color w:val="auto"/>
        </w:rPr>
      </w:pPr>
      <w:r>
        <w:rPr>
          <w:rFonts w:ascii="Arial" w:cs="Arial" w:eastAsia="Arial" w:hAnsi="Arial"/>
          <w:sz w:val="18"/>
          <w:szCs w:val="18"/>
          <w:b w:val="1"/>
          <w:bCs w:val="1"/>
          <w:color w:val="auto"/>
        </w:rPr>
        <w:t>Ordinary Shares, par value $0.001 per share</w:t>
      </w:r>
    </w:p>
    <w:p>
      <w:pPr>
        <w:spacing w:after="0" w:line="21" w:lineRule="exact"/>
        <w:rPr>
          <w:sz w:val="24"/>
          <w:szCs w:val="24"/>
          <w:color w:val="auto"/>
        </w:rPr>
      </w:pPr>
    </w:p>
    <w:p>
      <w:pPr>
        <w:jc w:val="center"/>
        <w:ind w:right="-59"/>
        <w:spacing w:after="0"/>
        <w:rPr>
          <w:sz w:val="20"/>
          <w:szCs w:val="20"/>
          <w:color w:val="auto"/>
        </w:rPr>
      </w:pPr>
      <w:r>
        <w:rPr>
          <w:rFonts w:ascii="Arial" w:cs="Arial" w:eastAsia="Arial" w:hAnsi="Arial"/>
          <w:sz w:val="14"/>
          <w:szCs w:val="14"/>
          <w:b w:val="1"/>
          <w:bCs w:val="1"/>
          <w:color w:val="auto"/>
        </w:rPr>
        <w:t>(Title of Class of Securities)</w:t>
      </w:r>
    </w:p>
    <w:p>
      <w:pPr>
        <w:spacing w:after="0" w:line="200" w:lineRule="exact"/>
        <w:rPr>
          <w:sz w:val="24"/>
          <w:szCs w:val="24"/>
          <w:color w:val="auto"/>
        </w:rPr>
      </w:pPr>
    </w:p>
    <w:p>
      <w:pPr>
        <w:spacing w:after="0" w:line="208" w:lineRule="exact"/>
        <w:rPr>
          <w:sz w:val="24"/>
          <w:szCs w:val="24"/>
          <w:color w:val="auto"/>
        </w:rPr>
      </w:pPr>
    </w:p>
    <w:p>
      <w:pPr>
        <w:jc w:val="center"/>
        <w:ind w:right="-59"/>
        <w:spacing w:after="0"/>
        <w:rPr>
          <w:sz w:val="20"/>
          <w:szCs w:val="20"/>
          <w:color w:val="auto"/>
        </w:rPr>
      </w:pPr>
      <w:r>
        <w:rPr>
          <w:rFonts w:ascii="Arial" w:cs="Arial" w:eastAsia="Arial" w:hAnsi="Arial"/>
          <w:sz w:val="18"/>
          <w:szCs w:val="18"/>
          <w:b w:val="1"/>
          <w:bCs w:val="1"/>
          <w:color w:val="auto"/>
        </w:rPr>
        <w:t>G48833118</w:t>
      </w:r>
    </w:p>
    <w:p>
      <w:pPr>
        <w:spacing w:after="0" w:line="21" w:lineRule="exact"/>
        <w:rPr>
          <w:sz w:val="24"/>
          <w:szCs w:val="24"/>
          <w:color w:val="auto"/>
        </w:rPr>
      </w:pPr>
    </w:p>
    <w:p>
      <w:pPr>
        <w:jc w:val="center"/>
        <w:ind w:right="-59"/>
        <w:spacing w:after="0"/>
        <w:rPr>
          <w:sz w:val="20"/>
          <w:szCs w:val="20"/>
          <w:color w:val="auto"/>
        </w:rPr>
      </w:pPr>
      <w:r>
        <w:rPr>
          <w:rFonts w:ascii="Arial" w:cs="Arial" w:eastAsia="Arial" w:hAnsi="Arial"/>
          <w:sz w:val="14"/>
          <w:szCs w:val="14"/>
          <w:b w:val="1"/>
          <w:bCs w:val="1"/>
          <w:color w:val="auto"/>
        </w:rPr>
        <w:t>(CUSIP Number)</w:t>
      </w:r>
    </w:p>
    <w:p>
      <w:pPr>
        <w:spacing w:after="0" w:line="200" w:lineRule="exact"/>
        <w:rPr>
          <w:sz w:val="24"/>
          <w:szCs w:val="24"/>
          <w:color w:val="auto"/>
        </w:rPr>
      </w:pPr>
    </w:p>
    <w:p>
      <w:pPr>
        <w:spacing w:after="0" w:line="208" w:lineRule="exact"/>
        <w:rPr>
          <w:sz w:val="24"/>
          <w:szCs w:val="24"/>
          <w:color w:val="auto"/>
        </w:rPr>
      </w:pPr>
    </w:p>
    <w:p>
      <w:pPr>
        <w:jc w:val="center"/>
        <w:ind w:right="-59"/>
        <w:spacing w:after="0"/>
        <w:rPr>
          <w:sz w:val="20"/>
          <w:szCs w:val="20"/>
          <w:color w:val="auto"/>
        </w:rPr>
      </w:pPr>
      <w:r>
        <w:rPr>
          <w:rFonts w:ascii="Arial" w:cs="Arial" w:eastAsia="Arial" w:hAnsi="Arial"/>
          <w:sz w:val="18"/>
          <w:szCs w:val="18"/>
          <w:b w:val="1"/>
          <w:bCs w:val="1"/>
          <w:color w:val="auto"/>
        </w:rPr>
        <w:t>December 31, 2020</w:t>
      </w:r>
    </w:p>
    <w:p>
      <w:pPr>
        <w:spacing w:after="0" w:line="21" w:lineRule="exact"/>
        <w:rPr>
          <w:sz w:val="24"/>
          <w:szCs w:val="24"/>
          <w:color w:val="auto"/>
        </w:rPr>
      </w:pPr>
    </w:p>
    <w:p>
      <w:pPr>
        <w:jc w:val="center"/>
        <w:ind w:right="-59"/>
        <w:spacing w:after="0"/>
        <w:rPr>
          <w:sz w:val="20"/>
          <w:szCs w:val="20"/>
          <w:color w:val="auto"/>
        </w:rPr>
      </w:pPr>
      <w:r>
        <w:rPr>
          <w:rFonts w:ascii="Arial" w:cs="Arial" w:eastAsia="Arial" w:hAnsi="Arial"/>
          <w:sz w:val="14"/>
          <w:szCs w:val="14"/>
          <w:b w:val="1"/>
          <w:bCs w:val="1"/>
          <w:color w:val="auto"/>
        </w:rPr>
        <w:t>(Date of Event which Requires Filing of this Statement)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2757805</wp:posOffset>
            </wp:positionH>
            <wp:positionV relativeFrom="paragraph">
              <wp:posOffset>296545</wp:posOffset>
            </wp:positionV>
            <wp:extent cx="1474470" cy="889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1474470" cy="8890"/>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370" w:lineRule="exact"/>
        <w:rPr>
          <w:sz w:val="24"/>
          <w:szCs w:val="24"/>
          <w:color w:val="auto"/>
        </w:rPr>
      </w:pPr>
    </w:p>
    <w:p>
      <w:pPr>
        <w:spacing w:after="0"/>
        <w:rPr>
          <w:sz w:val="20"/>
          <w:szCs w:val="20"/>
          <w:color w:val="auto"/>
        </w:rPr>
      </w:pPr>
      <w:r>
        <w:rPr>
          <w:rFonts w:ascii="Arial" w:cs="Arial" w:eastAsia="Arial" w:hAnsi="Arial"/>
          <w:sz w:val="18"/>
          <w:szCs w:val="18"/>
          <w:color w:val="auto"/>
        </w:rPr>
        <w:t>Check the appropriate box to designate the rule pursuant to which this Schedule is filed:</w:t>
      </w:r>
    </w:p>
    <w:p>
      <w:pPr>
        <w:spacing w:after="0" w:line="225" w:lineRule="exact"/>
        <w:rPr>
          <w:sz w:val="24"/>
          <w:szCs w:val="24"/>
          <w:color w:val="auto"/>
        </w:rPr>
      </w:pPr>
    </w:p>
    <w:p>
      <w:pPr>
        <w:ind w:left="1200" w:hanging="213"/>
        <w:spacing w:after="0"/>
        <w:tabs>
          <w:tab w:leader="none" w:pos="1200"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Rule 13d-1(b)</w:t>
      </w:r>
    </w:p>
    <w:p>
      <w:pPr>
        <w:spacing w:after="0" w:line="225" w:lineRule="exact"/>
        <w:rPr>
          <w:sz w:val="24"/>
          <w:szCs w:val="24"/>
          <w:color w:val="auto"/>
        </w:rPr>
      </w:pPr>
    </w:p>
    <w:p>
      <w:pPr>
        <w:ind w:left="1200" w:hanging="213"/>
        <w:spacing w:after="0"/>
        <w:tabs>
          <w:tab w:leader="none" w:pos="1200" w:val="left"/>
        </w:tabs>
        <w:numPr>
          <w:ilvl w:val="1"/>
          <w:numId w:val="2"/>
        </w:numPr>
        <w:rPr>
          <w:rFonts w:ascii="MS PGothic" w:cs="MS PGothic" w:eastAsia="MS PGothic" w:hAnsi="MS PGothic"/>
          <w:sz w:val="18"/>
          <w:szCs w:val="18"/>
          <w:color w:val="auto"/>
        </w:rPr>
      </w:pPr>
      <w:r>
        <w:rPr>
          <w:rFonts w:ascii="Arial" w:cs="Arial" w:eastAsia="Arial" w:hAnsi="Arial"/>
          <w:sz w:val="18"/>
          <w:szCs w:val="18"/>
          <w:color w:val="auto"/>
        </w:rPr>
        <w:t>Rule 13d-1(c)</w:t>
      </w:r>
    </w:p>
    <w:p>
      <w:pPr>
        <w:spacing w:after="0" w:line="225" w:lineRule="exact"/>
        <w:rPr>
          <w:rFonts w:ascii="MS PGothic" w:cs="MS PGothic" w:eastAsia="MS PGothic" w:hAnsi="MS PGothic"/>
          <w:sz w:val="18"/>
          <w:szCs w:val="18"/>
          <w:color w:val="auto"/>
        </w:rPr>
      </w:pPr>
    </w:p>
    <w:p>
      <w:pPr>
        <w:ind w:left="1200" w:hanging="213"/>
        <w:spacing w:after="0"/>
        <w:tabs>
          <w:tab w:leader="none" w:pos="1200" w:val="left"/>
        </w:tabs>
        <w:numPr>
          <w:ilvl w:val="1"/>
          <w:numId w:val="2"/>
        </w:numPr>
        <w:rPr>
          <w:rFonts w:ascii="MS PGothic" w:cs="MS PGothic" w:eastAsia="MS PGothic" w:hAnsi="MS PGothic"/>
          <w:sz w:val="18"/>
          <w:szCs w:val="18"/>
          <w:color w:val="auto"/>
        </w:rPr>
      </w:pPr>
      <w:r>
        <w:rPr>
          <w:rFonts w:ascii="Arial" w:cs="Arial" w:eastAsia="Arial" w:hAnsi="Arial"/>
          <w:sz w:val="18"/>
          <w:szCs w:val="18"/>
          <w:color w:val="auto"/>
        </w:rPr>
        <w:t>Rule 13d-1(d)</w:t>
      </w:r>
    </w:p>
    <w:p>
      <w:pPr>
        <w:spacing w:after="0" w:line="252" w:lineRule="exact"/>
        <w:rPr>
          <w:rFonts w:ascii="MS PGothic" w:cs="MS PGothic" w:eastAsia="MS PGothic" w:hAnsi="MS PGothic"/>
          <w:sz w:val="18"/>
          <w:szCs w:val="18"/>
          <w:color w:val="auto"/>
        </w:rPr>
      </w:pPr>
    </w:p>
    <w:p>
      <w:pPr>
        <w:ind w:left="420" w:hanging="432"/>
        <w:spacing w:after="0" w:line="308" w:lineRule="auto"/>
        <w:rPr>
          <w:rFonts w:ascii="MS PGothic" w:cs="MS PGothic" w:eastAsia="MS PGothic" w:hAnsi="MS PGothic"/>
          <w:sz w:val="18"/>
          <w:szCs w:val="18"/>
          <w:color w:val="auto"/>
        </w:rPr>
      </w:pPr>
      <w:r>
        <w:rPr>
          <w:rFonts w:ascii="Arial" w:cs="Arial" w:eastAsia="Arial" w:hAnsi="Arial"/>
          <w:sz w:val="18"/>
          <w:szCs w:val="18"/>
          <w:color w:val="auto"/>
        </w:rPr>
        <w:t>*</w:t>
      </w:r>
      <w:r>
        <w:rPr>
          <w:rFonts w:ascii="Arial" w:cs="Arial" w:eastAsia="Arial" w:hAnsi="Arial"/>
          <w:sz w:val="17"/>
          <w:szCs w:val="17"/>
          <w:color w:val="auto"/>
        </w:rPr>
        <w:t>The remainder of this cover page shall be filled out for a reporting person’s initial filing on this form with respect to the subject class of securities, and for any subsequent amendment containing information which would alter disclosures provided in a prior cover page.</w:t>
      </w:r>
    </w:p>
    <w:p>
      <w:pPr>
        <w:spacing w:after="0" w:line="146" w:lineRule="exact"/>
        <w:rPr>
          <w:sz w:val="24"/>
          <w:szCs w:val="24"/>
          <w:color w:val="auto"/>
        </w:rPr>
      </w:pPr>
    </w:p>
    <w:p>
      <w:pPr>
        <w:ind w:right="20"/>
        <w:spacing w:after="0" w:line="263" w:lineRule="auto"/>
        <w:rPr>
          <w:sz w:val="20"/>
          <w:szCs w:val="20"/>
          <w:color w:val="auto"/>
        </w:rPr>
      </w:pPr>
      <w:r>
        <w:rPr>
          <w:rFonts w:ascii="Arial" w:cs="Arial" w:eastAsia="Arial" w:hAnsi="Arial"/>
          <w:sz w:val="18"/>
          <w:szCs w:val="18"/>
          <w:color w:val="auto"/>
        </w:rPr>
        <w:t>The information required on the remainder of this cover page shall not be deemed to be “filed” for the purpose of Section 18 of the Securities Exchange Act of 1934 (“</w:t>
      </w:r>
      <w:r>
        <w:rPr>
          <w:rFonts w:ascii="Arial" w:cs="Arial" w:eastAsia="Arial" w:hAnsi="Arial"/>
          <w:sz w:val="18"/>
          <w:szCs w:val="18"/>
          <w:b w:val="1"/>
          <w:bCs w:val="1"/>
          <w:color w:val="auto"/>
        </w:rPr>
        <w:t>Act</w:t>
      </w:r>
      <w:r>
        <w:rPr>
          <w:rFonts w:ascii="Arial" w:cs="Arial" w:eastAsia="Arial" w:hAnsi="Arial"/>
          <w:sz w:val="18"/>
          <w:szCs w:val="18"/>
          <w:color w:val="auto"/>
        </w:rPr>
        <w:t>”) or otherwise subject to the liabilities of that section of the Act but shall be subject to all other provisions of the Act (however, see the Notes).</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-1905</wp:posOffset>
            </wp:positionH>
            <wp:positionV relativeFrom="paragraph">
              <wp:posOffset>151130</wp:posOffset>
            </wp:positionV>
            <wp:extent cx="6995160" cy="825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6995160" cy="8255"/>
                    </a:xfrm>
                    <a:prstGeom prst="rect">
                      <a:avLst/>
                    </a:prstGeom>
                    <a:noFill/>
                  </pic:spPr>
                </pic:pic>
              </a:graphicData>
            </a:graphic>
          </wp:anchor>
        </w:drawing>
        <w:drawing>
          <wp:anchor simplePos="0" relativeHeight="251657728" behindDoc="1" locked="0" layoutInCell="0" allowOverlap="1">
            <wp:simplePos x="0" y="0"/>
            <wp:positionH relativeFrom="column">
              <wp:posOffset>-1905</wp:posOffset>
            </wp:positionH>
            <wp:positionV relativeFrom="paragraph">
              <wp:posOffset>194310</wp:posOffset>
            </wp:positionV>
            <wp:extent cx="6995160" cy="825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6995160" cy="8255"/>
                    </a:xfrm>
                    <a:prstGeom prst="rect">
                      <a:avLst/>
                    </a:prstGeom>
                    <a:noFill/>
                  </pic:spPr>
                </pic:pic>
              </a:graphicData>
            </a:graphic>
          </wp:anchor>
        </w:drawing>
      </w:r>
    </w:p>
    <w:p>
      <w:pPr>
        <w:sectPr>
          <w:pgSz w:w="11900" w:h="16838" w:orient="portrait"/>
          <w:cols w:equalWidth="0" w:num="1">
            <w:col w:w="10940"/>
          </w:cols>
          <w:pgMar w:left="440" w:top="517" w:right="519" w:bottom="1440" w:gutter="0" w:footer="0" w:header="0"/>
        </w:sectPr>
      </w:pPr>
    </w:p>
    <w:bookmarkStart w:id="1" w:name="page2"/>
    <w:bookmarkEnd w:id="1"/>
    <w:p>
      <w:pPr>
        <w:ind w:left="4"/>
        <w:spacing w:after="0"/>
        <w:tabs>
          <w:tab w:leader="none" w:pos="5384" w:val="left"/>
          <w:tab w:leader="none" w:pos="9724" w:val="left"/>
        </w:tabs>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603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149465" cy="26035"/>
                    </a:xfrm>
                    <a:prstGeom prst="rect">
                      <a:avLst/>
                    </a:prstGeom>
                    <a:noFill/>
                  </pic:spPr>
                </pic:pic>
              </a:graphicData>
            </a:graphic>
          </wp:anchor>
        </w:drawing>
        <w:drawing>
          <wp:anchor simplePos="0" relativeHeight="251657728" behindDoc="1" locked="0" layoutInCell="0" allowOverlap="1">
            <wp:simplePos x="0" y="0"/>
            <wp:positionH relativeFrom="page">
              <wp:posOffset>276860</wp:posOffset>
            </wp:positionH>
            <wp:positionV relativeFrom="page">
              <wp:posOffset>286385</wp:posOffset>
            </wp:positionV>
            <wp:extent cx="6995160" cy="825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6995160" cy="8255"/>
                    </a:xfrm>
                    <a:prstGeom prst="rect">
                      <a:avLst/>
                    </a:prstGeom>
                    <a:noFill/>
                  </pic:spPr>
                </pic:pic>
              </a:graphicData>
            </a:graphic>
          </wp:anchor>
        </w:drawing>
        <w:t>CUSIP No. G48833118</w:t>
      </w:r>
      <w:r>
        <w:rPr>
          <w:sz w:val="20"/>
          <w:szCs w:val="20"/>
          <w:color w:val="auto"/>
        </w:rPr>
        <w:tab/>
      </w:r>
      <w:r>
        <w:rPr>
          <w:rFonts w:ascii="Arial" w:cs="Arial" w:eastAsia="Arial" w:hAnsi="Arial"/>
          <w:sz w:val="18"/>
          <w:szCs w:val="18"/>
          <w:color w:val="auto"/>
        </w:rPr>
        <w:t>13G</w:t>
      </w:r>
      <w:r>
        <w:rPr>
          <w:sz w:val="20"/>
          <w:szCs w:val="20"/>
          <w:color w:val="auto"/>
        </w:rPr>
        <w:tab/>
      </w:r>
      <w:r>
        <w:rPr>
          <w:rFonts w:ascii="Arial" w:cs="Arial" w:eastAsia="Arial" w:hAnsi="Arial"/>
          <w:sz w:val="15"/>
          <w:szCs w:val="15"/>
          <w:color w:val="auto"/>
        </w:rPr>
        <w:t>Page 2 of 5 Pages</w:t>
      </w:r>
    </w:p>
    <w:p>
      <w:pPr>
        <w:spacing w:after="0" w:line="266" w:lineRule="exact"/>
        <w:rPr>
          <w:sz w:val="20"/>
          <w:szCs w:val="20"/>
          <w:color w:val="auto"/>
        </w:rPr>
      </w:pPr>
    </w:p>
    <w:p>
      <w:pPr>
        <w:ind w:left="704" w:hanging="457"/>
        <w:spacing w:after="0"/>
        <w:tabs>
          <w:tab w:leader="none" w:pos="704" w:val="left"/>
        </w:tabs>
        <w:numPr>
          <w:ilvl w:val="0"/>
          <w:numId w:val="3"/>
        </w:numPr>
        <w:rPr>
          <w:rFonts w:ascii="Arial" w:cs="Arial" w:eastAsia="Arial" w:hAnsi="Arial"/>
          <w:sz w:val="18"/>
          <w:szCs w:val="18"/>
          <w:color w:val="auto"/>
        </w:rPr>
      </w:pPr>
      <w:r>
        <w:rPr>
          <w:rFonts w:ascii="Arial" w:cs="Arial" w:eastAsia="Arial" w:hAnsi="Arial"/>
          <w:sz w:val="18"/>
          <w:szCs w:val="18"/>
          <w:color w:val="auto"/>
        </w:rPr>
        <w:t>NAMES OF REPORTING PERSONS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-130175</wp:posOffset>
            </wp:positionV>
            <wp:extent cx="7003415" cy="5546090"/>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003415" cy="5546090"/>
                    </a:xfrm>
                    <a:prstGeom prst="rect">
                      <a:avLst/>
                    </a:prstGeom>
                    <a:noFill/>
                  </pic:spPr>
                </pic:pic>
              </a:graphicData>
            </a:graphic>
          </wp:anchor>
        </w:drawing>
      </w:r>
    </w:p>
    <w:p>
      <w:pPr>
        <w:spacing w:after="0" w:line="225" w:lineRule="exact"/>
        <w:rPr>
          <w:sz w:val="20"/>
          <w:szCs w:val="20"/>
          <w:color w:val="auto"/>
        </w:rPr>
      </w:pPr>
    </w:p>
    <w:p>
      <w:pPr>
        <w:ind w:left="704"/>
        <w:spacing w:after="0"/>
        <w:rPr>
          <w:sz w:val="20"/>
          <w:szCs w:val="20"/>
          <w:color w:val="auto"/>
        </w:rPr>
      </w:pPr>
      <w:r>
        <w:rPr>
          <w:rFonts w:ascii="Arial" w:cs="Arial" w:eastAsia="Arial" w:hAnsi="Arial"/>
          <w:sz w:val="22"/>
          <w:szCs w:val="22"/>
          <w:color w:val="auto"/>
        </w:rPr>
        <w:t>Assured Investment Management LLC</w:t>
      </w:r>
    </w:p>
    <w:p>
      <w:pPr>
        <w:spacing w:after="0" w:line="24" w:lineRule="exact"/>
        <w:rPr>
          <w:sz w:val="20"/>
          <w:szCs w:val="20"/>
          <w:color w:val="auto"/>
        </w:rPr>
      </w:pPr>
    </w:p>
    <w:p>
      <w:pPr>
        <w:ind w:left="704" w:hanging="457"/>
        <w:spacing w:after="0"/>
        <w:tabs>
          <w:tab w:leader="none" w:pos="704" w:val="left"/>
        </w:tabs>
        <w:numPr>
          <w:ilvl w:val="0"/>
          <w:numId w:val="4"/>
        </w:numPr>
        <w:rPr>
          <w:rFonts w:ascii="Arial" w:cs="Arial" w:eastAsia="Arial" w:hAnsi="Arial"/>
          <w:sz w:val="18"/>
          <w:szCs w:val="18"/>
          <w:color w:val="auto"/>
        </w:rPr>
      </w:pPr>
      <w:r>
        <w:rPr>
          <w:rFonts w:ascii="Arial" w:cs="Arial" w:eastAsia="Arial" w:hAnsi="Arial"/>
          <w:sz w:val="18"/>
          <w:szCs w:val="18"/>
          <w:color w:val="auto"/>
        </w:rPr>
        <w:t>CHECK THE APPROPRIATE BOX IF A MEMBER OF A GROUP (see instructions)</w:t>
      </w:r>
    </w:p>
    <w:p>
      <w:pPr>
        <w:spacing w:after="0" w:line="18" w:lineRule="exact"/>
        <w:rPr>
          <w:sz w:val="20"/>
          <w:szCs w:val="20"/>
          <w:color w:val="auto"/>
        </w:rPr>
      </w:pPr>
    </w:p>
    <w:p>
      <w:pPr>
        <w:ind w:left="704"/>
        <w:spacing w:after="0" w:line="207" w:lineRule="exact"/>
        <w:tabs>
          <w:tab w:leader="none" w:pos="1484" w:val="left"/>
        </w:tabs>
        <w:rPr>
          <w:sz w:val="20"/>
          <w:szCs w:val="20"/>
          <w:color w:val="auto"/>
        </w:rPr>
      </w:pPr>
      <w:r>
        <w:rPr>
          <w:rFonts w:ascii="Arial" w:cs="Arial" w:eastAsia="Arial" w:hAnsi="Arial"/>
          <w:sz w:val="18"/>
          <w:szCs w:val="18"/>
          <w:color w:val="auto"/>
        </w:rPr>
        <w:t xml:space="preserve">(a) </w:t>
      </w:r>
      <w:r>
        <w:rPr>
          <w:rFonts w:ascii="MS PGothic" w:cs="MS PGothic" w:eastAsia="MS PGothic" w:hAnsi="MS PGothic"/>
          <w:sz w:val="18"/>
          <w:szCs w:val="18"/>
          <w:color w:val="auto"/>
        </w:rPr>
        <w:t>☐</w:t>
      </w:r>
      <w:r>
        <w:rPr>
          <w:sz w:val="20"/>
          <w:szCs w:val="20"/>
          <w:color w:val="auto"/>
        </w:rPr>
        <w:tab/>
      </w:r>
      <w:r>
        <w:rPr>
          <w:rFonts w:ascii="Arial" w:cs="Arial" w:eastAsia="Arial" w:hAnsi="Arial"/>
          <w:sz w:val="18"/>
          <w:szCs w:val="18"/>
          <w:color w:val="auto"/>
        </w:rPr>
        <w:t xml:space="preserve">(b) </w:t>
      </w:r>
      <w:r>
        <w:rPr>
          <w:rFonts w:ascii="MS PGothic" w:cs="MS PGothic" w:eastAsia="MS PGothic" w:hAnsi="MS PGothic"/>
          <w:sz w:val="18"/>
          <w:szCs w:val="18"/>
          <w:color w:val="auto"/>
        </w:rPr>
        <w:t>☒</w:t>
      </w:r>
    </w:p>
    <w:p>
      <w:pPr>
        <w:spacing w:after="0" w:line="270" w:lineRule="exact"/>
        <w:rPr>
          <w:sz w:val="20"/>
          <w:szCs w:val="20"/>
          <w:color w:val="auto"/>
        </w:rPr>
      </w:pPr>
    </w:p>
    <w:p>
      <w:pPr>
        <w:ind w:left="704" w:hanging="457"/>
        <w:spacing w:after="0"/>
        <w:tabs>
          <w:tab w:leader="none" w:pos="704" w:val="left"/>
        </w:tabs>
        <w:numPr>
          <w:ilvl w:val="0"/>
          <w:numId w:val="5"/>
        </w:numPr>
        <w:rPr>
          <w:rFonts w:ascii="Arial" w:cs="Arial" w:eastAsia="Arial" w:hAnsi="Arial"/>
          <w:sz w:val="18"/>
          <w:szCs w:val="18"/>
          <w:color w:val="auto"/>
        </w:rPr>
      </w:pPr>
      <w:r>
        <w:rPr>
          <w:rFonts w:ascii="Arial" w:cs="Arial" w:eastAsia="Arial" w:hAnsi="Arial"/>
          <w:sz w:val="18"/>
          <w:szCs w:val="18"/>
          <w:color w:val="auto"/>
        </w:rPr>
        <w:t>SEC USE ONLY</w:t>
      </w:r>
    </w:p>
    <w:p>
      <w:pPr>
        <w:spacing w:after="0" w:line="200" w:lineRule="exact"/>
        <w:rPr>
          <w:rFonts w:ascii="Arial" w:cs="Arial" w:eastAsia="Arial" w:hAnsi="Arial"/>
          <w:sz w:val="18"/>
          <w:szCs w:val="18"/>
          <w:color w:val="auto"/>
        </w:rPr>
      </w:pPr>
    </w:p>
    <w:p>
      <w:pPr>
        <w:spacing w:after="0" w:line="322" w:lineRule="exact"/>
        <w:rPr>
          <w:rFonts w:ascii="Arial" w:cs="Arial" w:eastAsia="Arial" w:hAnsi="Arial"/>
          <w:sz w:val="18"/>
          <w:szCs w:val="18"/>
          <w:color w:val="auto"/>
        </w:rPr>
      </w:pPr>
    </w:p>
    <w:p>
      <w:pPr>
        <w:ind w:left="704" w:hanging="457"/>
        <w:spacing w:after="0"/>
        <w:tabs>
          <w:tab w:leader="none" w:pos="704" w:val="left"/>
        </w:tabs>
        <w:numPr>
          <w:ilvl w:val="0"/>
          <w:numId w:val="5"/>
        </w:numPr>
        <w:rPr>
          <w:rFonts w:ascii="Arial" w:cs="Arial" w:eastAsia="Arial" w:hAnsi="Arial"/>
          <w:sz w:val="18"/>
          <w:szCs w:val="18"/>
          <w:color w:val="auto"/>
        </w:rPr>
      </w:pPr>
      <w:r>
        <w:rPr>
          <w:rFonts w:ascii="Arial" w:cs="Arial" w:eastAsia="Arial" w:hAnsi="Arial"/>
          <w:sz w:val="18"/>
          <w:szCs w:val="18"/>
          <w:color w:val="auto"/>
        </w:rPr>
        <w:t>CITIZENSHIP OR PLACE OF ORGANIZATION</w:t>
      </w:r>
    </w:p>
    <w:p>
      <w:pPr>
        <w:spacing w:after="0" w:line="245" w:lineRule="exact"/>
        <w:rPr>
          <w:sz w:val="20"/>
          <w:szCs w:val="20"/>
          <w:color w:val="auto"/>
        </w:rPr>
      </w:pPr>
    </w:p>
    <w:p>
      <w:pPr>
        <w:ind w:left="704"/>
        <w:spacing w:after="0"/>
        <w:rPr>
          <w:sz w:val="20"/>
          <w:szCs w:val="20"/>
          <w:color w:val="auto"/>
        </w:rPr>
      </w:pPr>
      <w:r>
        <w:rPr>
          <w:rFonts w:ascii="Arial" w:cs="Arial" w:eastAsia="Arial" w:hAnsi="Arial"/>
          <w:sz w:val="22"/>
          <w:szCs w:val="22"/>
          <w:color w:val="auto"/>
        </w:rPr>
        <w:t>Delaware, United States of America</w:t>
      </w:r>
    </w:p>
    <w:p>
      <w:pPr>
        <w:sectPr>
          <w:pgSz w:w="11900" w:h="16838" w:orient="portrait"/>
          <w:cols w:equalWidth="0" w:num="1">
            <w:col w:w="11024"/>
          </w:cols>
          <w:pgMar w:left="436" w:top="638" w:right="4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5" w:lineRule="exact"/>
        <w:rPr>
          <w:sz w:val="20"/>
          <w:szCs w:val="20"/>
          <w:color w:val="auto"/>
        </w:rPr>
      </w:pPr>
    </w:p>
    <w:p>
      <w:pPr>
        <w:jc w:val="center"/>
        <w:ind w:left="164"/>
        <w:spacing w:after="0"/>
        <w:rPr>
          <w:sz w:val="20"/>
          <w:szCs w:val="20"/>
          <w:color w:val="auto"/>
        </w:rPr>
      </w:pPr>
      <w:r>
        <w:rPr>
          <w:rFonts w:ascii="Arial" w:cs="Arial" w:eastAsia="Arial" w:hAnsi="Arial"/>
          <w:sz w:val="18"/>
          <w:szCs w:val="18"/>
          <w:color w:val="auto"/>
        </w:rPr>
        <w:t>NUMBER OF</w:t>
      </w:r>
    </w:p>
    <w:p>
      <w:pPr>
        <w:spacing w:after="0" w:line="23" w:lineRule="exact"/>
        <w:rPr>
          <w:sz w:val="20"/>
          <w:szCs w:val="20"/>
          <w:color w:val="auto"/>
        </w:rPr>
      </w:pPr>
    </w:p>
    <w:p>
      <w:pPr>
        <w:jc w:val="center"/>
        <w:ind w:left="164"/>
        <w:spacing w:after="0"/>
        <w:rPr>
          <w:sz w:val="20"/>
          <w:szCs w:val="20"/>
          <w:color w:val="auto"/>
        </w:rPr>
      </w:pPr>
      <w:r>
        <w:rPr>
          <w:rFonts w:ascii="Arial" w:cs="Arial" w:eastAsia="Arial" w:hAnsi="Arial"/>
          <w:sz w:val="18"/>
          <w:szCs w:val="18"/>
          <w:color w:val="auto"/>
        </w:rPr>
        <w:t>SHARES</w:t>
      </w:r>
    </w:p>
    <w:p>
      <w:pPr>
        <w:spacing w:after="0" w:line="9" w:lineRule="exact"/>
        <w:rPr>
          <w:sz w:val="20"/>
          <w:szCs w:val="20"/>
          <w:color w:val="auto"/>
        </w:rPr>
      </w:pPr>
    </w:p>
    <w:p>
      <w:pPr>
        <w:jc w:val="center"/>
        <w:ind w:left="164"/>
        <w:spacing w:after="0"/>
        <w:rPr>
          <w:sz w:val="20"/>
          <w:szCs w:val="20"/>
          <w:color w:val="auto"/>
        </w:rPr>
      </w:pPr>
      <w:r>
        <w:rPr>
          <w:rFonts w:ascii="Arial" w:cs="Arial" w:eastAsia="Arial" w:hAnsi="Arial"/>
          <w:sz w:val="17"/>
          <w:szCs w:val="17"/>
          <w:color w:val="auto"/>
        </w:rPr>
        <w:t>BENEFICIALLY</w:t>
      </w:r>
    </w:p>
    <w:p>
      <w:pPr>
        <w:spacing w:after="0" w:line="21" w:lineRule="exact"/>
        <w:rPr>
          <w:sz w:val="20"/>
          <w:szCs w:val="20"/>
          <w:color w:val="auto"/>
        </w:rPr>
      </w:pPr>
    </w:p>
    <w:p>
      <w:pPr>
        <w:jc w:val="center"/>
        <w:ind w:left="164"/>
        <w:spacing w:after="0"/>
        <w:rPr>
          <w:sz w:val="20"/>
          <w:szCs w:val="20"/>
          <w:color w:val="auto"/>
        </w:rPr>
      </w:pPr>
      <w:r>
        <w:rPr>
          <w:rFonts w:ascii="Arial" w:cs="Arial" w:eastAsia="Arial" w:hAnsi="Arial"/>
          <w:sz w:val="18"/>
          <w:szCs w:val="18"/>
          <w:color w:val="auto"/>
        </w:rPr>
        <w:t>OWNED BY</w:t>
      </w:r>
    </w:p>
    <w:p>
      <w:pPr>
        <w:spacing w:after="0" w:line="9" w:lineRule="exact"/>
        <w:rPr>
          <w:sz w:val="20"/>
          <w:szCs w:val="20"/>
          <w:color w:val="auto"/>
        </w:rPr>
      </w:pPr>
    </w:p>
    <w:p>
      <w:pPr>
        <w:jc w:val="center"/>
        <w:ind w:left="164"/>
        <w:spacing w:after="0"/>
        <w:rPr>
          <w:sz w:val="20"/>
          <w:szCs w:val="20"/>
          <w:color w:val="auto"/>
        </w:rPr>
      </w:pPr>
      <w:r>
        <w:rPr>
          <w:rFonts w:ascii="Arial" w:cs="Arial" w:eastAsia="Arial" w:hAnsi="Arial"/>
          <w:sz w:val="18"/>
          <w:szCs w:val="18"/>
          <w:color w:val="auto"/>
        </w:rPr>
        <w:t>EACH</w:t>
      </w:r>
    </w:p>
    <w:p>
      <w:pPr>
        <w:spacing w:after="0" w:line="9" w:lineRule="exact"/>
        <w:rPr>
          <w:sz w:val="20"/>
          <w:szCs w:val="20"/>
          <w:color w:val="auto"/>
        </w:rPr>
      </w:pPr>
    </w:p>
    <w:p>
      <w:pPr>
        <w:jc w:val="center"/>
        <w:ind w:left="164"/>
        <w:spacing w:after="0"/>
        <w:rPr>
          <w:sz w:val="20"/>
          <w:szCs w:val="20"/>
          <w:color w:val="auto"/>
        </w:rPr>
      </w:pPr>
      <w:r>
        <w:rPr>
          <w:rFonts w:ascii="Arial" w:cs="Arial" w:eastAsia="Arial" w:hAnsi="Arial"/>
          <w:sz w:val="18"/>
          <w:szCs w:val="18"/>
          <w:color w:val="auto"/>
        </w:rPr>
        <w:t>REPORTING</w:t>
      </w:r>
    </w:p>
    <w:p>
      <w:pPr>
        <w:spacing w:after="0" w:line="9" w:lineRule="exact"/>
        <w:rPr>
          <w:sz w:val="20"/>
          <w:szCs w:val="20"/>
          <w:color w:val="auto"/>
        </w:rPr>
      </w:pPr>
    </w:p>
    <w:p>
      <w:pPr>
        <w:jc w:val="center"/>
        <w:ind w:left="164"/>
        <w:spacing w:after="0"/>
        <w:rPr>
          <w:sz w:val="20"/>
          <w:szCs w:val="20"/>
          <w:color w:val="auto"/>
        </w:rPr>
      </w:pPr>
      <w:r>
        <w:rPr>
          <w:rFonts w:ascii="Arial" w:cs="Arial" w:eastAsia="Arial" w:hAnsi="Arial"/>
          <w:sz w:val="18"/>
          <w:szCs w:val="18"/>
          <w:color w:val="auto"/>
        </w:rPr>
        <w:t>PERSON</w:t>
      </w:r>
    </w:p>
    <w:p>
      <w:pPr>
        <w:spacing w:after="0" w:line="9" w:lineRule="exact"/>
        <w:rPr>
          <w:sz w:val="20"/>
          <w:szCs w:val="20"/>
          <w:color w:val="auto"/>
        </w:rPr>
      </w:pPr>
    </w:p>
    <w:p>
      <w:pPr>
        <w:jc w:val="center"/>
        <w:ind w:left="164"/>
        <w:spacing w:after="0"/>
        <w:rPr>
          <w:sz w:val="20"/>
          <w:szCs w:val="20"/>
          <w:color w:val="auto"/>
        </w:rPr>
      </w:pPr>
      <w:r>
        <w:rPr>
          <w:rFonts w:ascii="Arial" w:cs="Arial" w:eastAsia="Arial" w:hAnsi="Arial"/>
          <w:sz w:val="18"/>
          <w:szCs w:val="18"/>
          <w:color w:val="auto"/>
        </w:rPr>
        <w:t>WITH</w:t>
      </w:r>
    </w:p>
    <w:p>
      <w:pPr>
        <w:spacing w:after="0" w:line="20" w:lineRule="exact"/>
        <w:rPr>
          <w:sz w:val="20"/>
          <w:szCs w:val="20"/>
          <w:color w:val="auto"/>
        </w:rPr>
      </w:pPr>
      <w:r>
        <w:rPr>
          <w:sz w:val="20"/>
          <w:szCs w:val="20"/>
          <w:color w:val="auto"/>
        </w:rPr>
        <w:br w:type="column"/>
      </w:r>
    </w:p>
    <w:p>
      <w:pPr>
        <w:spacing w:after="0" w:line="4" w:lineRule="exact"/>
        <w:rPr>
          <w:sz w:val="20"/>
          <w:szCs w:val="20"/>
          <w:color w:val="auto"/>
        </w:rPr>
      </w:pPr>
    </w:p>
    <w:p>
      <w:pPr>
        <w:ind w:left="325" w:hanging="325"/>
        <w:spacing w:after="0"/>
        <w:tabs>
          <w:tab w:leader="none" w:pos="325" w:val="left"/>
        </w:tabs>
        <w:numPr>
          <w:ilvl w:val="0"/>
          <w:numId w:val="6"/>
        </w:numPr>
        <w:rPr>
          <w:rFonts w:ascii="Arial" w:cs="Arial" w:eastAsia="Arial" w:hAnsi="Arial"/>
          <w:sz w:val="18"/>
          <w:szCs w:val="18"/>
          <w:color w:val="auto"/>
        </w:rPr>
      </w:pPr>
      <w:r>
        <w:rPr>
          <w:rFonts w:ascii="Arial" w:cs="Arial" w:eastAsia="Arial" w:hAnsi="Arial"/>
          <w:sz w:val="18"/>
          <w:szCs w:val="18"/>
          <w:color w:val="auto"/>
        </w:rPr>
        <w:t>SOLE VOTING POWER</w:t>
      </w:r>
    </w:p>
    <w:p>
      <w:pPr>
        <w:spacing w:after="0" w:line="245" w:lineRule="exact"/>
        <w:rPr>
          <w:sz w:val="20"/>
          <w:szCs w:val="20"/>
          <w:color w:val="auto"/>
        </w:rPr>
      </w:pPr>
    </w:p>
    <w:p>
      <w:pPr>
        <w:ind w:left="325"/>
        <w:spacing w:after="0"/>
        <w:rPr>
          <w:sz w:val="20"/>
          <w:szCs w:val="20"/>
          <w:color w:val="auto"/>
        </w:rPr>
      </w:pPr>
      <w:r>
        <w:rPr>
          <w:rFonts w:ascii="Arial" w:cs="Arial" w:eastAsia="Arial" w:hAnsi="Arial"/>
          <w:sz w:val="22"/>
          <w:szCs w:val="22"/>
          <w:color w:val="auto"/>
        </w:rPr>
        <w:t>0</w:t>
      </w:r>
    </w:p>
    <w:p>
      <w:pPr>
        <w:spacing w:after="0" w:line="24" w:lineRule="exact"/>
        <w:rPr>
          <w:sz w:val="20"/>
          <w:szCs w:val="20"/>
          <w:color w:val="auto"/>
        </w:rPr>
      </w:pPr>
    </w:p>
    <w:p>
      <w:pPr>
        <w:ind w:left="325" w:hanging="325"/>
        <w:spacing w:after="0"/>
        <w:tabs>
          <w:tab w:leader="none" w:pos="325" w:val="left"/>
        </w:tabs>
        <w:numPr>
          <w:ilvl w:val="0"/>
          <w:numId w:val="7"/>
        </w:numPr>
        <w:rPr>
          <w:rFonts w:ascii="Arial" w:cs="Arial" w:eastAsia="Arial" w:hAnsi="Arial"/>
          <w:sz w:val="18"/>
          <w:szCs w:val="18"/>
          <w:color w:val="auto"/>
        </w:rPr>
      </w:pPr>
      <w:r>
        <w:rPr>
          <w:rFonts w:ascii="Arial" w:cs="Arial" w:eastAsia="Arial" w:hAnsi="Arial"/>
          <w:sz w:val="18"/>
          <w:szCs w:val="18"/>
          <w:color w:val="auto"/>
        </w:rPr>
        <w:t>SHARED VOTING POWER</w:t>
      </w:r>
    </w:p>
    <w:p>
      <w:pPr>
        <w:spacing w:after="0" w:line="245" w:lineRule="exact"/>
        <w:rPr>
          <w:sz w:val="20"/>
          <w:szCs w:val="20"/>
          <w:color w:val="auto"/>
        </w:rPr>
      </w:pPr>
    </w:p>
    <w:p>
      <w:pPr>
        <w:ind w:left="325"/>
        <w:spacing w:after="0"/>
        <w:rPr>
          <w:sz w:val="20"/>
          <w:szCs w:val="20"/>
          <w:color w:val="auto"/>
        </w:rPr>
      </w:pPr>
      <w:r>
        <w:rPr>
          <w:rFonts w:ascii="Arial" w:cs="Arial" w:eastAsia="Arial" w:hAnsi="Arial"/>
          <w:sz w:val="22"/>
          <w:szCs w:val="22"/>
          <w:color w:val="auto"/>
        </w:rPr>
        <w:t>698,618</w:t>
      </w:r>
    </w:p>
    <w:p>
      <w:pPr>
        <w:spacing w:after="0" w:line="24" w:lineRule="exact"/>
        <w:rPr>
          <w:sz w:val="20"/>
          <w:szCs w:val="20"/>
          <w:color w:val="auto"/>
        </w:rPr>
      </w:pPr>
    </w:p>
    <w:p>
      <w:pPr>
        <w:ind w:left="325" w:hanging="325"/>
        <w:spacing w:after="0"/>
        <w:tabs>
          <w:tab w:leader="none" w:pos="325" w:val="left"/>
        </w:tabs>
        <w:numPr>
          <w:ilvl w:val="0"/>
          <w:numId w:val="8"/>
        </w:numPr>
        <w:rPr>
          <w:rFonts w:ascii="Arial" w:cs="Arial" w:eastAsia="Arial" w:hAnsi="Arial"/>
          <w:sz w:val="18"/>
          <w:szCs w:val="18"/>
          <w:color w:val="auto"/>
        </w:rPr>
      </w:pPr>
      <w:r>
        <w:rPr>
          <w:rFonts w:ascii="Arial" w:cs="Arial" w:eastAsia="Arial" w:hAnsi="Arial"/>
          <w:sz w:val="18"/>
          <w:szCs w:val="18"/>
          <w:color w:val="auto"/>
        </w:rPr>
        <w:t>SOLE DISPOSITIVE POWER</w:t>
      </w:r>
    </w:p>
    <w:p>
      <w:pPr>
        <w:spacing w:after="0" w:line="245" w:lineRule="exact"/>
        <w:rPr>
          <w:sz w:val="20"/>
          <w:szCs w:val="20"/>
          <w:color w:val="auto"/>
        </w:rPr>
      </w:pPr>
    </w:p>
    <w:p>
      <w:pPr>
        <w:ind w:left="325"/>
        <w:spacing w:after="0"/>
        <w:rPr>
          <w:sz w:val="20"/>
          <w:szCs w:val="20"/>
          <w:color w:val="auto"/>
        </w:rPr>
      </w:pPr>
      <w:r>
        <w:rPr>
          <w:rFonts w:ascii="Arial" w:cs="Arial" w:eastAsia="Arial" w:hAnsi="Arial"/>
          <w:sz w:val="22"/>
          <w:szCs w:val="22"/>
          <w:color w:val="auto"/>
        </w:rPr>
        <w:t>0</w:t>
      </w:r>
    </w:p>
    <w:p>
      <w:pPr>
        <w:spacing w:after="0" w:line="24" w:lineRule="exact"/>
        <w:rPr>
          <w:sz w:val="20"/>
          <w:szCs w:val="20"/>
          <w:color w:val="auto"/>
        </w:rPr>
      </w:pPr>
    </w:p>
    <w:p>
      <w:pPr>
        <w:ind w:left="325" w:hanging="325"/>
        <w:spacing w:after="0"/>
        <w:tabs>
          <w:tab w:leader="none" w:pos="325" w:val="left"/>
        </w:tabs>
        <w:numPr>
          <w:ilvl w:val="0"/>
          <w:numId w:val="9"/>
        </w:numPr>
        <w:rPr>
          <w:rFonts w:ascii="Arial" w:cs="Arial" w:eastAsia="Arial" w:hAnsi="Arial"/>
          <w:sz w:val="17"/>
          <w:szCs w:val="17"/>
          <w:color w:val="auto"/>
        </w:rPr>
      </w:pPr>
      <w:r>
        <w:rPr>
          <w:rFonts w:ascii="Arial" w:cs="Arial" w:eastAsia="Arial" w:hAnsi="Arial"/>
          <w:sz w:val="17"/>
          <w:szCs w:val="17"/>
          <w:color w:val="auto"/>
        </w:rPr>
        <w:t>SHARED DISPOSITIVE POWER</w:t>
      </w:r>
    </w:p>
    <w:p>
      <w:pPr>
        <w:spacing w:after="0" w:line="256" w:lineRule="exact"/>
        <w:rPr>
          <w:sz w:val="20"/>
          <w:szCs w:val="20"/>
          <w:color w:val="auto"/>
        </w:rPr>
      </w:pPr>
    </w:p>
    <w:p>
      <w:pPr>
        <w:ind w:left="325"/>
        <w:spacing w:after="0"/>
        <w:rPr>
          <w:sz w:val="20"/>
          <w:szCs w:val="20"/>
          <w:color w:val="auto"/>
        </w:rPr>
      </w:pPr>
      <w:r>
        <w:rPr>
          <w:rFonts w:ascii="Arial" w:cs="Arial" w:eastAsia="Arial" w:hAnsi="Arial"/>
          <w:sz w:val="22"/>
          <w:szCs w:val="22"/>
          <w:color w:val="auto"/>
        </w:rPr>
        <w:t>698,618</w:t>
      </w:r>
    </w:p>
    <w:p>
      <w:pPr>
        <w:spacing w:after="0" w:line="24" w:lineRule="exact"/>
        <w:rPr>
          <w:sz w:val="20"/>
          <w:szCs w:val="20"/>
          <w:color w:val="auto"/>
        </w:rPr>
      </w:pPr>
    </w:p>
    <w:p>
      <w:pPr>
        <w:sectPr>
          <w:pgSz w:w="11900" w:h="16838" w:orient="portrait"/>
          <w:cols w:equalWidth="0" w:num="2">
            <w:col w:w="1424" w:space="115"/>
            <w:col w:w="9485"/>
          </w:cols>
          <w:pgMar w:left="436" w:top="638" w:right="439" w:bottom="1440" w:gutter="0" w:footer="0" w:header="0"/>
          <w:type w:val="continuous"/>
        </w:sectPr>
      </w:pPr>
    </w:p>
    <w:p>
      <w:pPr>
        <w:ind w:left="704" w:hanging="457"/>
        <w:spacing w:after="0"/>
        <w:tabs>
          <w:tab w:leader="none" w:pos="704" w:val="left"/>
        </w:tabs>
        <w:numPr>
          <w:ilvl w:val="0"/>
          <w:numId w:val="10"/>
        </w:numPr>
        <w:rPr>
          <w:rFonts w:ascii="Arial" w:cs="Arial" w:eastAsia="Arial" w:hAnsi="Arial"/>
          <w:sz w:val="18"/>
          <w:szCs w:val="18"/>
          <w:color w:val="auto"/>
        </w:rPr>
      </w:pPr>
      <w:r>
        <w:rPr>
          <w:rFonts w:ascii="Arial" w:cs="Arial" w:eastAsia="Arial" w:hAnsi="Arial"/>
          <w:sz w:val="18"/>
          <w:szCs w:val="18"/>
          <w:color w:val="auto"/>
        </w:rPr>
        <w:t>AGGREGATE AMOUNT BENEFICIALLY OWNED BY EACH REPORTING PERSON</w:t>
      </w:r>
    </w:p>
    <w:p>
      <w:pPr>
        <w:spacing w:after="0" w:line="245" w:lineRule="exact"/>
        <w:rPr>
          <w:sz w:val="20"/>
          <w:szCs w:val="20"/>
          <w:color w:val="auto"/>
        </w:rPr>
      </w:pPr>
    </w:p>
    <w:p>
      <w:pPr>
        <w:ind w:left="704"/>
        <w:spacing w:after="0"/>
        <w:rPr>
          <w:sz w:val="20"/>
          <w:szCs w:val="20"/>
          <w:color w:val="auto"/>
        </w:rPr>
      </w:pPr>
      <w:r>
        <w:rPr>
          <w:rFonts w:ascii="Arial" w:cs="Arial" w:eastAsia="Arial" w:hAnsi="Arial"/>
          <w:sz w:val="22"/>
          <w:szCs w:val="22"/>
          <w:color w:val="auto"/>
        </w:rPr>
        <w:t>698,618</w:t>
      </w:r>
    </w:p>
    <w:p>
      <w:pPr>
        <w:spacing w:after="0" w:line="21" w:lineRule="exact"/>
        <w:rPr>
          <w:sz w:val="20"/>
          <w:szCs w:val="20"/>
          <w:color w:val="auto"/>
        </w:rPr>
      </w:pPr>
    </w:p>
    <w:p>
      <w:pPr>
        <w:ind w:left="704" w:hanging="547"/>
        <w:spacing w:after="0" w:line="207" w:lineRule="exact"/>
        <w:tabs>
          <w:tab w:leader="none" w:pos="704" w:val="left"/>
        </w:tabs>
        <w:numPr>
          <w:ilvl w:val="0"/>
          <w:numId w:val="11"/>
        </w:numPr>
        <w:rPr>
          <w:rFonts w:ascii="Arial" w:cs="Arial" w:eastAsia="Arial" w:hAnsi="Arial"/>
          <w:sz w:val="18"/>
          <w:szCs w:val="18"/>
          <w:color w:val="auto"/>
        </w:rPr>
      </w:pPr>
      <w:r>
        <w:rPr>
          <w:rFonts w:ascii="Arial" w:cs="Arial" w:eastAsia="Arial" w:hAnsi="Arial"/>
          <w:sz w:val="18"/>
          <w:szCs w:val="18"/>
          <w:color w:val="auto"/>
        </w:rPr>
        <w:t xml:space="preserve">CHECK IF THE AGGREGATE AMOUNT IN ROW (9) EXCLUDES CERTAIN SHARES (see instructions) </w:t>
      </w:r>
      <w:r>
        <w:rPr>
          <w:rFonts w:ascii="MS PGothic" w:cs="MS PGothic" w:eastAsia="MS PGothic" w:hAnsi="MS PGothic"/>
          <w:sz w:val="18"/>
          <w:szCs w:val="18"/>
          <w:color w:val="auto"/>
        </w:rPr>
        <w:t>☐</w:t>
      </w:r>
    </w:p>
    <w:p>
      <w:pPr>
        <w:spacing w:after="0" w:line="200" w:lineRule="exact"/>
        <w:rPr>
          <w:rFonts w:ascii="Arial" w:cs="Arial" w:eastAsia="Arial" w:hAnsi="Arial"/>
          <w:sz w:val="18"/>
          <w:szCs w:val="18"/>
          <w:color w:val="auto"/>
        </w:rPr>
      </w:pPr>
    </w:p>
    <w:p>
      <w:pPr>
        <w:spacing w:after="0" w:line="324" w:lineRule="exact"/>
        <w:rPr>
          <w:rFonts w:ascii="Arial" w:cs="Arial" w:eastAsia="Arial" w:hAnsi="Arial"/>
          <w:sz w:val="18"/>
          <w:szCs w:val="18"/>
          <w:color w:val="auto"/>
        </w:rPr>
      </w:pPr>
    </w:p>
    <w:p>
      <w:pPr>
        <w:ind w:left="704" w:hanging="547"/>
        <w:spacing w:after="0"/>
        <w:tabs>
          <w:tab w:leader="none" w:pos="704" w:val="left"/>
        </w:tabs>
        <w:numPr>
          <w:ilvl w:val="0"/>
          <w:numId w:val="11"/>
        </w:numPr>
        <w:rPr>
          <w:rFonts w:ascii="Arial" w:cs="Arial" w:eastAsia="Arial" w:hAnsi="Arial"/>
          <w:sz w:val="18"/>
          <w:szCs w:val="18"/>
          <w:color w:val="auto"/>
        </w:rPr>
      </w:pPr>
      <w:r>
        <w:rPr>
          <w:rFonts w:ascii="Arial" w:cs="Arial" w:eastAsia="Arial" w:hAnsi="Arial"/>
          <w:sz w:val="18"/>
          <w:szCs w:val="18"/>
          <w:color w:val="auto"/>
        </w:rPr>
        <w:t>PERCENT OF CLASS REPRESENTED BY AMOUNT IN ROW (9)</w:t>
      </w:r>
    </w:p>
    <w:p>
      <w:pPr>
        <w:spacing w:after="0" w:line="245" w:lineRule="exact"/>
        <w:rPr>
          <w:sz w:val="20"/>
          <w:szCs w:val="20"/>
          <w:color w:val="auto"/>
        </w:rPr>
      </w:pPr>
    </w:p>
    <w:p>
      <w:pPr>
        <w:ind w:left="704"/>
        <w:spacing w:after="0"/>
        <w:rPr>
          <w:sz w:val="20"/>
          <w:szCs w:val="20"/>
          <w:color w:val="auto"/>
        </w:rPr>
      </w:pPr>
      <w:r>
        <w:rPr>
          <w:rFonts w:ascii="Arial" w:cs="Arial" w:eastAsia="Arial" w:hAnsi="Arial"/>
          <w:sz w:val="22"/>
          <w:szCs w:val="22"/>
          <w:color w:val="auto"/>
        </w:rPr>
        <w:t>1.0% (1)</w:t>
      </w:r>
    </w:p>
    <w:p>
      <w:pPr>
        <w:spacing w:after="0" w:line="24" w:lineRule="exact"/>
        <w:rPr>
          <w:sz w:val="20"/>
          <w:szCs w:val="20"/>
          <w:color w:val="auto"/>
        </w:rPr>
      </w:pPr>
    </w:p>
    <w:p>
      <w:pPr>
        <w:ind w:left="704" w:hanging="547"/>
        <w:spacing w:after="0"/>
        <w:tabs>
          <w:tab w:leader="none" w:pos="704" w:val="left"/>
        </w:tabs>
        <w:numPr>
          <w:ilvl w:val="0"/>
          <w:numId w:val="12"/>
        </w:numPr>
        <w:rPr>
          <w:rFonts w:ascii="Arial" w:cs="Arial" w:eastAsia="Arial" w:hAnsi="Arial"/>
          <w:sz w:val="18"/>
          <w:szCs w:val="18"/>
          <w:color w:val="auto"/>
        </w:rPr>
      </w:pPr>
      <w:r>
        <w:rPr>
          <w:rFonts w:ascii="Arial" w:cs="Arial" w:eastAsia="Arial" w:hAnsi="Arial"/>
          <w:sz w:val="18"/>
          <w:szCs w:val="18"/>
          <w:color w:val="auto"/>
        </w:rPr>
        <w:t>TYPE OF REPORTING PERSON (see instructions)</w:t>
      </w:r>
    </w:p>
    <w:p>
      <w:pPr>
        <w:spacing w:after="0" w:line="245" w:lineRule="exact"/>
        <w:rPr>
          <w:sz w:val="20"/>
          <w:szCs w:val="20"/>
          <w:color w:val="auto"/>
        </w:rPr>
      </w:pPr>
    </w:p>
    <w:p>
      <w:pPr>
        <w:ind w:left="704"/>
        <w:spacing w:after="0"/>
        <w:rPr>
          <w:sz w:val="20"/>
          <w:szCs w:val="20"/>
          <w:color w:val="auto"/>
        </w:rPr>
      </w:pPr>
      <w:r>
        <w:rPr>
          <w:rFonts w:ascii="Arial" w:cs="Arial" w:eastAsia="Arial" w:hAnsi="Arial"/>
          <w:sz w:val="22"/>
          <w:szCs w:val="22"/>
          <w:color w:val="auto"/>
        </w:rPr>
        <w:t>IA</w:t>
      </w:r>
    </w:p>
    <w:p>
      <w:pPr>
        <w:spacing w:after="0" w:line="267" w:lineRule="exact"/>
        <w:rPr>
          <w:sz w:val="20"/>
          <w:szCs w:val="20"/>
          <w:color w:val="auto"/>
        </w:rPr>
      </w:pPr>
    </w:p>
    <w:p>
      <w:pPr>
        <w:jc w:val="both"/>
        <w:ind w:left="424" w:right="780" w:hanging="424"/>
        <w:spacing w:after="0" w:line="263" w:lineRule="auto"/>
        <w:tabs>
          <w:tab w:leader="none" w:pos="424" w:val="left"/>
        </w:tabs>
        <w:numPr>
          <w:ilvl w:val="0"/>
          <w:numId w:val="13"/>
        </w:numPr>
        <w:rPr>
          <w:rFonts w:ascii="Arial" w:cs="Arial" w:eastAsia="Arial" w:hAnsi="Arial"/>
          <w:sz w:val="18"/>
          <w:szCs w:val="18"/>
          <w:color w:val="auto"/>
        </w:rPr>
      </w:pPr>
      <w:r>
        <w:rPr>
          <w:rFonts w:ascii="Arial" w:cs="Arial" w:eastAsia="Arial" w:hAnsi="Arial"/>
          <w:sz w:val="18"/>
          <w:szCs w:val="18"/>
          <w:color w:val="auto"/>
        </w:rPr>
        <w:t>The percentage set forth in Row 11 of this Cover Page is based on the 70,017,356 Ordinary Shares (as defined herein) outstanding as of October 21, 2020, as reported on the Form 10-Q of the Issuer (as defined herein) filed with the Securities and Exchange Commission on November 4, 2020.</w:t>
      </w:r>
    </w:p>
    <w:p>
      <w:pPr>
        <w:sectPr>
          <w:pgSz w:w="11900" w:h="16838" w:orient="portrait"/>
          <w:cols w:equalWidth="0" w:num="1">
            <w:col w:w="11024"/>
          </w:cols>
          <w:pgMar w:left="436" w:top="638" w:right="439" w:bottom="1440" w:gutter="0" w:footer="0" w:header="0"/>
          <w:type w:val="continuous"/>
        </w:sectPr>
      </w:pPr>
    </w:p>
    <w:bookmarkStart w:id="2" w:name="page3"/>
    <w:bookmarkEnd w:id="2"/>
    <w:p>
      <w:pPr>
        <w:spacing w:after="0"/>
        <w:tabs>
          <w:tab w:leader="none" w:pos="5380" w:val="left"/>
          <w:tab w:leader="none" w:pos="9720" w:val="left"/>
        </w:tabs>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149465" cy="25400"/>
                    </a:xfrm>
                    <a:prstGeom prst="rect">
                      <a:avLst/>
                    </a:prstGeom>
                    <a:noFill/>
                  </pic:spPr>
                </pic:pic>
              </a:graphicData>
            </a:graphic>
          </wp:anchor>
        </w:drawing>
        <w:drawing>
          <wp:anchor simplePos="0" relativeHeight="251657728" behindDoc="1" locked="0" layoutInCell="0" allowOverlap="1">
            <wp:simplePos x="0" y="0"/>
            <wp:positionH relativeFrom="page">
              <wp:posOffset>276860</wp:posOffset>
            </wp:positionH>
            <wp:positionV relativeFrom="page">
              <wp:posOffset>285750</wp:posOffset>
            </wp:positionV>
            <wp:extent cx="6995160" cy="825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6995160" cy="8255"/>
                    </a:xfrm>
                    <a:prstGeom prst="rect">
                      <a:avLst/>
                    </a:prstGeom>
                    <a:noFill/>
                  </pic:spPr>
                </pic:pic>
              </a:graphicData>
            </a:graphic>
          </wp:anchor>
        </w:drawing>
        <w:t>CUSIP No. G48833118</w:t>
      </w:r>
      <w:r>
        <w:rPr>
          <w:sz w:val="20"/>
          <w:szCs w:val="20"/>
          <w:color w:val="auto"/>
        </w:rPr>
        <w:tab/>
      </w:r>
      <w:r>
        <w:rPr>
          <w:rFonts w:ascii="Arial" w:cs="Arial" w:eastAsia="Arial" w:hAnsi="Arial"/>
          <w:sz w:val="18"/>
          <w:szCs w:val="18"/>
          <w:color w:val="auto"/>
        </w:rPr>
        <w:t>13G</w:t>
      </w:r>
      <w:r>
        <w:rPr>
          <w:sz w:val="20"/>
          <w:szCs w:val="20"/>
          <w:color w:val="auto"/>
        </w:rPr>
        <w:tab/>
      </w:r>
      <w:r>
        <w:rPr>
          <w:rFonts w:ascii="Arial" w:cs="Arial" w:eastAsia="Arial" w:hAnsi="Arial"/>
          <w:sz w:val="15"/>
          <w:szCs w:val="15"/>
          <w:color w:val="auto"/>
        </w:rPr>
        <w:t>Page 3 of 5 Pages</w:t>
      </w:r>
    </w:p>
    <w:p>
      <w:pPr>
        <w:spacing w:after="0" w:line="24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1.</w:t>
      </w:r>
    </w:p>
    <w:p>
      <w:pPr>
        <w:spacing w:after="0" w:line="131" w:lineRule="exact"/>
        <w:rPr>
          <w:sz w:val="20"/>
          <w:szCs w:val="20"/>
          <w:color w:val="auto"/>
        </w:rPr>
      </w:pPr>
    </w:p>
    <w:p>
      <w:pPr>
        <w:ind w:left="980" w:right="7900" w:hanging="552"/>
        <w:spacing w:after="0" w:line="488" w:lineRule="auto"/>
        <w:tabs>
          <w:tab w:leader="none" w:pos="961" w:val="left"/>
        </w:tabs>
        <w:numPr>
          <w:ilvl w:val="0"/>
          <w:numId w:val="14"/>
        </w:numPr>
        <w:rPr>
          <w:rFonts w:ascii="Arial" w:cs="Arial" w:eastAsia="Arial" w:hAnsi="Arial"/>
          <w:sz w:val="16"/>
          <w:szCs w:val="16"/>
          <w:color w:val="auto"/>
        </w:rPr>
      </w:pPr>
      <w:r>
        <w:rPr>
          <w:rFonts w:ascii="Arial" w:cs="Arial" w:eastAsia="Arial" w:hAnsi="Arial"/>
          <w:sz w:val="16"/>
          <w:szCs w:val="16"/>
          <w:b w:val="1"/>
          <w:bCs w:val="1"/>
          <w:color w:val="auto"/>
        </w:rPr>
        <w:t xml:space="preserve">Name of Issuer </w:t>
      </w:r>
      <w:r>
        <w:rPr>
          <w:rFonts w:ascii="Arial" w:cs="Arial" w:eastAsia="Arial" w:hAnsi="Arial"/>
          <w:sz w:val="16"/>
          <w:szCs w:val="16"/>
          <w:color w:val="auto"/>
        </w:rPr>
        <w:t>Weatherford International plc</w:t>
      </w:r>
    </w:p>
    <w:p>
      <w:pPr>
        <w:spacing w:after="0" w:line="156" w:lineRule="exact"/>
        <w:rPr>
          <w:rFonts w:ascii="Arial" w:cs="Arial" w:eastAsia="Arial" w:hAnsi="Arial"/>
          <w:sz w:val="16"/>
          <w:szCs w:val="16"/>
          <w:color w:val="auto"/>
        </w:rPr>
      </w:pPr>
    </w:p>
    <w:p>
      <w:pPr>
        <w:ind w:left="980" w:right="6560" w:hanging="552"/>
        <w:spacing w:after="0" w:line="536" w:lineRule="auto"/>
        <w:tabs>
          <w:tab w:leader="none" w:pos="961" w:val="left"/>
        </w:tabs>
        <w:numPr>
          <w:ilvl w:val="0"/>
          <w:numId w:val="14"/>
        </w:numPr>
        <w:rPr>
          <w:rFonts w:ascii="Arial" w:cs="Arial" w:eastAsia="Arial" w:hAnsi="Arial"/>
          <w:sz w:val="15"/>
          <w:szCs w:val="15"/>
          <w:color w:val="auto"/>
        </w:rPr>
      </w:pPr>
      <w:r>
        <w:rPr>
          <w:rFonts w:ascii="Arial" w:cs="Arial" w:eastAsia="Arial" w:hAnsi="Arial"/>
          <w:sz w:val="15"/>
          <w:szCs w:val="15"/>
          <w:b w:val="1"/>
          <w:bCs w:val="1"/>
          <w:color w:val="auto"/>
        </w:rPr>
        <w:t xml:space="preserve">Address of Issuer’s principal executive offices </w:t>
      </w:r>
      <w:r>
        <w:rPr>
          <w:rFonts w:ascii="Arial" w:cs="Arial" w:eastAsia="Arial" w:hAnsi="Arial"/>
          <w:sz w:val="15"/>
          <w:szCs w:val="15"/>
          <w:color w:val="auto"/>
        </w:rPr>
        <w:t>2000 St. James Place, Houston, Texas 77056</w:t>
      </w:r>
    </w:p>
    <w:p>
      <w:pPr>
        <w:spacing w:after="0" w:line="9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2.</w:t>
      </w:r>
    </w:p>
    <w:p>
      <w:pPr>
        <w:spacing w:after="0" w:line="131" w:lineRule="exact"/>
        <w:rPr>
          <w:sz w:val="20"/>
          <w:szCs w:val="20"/>
          <w:color w:val="auto"/>
        </w:rPr>
      </w:pPr>
    </w:p>
    <w:p>
      <w:pPr>
        <w:ind w:left="960" w:hanging="532"/>
        <w:spacing w:after="0"/>
        <w:tabs>
          <w:tab w:leader="none" w:pos="960" w:val="left"/>
        </w:tabs>
        <w:numPr>
          <w:ilvl w:val="0"/>
          <w:numId w:val="15"/>
        </w:numPr>
        <w:rPr>
          <w:rFonts w:ascii="Arial" w:cs="Arial" w:eastAsia="Arial" w:hAnsi="Arial"/>
          <w:sz w:val="18"/>
          <w:szCs w:val="18"/>
          <w:color w:val="auto"/>
        </w:rPr>
      </w:pPr>
      <w:r>
        <w:rPr>
          <w:rFonts w:ascii="Arial" w:cs="Arial" w:eastAsia="Arial" w:hAnsi="Arial"/>
          <w:sz w:val="18"/>
          <w:szCs w:val="18"/>
          <w:b w:val="1"/>
          <w:bCs w:val="1"/>
          <w:color w:val="auto"/>
        </w:rPr>
        <w:t>Name of person filing</w:t>
      </w:r>
    </w:p>
    <w:p>
      <w:pPr>
        <w:spacing w:after="0" w:line="121" w:lineRule="exact"/>
        <w:rPr>
          <w:rFonts w:ascii="Arial" w:cs="Arial" w:eastAsia="Arial" w:hAnsi="Arial"/>
          <w:sz w:val="18"/>
          <w:szCs w:val="18"/>
          <w:color w:val="auto"/>
        </w:rPr>
      </w:pPr>
    </w:p>
    <w:p>
      <w:pPr>
        <w:ind w:left="980"/>
        <w:spacing w:after="0"/>
        <w:rPr>
          <w:rFonts w:ascii="Arial" w:cs="Arial" w:eastAsia="Arial" w:hAnsi="Arial"/>
          <w:sz w:val="18"/>
          <w:szCs w:val="18"/>
          <w:color w:val="auto"/>
        </w:rPr>
      </w:pPr>
      <w:r>
        <w:rPr>
          <w:rFonts w:ascii="Arial" w:cs="Arial" w:eastAsia="Arial" w:hAnsi="Arial"/>
          <w:sz w:val="17"/>
          <w:szCs w:val="17"/>
          <w:color w:val="auto"/>
        </w:rPr>
        <w:t>This Schedule 13G is being filed on behalf of Assured Investment Management LLC (f/k/a/ BlueMountain Capital Management, LLC)</w:t>
      </w:r>
    </w:p>
    <w:p>
      <w:pPr>
        <w:spacing w:after="0" w:line="34" w:lineRule="exact"/>
        <w:rPr>
          <w:rFonts w:ascii="Arial" w:cs="Arial" w:eastAsia="Arial" w:hAnsi="Arial"/>
          <w:sz w:val="18"/>
          <w:szCs w:val="18"/>
          <w:color w:val="auto"/>
        </w:rPr>
      </w:pPr>
    </w:p>
    <w:p>
      <w:pPr>
        <w:ind w:left="980" w:right="20"/>
        <w:spacing w:after="0" w:line="260" w:lineRule="auto"/>
        <w:rPr>
          <w:rFonts w:ascii="Arial" w:cs="Arial" w:eastAsia="Arial" w:hAnsi="Arial"/>
          <w:sz w:val="18"/>
          <w:szCs w:val="18"/>
          <w:color w:val="auto"/>
        </w:rPr>
      </w:pPr>
      <w:r>
        <w:rPr>
          <w:rFonts w:ascii="Arial" w:cs="Arial" w:eastAsia="Arial" w:hAnsi="Arial"/>
          <w:sz w:val="18"/>
          <w:szCs w:val="18"/>
          <w:color w:val="auto"/>
        </w:rPr>
        <w:t>(“</w:t>
      </w:r>
      <w:r>
        <w:rPr>
          <w:rFonts w:ascii="Arial" w:cs="Arial" w:eastAsia="Arial" w:hAnsi="Arial"/>
          <w:sz w:val="18"/>
          <w:szCs w:val="18"/>
          <w:b w:val="1"/>
          <w:bCs w:val="1"/>
          <w:color w:val="auto"/>
        </w:rPr>
        <w:t>AssuredIM</w:t>
      </w:r>
      <w:r>
        <w:rPr>
          <w:rFonts w:ascii="Arial" w:cs="Arial" w:eastAsia="Arial" w:hAnsi="Arial"/>
          <w:sz w:val="18"/>
          <w:szCs w:val="18"/>
          <w:color w:val="auto"/>
        </w:rPr>
        <w:t>”) with respect to the Ordinary Shares, par value $0.001 per share (the “</w:t>
      </w:r>
      <w:r>
        <w:rPr>
          <w:rFonts w:ascii="Arial" w:cs="Arial" w:eastAsia="Arial" w:hAnsi="Arial"/>
          <w:sz w:val="18"/>
          <w:szCs w:val="18"/>
          <w:b w:val="1"/>
          <w:bCs w:val="1"/>
          <w:color w:val="auto"/>
        </w:rPr>
        <w:t>Ordinary Shares</w:t>
      </w:r>
      <w:r>
        <w:rPr>
          <w:rFonts w:ascii="Arial" w:cs="Arial" w:eastAsia="Arial" w:hAnsi="Arial"/>
          <w:sz w:val="18"/>
          <w:szCs w:val="18"/>
          <w:color w:val="auto"/>
        </w:rPr>
        <w:t>”) of Weatherford International plc, a Irish public limited company (the “</w:t>
      </w:r>
      <w:r>
        <w:rPr>
          <w:rFonts w:ascii="Arial" w:cs="Arial" w:eastAsia="Arial" w:hAnsi="Arial"/>
          <w:sz w:val="18"/>
          <w:szCs w:val="18"/>
          <w:b w:val="1"/>
          <w:bCs w:val="1"/>
          <w:color w:val="auto"/>
        </w:rPr>
        <w:t>Issuer</w:t>
      </w:r>
      <w:r>
        <w:rPr>
          <w:rFonts w:ascii="Arial" w:cs="Arial" w:eastAsia="Arial" w:hAnsi="Arial"/>
          <w:sz w:val="18"/>
          <w:szCs w:val="18"/>
          <w:color w:val="auto"/>
        </w:rPr>
        <w:t>”).</w:t>
      </w:r>
    </w:p>
    <w:p>
      <w:pPr>
        <w:spacing w:after="0" w:line="77" w:lineRule="exact"/>
        <w:rPr>
          <w:rFonts w:ascii="Arial" w:cs="Arial" w:eastAsia="Arial" w:hAnsi="Arial"/>
          <w:sz w:val="18"/>
          <w:szCs w:val="18"/>
          <w:color w:val="auto"/>
        </w:rPr>
      </w:pPr>
    </w:p>
    <w:p>
      <w:pPr>
        <w:ind w:left="980" w:right="40"/>
        <w:spacing w:after="0" w:line="277" w:lineRule="auto"/>
        <w:rPr>
          <w:rFonts w:ascii="Arial" w:cs="Arial" w:eastAsia="Arial" w:hAnsi="Arial"/>
          <w:sz w:val="18"/>
          <w:szCs w:val="18"/>
          <w:color w:val="auto"/>
        </w:rPr>
      </w:pPr>
      <w:r>
        <w:rPr>
          <w:rFonts w:ascii="Arial" w:cs="Arial" w:eastAsia="Arial" w:hAnsi="Arial"/>
          <w:sz w:val="18"/>
          <w:szCs w:val="18"/>
          <w:color w:val="auto"/>
        </w:rPr>
        <w:t>AssuredIM acts as investment manager to, and exercises investment discretion with respect to the 698,618 Ordinary Shares directly owned by BlueMountain Summit Trading L.P., a Delaware limited partnership.</w:t>
      </w:r>
    </w:p>
    <w:p>
      <w:pPr>
        <w:spacing w:after="0" w:line="62" w:lineRule="exact"/>
        <w:rPr>
          <w:rFonts w:ascii="Arial" w:cs="Arial" w:eastAsia="Arial" w:hAnsi="Arial"/>
          <w:sz w:val="18"/>
          <w:szCs w:val="18"/>
          <w:color w:val="auto"/>
        </w:rPr>
      </w:pPr>
    </w:p>
    <w:p>
      <w:pPr>
        <w:ind w:left="980" w:right="540"/>
        <w:spacing w:after="0" w:line="277" w:lineRule="auto"/>
        <w:rPr>
          <w:rFonts w:ascii="Arial" w:cs="Arial" w:eastAsia="Arial" w:hAnsi="Arial"/>
          <w:sz w:val="18"/>
          <w:szCs w:val="18"/>
          <w:color w:val="auto"/>
        </w:rPr>
      </w:pPr>
      <w:r>
        <w:rPr>
          <w:rFonts w:ascii="Arial" w:cs="Arial" w:eastAsia="Arial" w:hAnsi="Arial"/>
          <w:sz w:val="18"/>
          <w:szCs w:val="18"/>
          <w:color w:val="auto"/>
        </w:rPr>
        <w:t>The filing of this statement should not be construed as an admission that AssuredIM is, for the purpose of Section 13 of the Act, the beneficial owner of any Ordinary Shares.</w:t>
      </w:r>
    </w:p>
    <w:p>
      <w:pPr>
        <w:spacing w:after="0" w:line="314" w:lineRule="exact"/>
        <w:rPr>
          <w:rFonts w:ascii="Arial" w:cs="Arial" w:eastAsia="Arial" w:hAnsi="Arial"/>
          <w:sz w:val="18"/>
          <w:szCs w:val="18"/>
          <w:color w:val="auto"/>
        </w:rPr>
      </w:pPr>
    </w:p>
    <w:p>
      <w:pPr>
        <w:ind w:left="980" w:right="5700" w:hanging="552"/>
        <w:spacing w:after="0" w:line="536" w:lineRule="auto"/>
        <w:tabs>
          <w:tab w:leader="none" w:pos="961" w:val="left"/>
        </w:tabs>
        <w:numPr>
          <w:ilvl w:val="0"/>
          <w:numId w:val="15"/>
        </w:numPr>
        <w:rPr>
          <w:rFonts w:ascii="Arial" w:cs="Arial" w:eastAsia="Arial" w:hAnsi="Arial"/>
          <w:sz w:val="15"/>
          <w:szCs w:val="15"/>
          <w:color w:val="auto"/>
        </w:rPr>
      </w:pPr>
      <w:r>
        <w:rPr>
          <w:rFonts w:ascii="Arial" w:cs="Arial" w:eastAsia="Arial" w:hAnsi="Arial"/>
          <w:sz w:val="15"/>
          <w:szCs w:val="15"/>
          <w:b w:val="1"/>
          <w:bCs w:val="1"/>
          <w:color w:val="auto"/>
        </w:rPr>
        <w:t xml:space="preserve">Address or principal business office or, if none, residence </w:t>
      </w:r>
      <w:r>
        <w:rPr>
          <w:rFonts w:ascii="Arial" w:cs="Arial" w:eastAsia="Arial" w:hAnsi="Arial"/>
          <w:sz w:val="15"/>
          <w:szCs w:val="15"/>
          <w:color w:val="auto"/>
        </w:rPr>
        <w:t>280 Park Avenue, 12th Floor, New York, New York 10017</w:t>
      </w:r>
    </w:p>
    <w:p>
      <w:pPr>
        <w:spacing w:after="0" w:line="134" w:lineRule="exact"/>
        <w:rPr>
          <w:rFonts w:ascii="Arial" w:cs="Arial" w:eastAsia="Arial" w:hAnsi="Arial"/>
          <w:sz w:val="15"/>
          <w:szCs w:val="15"/>
          <w:color w:val="auto"/>
        </w:rPr>
      </w:pPr>
    </w:p>
    <w:p>
      <w:pPr>
        <w:ind w:left="960" w:hanging="532"/>
        <w:spacing w:after="0"/>
        <w:tabs>
          <w:tab w:leader="none" w:pos="960" w:val="left"/>
        </w:tabs>
        <w:numPr>
          <w:ilvl w:val="0"/>
          <w:numId w:val="15"/>
        </w:numPr>
        <w:rPr>
          <w:rFonts w:ascii="Arial" w:cs="Arial" w:eastAsia="Arial" w:hAnsi="Arial"/>
          <w:sz w:val="18"/>
          <w:szCs w:val="18"/>
          <w:color w:val="auto"/>
        </w:rPr>
      </w:pPr>
      <w:r>
        <w:rPr>
          <w:rFonts w:ascii="Arial" w:cs="Arial" w:eastAsia="Arial" w:hAnsi="Arial"/>
          <w:sz w:val="18"/>
          <w:szCs w:val="18"/>
          <w:b w:val="1"/>
          <w:bCs w:val="1"/>
          <w:color w:val="auto"/>
        </w:rPr>
        <w:t>Citizenship</w:t>
      </w:r>
    </w:p>
    <w:p>
      <w:pPr>
        <w:spacing w:after="0" w:line="121" w:lineRule="exact"/>
        <w:rPr>
          <w:rFonts w:ascii="Arial" w:cs="Arial" w:eastAsia="Arial" w:hAnsi="Arial"/>
          <w:sz w:val="18"/>
          <w:szCs w:val="18"/>
          <w:color w:val="auto"/>
        </w:rPr>
      </w:pPr>
    </w:p>
    <w:p>
      <w:pPr>
        <w:ind w:left="980"/>
        <w:spacing w:after="0"/>
        <w:rPr>
          <w:rFonts w:ascii="Arial" w:cs="Arial" w:eastAsia="Arial" w:hAnsi="Arial"/>
          <w:sz w:val="18"/>
          <w:szCs w:val="18"/>
          <w:color w:val="auto"/>
        </w:rPr>
      </w:pPr>
      <w:r>
        <w:rPr>
          <w:rFonts w:ascii="Arial" w:cs="Arial" w:eastAsia="Arial" w:hAnsi="Arial"/>
          <w:sz w:val="18"/>
          <w:szCs w:val="18"/>
          <w:color w:val="auto"/>
        </w:rPr>
        <w:t>See Row 4 of the Cover Page.</w:t>
      </w:r>
    </w:p>
    <w:p>
      <w:pPr>
        <w:spacing w:after="0" w:line="369" w:lineRule="exact"/>
        <w:rPr>
          <w:rFonts w:ascii="Arial" w:cs="Arial" w:eastAsia="Arial" w:hAnsi="Arial"/>
          <w:sz w:val="18"/>
          <w:szCs w:val="18"/>
          <w:color w:val="auto"/>
        </w:rPr>
      </w:pPr>
    </w:p>
    <w:p>
      <w:pPr>
        <w:ind w:left="960" w:hanging="532"/>
        <w:spacing w:after="0"/>
        <w:tabs>
          <w:tab w:leader="none" w:pos="960" w:val="left"/>
        </w:tabs>
        <w:numPr>
          <w:ilvl w:val="0"/>
          <w:numId w:val="15"/>
        </w:numPr>
        <w:rPr>
          <w:rFonts w:ascii="Arial" w:cs="Arial" w:eastAsia="Arial" w:hAnsi="Arial"/>
          <w:sz w:val="18"/>
          <w:szCs w:val="18"/>
          <w:color w:val="auto"/>
        </w:rPr>
      </w:pPr>
      <w:r>
        <w:rPr>
          <w:rFonts w:ascii="Arial" w:cs="Arial" w:eastAsia="Arial" w:hAnsi="Arial"/>
          <w:sz w:val="18"/>
          <w:szCs w:val="18"/>
          <w:b w:val="1"/>
          <w:bCs w:val="1"/>
          <w:color w:val="auto"/>
        </w:rPr>
        <w:t>Title of class of securities</w:t>
      </w:r>
    </w:p>
    <w:p>
      <w:pPr>
        <w:spacing w:after="0" w:line="121" w:lineRule="exact"/>
        <w:rPr>
          <w:rFonts w:ascii="Arial" w:cs="Arial" w:eastAsia="Arial" w:hAnsi="Arial"/>
          <w:sz w:val="18"/>
          <w:szCs w:val="18"/>
          <w:color w:val="auto"/>
        </w:rPr>
      </w:pPr>
    </w:p>
    <w:p>
      <w:pPr>
        <w:ind w:left="980"/>
        <w:spacing w:after="0"/>
        <w:rPr>
          <w:rFonts w:ascii="Arial" w:cs="Arial" w:eastAsia="Arial" w:hAnsi="Arial"/>
          <w:sz w:val="18"/>
          <w:szCs w:val="18"/>
          <w:color w:val="auto"/>
        </w:rPr>
      </w:pPr>
      <w:r>
        <w:rPr>
          <w:rFonts w:ascii="Arial" w:cs="Arial" w:eastAsia="Arial" w:hAnsi="Arial"/>
          <w:sz w:val="18"/>
          <w:szCs w:val="18"/>
          <w:color w:val="auto"/>
        </w:rPr>
        <w:t>Ordinary Shares, par value $0.001 per share</w:t>
      </w:r>
    </w:p>
    <w:p>
      <w:pPr>
        <w:spacing w:after="0" w:line="369" w:lineRule="exact"/>
        <w:rPr>
          <w:rFonts w:ascii="Arial" w:cs="Arial" w:eastAsia="Arial" w:hAnsi="Arial"/>
          <w:sz w:val="18"/>
          <w:szCs w:val="18"/>
          <w:color w:val="auto"/>
        </w:rPr>
      </w:pPr>
    </w:p>
    <w:p>
      <w:pPr>
        <w:jc w:val="both"/>
        <w:ind w:left="980" w:right="9180" w:hanging="552"/>
        <w:spacing w:after="0" w:line="488" w:lineRule="auto"/>
        <w:tabs>
          <w:tab w:leader="none" w:pos="961" w:val="left"/>
        </w:tabs>
        <w:numPr>
          <w:ilvl w:val="0"/>
          <w:numId w:val="15"/>
        </w:numPr>
        <w:rPr>
          <w:rFonts w:ascii="Arial" w:cs="Arial" w:eastAsia="Arial" w:hAnsi="Arial"/>
          <w:sz w:val="16"/>
          <w:szCs w:val="16"/>
          <w:color w:val="auto"/>
        </w:rPr>
      </w:pPr>
      <w:r>
        <w:rPr>
          <w:rFonts w:ascii="Arial" w:cs="Arial" w:eastAsia="Arial" w:hAnsi="Arial"/>
          <w:sz w:val="16"/>
          <w:szCs w:val="16"/>
          <w:b w:val="1"/>
          <w:bCs w:val="1"/>
          <w:color w:val="auto"/>
        </w:rPr>
        <w:t xml:space="preserve">CUSIP No. </w:t>
      </w:r>
      <w:r>
        <w:rPr>
          <w:rFonts w:ascii="Arial" w:cs="Arial" w:eastAsia="Arial" w:hAnsi="Arial"/>
          <w:sz w:val="16"/>
          <w:szCs w:val="16"/>
          <w:color w:val="auto"/>
        </w:rPr>
        <w:t>G48833118</w:t>
      </w:r>
    </w:p>
    <w:p>
      <w:pPr>
        <w:spacing w:after="0" w:line="11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3. If this statement is filed pursuant to §§240.13d-1(b) or 240.13d-2(b) or (c), check whether the person filing is a:</w:t>
      </w:r>
    </w:p>
    <w:p>
      <w:pPr>
        <w:spacing w:after="0" w:line="102" w:lineRule="exact"/>
        <w:rPr>
          <w:sz w:val="20"/>
          <w:szCs w:val="20"/>
          <w:color w:val="auto"/>
        </w:rPr>
      </w:pPr>
    </w:p>
    <w:p>
      <w:pPr>
        <w:ind w:left="780" w:hanging="339"/>
        <w:spacing w:after="0" w:line="207" w:lineRule="exact"/>
        <w:tabs>
          <w:tab w:leader="none" w:pos="780" w:val="left"/>
        </w:tabs>
        <w:numPr>
          <w:ilvl w:val="0"/>
          <w:numId w:val="16"/>
        </w:numPr>
        <w:rPr>
          <w:rFonts w:ascii="Arial" w:cs="Arial" w:eastAsia="Arial" w:hAnsi="Arial"/>
          <w:sz w:val="18"/>
          <w:szCs w:val="18"/>
          <w:color w:val="auto"/>
        </w:rPr>
      </w:pPr>
      <w:r>
        <w:rPr>
          <w:rFonts w:ascii="MS PGothic" w:cs="MS PGothic" w:eastAsia="MS PGothic" w:hAnsi="MS PGothic"/>
          <w:sz w:val="18"/>
          <w:szCs w:val="18"/>
          <w:color w:val="auto"/>
        </w:rPr>
        <w:t>☐</w:t>
      </w:r>
      <w:r>
        <w:rPr>
          <w:rFonts w:ascii="Arial" w:cs="Arial" w:eastAsia="Arial" w:hAnsi="Arial"/>
          <w:sz w:val="18"/>
          <w:szCs w:val="18"/>
          <w:color w:val="auto"/>
        </w:rPr>
        <w:t xml:space="preserve"> Broker or dealer registered under section 15 of the Act (15 U.S.C. 78o).</w:t>
      </w:r>
    </w:p>
    <w:p>
      <w:pPr>
        <w:spacing w:after="0" w:line="117" w:lineRule="exact"/>
        <w:rPr>
          <w:rFonts w:ascii="Arial" w:cs="Arial" w:eastAsia="Arial" w:hAnsi="Arial"/>
          <w:sz w:val="18"/>
          <w:szCs w:val="18"/>
          <w:color w:val="auto"/>
        </w:rPr>
      </w:pPr>
    </w:p>
    <w:p>
      <w:pPr>
        <w:ind w:left="780" w:hanging="339"/>
        <w:spacing w:after="0" w:line="207" w:lineRule="exact"/>
        <w:tabs>
          <w:tab w:leader="none" w:pos="780" w:val="left"/>
        </w:tabs>
        <w:numPr>
          <w:ilvl w:val="0"/>
          <w:numId w:val="16"/>
        </w:numPr>
        <w:rPr>
          <w:rFonts w:ascii="Arial" w:cs="Arial" w:eastAsia="Arial" w:hAnsi="Arial"/>
          <w:sz w:val="18"/>
          <w:szCs w:val="18"/>
          <w:color w:val="auto"/>
        </w:rPr>
      </w:pPr>
      <w:r>
        <w:rPr>
          <w:rFonts w:ascii="MS PGothic" w:cs="MS PGothic" w:eastAsia="MS PGothic" w:hAnsi="MS PGothic"/>
          <w:sz w:val="18"/>
          <w:szCs w:val="18"/>
          <w:color w:val="auto"/>
        </w:rPr>
        <w:t>☐</w:t>
      </w:r>
      <w:r>
        <w:rPr>
          <w:rFonts w:ascii="Arial" w:cs="Arial" w:eastAsia="Arial" w:hAnsi="Arial"/>
          <w:sz w:val="18"/>
          <w:szCs w:val="18"/>
          <w:color w:val="auto"/>
        </w:rPr>
        <w:t xml:space="preserve"> Bank as defined in section 3(a)(6) of the Act (15 U.S.C. 78c).</w:t>
      </w:r>
    </w:p>
    <w:p>
      <w:pPr>
        <w:spacing w:after="0" w:line="117" w:lineRule="exact"/>
        <w:rPr>
          <w:rFonts w:ascii="Arial" w:cs="Arial" w:eastAsia="Arial" w:hAnsi="Arial"/>
          <w:sz w:val="18"/>
          <w:szCs w:val="18"/>
          <w:color w:val="auto"/>
        </w:rPr>
      </w:pPr>
    </w:p>
    <w:p>
      <w:pPr>
        <w:ind w:left="780" w:hanging="339"/>
        <w:spacing w:after="0" w:line="207" w:lineRule="exact"/>
        <w:tabs>
          <w:tab w:leader="none" w:pos="780" w:val="left"/>
        </w:tabs>
        <w:numPr>
          <w:ilvl w:val="0"/>
          <w:numId w:val="16"/>
        </w:numPr>
        <w:rPr>
          <w:rFonts w:ascii="Arial" w:cs="Arial" w:eastAsia="Arial" w:hAnsi="Arial"/>
          <w:sz w:val="18"/>
          <w:szCs w:val="18"/>
          <w:color w:val="auto"/>
        </w:rPr>
      </w:pPr>
      <w:r>
        <w:rPr>
          <w:rFonts w:ascii="MS PGothic" w:cs="MS PGothic" w:eastAsia="MS PGothic" w:hAnsi="MS PGothic"/>
          <w:sz w:val="18"/>
          <w:szCs w:val="18"/>
          <w:color w:val="auto"/>
        </w:rPr>
        <w:t>☐</w:t>
      </w:r>
      <w:r>
        <w:rPr>
          <w:rFonts w:ascii="Arial" w:cs="Arial" w:eastAsia="Arial" w:hAnsi="Arial"/>
          <w:sz w:val="18"/>
          <w:szCs w:val="18"/>
          <w:color w:val="auto"/>
        </w:rPr>
        <w:t xml:space="preserve"> Insurance company as defined in section 3(a)(19) of the Act (15 U.S.C. 78c).</w:t>
      </w:r>
    </w:p>
    <w:p>
      <w:pPr>
        <w:spacing w:after="0" w:line="117" w:lineRule="exact"/>
        <w:rPr>
          <w:rFonts w:ascii="Arial" w:cs="Arial" w:eastAsia="Arial" w:hAnsi="Arial"/>
          <w:sz w:val="18"/>
          <w:szCs w:val="18"/>
          <w:color w:val="auto"/>
        </w:rPr>
      </w:pPr>
    </w:p>
    <w:p>
      <w:pPr>
        <w:ind w:left="780" w:hanging="339"/>
        <w:spacing w:after="0" w:line="207" w:lineRule="exact"/>
        <w:tabs>
          <w:tab w:leader="none" w:pos="780" w:val="left"/>
        </w:tabs>
        <w:numPr>
          <w:ilvl w:val="0"/>
          <w:numId w:val="16"/>
        </w:numPr>
        <w:rPr>
          <w:rFonts w:ascii="Arial" w:cs="Arial" w:eastAsia="Arial" w:hAnsi="Arial"/>
          <w:sz w:val="18"/>
          <w:szCs w:val="18"/>
          <w:color w:val="auto"/>
        </w:rPr>
      </w:pPr>
      <w:r>
        <w:rPr>
          <w:rFonts w:ascii="MS PGothic" w:cs="MS PGothic" w:eastAsia="MS PGothic" w:hAnsi="MS PGothic"/>
          <w:sz w:val="18"/>
          <w:szCs w:val="18"/>
          <w:color w:val="auto"/>
        </w:rPr>
        <w:t>☐</w:t>
      </w:r>
      <w:r>
        <w:rPr>
          <w:rFonts w:ascii="Arial" w:cs="Arial" w:eastAsia="Arial" w:hAnsi="Arial"/>
          <w:sz w:val="18"/>
          <w:szCs w:val="18"/>
          <w:color w:val="auto"/>
        </w:rPr>
        <w:t xml:space="preserve"> Investment company registered under section 8 of the Investment Company Act of 1940 (15 U.S.C. 80a-8).</w:t>
      </w:r>
    </w:p>
    <w:p>
      <w:pPr>
        <w:spacing w:after="0" w:line="117" w:lineRule="exact"/>
        <w:rPr>
          <w:rFonts w:ascii="Arial" w:cs="Arial" w:eastAsia="Arial" w:hAnsi="Arial"/>
          <w:sz w:val="18"/>
          <w:szCs w:val="18"/>
          <w:color w:val="auto"/>
        </w:rPr>
      </w:pPr>
    </w:p>
    <w:p>
      <w:pPr>
        <w:ind w:left="780" w:hanging="339"/>
        <w:spacing w:after="0" w:line="207" w:lineRule="exact"/>
        <w:tabs>
          <w:tab w:leader="none" w:pos="780" w:val="left"/>
        </w:tabs>
        <w:numPr>
          <w:ilvl w:val="0"/>
          <w:numId w:val="16"/>
        </w:numPr>
        <w:rPr>
          <w:rFonts w:ascii="Arial" w:cs="Arial" w:eastAsia="Arial" w:hAnsi="Arial"/>
          <w:sz w:val="18"/>
          <w:szCs w:val="18"/>
          <w:color w:val="auto"/>
        </w:rPr>
      </w:pPr>
      <w:r>
        <w:rPr>
          <w:rFonts w:ascii="MS PGothic" w:cs="MS PGothic" w:eastAsia="MS PGothic" w:hAnsi="MS PGothic"/>
          <w:sz w:val="18"/>
          <w:szCs w:val="18"/>
          <w:color w:val="auto"/>
        </w:rPr>
        <w:t>☒</w:t>
      </w:r>
      <w:r>
        <w:rPr>
          <w:rFonts w:ascii="Arial" w:cs="Arial" w:eastAsia="Arial" w:hAnsi="Arial"/>
          <w:sz w:val="18"/>
          <w:szCs w:val="18"/>
          <w:color w:val="auto"/>
        </w:rPr>
        <w:t xml:space="preserve"> An investment adviser in accordance with §240.13d-1(b)(1)(ii)(E);</w:t>
      </w:r>
    </w:p>
    <w:p>
      <w:pPr>
        <w:spacing w:after="0" w:line="117" w:lineRule="exact"/>
        <w:rPr>
          <w:rFonts w:ascii="Arial" w:cs="Arial" w:eastAsia="Arial" w:hAnsi="Arial"/>
          <w:sz w:val="18"/>
          <w:szCs w:val="18"/>
          <w:color w:val="auto"/>
        </w:rPr>
      </w:pPr>
    </w:p>
    <w:p>
      <w:pPr>
        <w:ind w:left="780" w:hanging="339"/>
        <w:spacing w:after="0" w:line="207" w:lineRule="exact"/>
        <w:tabs>
          <w:tab w:leader="none" w:pos="780" w:val="left"/>
        </w:tabs>
        <w:numPr>
          <w:ilvl w:val="0"/>
          <w:numId w:val="16"/>
        </w:numPr>
        <w:rPr>
          <w:rFonts w:ascii="Arial" w:cs="Arial" w:eastAsia="Arial" w:hAnsi="Arial"/>
          <w:sz w:val="18"/>
          <w:szCs w:val="18"/>
          <w:color w:val="auto"/>
        </w:rPr>
      </w:pPr>
      <w:r>
        <w:rPr>
          <w:rFonts w:ascii="MS PGothic" w:cs="MS PGothic" w:eastAsia="MS PGothic" w:hAnsi="MS PGothic"/>
          <w:sz w:val="18"/>
          <w:szCs w:val="18"/>
          <w:color w:val="auto"/>
        </w:rPr>
        <w:t>☐</w:t>
      </w:r>
      <w:r>
        <w:rPr>
          <w:rFonts w:ascii="Arial" w:cs="Arial" w:eastAsia="Arial" w:hAnsi="Arial"/>
          <w:sz w:val="18"/>
          <w:szCs w:val="18"/>
          <w:color w:val="auto"/>
        </w:rPr>
        <w:t xml:space="preserve"> An employee benefit plan or endowment fund in accordance with §240.13d-1(b)(1)(ii)(F);</w:t>
      </w:r>
    </w:p>
    <w:p>
      <w:pPr>
        <w:spacing w:after="0" w:line="117" w:lineRule="exact"/>
        <w:rPr>
          <w:rFonts w:ascii="Arial" w:cs="Arial" w:eastAsia="Arial" w:hAnsi="Arial"/>
          <w:sz w:val="18"/>
          <w:szCs w:val="18"/>
          <w:color w:val="auto"/>
        </w:rPr>
      </w:pPr>
    </w:p>
    <w:p>
      <w:pPr>
        <w:ind w:left="780" w:hanging="339"/>
        <w:spacing w:after="0" w:line="207" w:lineRule="exact"/>
        <w:tabs>
          <w:tab w:leader="none" w:pos="780" w:val="left"/>
        </w:tabs>
        <w:numPr>
          <w:ilvl w:val="0"/>
          <w:numId w:val="16"/>
        </w:numPr>
        <w:rPr>
          <w:rFonts w:ascii="Arial" w:cs="Arial" w:eastAsia="Arial" w:hAnsi="Arial"/>
          <w:sz w:val="18"/>
          <w:szCs w:val="18"/>
          <w:color w:val="auto"/>
        </w:rPr>
      </w:pPr>
      <w:r>
        <w:rPr>
          <w:rFonts w:ascii="MS PGothic" w:cs="MS PGothic" w:eastAsia="MS PGothic" w:hAnsi="MS PGothic"/>
          <w:sz w:val="18"/>
          <w:szCs w:val="18"/>
          <w:color w:val="auto"/>
        </w:rPr>
        <w:t>☐</w:t>
      </w:r>
      <w:r>
        <w:rPr>
          <w:rFonts w:ascii="Arial" w:cs="Arial" w:eastAsia="Arial" w:hAnsi="Arial"/>
          <w:sz w:val="18"/>
          <w:szCs w:val="18"/>
          <w:color w:val="auto"/>
        </w:rPr>
        <w:t xml:space="preserve"> A parent holding company or control person in accordance with §240.13d-1(b)(1)(ii)(G);</w:t>
      </w:r>
    </w:p>
    <w:p>
      <w:pPr>
        <w:spacing w:after="0" w:line="117" w:lineRule="exact"/>
        <w:rPr>
          <w:rFonts w:ascii="Arial" w:cs="Arial" w:eastAsia="Arial" w:hAnsi="Arial"/>
          <w:sz w:val="18"/>
          <w:szCs w:val="18"/>
          <w:color w:val="auto"/>
        </w:rPr>
      </w:pPr>
    </w:p>
    <w:p>
      <w:pPr>
        <w:ind w:left="780" w:hanging="339"/>
        <w:spacing w:after="0" w:line="207" w:lineRule="exact"/>
        <w:tabs>
          <w:tab w:leader="none" w:pos="780" w:val="left"/>
        </w:tabs>
        <w:numPr>
          <w:ilvl w:val="0"/>
          <w:numId w:val="16"/>
        </w:numPr>
        <w:rPr>
          <w:rFonts w:ascii="Arial" w:cs="Arial" w:eastAsia="Arial" w:hAnsi="Arial"/>
          <w:sz w:val="18"/>
          <w:szCs w:val="18"/>
          <w:color w:val="auto"/>
        </w:rPr>
      </w:pPr>
      <w:r>
        <w:rPr>
          <w:rFonts w:ascii="MS PGothic" w:cs="MS PGothic" w:eastAsia="MS PGothic" w:hAnsi="MS PGothic"/>
          <w:sz w:val="18"/>
          <w:szCs w:val="18"/>
          <w:color w:val="auto"/>
        </w:rPr>
        <w:t>☐</w:t>
      </w:r>
      <w:r>
        <w:rPr>
          <w:rFonts w:ascii="Arial" w:cs="Arial" w:eastAsia="Arial" w:hAnsi="Arial"/>
          <w:sz w:val="18"/>
          <w:szCs w:val="18"/>
          <w:color w:val="auto"/>
        </w:rPr>
        <w:t xml:space="preserve"> A savings associations as defined in Section 3(b) of the Federal Deposit Insurance Act (12 U.S.C. 1813);</w:t>
      </w:r>
    </w:p>
    <w:p>
      <w:pPr>
        <w:spacing w:after="0" w:line="117" w:lineRule="exact"/>
        <w:rPr>
          <w:rFonts w:ascii="Arial" w:cs="Arial" w:eastAsia="Arial" w:hAnsi="Arial"/>
          <w:sz w:val="18"/>
          <w:szCs w:val="18"/>
          <w:color w:val="auto"/>
        </w:rPr>
      </w:pPr>
    </w:p>
    <w:p>
      <w:pPr>
        <w:ind w:left="1080" w:right="200" w:hanging="639"/>
        <w:spacing w:after="0" w:line="239" w:lineRule="exact"/>
        <w:tabs>
          <w:tab w:leader="none" w:pos="783" w:val="left"/>
        </w:tabs>
        <w:numPr>
          <w:ilvl w:val="0"/>
          <w:numId w:val="16"/>
        </w:numPr>
        <w:rPr>
          <w:rFonts w:ascii="Arial" w:cs="Arial" w:eastAsia="Arial" w:hAnsi="Arial"/>
          <w:sz w:val="18"/>
          <w:szCs w:val="18"/>
          <w:color w:val="auto"/>
        </w:rPr>
      </w:pPr>
      <w:r>
        <w:rPr>
          <w:rFonts w:ascii="MS PGothic" w:cs="MS PGothic" w:eastAsia="MS PGothic" w:hAnsi="MS PGothic"/>
          <w:sz w:val="18"/>
          <w:szCs w:val="18"/>
          <w:color w:val="auto"/>
        </w:rPr>
        <w:t>☐</w:t>
      </w:r>
      <w:r>
        <w:rPr>
          <w:rFonts w:ascii="Arial" w:cs="Arial" w:eastAsia="Arial" w:hAnsi="Arial"/>
          <w:sz w:val="18"/>
          <w:szCs w:val="18"/>
          <w:color w:val="auto"/>
        </w:rPr>
        <w:t xml:space="preserve"> A church plan that is excluded from the definition of an investment company under section 3(c)(14) of the Investment Company Act of 1940 (15 U.S.C. 80a-3);</w:t>
      </w:r>
    </w:p>
    <w:p>
      <w:pPr>
        <w:spacing w:after="0" w:line="62" w:lineRule="exact"/>
        <w:rPr>
          <w:rFonts w:ascii="Arial" w:cs="Arial" w:eastAsia="Arial" w:hAnsi="Arial"/>
          <w:sz w:val="18"/>
          <w:szCs w:val="18"/>
          <w:color w:val="auto"/>
        </w:rPr>
      </w:pPr>
    </w:p>
    <w:p>
      <w:pPr>
        <w:ind w:left="780" w:hanging="339"/>
        <w:spacing w:after="0" w:line="207" w:lineRule="exact"/>
        <w:tabs>
          <w:tab w:leader="none" w:pos="780" w:val="left"/>
        </w:tabs>
        <w:numPr>
          <w:ilvl w:val="0"/>
          <w:numId w:val="16"/>
        </w:numPr>
        <w:rPr>
          <w:rFonts w:ascii="Arial" w:cs="Arial" w:eastAsia="Arial" w:hAnsi="Arial"/>
          <w:sz w:val="18"/>
          <w:szCs w:val="18"/>
          <w:color w:val="auto"/>
        </w:rPr>
      </w:pPr>
      <w:r>
        <w:rPr>
          <w:rFonts w:ascii="MS PGothic" w:cs="MS PGothic" w:eastAsia="MS PGothic" w:hAnsi="MS PGothic"/>
          <w:sz w:val="18"/>
          <w:szCs w:val="18"/>
          <w:color w:val="auto"/>
        </w:rPr>
        <w:t>☐</w:t>
      </w:r>
      <w:r>
        <w:rPr>
          <w:rFonts w:ascii="Arial" w:cs="Arial" w:eastAsia="Arial" w:hAnsi="Arial"/>
          <w:sz w:val="18"/>
          <w:szCs w:val="18"/>
          <w:color w:val="auto"/>
        </w:rPr>
        <w:t xml:space="preserve"> Group, in accordance with §240.13d-1(b)(1)(ii)(K).</w:t>
      </w:r>
    </w:p>
    <w:p>
      <w:pPr>
        <w:sectPr>
          <w:pgSz w:w="11900" w:h="16838" w:orient="portrait"/>
          <w:cols w:equalWidth="0" w:num="1">
            <w:col w:w="11020"/>
          </w:cols>
          <w:pgMar w:left="440" w:top="638" w:right="439" w:bottom="1440" w:gutter="0" w:footer="0" w:header="0"/>
        </w:sectPr>
      </w:pPr>
    </w:p>
    <w:bookmarkStart w:id="3" w:name="page4"/>
    <w:bookmarkEnd w:id="3"/>
    <w:p>
      <w:pPr>
        <w:spacing w:after="0"/>
        <w:tabs>
          <w:tab w:leader="none" w:pos="5380" w:val="left"/>
          <w:tab w:leader="none" w:pos="9720" w:val="left"/>
        </w:tabs>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603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149465" cy="26035"/>
                    </a:xfrm>
                    <a:prstGeom prst="rect">
                      <a:avLst/>
                    </a:prstGeom>
                    <a:noFill/>
                  </pic:spPr>
                </pic:pic>
              </a:graphicData>
            </a:graphic>
          </wp:anchor>
        </w:drawing>
        <w:drawing>
          <wp:anchor simplePos="0" relativeHeight="251657728" behindDoc="1" locked="0" layoutInCell="0" allowOverlap="1">
            <wp:simplePos x="0" y="0"/>
            <wp:positionH relativeFrom="page">
              <wp:posOffset>276860</wp:posOffset>
            </wp:positionH>
            <wp:positionV relativeFrom="page">
              <wp:posOffset>286385</wp:posOffset>
            </wp:positionV>
            <wp:extent cx="6995160" cy="825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6995160" cy="8255"/>
                    </a:xfrm>
                    <a:prstGeom prst="rect">
                      <a:avLst/>
                    </a:prstGeom>
                    <a:noFill/>
                  </pic:spPr>
                </pic:pic>
              </a:graphicData>
            </a:graphic>
          </wp:anchor>
        </w:drawing>
        <w:t>CUSIP No. G48833118</w:t>
      </w:r>
      <w:r>
        <w:rPr>
          <w:sz w:val="20"/>
          <w:szCs w:val="20"/>
          <w:color w:val="auto"/>
        </w:rPr>
        <w:tab/>
      </w:r>
      <w:r>
        <w:rPr>
          <w:rFonts w:ascii="Arial" w:cs="Arial" w:eastAsia="Arial" w:hAnsi="Arial"/>
          <w:sz w:val="18"/>
          <w:szCs w:val="18"/>
          <w:color w:val="auto"/>
        </w:rPr>
        <w:t>13G</w:t>
      </w:r>
      <w:r>
        <w:rPr>
          <w:sz w:val="20"/>
          <w:szCs w:val="20"/>
          <w:color w:val="auto"/>
        </w:rPr>
        <w:tab/>
      </w:r>
      <w:r>
        <w:rPr>
          <w:rFonts w:ascii="Arial" w:cs="Arial" w:eastAsia="Arial" w:hAnsi="Arial"/>
          <w:sz w:val="15"/>
          <w:szCs w:val="15"/>
          <w:color w:val="auto"/>
        </w:rPr>
        <w:t>Page 4 of 5 Pages</w:t>
      </w:r>
    </w:p>
    <w:p>
      <w:pPr>
        <w:spacing w:after="0" w:line="24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4. Ownership.</w:t>
      </w:r>
    </w:p>
    <w:p>
      <w:pPr>
        <w:spacing w:after="0" w:line="121" w:lineRule="exact"/>
        <w:rPr>
          <w:sz w:val="20"/>
          <w:szCs w:val="20"/>
          <w:color w:val="auto"/>
        </w:rPr>
      </w:pPr>
    </w:p>
    <w:p>
      <w:pPr>
        <w:spacing w:after="0"/>
        <w:rPr>
          <w:sz w:val="20"/>
          <w:szCs w:val="20"/>
          <w:color w:val="auto"/>
        </w:rPr>
      </w:pPr>
      <w:r>
        <w:rPr>
          <w:rFonts w:ascii="Arial" w:cs="Arial" w:eastAsia="Arial" w:hAnsi="Arial"/>
          <w:sz w:val="18"/>
          <w:szCs w:val="18"/>
          <w:color w:val="auto"/>
        </w:rPr>
        <w:t>The information required by Items 4(a)-(c) is set forth in Rows 5-11 of the Cover Page and is incorporated herein by reference.</w:t>
      </w:r>
    </w:p>
    <w:p>
      <w:pPr>
        <w:spacing w:after="0" w:line="225" w:lineRule="exact"/>
        <w:rPr>
          <w:sz w:val="20"/>
          <w:szCs w:val="20"/>
          <w:color w:val="auto"/>
        </w:rPr>
      </w:pPr>
    </w:p>
    <w:p>
      <w:pPr>
        <w:ind w:right="140"/>
        <w:spacing w:after="0" w:line="277" w:lineRule="auto"/>
        <w:rPr>
          <w:sz w:val="20"/>
          <w:szCs w:val="20"/>
          <w:color w:val="auto"/>
        </w:rPr>
      </w:pPr>
      <w:r>
        <w:rPr>
          <w:rFonts w:ascii="Arial" w:cs="Arial" w:eastAsia="Arial" w:hAnsi="Arial"/>
          <w:sz w:val="18"/>
          <w:szCs w:val="18"/>
          <w:color w:val="auto"/>
        </w:rPr>
        <w:t>AssuredIM expressly declares that this filing shall not be construed as an admission that it is, for the purposes of Sections 13(d) or 13(g) of the Act, the beneficial owner of any securities covered by this filing.</w:t>
      </w:r>
    </w:p>
    <w:p>
      <w:pPr>
        <w:spacing w:after="0" w:line="27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5. Ownership of 5 Percent or Less of a Class.</w:t>
      </w:r>
    </w:p>
    <w:p>
      <w:pPr>
        <w:spacing w:after="0" w:line="121" w:lineRule="exact"/>
        <w:rPr>
          <w:sz w:val="20"/>
          <w:szCs w:val="20"/>
          <w:color w:val="auto"/>
        </w:rPr>
      </w:pPr>
    </w:p>
    <w:p>
      <w:pPr>
        <w:ind w:right="640"/>
        <w:spacing w:after="0" w:line="233" w:lineRule="exact"/>
        <w:rPr>
          <w:sz w:val="20"/>
          <w:szCs w:val="20"/>
          <w:color w:val="auto"/>
        </w:rPr>
      </w:pPr>
      <w:r>
        <w:rPr>
          <w:rFonts w:ascii="Arial" w:cs="Arial" w:eastAsia="Arial" w:hAnsi="Arial"/>
          <w:sz w:val="18"/>
          <w:szCs w:val="18"/>
          <w:color w:val="auto"/>
        </w:rPr>
        <w:t xml:space="preserve">If this statement is being filed to report the fact that as of the date hereof the reporting person has ceased to be the beneficial owner of more than 5 percent of the class of securities, check the following </w:t>
      </w:r>
      <w:r>
        <w:rPr>
          <w:rFonts w:ascii="MS PGothic" w:cs="MS PGothic" w:eastAsia="MS PGothic" w:hAnsi="MS PGothic"/>
          <w:sz w:val="18"/>
          <w:szCs w:val="18"/>
          <w:color w:val="auto"/>
        </w:rPr>
        <w:t>☒</w:t>
      </w:r>
      <w:r>
        <w:rPr>
          <w:rFonts w:ascii="Arial" w:cs="Arial" w:eastAsia="Arial" w:hAnsi="Arial"/>
          <w:sz w:val="18"/>
          <w:szCs w:val="18"/>
          <w:color w:val="auto"/>
        </w:rPr>
        <w:t>.</w:t>
      </w:r>
    </w:p>
    <w:p>
      <w:pPr>
        <w:spacing w:after="0" w:line="28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6. Ownership of More than 5 Percent on Behalf of Another Person.</w:t>
      </w:r>
    </w:p>
    <w:p>
      <w:pPr>
        <w:spacing w:after="0" w:line="121" w:lineRule="exact"/>
        <w:rPr>
          <w:sz w:val="20"/>
          <w:szCs w:val="20"/>
          <w:color w:val="auto"/>
        </w:rPr>
      </w:pPr>
    </w:p>
    <w:p>
      <w:pPr>
        <w:spacing w:after="0"/>
        <w:rPr>
          <w:sz w:val="20"/>
          <w:szCs w:val="20"/>
          <w:color w:val="auto"/>
        </w:rPr>
      </w:pPr>
      <w:r>
        <w:rPr>
          <w:rFonts w:ascii="Arial" w:cs="Arial" w:eastAsia="Arial" w:hAnsi="Arial"/>
          <w:sz w:val="18"/>
          <w:szCs w:val="18"/>
          <w:color w:val="auto"/>
        </w:rPr>
        <w:t>Not applicable.</w:t>
      </w:r>
    </w:p>
    <w:p>
      <w:pPr>
        <w:spacing w:after="0" w:line="329" w:lineRule="exact"/>
        <w:rPr>
          <w:sz w:val="20"/>
          <w:szCs w:val="20"/>
          <w:color w:val="auto"/>
        </w:rPr>
      </w:pPr>
    </w:p>
    <w:p>
      <w:pPr>
        <w:ind w:right="100"/>
        <w:spacing w:after="0" w:line="282" w:lineRule="auto"/>
        <w:rPr>
          <w:sz w:val="20"/>
          <w:szCs w:val="20"/>
          <w:color w:val="auto"/>
        </w:rPr>
      </w:pPr>
      <w:r>
        <w:rPr>
          <w:rFonts w:ascii="Arial" w:cs="Arial" w:eastAsia="Arial" w:hAnsi="Arial"/>
          <w:sz w:val="18"/>
          <w:szCs w:val="18"/>
          <w:b w:val="1"/>
          <w:bCs w:val="1"/>
          <w:color w:val="auto"/>
        </w:rPr>
        <w:t>Item 7. Identification and Classification of the Subsidiary Which Acquired the Security Being Reported on by the Parent Holding Company or Control Person.</w:t>
      </w:r>
    </w:p>
    <w:p>
      <w:pPr>
        <w:spacing w:after="0" w:line="58" w:lineRule="exact"/>
        <w:rPr>
          <w:sz w:val="20"/>
          <w:szCs w:val="20"/>
          <w:color w:val="auto"/>
        </w:rPr>
      </w:pPr>
    </w:p>
    <w:p>
      <w:pPr>
        <w:spacing w:after="0"/>
        <w:rPr>
          <w:sz w:val="20"/>
          <w:szCs w:val="20"/>
          <w:color w:val="auto"/>
        </w:rPr>
      </w:pPr>
      <w:r>
        <w:rPr>
          <w:rFonts w:ascii="Arial" w:cs="Arial" w:eastAsia="Arial" w:hAnsi="Arial"/>
          <w:sz w:val="18"/>
          <w:szCs w:val="18"/>
          <w:color w:val="auto"/>
        </w:rPr>
        <w:t>Not applicable.</w:t>
      </w:r>
    </w:p>
    <w:p>
      <w:pPr>
        <w:spacing w:after="0" w:line="32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8. Identification and Classification of Members of the Group.</w:t>
      </w:r>
    </w:p>
    <w:p>
      <w:pPr>
        <w:spacing w:after="0" w:line="121" w:lineRule="exact"/>
        <w:rPr>
          <w:sz w:val="20"/>
          <w:szCs w:val="20"/>
          <w:color w:val="auto"/>
        </w:rPr>
      </w:pPr>
    </w:p>
    <w:p>
      <w:pPr>
        <w:spacing w:after="0"/>
        <w:rPr>
          <w:sz w:val="20"/>
          <w:szCs w:val="20"/>
          <w:color w:val="auto"/>
        </w:rPr>
      </w:pPr>
      <w:r>
        <w:rPr>
          <w:rFonts w:ascii="Arial" w:cs="Arial" w:eastAsia="Arial" w:hAnsi="Arial"/>
          <w:sz w:val="18"/>
          <w:szCs w:val="18"/>
          <w:color w:val="auto"/>
        </w:rPr>
        <w:t>Not applicable.</w:t>
      </w:r>
    </w:p>
    <w:p>
      <w:pPr>
        <w:spacing w:after="0" w:line="32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9. Notice of Dissolution of Group.</w:t>
      </w:r>
    </w:p>
    <w:p>
      <w:pPr>
        <w:spacing w:after="0" w:line="121" w:lineRule="exact"/>
        <w:rPr>
          <w:sz w:val="20"/>
          <w:szCs w:val="20"/>
          <w:color w:val="auto"/>
        </w:rPr>
      </w:pPr>
    </w:p>
    <w:p>
      <w:pPr>
        <w:spacing w:after="0"/>
        <w:rPr>
          <w:sz w:val="20"/>
          <w:szCs w:val="20"/>
          <w:color w:val="auto"/>
        </w:rPr>
      </w:pPr>
      <w:r>
        <w:rPr>
          <w:rFonts w:ascii="Arial" w:cs="Arial" w:eastAsia="Arial" w:hAnsi="Arial"/>
          <w:sz w:val="18"/>
          <w:szCs w:val="18"/>
          <w:color w:val="auto"/>
        </w:rPr>
        <w:t>Not applicable.</w:t>
      </w:r>
    </w:p>
    <w:p>
      <w:pPr>
        <w:spacing w:after="0" w:line="32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10. Certification.</w:t>
      </w:r>
    </w:p>
    <w:p>
      <w:pPr>
        <w:spacing w:after="0" w:line="121" w:lineRule="exact"/>
        <w:rPr>
          <w:sz w:val="20"/>
          <w:szCs w:val="20"/>
          <w:color w:val="auto"/>
        </w:rPr>
      </w:pPr>
    </w:p>
    <w:p>
      <w:pPr>
        <w:ind w:right="20"/>
        <w:spacing w:after="0" w:line="259" w:lineRule="auto"/>
        <w:rPr>
          <w:sz w:val="20"/>
          <w:szCs w:val="20"/>
          <w:color w:val="auto"/>
        </w:rPr>
      </w:pPr>
      <w:r>
        <w:rPr>
          <w:rFonts w:ascii="Arial" w:cs="Arial" w:eastAsia="Arial" w:hAnsi="Arial"/>
          <w:sz w:val="18"/>
          <w:szCs w:val="18"/>
          <w:color w:val="auto"/>
        </w:rPr>
        <w:t>By signing below I certify that, to the best of my knowledge and belief, the securities referred to above were acquired and are held in the ordinary course of business and were not acquired and are not held for the purpose of or with the effect of changing or influencing the control of the issuer of the securities and were not acquired and are not held in connection with or as a participant in any transaction having that purpose or effect, other than activities solely in connection with a nomination under § 240.14a-11.</w:t>
      </w:r>
    </w:p>
    <w:p>
      <w:pPr>
        <w:sectPr>
          <w:pgSz w:w="11900" w:h="16838" w:orient="portrait"/>
          <w:cols w:equalWidth="0" w:num="1">
            <w:col w:w="11020"/>
          </w:cols>
          <w:pgMar w:left="440" w:top="638" w:right="439" w:bottom="1440" w:gutter="0" w:footer="0" w:header="0"/>
        </w:sectPr>
      </w:pPr>
    </w:p>
    <w:bookmarkStart w:id="4" w:name="page5"/>
    <w:bookmarkEnd w:id="4"/>
    <w:p>
      <w:pPr>
        <w:spacing w:after="0"/>
        <w:tabs>
          <w:tab w:leader="none" w:pos="5380" w:val="left"/>
          <w:tab w:leader="none" w:pos="9720" w:val="left"/>
        </w:tabs>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603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7149465" cy="26035"/>
                    </a:xfrm>
                    <a:prstGeom prst="rect">
                      <a:avLst/>
                    </a:prstGeom>
                    <a:noFill/>
                  </pic:spPr>
                </pic:pic>
              </a:graphicData>
            </a:graphic>
          </wp:anchor>
        </w:drawing>
        <w:drawing>
          <wp:anchor simplePos="0" relativeHeight="251657728" behindDoc="1" locked="0" layoutInCell="0" allowOverlap="1">
            <wp:simplePos x="0" y="0"/>
            <wp:positionH relativeFrom="page">
              <wp:posOffset>276860</wp:posOffset>
            </wp:positionH>
            <wp:positionV relativeFrom="page">
              <wp:posOffset>286385</wp:posOffset>
            </wp:positionV>
            <wp:extent cx="6995160" cy="8255"/>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6995160" cy="8255"/>
                    </a:xfrm>
                    <a:prstGeom prst="rect">
                      <a:avLst/>
                    </a:prstGeom>
                    <a:noFill/>
                  </pic:spPr>
                </pic:pic>
              </a:graphicData>
            </a:graphic>
          </wp:anchor>
        </w:drawing>
        <w:t>CUSIP No. G48833118</w:t>
      </w:r>
      <w:r>
        <w:rPr>
          <w:sz w:val="20"/>
          <w:szCs w:val="20"/>
          <w:color w:val="auto"/>
        </w:rPr>
        <w:tab/>
      </w:r>
      <w:r>
        <w:rPr>
          <w:rFonts w:ascii="Arial" w:cs="Arial" w:eastAsia="Arial" w:hAnsi="Arial"/>
          <w:sz w:val="18"/>
          <w:szCs w:val="18"/>
          <w:color w:val="auto"/>
        </w:rPr>
        <w:t>13G</w:t>
      </w:r>
      <w:r>
        <w:rPr>
          <w:sz w:val="20"/>
          <w:szCs w:val="20"/>
          <w:color w:val="auto"/>
        </w:rPr>
        <w:tab/>
      </w:r>
      <w:r>
        <w:rPr>
          <w:rFonts w:ascii="Arial" w:cs="Arial" w:eastAsia="Arial" w:hAnsi="Arial"/>
          <w:sz w:val="15"/>
          <w:szCs w:val="15"/>
          <w:color w:val="auto"/>
        </w:rPr>
        <w:t>Page 5 of 5 Pages</w:t>
      </w:r>
    </w:p>
    <w:p>
      <w:pPr>
        <w:spacing w:after="0" w:line="25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SIGNATURES</w:t>
      </w:r>
    </w:p>
    <w:p>
      <w:pPr>
        <w:spacing w:after="0" w:line="225" w:lineRule="exact"/>
        <w:rPr>
          <w:sz w:val="20"/>
          <w:szCs w:val="20"/>
          <w:color w:val="auto"/>
        </w:rPr>
      </w:pPr>
    </w:p>
    <w:p>
      <w:pPr>
        <w:ind w:right="620"/>
        <w:spacing w:after="0" w:line="277" w:lineRule="auto"/>
        <w:rPr>
          <w:sz w:val="20"/>
          <w:szCs w:val="20"/>
          <w:color w:val="auto"/>
        </w:rPr>
      </w:pPr>
      <w:r>
        <w:rPr>
          <w:rFonts w:ascii="Arial" w:cs="Arial" w:eastAsia="Arial" w:hAnsi="Arial"/>
          <w:sz w:val="18"/>
          <w:szCs w:val="18"/>
          <w:color w:val="auto"/>
        </w:rPr>
        <w:t>After reasonable inquiry and to the best of the undersigned’s knowledge and belief, the undersigned certifies that the information set forth in this statement is true, complete and correct.</w:t>
      </w:r>
    </w:p>
    <w:p>
      <w:pPr>
        <w:spacing w:after="0" w:line="197" w:lineRule="exact"/>
        <w:rPr>
          <w:sz w:val="20"/>
          <w:szCs w:val="20"/>
          <w:color w:val="auto"/>
        </w:rPr>
      </w:pPr>
    </w:p>
    <w:p>
      <w:pPr>
        <w:spacing w:after="0"/>
        <w:rPr>
          <w:sz w:val="20"/>
          <w:szCs w:val="20"/>
          <w:color w:val="auto"/>
        </w:rPr>
      </w:pPr>
      <w:r>
        <w:rPr>
          <w:rFonts w:ascii="Arial" w:cs="Arial" w:eastAsia="Arial" w:hAnsi="Arial"/>
          <w:sz w:val="18"/>
          <w:szCs w:val="18"/>
          <w:color w:val="auto"/>
        </w:rPr>
        <w:t>DATED: February 16, 2021</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ASSURED INVESTMENT MANAGEMENT LLC</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By: /s/ Eric M. Albert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228600</wp:posOffset>
            </wp:positionH>
            <wp:positionV relativeFrom="paragraph">
              <wp:posOffset>14605</wp:posOffset>
            </wp:positionV>
            <wp:extent cx="2562860" cy="8255"/>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2562860" cy="8255"/>
                    </a:xfrm>
                    <a:prstGeom prst="rect">
                      <a:avLst/>
                    </a:prstGeom>
                    <a:noFill/>
                  </pic:spPr>
                </pic:pic>
              </a:graphicData>
            </a:graphic>
          </wp:anchor>
        </w:drawing>
      </w:r>
    </w:p>
    <w:p>
      <w:pPr>
        <w:spacing w:after="0" w:line="16" w:lineRule="exact"/>
        <w:rPr>
          <w:sz w:val="20"/>
          <w:szCs w:val="20"/>
          <w:color w:val="auto"/>
        </w:rPr>
      </w:pPr>
    </w:p>
    <w:p>
      <w:pPr>
        <w:spacing w:after="0"/>
        <w:rPr>
          <w:sz w:val="20"/>
          <w:szCs w:val="20"/>
          <w:color w:val="auto"/>
        </w:rPr>
      </w:pPr>
      <w:r>
        <w:rPr>
          <w:rFonts w:ascii="Arial" w:cs="Arial" w:eastAsia="Arial" w:hAnsi="Arial"/>
          <w:sz w:val="18"/>
          <w:szCs w:val="18"/>
          <w:color w:val="auto"/>
        </w:rPr>
        <w:t>Eric M. Albert, Chief Compliance Officer</w:t>
      </w:r>
    </w:p>
    <w:sectPr>
      <w:pgSz w:w="11900" w:h="16838" w:orient="portrait"/>
      <w:cols w:equalWidth="0" w:num="1">
        <w:col w:w="11020"/>
      </w:cols>
      <w:pgMar w:left="440" w:top="638" w:right="4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515F007C"/>
    <w:multiLevelType w:val="hybridMultilevel"/>
    <w:lvl w:ilvl="0">
      <w:lvlJc w:val="left"/>
      <w:lvlText w:val="☒"/>
      <w:numFmt w:val="bullet"/>
      <w:start w:val="1"/>
    </w:lvl>
  </w:abstractNum>
  <w:abstractNum w:abstractNumId="1">
    <w:nsid w:val="5BD062C2"/>
    <w:multiLevelType w:val="hybridMultilevel"/>
    <w:lvl w:ilvl="0">
      <w:lvlJc w:val="left"/>
      <w:lvlText w:val="*"/>
      <w:numFmt w:val="bullet"/>
      <w:start w:val="1"/>
    </w:lvl>
    <w:lvl w:ilvl="1">
      <w:lvlJc w:val="left"/>
      <w:lvlText w:val="☐"/>
      <w:numFmt w:val="bullet"/>
      <w:start w:val="1"/>
    </w:lvl>
  </w:abstractNum>
  <w:abstractNum w:abstractNumId="2">
    <w:nsid w:val="12200854"/>
    <w:multiLevelType w:val="hybridMultilevel"/>
    <w:lvl w:ilvl="0">
      <w:lvlJc w:val="left"/>
      <w:lvlText w:val="%1."/>
      <w:numFmt w:val="decimal"/>
      <w:start w:val="1"/>
    </w:lvl>
  </w:abstractNum>
  <w:abstractNum w:abstractNumId="3">
    <w:nsid w:val="4DB127F8"/>
    <w:multiLevelType w:val="hybridMultilevel"/>
    <w:lvl w:ilvl="0">
      <w:lvlJc w:val="left"/>
      <w:lvlText w:val="%1."/>
      <w:numFmt w:val="decimal"/>
      <w:start w:val="2"/>
    </w:lvl>
  </w:abstractNum>
  <w:abstractNum w:abstractNumId="4">
    <w:nsid w:val="216231B"/>
    <w:multiLevelType w:val="hybridMultilevel"/>
    <w:lvl w:ilvl="0">
      <w:lvlJc w:val="left"/>
      <w:lvlText w:val="%1."/>
      <w:numFmt w:val="decimal"/>
      <w:start w:val="3"/>
    </w:lvl>
  </w:abstractNum>
  <w:abstractNum w:abstractNumId="5">
    <w:nsid w:val="1F16E9E8"/>
    <w:multiLevelType w:val="hybridMultilevel"/>
    <w:lvl w:ilvl="0">
      <w:lvlJc w:val="left"/>
      <w:lvlText w:val="%1."/>
      <w:numFmt w:val="decimal"/>
      <w:start w:val="5"/>
    </w:lvl>
  </w:abstractNum>
  <w:abstractNum w:abstractNumId="6">
    <w:nsid w:val="1190CDE7"/>
    <w:multiLevelType w:val="hybridMultilevel"/>
    <w:lvl w:ilvl="0">
      <w:lvlJc w:val="left"/>
      <w:lvlText w:val="%1."/>
      <w:numFmt w:val="decimal"/>
      <w:start w:val="6"/>
    </w:lvl>
  </w:abstractNum>
  <w:abstractNum w:abstractNumId="7">
    <w:nsid w:val="66EF438D"/>
    <w:multiLevelType w:val="hybridMultilevel"/>
    <w:lvl w:ilvl="0">
      <w:lvlJc w:val="left"/>
      <w:lvlText w:val="%1."/>
      <w:numFmt w:val="decimal"/>
      <w:start w:val="7"/>
    </w:lvl>
  </w:abstractNum>
  <w:abstractNum w:abstractNumId="8">
    <w:nsid w:val="140E0F76"/>
    <w:multiLevelType w:val="hybridMultilevel"/>
    <w:lvl w:ilvl="0">
      <w:lvlJc w:val="left"/>
      <w:lvlText w:val="%1."/>
      <w:numFmt w:val="decimal"/>
      <w:start w:val="8"/>
    </w:lvl>
  </w:abstractNum>
  <w:abstractNum w:abstractNumId="9">
    <w:nsid w:val="3352255A"/>
    <w:multiLevelType w:val="hybridMultilevel"/>
    <w:lvl w:ilvl="0">
      <w:lvlJc w:val="left"/>
      <w:lvlText w:val="%1."/>
      <w:numFmt w:val="decimal"/>
      <w:start w:val="9"/>
    </w:lvl>
  </w:abstractNum>
  <w:abstractNum w:abstractNumId="10">
    <w:nsid w:val="109CF92E"/>
    <w:multiLevelType w:val="hybridMultilevel"/>
    <w:lvl w:ilvl="0">
      <w:lvlJc w:val="left"/>
      <w:lvlText w:val="%1."/>
      <w:numFmt w:val="decimal"/>
      <w:start w:val="10"/>
    </w:lvl>
  </w:abstractNum>
  <w:abstractNum w:abstractNumId="11">
    <w:nsid w:val="DED7263"/>
    <w:multiLevelType w:val="hybridMultilevel"/>
    <w:lvl w:ilvl="0">
      <w:lvlJc w:val="left"/>
      <w:lvlText w:val="%1."/>
      <w:numFmt w:val="decimal"/>
      <w:start w:val="12"/>
    </w:lvl>
  </w:abstractNum>
  <w:abstractNum w:abstractNumId="12">
    <w:nsid w:val="7FDCC233"/>
    <w:multiLevelType w:val="hybridMultilevel"/>
    <w:lvl w:ilvl="0">
      <w:lvlJc w:val="left"/>
      <w:lvlText w:val="(%1)"/>
      <w:numFmt w:val="decimal"/>
      <w:start w:val="1"/>
    </w:lvl>
  </w:abstractNum>
  <w:abstractNum w:abstractNumId="13">
    <w:nsid w:val="1BEFD79F"/>
    <w:multiLevelType w:val="hybridMultilevel"/>
    <w:lvl w:ilvl="0">
      <w:lvlJc w:val="left"/>
      <w:lvlText w:val="(%1)"/>
      <w:numFmt w:val="lowerLetter"/>
      <w:start w:val="1"/>
    </w:lvl>
  </w:abstractNum>
  <w:abstractNum w:abstractNumId="14">
    <w:nsid w:val="41A7C4C9"/>
    <w:multiLevelType w:val="hybridMultilevel"/>
    <w:lvl w:ilvl="0">
      <w:lvlJc w:val="left"/>
      <w:lvlText w:val="(%1)"/>
      <w:numFmt w:val="lowerLetter"/>
      <w:start w:val="1"/>
    </w:lvl>
  </w:abstractNum>
  <w:abstractNum w:abstractNumId="15">
    <w:nsid w:val="6B68079A"/>
    <w:multiLevelType w:val="hybridMultilevel"/>
    <w:lvl w:ilvl="0">
      <w:lvlJc w:val="left"/>
      <w:lvlText w:val="(%1)"/>
      <w:numFmt w:val="lowerLetter"/>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2021-02-16T16:12:00Z</dcterms:created>
  <dcterms:modified xsi:type="dcterms:W3CDTF">2021-02-16T16:12:00Z</dcterms:modified>
</cp:coreProperties>
</file>