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Ordinary Shares,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13d-1(b)</w:t>
      </w:r>
    </w:p>
    <w:p>
      <w:pPr>
        <w:spacing w:after="0" w:line="29" w:lineRule="exact"/>
        <w:rPr>
          <w:rFonts w:ascii="MS PGothic" w:cs="MS PGothic" w:eastAsia="MS PGothic" w:hAnsi="MS PGothic"/>
          <w:sz w:val="20"/>
          <w:szCs w:val="20"/>
          <w:color w:val="auto"/>
        </w:rPr>
      </w:pPr>
    </w:p>
    <w:p>
      <w:pPr>
        <w:jc w:val="both"/>
        <w:ind w:left="640" w:right="8840"/>
        <w:spacing w:after="0" w:line="257" w:lineRule="exact"/>
        <w:tabs>
          <w:tab w:leader="none" w:pos="101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6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8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231"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G48833118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740" w:type="dxa"/>
            <w:vAlign w:val="bottom"/>
          </w:tcPr>
          <w:p>
            <w:pPr>
              <w:ind w:left="40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w w:val="99"/>
              </w:rPr>
              <w:t>Oak Hill Advisors,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2"/>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Arial" w:cs="Arial" w:eastAsia="Arial" w:hAnsi="Arial"/>
                <w:sz w:val="29"/>
                <w:szCs w:val="29"/>
                <w:b w:val="1"/>
                <w:bCs w:val="1"/>
                <w:color w:val="auto"/>
                <w:w w:val="86"/>
              </w:rPr>
              <w:t>4</w:t>
            </w:r>
          </w:p>
        </w:tc>
        <w:tc>
          <w:tcPr>
            <w:tcW w:w="3680" w:type="dxa"/>
            <w:vAlign w:val="bottom"/>
            <w:gridSpan w:val="3"/>
          </w:tcPr>
          <w:p>
            <w:pPr>
              <w:jc w:val="right"/>
              <w:ind w:right="11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Delaware</w:t>
            </w: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1"/>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91"/>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91"/>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w w:val="94"/>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4"/>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60" w:type="dxa"/>
            <w:vAlign w:val="bottom"/>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352"/>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10</w:t>
            </w:r>
          </w:p>
        </w:tc>
        <w:tc>
          <w:tcPr>
            <w:tcW w:w="6760" w:type="dxa"/>
            <w:vAlign w:val="bottom"/>
          </w:tcPr>
          <w:p>
            <w:pPr>
              <w:ind w:left="3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660" w:type="dxa"/>
            <w:vAlign w:val="bottom"/>
            <w:vMerge w:val="continue"/>
          </w:tcPr>
          <w:p>
            <w:pPr>
              <w:spacing w:after="0"/>
              <w:rPr>
                <w:sz w:val="13"/>
                <w:szCs w:val="13"/>
                <w:color w:val="auto"/>
              </w:rPr>
            </w:pPr>
          </w:p>
        </w:tc>
        <w:tc>
          <w:tcPr>
            <w:tcW w:w="6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11</w:t>
            </w:r>
          </w:p>
        </w:tc>
        <w:tc>
          <w:tcPr>
            <w:tcW w:w="676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12</w:t>
            </w:r>
          </w:p>
        </w:tc>
        <w:tc>
          <w:tcPr>
            <w:tcW w:w="676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PN, IA</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G48833118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6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jc w:val="center"/>
        <w:ind w:right="3900"/>
        <w:spacing w:after="0"/>
        <w:rPr>
          <w:sz w:val="20"/>
          <w:szCs w:val="20"/>
          <w:color w:val="auto"/>
        </w:rPr>
      </w:pPr>
      <w:r>
        <w:rPr>
          <w:rFonts w:ascii="Arial" w:cs="Arial" w:eastAsia="Arial" w:hAnsi="Arial"/>
          <w:sz w:val="20"/>
          <w:szCs w:val="20"/>
          <w:color w:val="auto"/>
        </w:rPr>
        <w:t>Weatherford International plc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2000 St. James Place, Houston, Texas 77056</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35" w:lineRule="exact"/>
        <w:rPr>
          <w:sz w:val="20"/>
          <w:szCs w:val="20"/>
          <w:color w:val="auto"/>
        </w:rPr>
      </w:pPr>
    </w:p>
    <w:p>
      <w:pPr>
        <w:ind w:left="1800" w:right="140"/>
        <w:spacing w:after="0" w:line="291" w:lineRule="auto"/>
        <w:rPr>
          <w:sz w:val="20"/>
          <w:szCs w:val="20"/>
          <w:color w:val="auto"/>
        </w:rPr>
      </w:pPr>
      <w:r>
        <w:rPr>
          <w:rFonts w:ascii="Arial" w:cs="Arial" w:eastAsia="Arial" w:hAnsi="Arial"/>
          <w:sz w:val="18"/>
          <w:szCs w:val="18"/>
          <w:color w:val="auto"/>
        </w:rPr>
        <w:t>This Schedule 13G is being filed on behalf of Oak Hill Advisors, L.P., a Delaware limited partnership ("</w:t>
      </w:r>
      <w:r>
        <w:rPr>
          <w:rFonts w:ascii="Arial" w:cs="Arial" w:eastAsia="Arial" w:hAnsi="Arial"/>
          <w:sz w:val="18"/>
          <w:szCs w:val="18"/>
          <w:u w:val="single" w:color="auto"/>
          <w:color w:val="auto"/>
        </w:rPr>
        <w:t>OHA</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as investment adviser to certain funds and client accounts (directly or through an affiliate) (together, the "</w:t>
      </w:r>
      <w:r>
        <w:rPr>
          <w:rFonts w:ascii="Arial" w:cs="Arial" w:eastAsia="Arial" w:hAnsi="Arial"/>
          <w:sz w:val="18"/>
          <w:szCs w:val="18"/>
          <w:u w:val="single" w:color="auto"/>
          <w:color w:val="auto"/>
        </w:rPr>
        <w:t>Oak Hill Funds</w:t>
      </w:r>
      <w:r>
        <w:rPr>
          <w:rFonts w:ascii="Arial" w:cs="Arial" w:eastAsia="Arial" w:hAnsi="Arial"/>
          <w:sz w:val="18"/>
          <w:szCs w:val="18"/>
          <w:color w:val="auto"/>
        </w:rPr>
        <w:t>"), with respect to the Ordinary Shares directly held by the Oak Hill Funds.</w:t>
      </w:r>
    </w:p>
    <w:p>
      <w:pPr>
        <w:spacing w:after="0" w:line="165" w:lineRule="exact"/>
        <w:rPr>
          <w:sz w:val="20"/>
          <w:szCs w:val="20"/>
          <w:color w:val="auto"/>
        </w:rPr>
      </w:pPr>
    </w:p>
    <w:p>
      <w:pPr>
        <w:ind w:left="1800" w:right="600"/>
        <w:spacing w:after="0" w:line="260" w:lineRule="auto"/>
        <w:rPr>
          <w:sz w:val="20"/>
          <w:szCs w:val="20"/>
          <w:color w:val="auto"/>
        </w:rPr>
      </w:pPr>
      <w:r>
        <w:rPr>
          <w:rFonts w:ascii="Arial" w:cs="Arial" w:eastAsia="Arial" w:hAnsi="Arial"/>
          <w:sz w:val="20"/>
          <w:szCs w:val="20"/>
          <w:color w:val="auto"/>
        </w:rPr>
        <w:t>OHA is a subsidiary business of T. Rowe Price Associates, Inc. (“</w:t>
      </w:r>
      <w:r>
        <w:rPr>
          <w:rFonts w:ascii="Arial" w:cs="Arial" w:eastAsia="Arial" w:hAnsi="Arial"/>
          <w:sz w:val="20"/>
          <w:szCs w:val="20"/>
          <w:u w:val="single" w:color="auto"/>
          <w:color w:val="auto"/>
        </w:rPr>
        <w:t>TRP</w:t>
      </w:r>
      <w:r>
        <w:rPr>
          <w:rFonts w:ascii="Arial" w:cs="Arial" w:eastAsia="Arial" w:hAnsi="Arial"/>
          <w:sz w:val="20"/>
          <w:szCs w:val="20"/>
          <w:color w:val="auto"/>
        </w:rPr>
        <w:t>”). OHA’s beneficial ownership does not include any shares that may be beneficially owned by TRP.</w:t>
      </w:r>
    </w:p>
    <w:p>
      <w:pPr>
        <w:spacing w:after="0" w:line="190"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Glenn R. August, a United States citizen, is the Founder and Chief Executive Officer of OHA.</w:t>
      </w:r>
    </w:p>
    <w:p>
      <w:pPr>
        <w:spacing w:after="0" w:line="229" w:lineRule="exact"/>
        <w:rPr>
          <w:sz w:val="20"/>
          <w:szCs w:val="20"/>
          <w:color w:val="auto"/>
        </w:rPr>
      </w:pPr>
    </w:p>
    <w:p>
      <w:pPr>
        <w:jc w:val="both"/>
        <w:ind w:left="1800" w:right="300"/>
        <w:spacing w:after="0" w:line="291" w:lineRule="auto"/>
        <w:rPr>
          <w:sz w:val="20"/>
          <w:szCs w:val="20"/>
          <w:color w:val="auto"/>
        </w:rPr>
      </w:pPr>
      <w:r>
        <w:rPr>
          <w:rFonts w:ascii="Arial" w:cs="Arial" w:eastAsia="Arial" w:hAnsi="Arial"/>
          <w:sz w:val="18"/>
          <w:szCs w:val="18"/>
          <w:color w:val="auto"/>
        </w:rPr>
        <w:t>Any disclosures herein with respect to persons other than the Reporting Person are made on information and belief after making inquiry to the appropriate party. The filing of this statement should not be construed in and of itself as an admission by the Reporting Person as to beneficial ownership of the securities reported herein.</w:t>
      </w:r>
    </w:p>
    <w:p>
      <w:pPr>
        <w:spacing w:after="0" w:line="15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35" w:lineRule="exact"/>
        <w:rPr>
          <w:sz w:val="20"/>
          <w:szCs w:val="20"/>
          <w:color w:val="auto"/>
        </w:rPr>
      </w:pPr>
    </w:p>
    <w:p>
      <w:pPr>
        <w:ind w:left="1800" w:right="120"/>
        <w:spacing w:after="0" w:line="260" w:lineRule="auto"/>
        <w:rPr>
          <w:sz w:val="20"/>
          <w:szCs w:val="20"/>
          <w:color w:val="auto"/>
        </w:rPr>
      </w:pPr>
      <w:r>
        <w:rPr>
          <w:rFonts w:ascii="Arial" w:cs="Arial" w:eastAsia="Arial" w:hAnsi="Arial"/>
          <w:sz w:val="20"/>
          <w:szCs w:val="20"/>
          <w:color w:val="auto"/>
        </w:rPr>
        <w:t>The address of the business office of the Reporting Person is One Vanderbilt Avenue, 16th Floor, New York, New York 10017.</w:t>
      </w:r>
    </w:p>
    <w:p>
      <w:pPr>
        <w:spacing w:after="0" w:line="184"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2(c).</w:t>
            </w:r>
          </w:p>
        </w:tc>
        <w:tc>
          <w:tcPr>
            <w:tcW w:w="9780" w:type="dxa"/>
            <w:vAlign w:val="bottom"/>
            <w:gridSpan w:val="5"/>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OHA is a Delaware limited partnership.</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8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6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Ordinary Shares, par value par value $0.001 per share (the "Ordinary Shares")</w:t>
            </w:r>
          </w:p>
        </w:tc>
      </w:tr>
      <w:tr>
        <w:trPr>
          <w:trHeight w:val="484"/>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2(e).</w:t>
            </w:r>
          </w:p>
        </w:tc>
        <w:tc>
          <w:tcPr>
            <w:tcW w:w="518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c>
          <w:tcPr>
            <w:tcW w:w="130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1620" w:type="dxa"/>
            <w:vAlign w:val="bottom"/>
            <w:gridSpan w:val="2"/>
          </w:tcPr>
          <w:p>
            <w:pPr>
              <w:ind w:left="440"/>
              <w:spacing w:after="0"/>
              <w:rPr>
                <w:sz w:val="20"/>
                <w:szCs w:val="20"/>
                <w:color w:val="auto"/>
              </w:rPr>
            </w:pPr>
            <w:r>
              <w:rPr>
                <w:rFonts w:ascii="Arial" w:cs="Arial" w:eastAsia="Arial" w:hAnsi="Arial"/>
                <w:sz w:val="20"/>
                <w:szCs w:val="20"/>
                <w:color w:val="auto"/>
              </w:rPr>
              <w:t>G48833118</w:t>
            </w:r>
          </w:p>
        </w:tc>
        <w:tc>
          <w:tcPr>
            <w:tcW w:w="3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780" w:type="dxa"/>
            <w:vAlign w:val="bottom"/>
            <w:gridSpan w:val="5"/>
          </w:tcPr>
          <w:p>
            <w:pPr>
              <w:ind w:left="440"/>
              <w:spacing w:after="0"/>
              <w:rPr>
                <w:sz w:val="20"/>
                <w:szCs w:val="20"/>
                <w:color w:val="auto"/>
              </w:rPr>
            </w:pPr>
            <w:r>
              <w:rPr>
                <w:rFonts w:ascii="Arial" w:cs="Arial" w:eastAsia="Arial" w:hAnsi="Arial"/>
                <w:sz w:val="20"/>
                <w:szCs w:val="20"/>
                <w:b w:val="1"/>
                <w:bCs w:val="1"/>
                <w:color w:val="auto"/>
                <w:w w:val="97"/>
              </w:rPr>
              <w:t>IF THIS STATEMENT IS FILED PURSUANT TO Rules 13d-1(b), OR 13d-2(b) OR (c), CHECK WHETHER</w:t>
            </w:r>
          </w:p>
        </w:tc>
      </w:tr>
      <w:tr>
        <w:trPr>
          <w:trHeight w:val="256"/>
        </w:trPr>
        <w:tc>
          <w:tcPr>
            <w:tcW w:w="1260" w:type="dxa"/>
            <w:vAlign w:val="bottom"/>
          </w:tcPr>
          <w:p>
            <w:pPr>
              <w:spacing w:after="0"/>
              <w:rPr>
                <w:sz w:val="22"/>
                <w:szCs w:val="22"/>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(a)</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(b)</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Bank as defined in Section 3(a)(6) of the Act;</w:t>
            </w:r>
          </w:p>
        </w:tc>
      </w:tr>
    </w:tbl>
    <w:p>
      <w:pPr>
        <w:sectPr>
          <w:pgSz w:w="11900" w:h="16838" w:orient="portrait"/>
          <w:cols w:equalWidth="0" w:num="1">
            <w:col w:w="11240"/>
          </w:cols>
          <w:pgMar w:left="320" w:top="229"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G48833118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6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An employee benefit plan or endowment fund in accordance with Rule 13d-1(b)(1)(ii)(F);</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 parent holding company or control person in accordance with Rule 13d-1(b)(1)(ii)(G);</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29" w:lineRule="exact"/>
        <w:rPr>
          <w:rFonts w:ascii="Arial" w:cs="Arial" w:eastAsia="Arial" w:hAnsi="Arial"/>
          <w:sz w:val="20"/>
          <w:szCs w:val="20"/>
          <w:color w:val="auto"/>
        </w:rPr>
      </w:pPr>
    </w:p>
    <w:p>
      <w:pPr>
        <w:ind w:left="3140" w:right="160" w:hanging="1341"/>
        <w:spacing w:after="0" w:line="252" w:lineRule="exact"/>
        <w:tabs>
          <w:tab w:leader="none" w:pos="2611"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6" w:lineRule="exact"/>
        <w:rPr>
          <w:sz w:val="20"/>
          <w:szCs w:val="20"/>
          <w:color w:val="auto"/>
        </w:rPr>
      </w:pPr>
    </w:p>
    <w:p>
      <w:pPr>
        <w:ind w:left="1800" w:right="2880"/>
        <w:spacing w:after="0" w:line="287" w:lineRule="auto"/>
        <w:rPr>
          <w:sz w:val="20"/>
          <w:szCs w:val="20"/>
          <w:color w:val="auto"/>
        </w:rPr>
      </w:pPr>
      <w:r>
        <w:rPr>
          <w:rFonts w:ascii="Arial" w:cs="Arial" w:eastAsia="Arial" w:hAnsi="Arial"/>
          <w:sz w:val="19"/>
          <w:szCs w:val="19"/>
          <w:color w:val="auto"/>
        </w:rPr>
        <w:t>If filing as a non-U.S. institution in accordance with Rule 13d-1(b)(1)(ii)(J), please specify the type of institution: ______________________________</w:t>
      </w:r>
    </w:p>
    <w:p>
      <w:pPr>
        <w:spacing w:after="0" w:line="160"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35" w:lineRule="exact"/>
        <w:rPr>
          <w:sz w:val="20"/>
          <w:szCs w:val="20"/>
          <w:color w:val="auto"/>
        </w:rPr>
      </w:pPr>
    </w:p>
    <w:p>
      <w:pPr>
        <w:ind w:left="1800" w:right="34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and is incorporated herein by reference.</w:t>
      </w:r>
    </w:p>
    <w:p>
      <w:pPr>
        <w:spacing w:after="0" w:line="184"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00" w:right="460"/>
        <w:spacing w:after="0" w:line="258"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9"/>
          <w:szCs w:val="19"/>
          <w:color w:val="auto"/>
        </w:rPr>
        <w:t>☒</w:t>
      </w:r>
      <w:r>
        <w:rPr>
          <w:rFonts w:ascii="Arial" w:cs="Arial" w:eastAsia="Arial" w:hAnsi="Arial"/>
          <w:sz w:val="19"/>
          <w:szCs w:val="19"/>
          <w:color w:val="auto"/>
        </w:rPr>
        <w:t>.</w:t>
      </w:r>
    </w:p>
    <w:p>
      <w:pPr>
        <w:spacing w:after="0" w:line="181" w:lineRule="exact"/>
        <w:rPr>
          <w:sz w:val="20"/>
          <w:szCs w:val="20"/>
          <w:color w:val="auto"/>
        </w:rPr>
      </w:pPr>
    </w:p>
    <w:p>
      <w:pPr>
        <w:ind w:left="1800" w:right="1660" w:hanging="1687"/>
        <w:spacing w:after="0" w:line="479" w:lineRule="auto"/>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 xml:space="preserve">OWNERSHIP OF MORE THAN FIVE PERCENT ON BEHALF OF ANOTHER PERSON </w:t>
      </w:r>
      <w:r>
        <w:rPr>
          <w:rFonts w:ascii="Arial" w:cs="Arial" w:eastAsia="Arial" w:hAnsi="Arial"/>
          <w:sz w:val="20"/>
          <w:szCs w:val="20"/>
          <w:color w:val="auto"/>
        </w:rPr>
        <w:t>Not applicable.</w:t>
      </w:r>
    </w:p>
    <w:p>
      <w:pPr>
        <w:ind w:left="1800" w:right="100" w:hanging="1687"/>
        <w:spacing w:after="0" w:line="267" w:lineRule="auto"/>
        <w:tabs>
          <w:tab w:leader="none" w:pos="17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 OR CONTROL PERSON</w:t>
      </w:r>
    </w:p>
    <w:p>
      <w:pPr>
        <w:spacing w:after="0" w:line="18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G48833118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6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G48833118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6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13, 2023</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OAK HILL ADVISORS, L.P.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Gregory S. Rubin</w:t>
            </w:r>
          </w:p>
        </w:tc>
      </w:tr>
      <w:tr>
        <w:trPr>
          <w:trHeight w:val="213"/>
        </w:trPr>
        <w:tc>
          <w:tcPr>
            <w:tcW w:w="80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720" w:type="dxa"/>
            <w:vAlign w:val="bottom"/>
          </w:tcPr>
          <w:p>
            <w:pPr>
              <w:spacing w:after="0" w:line="212" w:lineRule="exact"/>
              <w:rPr>
                <w:sz w:val="20"/>
                <w:szCs w:val="20"/>
                <w:color w:val="auto"/>
              </w:rPr>
            </w:pPr>
            <w:r>
              <w:rPr>
                <w:rFonts w:ascii="Arial" w:cs="Arial" w:eastAsia="Arial" w:hAnsi="Arial"/>
                <w:sz w:val="20"/>
                <w:szCs w:val="20"/>
                <w:color w:val="auto"/>
              </w:rPr>
              <w:t>Gregory S. Rubin</w:t>
            </w:r>
          </w:p>
        </w:tc>
      </w:t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Title:</w:t>
            </w:r>
          </w:p>
        </w:tc>
        <w:tc>
          <w:tcPr>
            <w:tcW w:w="472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9"/>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2023-02-13T15:36:07Z</dcterms:created>
  <dcterms:modified xsi:type="dcterms:W3CDTF">2023-02-13T15:36:07Z</dcterms:modified>
</cp:coreProperties>
</file>