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5002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02530"/>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Mills Desmond J</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01/02/2025</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462"/>
        <w:spacing w:after="0"/>
        <w:rPr>
          <w:sz w:val="20"/>
          <w:szCs w:val="20"/>
          <w:color w:val="auto"/>
        </w:rPr>
      </w:pPr>
      <w:r>
        <w:rPr>
          <w:rFonts w:ascii="Times New Roman" w:cs="Times New Roman" w:eastAsia="Times New Roman" w:hAnsi="Times New Roman"/>
          <w:sz w:val="17"/>
          <w:szCs w:val="17"/>
          <w:color w:val="0000FF"/>
        </w:rPr>
        <w:t>SVP &amp; Chief Accounting Officer</w:t>
      </w:r>
    </w:p>
    <w:p>
      <w:pPr>
        <w:spacing w:after="0" w:line="308" w:lineRule="exact"/>
        <w:rPr>
          <w:sz w:val="24"/>
          <w:szCs w:val="24"/>
          <w:color w:val="auto"/>
        </w:rPr>
      </w:pPr>
    </w:p>
    <w:p>
      <w:pPr>
        <w:sectPr>
          <w:pgSz w:w="11900" w:h="16838" w:orient="portrait"/>
          <w:cols w:equalWidth="0" w:num="3">
            <w:col w:w="3180" w:space="720"/>
            <w:col w:w="3200" w:space="638"/>
            <w:col w:w="3342"/>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7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700" w:type="dxa"/>
            <w:vAlign w:val="bottom"/>
            <w:gridSpan w:val="6"/>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19"/>
                <w:szCs w:val="19"/>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6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4280" w:type="dxa"/>
            <w:vAlign w:val="bottom"/>
            <w:tcBorders>
              <w:bottom w:val="single" w:sz="8" w:color="2C2C2C"/>
            </w:tcBorders>
            <w:gridSpan w:val="8"/>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3"/>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01/02/2025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17"/>
              <w:spacing w:after="0"/>
              <w:rPr>
                <w:sz w:val="20"/>
                <w:szCs w:val="20"/>
                <w:color w:val="auto"/>
              </w:rPr>
            </w:pPr>
            <w:r>
              <w:rPr>
                <w:rFonts w:ascii="Times New Roman" w:cs="Times New Roman" w:eastAsia="Times New Roman" w:hAnsi="Times New Roman"/>
                <w:sz w:val="17"/>
                <w:szCs w:val="17"/>
                <w:color w:val="0000FF"/>
              </w:rPr>
              <w:t>27,102</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right="3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38,782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01/02/2025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10,792</w:t>
            </w:r>
            <w:r>
              <w:rPr>
                <w:rFonts w:ascii="Times New Roman" w:cs="Times New Roman" w:eastAsia="Times New Roman" w:hAnsi="Times New Roman"/>
                <w:sz w:val="21"/>
                <w:szCs w:val="21"/>
                <w:color w:val="008000"/>
                <w:vertAlign w:val="superscript"/>
              </w:rPr>
              <w:t>(2)</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72.29</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27,990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Price of</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Security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2021</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Program</w:t>
            </w:r>
          </w:p>
        </w:tc>
        <w:tc>
          <w:tcPr>
            <w:tcW w:w="5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6"/>
                <w:szCs w:val="16"/>
                <w:color w:val="auto"/>
              </w:rPr>
            </w:pPr>
          </w:p>
        </w:tc>
        <w:tc>
          <w:tcPr>
            <w:tcW w:w="88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01/02/2025</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27,102</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tcPr>
          <w:p>
            <w:pPr>
              <w:ind w:left="20"/>
              <w:spacing w:after="0" w:line="192" w:lineRule="exact"/>
              <w:rPr>
                <w:sz w:val="20"/>
                <w:szCs w:val="20"/>
                <w:color w:val="auto"/>
              </w:rPr>
            </w:pPr>
            <w:r>
              <w:rPr>
                <w:rFonts w:ascii="Times New Roman" w:cs="Times New Roman" w:eastAsia="Times New Roman" w:hAnsi="Times New Roman"/>
                <w:sz w:val="17"/>
                <w:szCs w:val="17"/>
                <w:color w:val="0000FF"/>
              </w:rPr>
              <w:t>27,102</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80" w:type="dxa"/>
            <w:vAlign w:val="bottom"/>
            <w:gridSpan w:val="2"/>
          </w:tcPr>
          <w:p>
            <w:pPr>
              <w:ind w:left="60"/>
              <w:spacing w:after="0" w:line="104" w:lineRule="exact"/>
              <w:rPr>
                <w:sz w:val="20"/>
                <w:szCs w:val="20"/>
                <w:color w:val="auto"/>
              </w:rPr>
            </w:pPr>
            <w:r>
              <w:rPr>
                <w:rFonts w:ascii="Times New Roman" w:cs="Times New Roman" w:eastAsia="Times New Roman" w:hAnsi="Times New Roman"/>
                <w:sz w:val="12"/>
                <w:szCs w:val="12"/>
                <w:color w:val="0000FF"/>
              </w:rPr>
              <w:t>Performance</w:t>
            </w: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ind w:left="80"/>
              <w:spacing w:after="0" w:line="104"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Share 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(i) 17,102 performance share units ("PSUs") granted on November 1, 2021, (ii) 5,000 PSUs granted on July 25, 2022 and (iii) 5,000 PSUs granted on January 18, 2023 under the 2021 Weatherford Accelerating Growth &amp; Efficiency ("WAGE") Program under the Issuer's 2019 Equity Incentive Plan, as amended (the "Plan"). The awards vested at 100% based on achievement of performance metrics during the three-year performance period which ended on December 31, 2024.</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PSUs to satisfy the reporting person's tax obligations upon vesting, pursuant to the Plan, and the relevant award agreement.</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01/03/2025</w:t>
            </w: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1969"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2025-01-03T15:42:21Z</dcterms:created>
  <dcterms:modified xsi:type="dcterms:W3CDTF">2025-01-03T15:42:21Z</dcterms:modified>
</cp:coreProperties>
</file>