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July 25, 2023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Weatherford International plc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20"/>
        </w:rPr>
        <w:t xml:space="preserve">Registrant’s telephone number, including area code: 713.836.4000 </w:t>
      </w:r>
    </w:p>
    <w:tbl>
      <w:tblPr>
        <w:tblW w:w="6006" w:type="dxa"/>
        <w:jc w:val="center"/>
        <w:tblInd w:w="0" w:type="dxa"/>
        <w:tblLayout w:type="fixed"/>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29" w:type="dxa"/>
        <w:jc w:val="center"/>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2023, Weatherford International plc (“Weatherford” and together with its subsidiaries, “we” or the “Company”) issued a news release announcing results for the second quarter ended June 30, 2023. A copy of the news release is furnished as Exhibit 99.1 and incorporated into this Item 2.02.</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host a conference call on Wednesday, July 26, 2023, to discuss the results for the second quarter ended June 30, 2023. The conference call will begin at 9:00 a.m. Eastern Time (8:00 a.m. Central Time). </w:t>
      </w:r>
    </w:p>
    <w:p>
      <w:pPr>
        <w:pStyle w:val="TextBody"/>
        <w:bidi w:val="0"/>
        <w:spacing w:before="0" w:after="0"/>
        <w:ind w:left="0" w:right="0" w:firstLine="180"/>
        <w:jc w:val="both"/>
        <w:rPr/>
      </w:pPr>
      <w:r>
        <w:rPr/>
      </w:r>
    </w:p>
    <w:p>
      <w:pPr>
        <w:pStyle w:val="TextBody"/>
        <w:bidi w:val="0"/>
        <w:spacing w:lineRule="auto" w:line="276"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are encouraged to download the accompanying presentation slides which will be available in the investor relations section of the Company’s website.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Listeners can participate in the conference call via a live webcast. Alternatively, the conference call can be accessed by registering in advance (which will provide a PIN for immediate access) or by dialing +1 877-328-5344 (within the U.S.) or +1 412-902-6762 (outside of the U.S.) and asking for the Weatherford conference call. Participants should log in or dial in approximately 10 minutes prior to the start of the call.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A telephonic replay of the conference call will be available until August 9, 2023, at 5:00 p.m. Eastern Time. To access the replay, please dial +1 877-344-7529 (within the U.S.) or +1 412-317-0088 (outside of the U.S.) and reference conference number 7149368.</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replay and transcript of the earnings call will also be available in the investor relations section of the Company’s website. </w:t>
      </w:r>
    </w:p>
    <w:p>
      <w:pPr>
        <w:pStyle w:val="TextBody"/>
        <w:bidi w:val="0"/>
        <w:spacing w:before="0" w:after="0"/>
        <w:ind w:left="0" w:right="0" w:firstLine="180"/>
        <w:jc w:val="both"/>
        <w:rPr/>
      </w:pPr>
      <w:r>
        <w:rPr/>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center"/>
        <w:tblInd w:w="0" w:type="dxa"/>
        <w:tblLayout w:type="fixed"/>
        <w:tblCellMar>
          <w:top w:w="28" w:type="dxa"/>
          <w:left w:w="28" w:type="dxa"/>
          <w:bottom w:w="28" w:type="dxa"/>
          <w:right w:w="28" w:type="dxa"/>
        </w:tblCellMar>
      </w:tblPr>
      <w:tblGrid>
        <w:gridCol w:w="518"/>
        <w:gridCol w:w="454"/>
        <w:gridCol w:w="456"/>
        <w:gridCol w:w="109"/>
        <w:gridCol w:w="109"/>
        <w:gridCol w:w="109"/>
        <w:gridCol w:w="2468"/>
        <w:gridCol w:w="2468"/>
        <w:gridCol w:w="3514"/>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3-q2ex991earningsrelea.htm">
              <w:r>
                <w:rPr>
                  <w:rStyle w:val="InternetLink"/>
                  <w:rFonts w:ascii="Times New Roman;sans-serif" w:hAnsi="Times New Roman;sans-serif"/>
                  <w:b w:val="false"/>
                  <w:color w:val="0000FF"/>
                  <w:sz w:val="20"/>
                  <w:u w:val="single"/>
                </w:rPr>
                <w:t>News Release dated July 25, 2023 announcing results for the second quarter ended June 30, 2023.</w:t>
              </w:r>
            </w:hyperlink>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pPr>
      <w:r>
        <w:rPr/>
      </w:r>
    </w:p>
    <w:tbl>
      <w:tblPr>
        <w:tblW w:w="6148" w:type="dxa"/>
        <w:jc w:val="left"/>
        <w:tblInd w:w="0" w:type="dxa"/>
        <w:tblLayout w:type="fixed"/>
        <w:tblCellMar>
          <w:top w:w="28" w:type="dxa"/>
          <w:left w:w="28" w:type="dxa"/>
          <w:bottom w:w="28" w:type="dxa"/>
          <w:right w:w="28" w:type="dxa"/>
        </w:tblCellMar>
      </w:tblPr>
      <w:tblGrid>
        <w:gridCol w:w="618"/>
        <w:gridCol w:w="544"/>
        <w:gridCol w:w="547"/>
        <w:gridCol w:w="1297"/>
        <w:gridCol w:w="1297"/>
        <w:gridCol w:w="184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July 25, 2023</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tbl>
      <w:tblPr>
        <w:tblW w:w="4705" w:type="dxa"/>
        <w:jc w:val="center"/>
        <w:tblInd w:w="0" w:type="dxa"/>
        <w:tblLayout w:type="fixed"/>
        <w:tblCellMar>
          <w:top w:w="28" w:type="dxa"/>
          <w:left w:w="28" w:type="dxa"/>
          <w:bottom w:w="28" w:type="dxa"/>
          <w:right w:w="28" w:type="dxa"/>
        </w:tblCellMar>
      </w:tblPr>
      <w:tblGrid>
        <w:gridCol w:w="1243"/>
        <w:gridCol w:w="1093"/>
        <w:gridCol w:w="1095"/>
        <w:gridCol w:w="373"/>
        <w:gridCol w:w="373"/>
        <w:gridCol w:w="528"/>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876300"/>
                          </a:xfrm>
                          <a:prstGeom prst="rect">
                            <a:avLst/>
                          </a:prstGeom>
                        </pic:spPr>
                      </pic:pic>
                    </a:graphicData>
                  </a:graphic>
                </wp:inline>
              </w:drawing>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News Release</w:t>
            </w:r>
          </w:p>
        </w:tc>
      </w:tr>
    </w:tbl>
    <w:p>
      <w:pPr>
        <w:pStyle w:val="TextBody"/>
        <w:bidi w:val="0"/>
        <w:spacing w:before="0" w:after="0"/>
        <w:jc w:val="left"/>
        <w:rPr/>
      </w:pPr>
      <w:r>
        <w:rPr/>
      </w:r>
    </w:p>
    <w:p>
      <w:pPr>
        <w:pStyle w:val="TextBody"/>
        <w:bidi w:val="0"/>
        <w:spacing w:lineRule="auto" w:line="417" w:before="0" w:after="180"/>
        <w:jc w:val="center"/>
        <w:rPr>
          <w:rFonts w:ascii="Times New Roman;sans-serif" w:hAnsi="Times New Roman;sans-serif"/>
          <w:b/>
          <w:color w:val="000000"/>
          <w:sz w:val="32"/>
        </w:rPr>
      </w:pPr>
      <w:r>
        <w:rPr>
          <w:rFonts w:ascii="Times New Roman;sans-serif" w:hAnsi="Times New Roman;sans-serif"/>
          <w:b/>
          <w:color w:val="000000"/>
          <w:sz w:val="32"/>
        </w:rPr>
        <w:t xml:space="preserve">Weatherford Announces Second Quarter 2023 Results </w:t>
      </w:r>
    </w:p>
    <w:p>
      <w:pPr>
        <w:pStyle w:val="TextBody"/>
        <w:bidi w:val="0"/>
        <w:spacing w:lineRule="auto" w:line="417" w:before="0" w:after="180"/>
        <w:jc w:val="center"/>
        <w:rPr>
          <w:rFonts w:ascii="Times New Roman;sans-serif" w:hAnsi="Times New Roman;sans-serif"/>
          <w:b/>
          <w:color w:val="000000"/>
          <w:sz w:val="32"/>
        </w:rPr>
      </w:pPr>
      <w:r>
        <w:rPr>
          <w:rFonts w:ascii="Times New Roman;sans-serif" w:hAnsi="Times New Roman;sans-serif"/>
          <w:b/>
          <w:color w:val="000000"/>
          <w:sz w:val="32"/>
        </w:rPr>
        <w:t>and Raises Full-Year Outlook</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Revenues of $1,274 million increased 7% sequentially, driven by international revenue growth of 12%</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 xml:space="preserve">Operating income of $201 million increased 9% sequentially </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Net income of $82 million increased $10 million sequentially; net income margin of 6.4%</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Adjusted EBITDA* of $291 million increased 8% sequentially; adjusted EBITDA margin* of 22.8%</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Cash provided by operating activities of $201 million and adjusted free cash flow* of $172 million</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Debt repayments of $159 million in the second quarter of 2023</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First deployment of Modus</w:t>
      </w:r>
      <w:r>
        <w:rPr>
          <w:rFonts w:ascii="Times New Roman;sans-serif" w:hAnsi="Times New Roman;sans-serif"/>
          <w:b w:val="false"/>
          <w:color w:val="000000"/>
          <w:sz w:val="12"/>
        </w:rPr>
        <w:t xml:space="preserve">TM </w:t>
      </w:r>
      <w:r>
        <w:rPr>
          <w:rFonts w:ascii="Times New Roman;sans-serif" w:hAnsi="Times New Roman;sans-serif"/>
          <w:b w:val="false"/>
          <w:color w:val="000000"/>
          <w:sz w:val="22"/>
        </w:rPr>
        <w:t xml:space="preserve">, our performance tier Managed Pressure Drilling offering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color w:val="000000"/>
          <w:sz w:val="22"/>
        </w:rPr>
        <w:t>Launched StringGuard™, a unique technology that enhances safety and operational efficiency by mitigating the risk of dropped strings in Tubular Running Services operations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p>
    <w:p>
      <w:pPr>
        <w:pStyle w:val="TextBody"/>
        <w:bidi w:val="0"/>
        <w:spacing w:before="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80"/>
        <w:jc w:val="left"/>
        <w:rPr/>
      </w:pPr>
      <w:r>
        <w:rPr>
          <w:rFonts w:ascii="Times New Roman;sans-serif" w:hAnsi="Times New Roman;sans-serif"/>
          <w:b/>
          <w:color w:val="000000"/>
          <w:sz w:val="22"/>
        </w:rPr>
        <w:t>Houston, July 25, 2023 –</w:t>
      </w:r>
      <w:r>
        <w:rPr>
          <w:color w:val="000000"/>
        </w:rPr>
        <w:t xml:space="preserve"> </w:t>
      </w:r>
      <w:r>
        <w:rPr>
          <w:rFonts w:ascii="Times New Roman;sans-serif" w:hAnsi="Times New Roman;sans-serif"/>
          <w:b w:val="false"/>
          <w:color w:val="000000"/>
          <w:sz w:val="22"/>
        </w:rPr>
        <w:t xml:space="preserve">Weatherford International plc (NASDAQ: WFRD) (“Weatherford” or the “Company”) announced today its results for the second quarter of 2023. </w:t>
      </w:r>
    </w:p>
    <w:p>
      <w:pPr>
        <w:pStyle w:val="TextBody"/>
        <w:bidi w:val="0"/>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Revenues for the second quarter of 2023 were $1,274 million, an increase 7% sequentially and 20% year-over-year. Operating income was $201 million in the second quarter of 2023, compared to $185 million in the first quarter of 2023 and $104 million in the second quarter of 2022. Net income in the second quarter of 2023 was $82 million, compared to $72 million in the first quarter of 2023 and $6 million in the second quarter of 2022. Adjusted EBITDA* was $291 million, an increase of 8% sequentially and 56% year-over-year. Basic income per share was $1.14, compared to $1.00 in the first quarter of 2023 and $0.08 in the second quarter of 2022.</w:t>
      </w:r>
    </w:p>
    <w:p>
      <w:pPr>
        <w:pStyle w:val="TextBody"/>
        <w:bidi w:val="0"/>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Second quarter 2023 cash flows provided by operations were $201 million, compared to $84 million in the first quarter of 2023 and $60 million in the second quarter of 2022. Adjusted free cash flow* was $172 million, an increase of $145 million sequentially and $113 million year-over-year. Capital expenditures were $36 million in the second quarter of 2023, compared to $64 million in the first quarter of 2023 and $24 million in the second quarter of 2022.</w:t>
      </w:r>
    </w:p>
    <w:p>
      <w:pPr>
        <w:pStyle w:val="TextBody"/>
        <w:bidi w:val="0"/>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Girish Saligram, President and Chief Executive Officer, commented, “I am very proud of the One Weatherford team who executed well in a complex second quarter. We continued to build on the momentum from the start of the year, and I am especially pleased with our performance on the two key metrics of margin expansion and adjusted free cash flow generation. Despite softness in the North America market and additional headwinds from the Canadian wildfires, we exceeded expectations driven by the strength in our international operations and the focus on our strategic priorities.</w: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Based on the strength of our second-quarter performance and the confidence in our strategy and execution, we are raising our full-year 2023 adjusted EBITDA margins guidance, on mid to high teens revenue growth and expect expansion of over 350 basis points year-over-year, and now expect adjusted free cash flow to exceed $400 million for the year.”</w:t>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lineRule="auto" w:line="417" w:before="0" w:after="140"/>
        <w:jc w:val="both"/>
        <w:rPr>
          <w:rFonts w:ascii="Times New Roman;sans-serif" w:hAnsi="Times New Roman;sans-serif"/>
          <w:b w:val="false"/>
          <w:color w:val="000000"/>
          <w:sz w:val="18"/>
        </w:rPr>
      </w:pPr>
      <w:r>
        <w:rPr>
          <w:rFonts w:ascii="Times New Roman;sans-serif" w:hAnsi="Times New Roman;sans-serif"/>
          <w:b w:val="false"/>
          <w:color w:val="000000"/>
          <w:sz w:val="18"/>
        </w:rPr>
        <w:t>*Non-GAAP - refer to the section titled Non-GAAP Financial Measures Defined and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417" w:before="300" w:after="283"/>
        <w:jc w:val="both"/>
        <w:rPr>
          <w:rFonts w:ascii="Times New Roman;sans-serif" w:hAnsi="Times New Roman;sans-serif"/>
          <w:b/>
          <w:color w:val="000000"/>
          <w:sz w:val="28"/>
          <w:u w:val="single"/>
        </w:rPr>
      </w:pPr>
      <w:r>
        <w:rPr>
          <w:rFonts w:ascii="Times New Roman;sans-serif" w:hAnsi="Times New Roman;sans-serif"/>
          <w:b/>
          <w:color w:val="000000"/>
          <w:sz w:val="28"/>
          <w:u w:val="single"/>
        </w:rPr>
        <w:t>Operational Highlights</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 xml:space="preserve">Petrobras awarded Weatherford a five-year contract to provide intervention services in Brazil to address subsea intervention and commissioning through its comprehensive offering, which is enhanced by deploying our Centro™ well construction optimization platform, a state-of-the-art digital solution that delivers exceptional visibility and performance in operations. </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Aramco awarded Weatherford a three-year drilling services contract, which includes a suite of technology that combines world-class services, real-time information analysis, and innovative drilling tools to maximize efficiency and add value to Aramco’s drilling operations by minimizing OPEX, reducing risks, and optimizing production.</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 xml:space="preserve">Weatherford has been awarded a five-year contract with a major IOC operator in Iraq to provide upper completions products and services, including packers, bridge plugs, and stimulation services. </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 xml:space="preserve">Weatherford has been awarded a three-year contract with bp Azerbaijan to provide deepwater intervention services. </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 xml:space="preserve">Kuwait Energy in Iraq has awarded Weatherford a two-year well testing services contract extension to provide services which enable sustained oil production in the Siba field. </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Chord Energy has awarded Weatherford a one-year contract to provide reciprocating rod lift, long stroke Rotaflex</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22"/>
        </w:rPr>
        <w:t xml:space="preserve">and conventional pumping technology for its Bakken assets. </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Transocean awarded Weatherford TRS Vero</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22"/>
        </w:rPr>
        <w:t>automated integrity contracts for the first-ever deployments in Norway on three rigs, and ENI awarded Weatherford a two-year contract for TRS Vero</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22"/>
        </w:rPr>
        <w:t>for its deepwater operations in the Mediterranean. These awards demonstrate the continued success of Vero</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22"/>
        </w:rPr>
        <w:t>in delivering improved safety and efficiency through technology innovation and reduction in red zone risks.</w:t>
      </w:r>
    </w:p>
    <w:p>
      <w:pPr>
        <w:pStyle w:val="TextBody"/>
        <w:bidi w:val="0"/>
        <w:spacing w:lineRule="auto" w:line="417" w:before="0" w:after="60"/>
        <w:jc w:val="both"/>
        <w:rPr>
          <w:rFonts w:ascii="Times New Roman;sans-serif" w:hAnsi="Times New Roman;sans-serif"/>
          <w:b/>
          <w:color w:val="000000"/>
          <w:sz w:val="28"/>
          <w:u w:val="single"/>
        </w:rPr>
      </w:pPr>
      <w:r>
        <w:rPr>
          <w:rFonts w:ascii="Times New Roman;sans-serif" w:hAnsi="Times New Roman;sans-serif"/>
          <w:b/>
          <w:color w:val="000000"/>
          <w:sz w:val="28"/>
          <w:u w:val="single"/>
        </w:rPr>
        <w:t xml:space="preserve">Technology Highlights </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 xml:space="preserve">In our Well Construction and Completions segment, we launched StringGuard™, a unique technology that enhances safety and operational efficiency by mitigating the risk of dropped strings in Tubular Running Services operations. </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 xml:space="preserve">In our Drilling and Evaluation segment, we delivered first Modus™, managed pressure well solution to an operator, increasing drilling efficiency and 9 days ahead of operational plan. </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In our Production and Intervention segment, we launched multiple technologies including the MultiCatch™ anchor and GhostReamer™ to improve borehole conditioning.</w:t>
      </w:r>
    </w:p>
    <w:p>
      <w:pPr>
        <w:pStyle w:val="TextBody"/>
        <w:bidi w:val="0"/>
        <w:spacing w:lineRule="auto" w:line="417" w:before="0" w:after="60"/>
        <w:ind w:left="0" w:right="0" w:hanging="360"/>
        <w:jc w:val="both"/>
        <w:rPr/>
      </w:pPr>
      <w:r>
        <w:rPr>
          <w:color w:val="000000"/>
        </w:rPr>
        <w:t>•</w:t>
      </w:r>
      <w:r>
        <w:rPr>
          <w:rFonts w:ascii="Times New Roman;sans-serif" w:hAnsi="Times New Roman;sans-serif"/>
          <w:b w:val="false"/>
          <w:color w:val="000000"/>
          <w:sz w:val="22"/>
        </w:rPr>
        <w:t xml:space="preserve">Signed a joint development agreement with Eavor, a revolutionary geothermal company, to develop whipstock and sidetrack technology for future projects in Germany and around the world that will reduce their overall costs. This agreement is designed to further bolster Weatherford’s geothermal offering and builds on an existing contract to provide liner hanger systems, cementation products, and open-hole/cased-hole wireline services to support the first commercial Eavor-loop™ in Germany.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417" w:before="300" w:after="100"/>
        <w:jc w:val="both"/>
        <w:rPr>
          <w:rFonts w:ascii="Times New Roman;sans-serif" w:hAnsi="Times New Roman;sans-serif"/>
          <w:b/>
          <w:color w:val="000000"/>
          <w:sz w:val="28"/>
          <w:u w:val="single"/>
        </w:rPr>
      </w:pPr>
      <w:r>
        <w:rPr>
          <w:rFonts w:ascii="Times New Roman;sans-serif" w:hAnsi="Times New Roman;sans-serif"/>
          <w:b/>
          <w:color w:val="000000"/>
          <w:sz w:val="28"/>
          <w:u w:val="single"/>
        </w:rPr>
        <w:t>Liquidity</w:t>
      </w:r>
    </w:p>
    <w:p>
      <w:pPr>
        <w:pStyle w:val="TextBody"/>
        <w:bidi w:val="0"/>
        <w:spacing w:lineRule="auto" w:line="417" w:before="30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closed the second quarter of 2023 with total cash of approximately $922 million as of June 30, 2023, down $61 million sequentially. In the second quarter of 2023, we made debt redemptions and repurchases of $159 million, comprised of $105 million of our 11% Senior Unsecured Notes (“Exit Notes”) and $54 million of our 6.5% Senior Secured Notes (“Secured Notes”). As of June 30, 2023 we have fully redeemed our Exit Notes and have approximately $396 million of principal outstanding on our Secured Notes. </w:t>
      </w:r>
    </w:p>
    <w:p>
      <w:pPr>
        <w:pStyle w:val="TextBody"/>
        <w:bidi w:val="0"/>
        <w:spacing w:lineRule="auto" w:line="417" w:before="300" w:after="100"/>
        <w:jc w:val="both"/>
        <w:rPr>
          <w:rFonts w:ascii="Times New Roman;sans-serif" w:hAnsi="Times New Roman;sans-serif"/>
          <w:b w:val="false"/>
          <w:color w:val="000000"/>
          <w:sz w:val="22"/>
        </w:rPr>
      </w:pPr>
      <w:r>
        <w:rPr>
          <w:rFonts w:ascii="Times New Roman;sans-serif" w:hAnsi="Times New Roman;sans-serif"/>
          <w:b w:val="false"/>
          <w:color w:val="000000"/>
          <w:sz w:val="22"/>
        </w:rPr>
        <w:t>Net cash provided by operating activities during the second quarter of 2023 was $201 million, up $117 million sequentially, and up $141 million year-over-year. Adjusted free cash flow* of $172 million was up $145 million sequentially and up $113 million compared to the second quarter of 2022. The sequential increase was driven mainly by higher activity, improved collections efficiency and lower capital expenditures. The year-over-year increase was primarily driven by a 93% increase in operating income.</w:t>
      </w:r>
    </w:p>
    <w:p>
      <w:pPr>
        <w:pStyle w:val="TextBody"/>
        <w:bidi w:val="0"/>
        <w:spacing w:lineRule="auto" w:line="417" w:before="300" w:after="100"/>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Financial Items</w:t>
      </w:r>
    </w:p>
    <w:p>
      <w:pPr>
        <w:pStyle w:val="TextBody"/>
        <w:bidi w:val="0"/>
        <w:spacing w:lineRule="auto" w:line="417"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Central Bank of Argentina has maintained certain currency controls that limited our ability to access U.S. dollars in Argentina and to remit cash from our Argentine operations. During the second quarter of 2023 we utilized an indirect foreign exchange mechanism known as a Blue Chip Swap (“BCS”) to remit U.S. dollars from Argentina through the purchase and sale of BCS securities. The transactions were completed at implied exchange rates (“BCS rates”) that were approximately 106% higher than the official exchange rate resulting in a loss of $57 million during the second quarter of 2023. </w:t>
      </w:r>
    </w:p>
    <w:p>
      <w:pPr>
        <w:pStyle w:val="TextBody"/>
        <w:bidi w:val="0"/>
        <w:spacing w:before="100" w:after="180"/>
        <w:jc w:val="both"/>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before="100" w:after="180"/>
        <w:jc w:val="both"/>
        <w:rPr/>
      </w:pPr>
      <w:r>
        <w:rPr/>
      </w:r>
    </w:p>
    <w:p>
      <w:pPr>
        <w:pStyle w:val="TextBody"/>
        <w:bidi w:val="0"/>
        <w:spacing w:lineRule="auto" w:line="417" w:before="10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p>
    <w:p>
      <w:pPr>
        <w:pStyle w:val="TextBody"/>
        <w:bidi w:val="0"/>
        <w:spacing w:before="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417" w:before="1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Results by Reportable Segment</w:t>
      </w:r>
    </w:p>
    <w:p>
      <w:pPr>
        <w:pStyle w:val="TextBody"/>
        <w:bidi w:val="0"/>
        <w:spacing w:lineRule="auto" w:line="417" w:before="0" w:after="4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Drilling &amp; Evaluation (“DRE”)</w:t>
      </w:r>
    </w:p>
    <w:tbl>
      <w:tblPr>
        <w:tblW w:w="10205" w:type="dxa"/>
        <w:jc w:val="center"/>
        <w:tblInd w:w="0" w:type="dxa"/>
        <w:tblLayout w:type="fixed"/>
        <w:tblCellMar>
          <w:top w:w="28" w:type="dxa"/>
          <w:left w:w="28" w:type="dxa"/>
          <w:bottom w:w="28" w:type="dxa"/>
          <w:right w:w="28" w:type="dxa"/>
        </w:tblCellMar>
      </w:tblPr>
      <w:tblGrid>
        <w:gridCol w:w="1046"/>
        <w:gridCol w:w="888"/>
        <w:gridCol w:w="893"/>
        <w:gridCol w:w="109"/>
        <w:gridCol w:w="109"/>
        <w:gridCol w:w="109"/>
        <w:gridCol w:w="266"/>
        <w:gridCol w:w="608"/>
        <w:gridCol w:w="361"/>
        <w:gridCol w:w="109"/>
        <w:gridCol w:w="109"/>
        <w:gridCol w:w="109"/>
        <w:gridCol w:w="291"/>
        <w:gridCol w:w="664"/>
        <w:gridCol w:w="395"/>
        <w:gridCol w:w="109"/>
        <w:gridCol w:w="109"/>
        <w:gridCol w:w="109"/>
        <w:gridCol w:w="266"/>
        <w:gridCol w:w="608"/>
        <w:gridCol w:w="361"/>
        <w:gridCol w:w="109"/>
        <w:gridCol w:w="109"/>
        <w:gridCol w:w="109"/>
        <w:gridCol w:w="271"/>
        <w:gridCol w:w="275"/>
        <w:gridCol w:w="451"/>
        <w:gridCol w:w="109"/>
        <w:gridCol w:w="109"/>
        <w:gridCol w:w="109"/>
        <w:gridCol w:w="240"/>
        <w:gridCol w:w="241"/>
        <w:gridCol w:w="445"/>
      </w:tblGrid>
      <w:tr>
        <w:trPr/>
        <w:tc>
          <w:tcPr>
            <w:tcW w:w="10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Variance</w:t>
            </w:r>
          </w:p>
        </w:tc>
      </w:tr>
      <w:tr>
        <w:trPr/>
        <w:tc>
          <w:tcPr>
            <w:tcW w:w="2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YoY</w:t>
            </w:r>
          </w:p>
        </w:tc>
      </w:tr>
      <w:tr>
        <w:trPr/>
        <w:tc>
          <w:tcPr>
            <w:tcW w:w="2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DRE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394 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372 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317 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6 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253" w:type="dxa"/>
            <w:gridSpan w:val="6"/>
            <w:tcBorders/>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DRE 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106 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108 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69 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54 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253" w:type="dxa"/>
            <w:gridSpan w:val="6"/>
            <w:tcBorders/>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253" w:type="dxa"/>
            <w:gridSpan w:val="6"/>
            <w:tcBorders/>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DRE Segment 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26.9 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29.0 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21.8 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(210)</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1"/>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510 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bps</w:t>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1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Second quarter 2023 DRE revenues of $394 million increased by $22 million, or 6% sequentially, primarily due to increased activity for drilling-related services partially offset by a decrease in North America mainly due to the negative impact from Canadian seasonality and wildfires. DRE revenues increased by $77 million, or 24% year-over-year, primarily due to increased activity across all product lines and geographies, particularly in drilling-related services. </w:t>
      </w:r>
    </w:p>
    <w:p>
      <w:pPr>
        <w:pStyle w:val="TextBody"/>
        <w:bidi w:val="0"/>
        <w:spacing w:lineRule="auto" w:line="417" w:before="0" w:after="1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Second quarter 2023 DRE segment adjusted EBITDA of $106 million decreased by $2 million, or 2% sequentially, primarily due to timing of cost inflation related recoveries received in the prior quarter partially offset by higher activity in managed pressure drilling. Year-over-year DRE segment adjusted EBITDA increased by $37 million, or 54%, primarily due to higher fall through from increased activity across all product lines. </w:t>
      </w:r>
    </w:p>
    <w:p>
      <w:pPr>
        <w:pStyle w:val="TextBody"/>
        <w:bidi w:val="0"/>
        <w:spacing w:lineRule="auto" w:line="417" w:before="0" w:after="6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Well Construction and Completions (“WCC”)</w:t>
      </w:r>
    </w:p>
    <w:tbl>
      <w:tblPr>
        <w:tblW w:w="10205" w:type="dxa"/>
        <w:jc w:val="center"/>
        <w:tblInd w:w="0" w:type="dxa"/>
        <w:tblLayout w:type="fixed"/>
        <w:tblCellMar>
          <w:top w:w="28" w:type="dxa"/>
          <w:left w:w="28" w:type="dxa"/>
          <w:bottom w:w="28" w:type="dxa"/>
          <w:right w:w="28" w:type="dxa"/>
        </w:tblCellMar>
      </w:tblPr>
      <w:tblGrid>
        <w:gridCol w:w="1071"/>
        <w:gridCol w:w="906"/>
        <w:gridCol w:w="909"/>
        <w:gridCol w:w="109"/>
        <w:gridCol w:w="109"/>
        <w:gridCol w:w="109"/>
        <w:gridCol w:w="267"/>
        <w:gridCol w:w="609"/>
        <w:gridCol w:w="362"/>
        <w:gridCol w:w="109"/>
        <w:gridCol w:w="109"/>
        <w:gridCol w:w="109"/>
        <w:gridCol w:w="292"/>
        <w:gridCol w:w="666"/>
        <w:gridCol w:w="396"/>
        <w:gridCol w:w="109"/>
        <w:gridCol w:w="109"/>
        <w:gridCol w:w="109"/>
        <w:gridCol w:w="267"/>
        <w:gridCol w:w="609"/>
        <w:gridCol w:w="362"/>
        <w:gridCol w:w="109"/>
        <w:gridCol w:w="109"/>
        <w:gridCol w:w="109"/>
        <w:gridCol w:w="239"/>
        <w:gridCol w:w="242"/>
        <w:gridCol w:w="451"/>
        <w:gridCol w:w="109"/>
        <w:gridCol w:w="109"/>
        <w:gridCol w:w="109"/>
        <w:gridCol w:w="240"/>
        <w:gridCol w:w="241"/>
        <w:gridCol w:w="441"/>
      </w:tblGrid>
      <w:tr>
        <w:trPr/>
        <w:tc>
          <w:tcPr>
            <w:tcW w:w="107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Variance</w:t>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1"/>
              </w:rPr>
            </w:pPr>
            <w:r>
              <w:rPr>
                <w:rFonts w:ascii="Times New Roman;sans-serif" w:hAnsi="Times New Roman;sans-serif"/>
                <w:b w:val="false"/>
                <w:i/>
                <w:color w:val="000000"/>
                <w:sz w:val="21"/>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YoY</w:t>
            </w:r>
          </w:p>
        </w:tc>
      </w:tr>
      <w:tr>
        <w:trPr/>
        <w:tc>
          <w:tcPr>
            <w:tcW w:w="2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1"/>
              </w:rPr>
            </w:pPr>
            <w:r>
              <w:rPr>
                <w:rFonts w:ascii="Times New Roman;sans-serif" w:hAnsi="Times New Roman;sans-serif"/>
                <w:b/>
                <w:color w:val="000000"/>
                <w:sz w:val="21"/>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WCC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440 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421 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383 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15 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2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249" w:type="dxa"/>
            <w:gridSpan w:val="6"/>
            <w:tcBorders/>
          </w:tcPr>
          <w:p>
            <w:pPr>
              <w:pStyle w:val="TableContents"/>
              <w:bidi w:val="0"/>
              <w:spacing w:before="0" w:after="283"/>
              <w:jc w:val="left"/>
              <w:rPr>
                <w:sz w:val="4"/>
                <w:szCs w:val="4"/>
              </w:rPr>
            </w:pPr>
            <w:r>
              <w:rPr>
                <w:sz w:val="4"/>
                <w:szCs w:val="4"/>
              </w:rPr>
            </w:r>
          </w:p>
        </w:tc>
      </w:tr>
      <w:tr>
        <w:trPr/>
        <w:tc>
          <w:tcPr>
            <w:tcW w:w="2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2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WCC 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109 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96 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67 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14 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63 </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2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249" w:type="dxa"/>
            <w:gridSpan w:val="6"/>
            <w:tcBorders/>
          </w:tcPr>
          <w:p>
            <w:pPr>
              <w:pStyle w:val="TableContents"/>
              <w:bidi w:val="0"/>
              <w:spacing w:before="0" w:after="283"/>
              <w:jc w:val="left"/>
              <w:rPr>
                <w:sz w:val="4"/>
                <w:szCs w:val="4"/>
              </w:rPr>
            </w:pPr>
            <w:r>
              <w:rPr>
                <w:sz w:val="4"/>
                <w:szCs w:val="4"/>
              </w:rPr>
            </w:r>
          </w:p>
        </w:tc>
      </w:tr>
      <w:tr>
        <w:trPr/>
        <w:tc>
          <w:tcPr>
            <w:tcW w:w="2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2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2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249" w:type="dxa"/>
            <w:gridSpan w:val="6"/>
            <w:tcBorders/>
          </w:tcPr>
          <w:p>
            <w:pPr>
              <w:pStyle w:val="TableContents"/>
              <w:bidi w:val="0"/>
              <w:spacing w:before="0" w:after="283"/>
              <w:jc w:val="left"/>
              <w:rPr>
                <w:sz w:val="4"/>
                <w:szCs w:val="4"/>
              </w:rPr>
            </w:pPr>
            <w:r>
              <w:rPr>
                <w:sz w:val="4"/>
                <w:szCs w:val="4"/>
              </w:rPr>
            </w:r>
          </w:p>
        </w:tc>
      </w:tr>
      <w:tr>
        <w:trPr/>
        <w:tc>
          <w:tcPr>
            <w:tcW w:w="2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WCC Segment 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24.8 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22.8 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17.5 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200 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1"/>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730 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bps</w:t>
            </w:r>
          </w:p>
        </w:tc>
      </w:tr>
      <w:tr>
        <w:trPr/>
        <w:tc>
          <w:tcPr>
            <w:tcW w:w="2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2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Second quarter 2023 WCC revenues of $440 million increased by $19 million, or 5% sequentially, primarily due to increased completions activity in the Latin America and Middle East/North Africa/Asia regions. Year-over-year WCC revenues increased by $57 million, or 15%, primarily due to increased activity for completions and cementation products internationally. </w:t>
      </w:r>
    </w:p>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Second quarter 2023 WCC segment adjusted EBITDA of $109 million increased by $13 million, or 14% sequentially, mainly due to higher completions activity. Year-over-year WCC segment adjusted EBITDA increased by $42 million, or 63%, primarily due to higher fall through from increased activity in completions and cementation products. </w:t>
      </w:r>
    </w:p>
    <w:p>
      <w:pPr>
        <w:pStyle w:val="TextBody"/>
        <w:bidi w:val="0"/>
        <w:spacing w:before="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417" w:before="180" w:after="18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Production and Intervention (“PRI”)</w:t>
      </w:r>
    </w:p>
    <w:tbl>
      <w:tblPr>
        <w:tblW w:w="10205" w:type="dxa"/>
        <w:jc w:val="center"/>
        <w:tblInd w:w="0" w:type="dxa"/>
        <w:tblLayout w:type="fixed"/>
        <w:tblCellMar>
          <w:top w:w="28" w:type="dxa"/>
          <w:left w:w="28" w:type="dxa"/>
          <w:bottom w:w="28" w:type="dxa"/>
          <w:right w:w="28" w:type="dxa"/>
        </w:tblCellMar>
      </w:tblPr>
      <w:tblGrid>
        <w:gridCol w:w="1058"/>
        <w:gridCol w:w="897"/>
        <w:gridCol w:w="901"/>
        <w:gridCol w:w="109"/>
        <w:gridCol w:w="109"/>
        <w:gridCol w:w="109"/>
        <w:gridCol w:w="269"/>
        <w:gridCol w:w="613"/>
        <w:gridCol w:w="365"/>
        <w:gridCol w:w="109"/>
        <w:gridCol w:w="109"/>
        <w:gridCol w:w="109"/>
        <w:gridCol w:w="295"/>
        <w:gridCol w:w="672"/>
        <w:gridCol w:w="400"/>
        <w:gridCol w:w="109"/>
        <w:gridCol w:w="109"/>
        <w:gridCol w:w="109"/>
        <w:gridCol w:w="269"/>
        <w:gridCol w:w="613"/>
        <w:gridCol w:w="365"/>
        <w:gridCol w:w="109"/>
        <w:gridCol w:w="109"/>
        <w:gridCol w:w="109"/>
        <w:gridCol w:w="239"/>
        <w:gridCol w:w="242"/>
        <w:gridCol w:w="451"/>
        <w:gridCol w:w="109"/>
        <w:gridCol w:w="109"/>
        <w:gridCol w:w="109"/>
        <w:gridCol w:w="239"/>
        <w:gridCol w:w="242"/>
        <w:gridCol w:w="440"/>
      </w:tblGrid>
      <w:tr>
        <w:trPr/>
        <w:tc>
          <w:tcPr>
            <w:tcW w:w="105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Variance</w:t>
            </w:r>
          </w:p>
        </w:tc>
      </w:tr>
      <w:tr>
        <w:trPr/>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1"/>
              </w:rPr>
            </w:pPr>
            <w:r>
              <w:rPr>
                <w:rFonts w:ascii="Times New Roman;sans-serif" w:hAnsi="Times New Roman;sans-serif"/>
                <w:b w:val="false"/>
                <w:i/>
                <w:color w:val="000000"/>
                <w:sz w:val="21"/>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YoY</w:t>
            </w:r>
          </w:p>
        </w:tc>
      </w:tr>
      <w:tr>
        <w:trPr/>
        <w:tc>
          <w:tcPr>
            <w:tcW w:w="2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1"/>
              </w:rPr>
            </w:pPr>
            <w:r>
              <w:rPr>
                <w:rFonts w:ascii="Times New Roman;sans-serif" w:hAnsi="Times New Roman;sans-serif"/>
                <w:b/>
                <w:color w:val="000000"/>
                <w:sz w:val="21"/>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366 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349 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345 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6 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248" w:type="dxa"/>
            <w:gridSpan w:val="6"/>
            <w:tcBorders/>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81 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68 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68 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19 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19 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248" w:type="dxa"/>
            <w:gridSpan w:val="6"/>
            <w:tcBorders/>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248" w:type="dxa"/>
            <w:gridSpan w:val="6"/>
            <w:tcBorders/>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 Segment 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22.1 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19.5 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19.7 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260 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1"/>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240 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bps</w:t>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Second quarter 2023 PRI revenues of $366 million increased by $17 million, or 5% sequentially, primarily due to an increase in activity for artificial lift in our North America and Latin America regions. Year-over-year, PRI revenues increased by $21 million, or 6%, primarily due to increased activity in the Latin America and Middle East/North Africa/Asia regions, partially offset by decreased activity in North America. </w:t>
      </w:r>
    </w:p>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Second quarter 2023 PRI segment adjusted EBITDA of $81 million, increased by $13 million, or 19% sequentially, primarily due to higher fall through for international pressure pumping and increased artificial lift activity in North America. Year-over-year PRI segment adjusted EBITDA increased by $13 million, or 19%, primarily due to the impact from increased activity. </w:t>
      </w:r>
    </w:p>
    <w:p>
      <w:pPr>
        <w:pStyle w:val="TextBody"/>
        <w:bidi w:val="0"/>
        <w:spacing w:lineRule="auto" w:line="417" w:before="1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 xml:space="preserve">Revenues by Geography </w:t>
      </w:r>
    </w:p>
    <w:tbl>
      <w:tblPr>
        <w:tblW w:w="10205" w:type="dxa"/>
        <w:jc w:val="center"/>
        <w:tblInd w:w="0" w:type="dxa"/>
        <w:tblLayout w:type="fixed"/>
        <w:tblCellMar>
          <w:top w:w="28" w:type="dxa"/>
          <w:left w:w="28" w:type="dxa"/>
          <w:bottom w:w="28" w:type="dxa"/>
          <w:right w:w="28" w:type="dxa"/>
        </w:tblCellMar>
      </w:tblPr>
      <w:tblGrid>
        <w:gridCol w:w="1107"/>
        <w:gridCol w:w="971"/>
        <w:gridCol w:w="969"/>
        <w:gridCol w:w="109"/>
        <w:gridCol w:w="109"/>
        <w:gridCol w:w="109"/>
        <w:gridCol w:w="290"/>
        <w:gridCol w:w="889"/>
        <w:gridCol w:w="149"/>
        <w:gridCol w:w="109"/>
        <w:gridCol w:w="109"/>
        <w:gridCol w:w="109"/>
        <w:gridCol w:w="324"/>
        <w:gridCol w:w="994"/>
        <w:gridCol w:w="167"/>
        <w:gridCol w:w="109"/>
        <w:gridCol w:w="109"/>
        <w:gridCol w:w="109"/>
        <w:gridCol w:w="290"/>
        <w:gridCol w:w="889"/>
        <w:gridCol w:w="149"/>
        <w:gridCol w:w="109"/>
        <w:gridCol w:w="109"/>
        <w:gridCol w:w="109"/>
        <w:gridCol w:w="188"/>
        <w:gridCol w:w="188"/>
        <w:gridCol w:w="286"/>
        <w:gridCol w:w="109"/>
        <w:gridCol w:w="109"/>
        <w:gridCol w:w="109"/>
        <w:gridCol w:w="188"/>
        <w:gridCol w:w="188"/>
        <w:gridCol w:w="344"/>
      </w:tblGrid>
      <w:tr>
        <w:trPr/>
        <w:tc>
          <w:tcPr>
            <w:tcW w:w="110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Variance</w:t>
            </w:r>
          </w:p>
        </w:tc>
      </w:tr>
      <w:tr>
        <w:trPr/>
        <w:tc>
          <w:tcPr>
            <w:tcW w:w="3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1"/>
              </w:rPr>
            </w:pPr>
            <w:r>
              <w:rPr>
                <w:rFonts w:ascii="Times New Roman;sans-serif" w:hAnsi="Times New Roman;sans-serif"/>
                <w:b/>
                <w:i/>
                <w:color w:val="000000"/>
                <w:sz w:val="21"/>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YoY</w:t>
            </w:r>
          </w:p>
        </w:tc>
      </w:tr>
      <w:tr>
        <w:trPr/>
        <w:tc>
          <w:tcPr>
            <w:tcW w:w="3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1"/>
              </w:rPr>
            </w:pPr>
            <w:r>
              <w:rPr>
                <w:rFonts w:ascii="Times New Roman;sans-serif" w:hAnsi="Times New Roman;sans-serif"/>
                <w:b/>
                <w:color w:val="000000"/>
                <w:sz w:val="21"/>
              </w:rPr>
              <w:t>Revenues by Geographic Areas: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3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1,009 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900 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796 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27 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3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1"/>
              </w:rPr>
              <w:t xml:space="preserve">Latin America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40 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1"/>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421 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350 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20 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3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1"/>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181 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20 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r>
        <w:trPr/>
        <w:tc>
          <w:tcPr>
            <w:tcW w:w="30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Total Revenues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1,274 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1,186 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1,064 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7 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20 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1"/>
              </w:rPr>
            </w:pPr>
            <w:r>
              <w:rPr>
                <w:rFonts w:ascii="Times New Roman;sans-serif" w:hAnsi="Times New Roman;sans-serif"/>
                <w:b w:val="false"/>
                <w:color w:val="000000"/>
                <w:sz w:val="21"/>
              </w:rPr>
              <w:t>%</w:t>
            </w:r>
          </w:p>
        </w:tc>
      </w:tr>
    </w:tbl>
    <w:p>
      <w:pPr>
        <w:pStyle w:val="TextBody"/>
        <w:bidi w:val="0"/>
        <w:spacing w:lineRule="auto" w:line="417" w:before="0" w:after="4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North America</w:t>
      </w:r>
    </w:p>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Second quarter 2023, North America revenues of $265 million decreased by $21 million, or 7% sequentially, primarily in Canada due to seasonality and wildfires. Despite notably softer activity in North America, we saw improvement in the United States, largely driven by artificial lift. Year-over-year revenue decreased by $3 million, or 1%, as drilling and completions activity slowed in response to economic and market conditions and compounded by the Canadian wildfire impacts, partially offset by increased offshore demand driven by managed pressure drilling and cementation products. </w:t>
      </w:r>
    </w:p>
    <w:p>
      <w:pPr>
        <w:pStyle w:val="TextBody"/>
        <w:bidi w:val="0"/>
        <w:spacing w:before="100" w:after="18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417" w:before="0" w:after="4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International</w:t>
      </w:r>
    </w:p>
    <w:p>
      <w:pPr>
        <w:pStyle w:val="TextBody"/>
        <w:bidi w:val="0"/>
        <w:spacing w:lineRule="auto" w:line="417" w:before="10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Second quarter 2023 International revenues of $1,009 million increased 12% sequentially and 27% year over year.</w:t>
      </w:r>
    </w:p>
    <w:p>
      <w:pPr>
        <w:pStyle w:val="TextBody"/>
        <w:bidi w:val="0"/>
        <w:spacing w:before="0" w:after="40"/>
        <w:jc w:val="both"/>
        <w:rPr/>
      </w:pPr>
      <w:r>
        <w:rPr/>
      </w:r>
    </w:p>
    <w:p>
      <w:pPr>
        <w:pStyle w:val="TextBody"/>
        <w:bidi w:val="0"/>
        <w:spacing w:lineRule="auto" w:line="417" w:before="0" w:after="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Second quarter 2023 Latin America revenues of $371 million increased by $54 million, or 17% sequentially, primarily due to increased offshore completions activity in Brazil and higher activity in our PRI segment in Argentina and Mexico. Year-over-year, Latin America revenue increased by $106 million, or 40%, primarily due to higher activity in all our segments. </w:t>
      </w:r>
    </w:p>
    <w:p>
      <w:pPr>
        <w:pStyle w:val="TextBody"/>
        <w:bidi w:val="0"/>
        <w:spacing w:before="0" w:after="40"/>
        <w:jc w:val="both"/>
        <w:rPr/>
      </w:pPr>
      <w:r>
        <w:rPr/>
      </w:r>
    </w:p>
    <w:p>
      <w:pPr>
        <w:pStyle w:val="TextBody"/>
        <w:bidi w:val="0"/>
        <w:spacing w:lineRule="auto" w:line="417" w:before="0" w:after="40"/>
        <w:jc w:val="both"/>
        <w:rPr/>
      </w:pPr>
      <w:r>
        <w:rPr>
          <w:rFonts w:ascii="Times New Roman;sans-serif" w:hAnsi="Times New Roman;sans-serif"/>
          <w:b w:val="false"/>
          <w:color w:val="000000"/>
          <w:sz w:val="22"/>
        </w:rPr>
        <w:t>Second quarter 2023</w:t>
      </w:r>
      <w:r>
        <w:rPr>
          <w:color w:val="000000"/>
        </w:rPr>
        <w:t xml:space="preserve"> </w:t>
      </w:r>
      <w:r>
        <w:rPr>
          <w:rFonts w:ascii="Times New Roman;sans-serif" w:hAnsi="Times New Roman;sans-serif"/>
          <w:b w:val="false"/>
          <w:color w:val="000000"/>
          <w:sz w:val="22"/>
        </w:rPr>
        <w:t>Middle East/North Africa/Asia revenues of $421 million increased by $45 million, or 12% sequentially, primarily driven by higher WCC, DRE, and integrated services and projects revenue, with notable increase in activity in Saudi Arabia. Year-over-year, revenue increased by $71 million, or 20%, primarily due to higher activity in all segments and an increase in integrated services and projects revenue.</w:t>
      </w:r>
    </w:p>
    <w:p>
      <w:pPr>
        <w:pStyle w:val="TextBody"/>
        <w:bidi w:val="0"/>
        <w:spacing w:before="0" w:after="40"/>
        <w:jc w:val="both"/>
        <w:rPr/>
      </w:pPr>
      <w:r>
        <w:rPr/>
      </w:r>
    </w:p>
    <w:p>
      <w:pPr>
        <w:pStyle w:val="TextBody"/>
        <w:bidi w:val="0"/>
        <w:spacing w:lineRule="auto" w:line="417" w:before="0" w:after="40"/>
        <w:jc w:val="both"/>
        <w:rPr/>
      </w:pPr>
      <w:r>
        <w:rPr>
          <w:rFonts w:ascii="Times New Roman;sans-serif" w:hAnsi="Times New Roman;sans-serif"/>
          <w:b w:val="false"/>
          <w:color w:val="000000"/>
          <w:sz w:val="22"/>
        </w:rPr>
        <w:t>Second quarter 2023</w:t>
      </w:r>
      <w:r>
        <w:rPr>
          <w:color w:val="000000"/>
        </w:rPr>
        <w:t xml:space="preserve"> </w:t>
      </w:r>
      <w:r>
        <w:rPr>
          <w:rFonts w:ascii="Times New Roman;sans-serif" w:hAnsi="Times New Roman;sans-serif"/>
          <w:b w:val="false"/>
          <w:color w:val="000000"/>
          <w:sz w:val="22"/>
        </w:rPr>
        <w:t>Europe/Sub-Sahara Africa/Russia revenues of $217 million increased by $10 million, or 5% sequentially, primarily due to increased managed pressure drilling activity. Year-over-year revenue increased by $36 million, or 20%, primarily due to increased completions, managed pressure drilling, and drilling services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417" w:before="3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About Weatherford</w:t>
      </w:r>
    </w:p>
    <w:p>
      <w:pPr>
        <w:pStyle w:val="TextBody"/>
        <w:bidi w:val="0"/>
        <w:spacing w:lineRule="auto" w:line="417" w:before="0" w:after="140"/>
        <w:jc w:val="both"/>
        <w:rPr/>
      </w:pPr>
      <w:r>
        <w:rPr>
          <w:rFonts w:ascii="Times New Roman;sans-serif" w:hAnsi="Times New Roman;sans-serif"/>
          <w:b w:val="false"/>
          <w:color w:val="000000"/>
          <w:sz w:val="22"/>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operates in approximately 75 countries and has approximately 18,000 team members representing more than 110 nationalities and 340 operating locations. Visit </w:t>
      </w:r>
      <w:r>
        <w:rPr>
          <w:rFonts w:ascii="Times New Roman;sans-serif" w:hAnsi="Times New Roman;sans-serif"/>
          <w:b w:val="false"/>
          <w:color w:val="3051F2"/>
          <w:sz w:val="22"/>
          <w:u w:val="single"/>
        </w:rPr>
        <w:t>weatherford.com</w:t>
      </w:r>
      <w:r>
        <w:rPr>
          <w:color w:val="000000"/>
        </w:rPr>
        <w:t xml:space="preserve"> </w:t>
      </w:r>
      <w:r>
        <w:rPr>
          <w:rFonts w:ascii="Times New Roman;sans-serif" w:hAnsi="Times New Roman;sans-serif"/>
          <w:b w:val="false"/>
          <w:color w:val="000000"/>
          <w:sz w:val="22"/>
        </w:rPr>
        <w:t>for more information and connect with us on social media.</w:t>
      </w:r>
    </w:p>
    <w:p>
      <w:pPr>
        <w:pStyle w:val="TextBody"/>
        <w:bidi w:val="0"/>
        <w:spacing w:lineRule="auto" w:line="417" w:before="300" w:after="180"/>
        <w:jc w:val="both"/>
        <w:rPr>
          <w:rFonts w:ascii="Times New Roman;sans-serif" w:hAnsi="Times New Roman;sans-serif"/>
          <w:b/>
          <w:color w:val="000000"/>
          <w:sz w:val="28"/>
          <w:u w:val="single"/>
        </w:rPr>
      </w:pPr>
      <w:r>
        <w:rPr>
          <w:rFonts w:ascii="Times New Roman;sans-serif" w:hAnsi="Times New Roman;sans-serif"/>
          <w:b/>
          <w:color w:val="000000"/>
          <w:sz w:val="28"/>
          <w:u w:val="single"/>
        </w:rPr>
        <w:t>Conference Call Details</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Weatherford will host a conference call on Wednesday, July 26, 2023, to discuss the Company’s results for the second quarter ended June 30, 2023. The conference call will begin at 9:00 a.m. Eastern Time (8:00 a.m. Central Time). </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Listeners are encouraged to download the accompanying presentation slides which will be available in the investor relations section of the Company’s website.</w:t>
      </w:r>
    </w:p>
    <w:p>
      <w:pPr>
        <w:pStyle w:val="TextBody"/>
        <w:bidi w:val="0"/>
        <w:spacing w:lineRule="auto" w:line="417"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telephonic replay of the conference call will be available until August 9, 2023, at 5:00 p.m. Eastern Time. To access the replay, please dial +1 877-344-7529 (within the U.S.) or +1 412-317-0088 (outside of the U.S.) and reference conference number 7149368. A replay and transcript of the earnings call will also be available in the investor relations section of the Company’s website. </w:t>
      </w:r>
    </w:p>
    <w:p>
      <w:pPr>
        <w:pStyle w:val="TextBody"/>
        <w:bidi w:val="0"/>
        <w:spacing w:lineRule="auto" w:line="417" w:before="2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80" w:after="80"/>
        <w:jc w:val="both"/>
        <w:rPr>
          <w:rFonts w:ascii="Times New Roman;sans-serif" w:hAnsi="Times New Roman;sans-serif"/>
          <w:b/>
          <w:color w:val="000000"/>
          <w:sz w:val="28"/>
          <w:u w:val="single"/>
        </w:rPr>
      </w:pPr>
      <w:r>
        <w:rPr>
          <w:rFonts w:ascii="Times New Roman;sans-serif" w:hAnsi="Times New Roman;sans-serif"/>
          <w:b/>
          <w:color w:val="000000"/>
          <w:sz w:val="28"/>
          <w:u w:val="single"/>
        </w:rPr>
        <w:t>Contacts</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For Investors: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Mohammed Topiwala</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Vice President, Investor Relations and M&amp;A</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+1 713-836-7777</w:t>
      </w:r>
    </w:p>
    <w:p>
      <w:pPr>
        <w:pStyle w:val="TextBody"/>
        <w:bidi w:val="0"/>
        <w:spacing w:lineRule="auto" w:line="288" w:before="0" w:after="6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investor.relations@weatherford.com</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For Media:</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Kelley Hughes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Senior Director, Communications &amp; Employee Engagement</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+1 713-836-4193</w:t>
      </w:r>
    </w:p>
    <w:p>
      <w:pPr>
        <w:pStyle w:val="TextBody"/>
        <w:bidi w:val="0"/>
        <w:spacing w:lineRule="auto" w:line="288" w:before="0" w:after="6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media@weatherford.com</w:t>
      </w:r>
    </w:p>
    <w:p>
      <w:pPr>
        <w:pStyle w:val="TextBody"/>
        <w:bidi w:val="0"/>
        <w:spacing w:before="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80" w:after="80"/>
        <w:jc w:val="both"/>
        <w:rPr/>
      </w:pPr>
      <w:r>
        <w:rPr/>
      </w:r>
    </w:p>
    <w:p>
      <w:pPr>
        <w:pStyle w:val="TextBody"/>
        <w:bidi w:val="0"/>
        <w:spacing w:lineRule="auto" w:line="288" w:before="80" w:after="80"/>
        <w:jc w:val="both"/>
        <w:rPr>
          <w:rFonts w:ascii="Times New Roman;sans-serif" w:hAnsi="Times New Roman;sans-serif"/>
          <w:b/>
          <w:color w:val="000000"/>
          <w:sz w:val="28"/>
          <w:u w:val="single"/>
        </w:rPr>
      </w:pPr>
      <w:r>
        <w:rPr>
          <w:rFonts w:ascii="Times New Roman;sans-serif" w:hAnsi="Times New Roman;sans-serif"/>
          <w:b/>
          <w:color w:val="000000"/>
          <w:sz w:val="28"/>
          <w:u w:val="single"/>
        </w:rPr>
        <w:t>Forward-Looking Statements</w:t>
      </w:r>
    </w:p>
    <w:p>
      <w:pPr>
        <w:pStyle w:val="TextBody"/>
        <w:bidi w:val="0"/>
        <w:spacing w:lineRule="auto" w:line="417" w:before="30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news release contains projections and forward-looking statements concerning, among other things, the Company’s quarterly and full-year revenues, operating income and losses, adjusted EBITDA*, adjusted free cash flow*,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global political disturbances, changes in global trade policies, weak local economic conditions and international currency fluctuations; general global economic repercussions related to U.S. and global inflationary pressures and potential recessionary concerns; various effects from the Russia Ukraine conflict including, but not limited to, nationalization of assets, extended business interruptions, sanctions, treaties and regulations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 and the realization of additional cost savings and operational efficiencies. </w: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These risks and uncertainties are more fully described in Weatherford’s reports and registration statements filed with the SEC, including the risk factors described in the Company’s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 refer to the section titled Non-GAAP Financial Measures Defined and GAAP to Non-GAAP Financial Measures Reconciled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376"/>
        <w:gridCol w:w="960"/>
        <w:gridCol w:w="967"/>
        <w:gridCol w:w="109"/>
        <w:gridCol w:w="109"/>
        <w:gridCol w:w="109"/>
        <w:gridCol w:w="260"/>
        <w:gridCol w:w="632"/>
        <w:gridCol w:w="134"/>
        <w:gridCol w:w="109"/>
        <w:gridCol w:w="109"/>
        <w:gridCol w:w="109"/>
        <w:gridCol w:w="279"/>
        <w:gridCol w:w="677"/>
        <w:gridCol w:w="144"/>
        <w:gridCol w:w="109"/>
        <w:gridCol w:w="109"/>
        <w:gridCol w:w="109"/>
        <w:gridCol w:w="260"/>
        <w:gridCol w:w="632"/>
        <w:gridCol w:w="134"/>
        <w:gridCol w:w="109"/>
        <w:gridCol w:w="109"/>
        <w:gridCol w:w="109"/>
        <w:gridCol w:w="260"/>
        <w:gridCol w:w="632"/>
        <w:gridCol w:w="134"/>
        <w:gridCol w:w="109"/>
        <w:gridCol w:w="109"/>
        <w:gridCol w:w="109"/>
        <w:gridCol w:w="247"/>
        <w:gridCol w:w="653"/>
        <w:gridCol w:w="189"/>
      </w:tblGrid>
      <w:tr>
        <w:trPr/>
        <w:tc>
          <w:tcPr>
            <w:tcW w:w="137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Statements of Operations (Unaudited)</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 in Millions, Except Per Share Amounts)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r>
      <w:tr>
        <w:trPr/>
        <w:tc>
          <w:tcPr>
            <w:tcW w:w="3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DRE Segment Adjusted EBITDA</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WCC Segment Adjusted EBITDA</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 Segment Adjusted EBITDA</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All Other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$16, $16, $6, $32 and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Blue Chip Swap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3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Weatherford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Segment adjusted EBITDA is our primary measure of segment profitability under U.S. GAAP ASC 280 “Segment Reporting” and represents segment earnings before interest, taxes, depreciation, amortization, share-based compensation expense and other adjustments. Research and development expenses are included in segment adjusted EBITDA.</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All Other includes business activities related to all other segments (profit and loss) and Corporate includes overhead support and centrally managed or shared facilities costs. All Other and Corporate do not individually meet the criteria for segment reporting. The improvement in All Other in 2023 was primarily driven by improved results in integrated services and projects.</w:t>
      </w:r>
    </w:p>
    <w:p>
      <w:pPr>
        <w:pStyle w:val="TextBody"/>
        <w:bidi w:val="0"/>
        <w:spacing w:before="0" w:after="0"/>
        <w:ind w:left="0" w:right="0" w:firstLine="9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6538" w:type="dxa"/>
        <w:jc w:val="center"/>
        <w:tblInd w:w="0" w:type="dxa"/>
        <w:tblLayout w:type="fixed"/>
        <w:tblCellMar>
          <w:top w:w="28" w:type="dxa"/>
          <w:left w:w="28" w:type="dxa"/>
          <w:bottom w:w="28" w:type="dxa"/>
          <w:right w:w="28" w:type="dxa"/>
        </w:tblCellMar>
      </w:tblPr>
      <w:tblGrid>
        <w:gridCol w:w="1080"/>
        <w:gridCol w:w="950"/>
        <w:gridCol w:w="954"/>
        <w:gridCol w:w="342"/>
        <w:gridCol w:w="757"/>
        <w:gridCol w:w="176"/>
        <w:gridCol w:w="170"/>
        <w:gridCol w:w="170"/>
        <w:gridCol w:w="170"/>
        <w:gridCol w:w="449"/>
        <w:gridCol w:w="994"/>
        <w:gridCol w:w="326"/>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65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65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Balance Sheet Data (Unaudited)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FFFFFF"/>
          <w:sz w:val="12"/>
        </w:rPr>
        <w:t>[1]</w:t>
      </w:r>
      <w:r>
        <w:rPr>
          <w:color w:val="FFFFFF"/>
        </w:rPr>
        <w:t xml:space="preserve"> </w:t>
      </w:r>
      <w:r>
        <w:rPr>
          <w:rFonts w:ascii="Times New Roman;sans-serif" w:hAnsi="Times New Roman;sans-serif"/>
          <w:b w:val="false"/>
          <w:color w:val="FFFFFF"/>
          <w:sz w:val="17"/>
        </w:rPr>
        <w:t xml:space="preserve">Net debt is a non-GAAP measure calculated as total short and long-term debt less cash and cash equivalents and restricted cash. </w:t>
      </w:r>
    </w:p>
    <w:p>
      <w:pPr>
        <w:pStyle w:val="TextBody"/>
        <w:bidi w:val="0"/>
        <w:spacing w:before="0" w:after="0"/>
        <w:ind w:left="0" w:right="0" w:hanging="18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63"/>
        <w:gridCol w:w="993"/>
        <w:gridCol w:w="997"/>
        <w:gridCol w:w="109"/>
        <w:gridCol w:w="109"/>
        <w:gridCol w:w="109"/>
        <w:gridCol w:w="241"/>
        <w:gridCol w:w="578"/>
        <w:gridCol w:w="124"/>
        <w:gridCol w:w="109"/>
        <w:gridCol w:w="109"/>
        <w:gridCol w:w="109"/>
        <w:gridCol w:w="254"/>
        <w:gridCol w:w="610"/>
        <w:gridCol w:w="131"/>
        <w:gridCol w:w="109"/>
        <w:gridCol w:w="109"/>
        <w:gridCol w:w="109"/>
        <w:gridCol w:w="255"/>
        <w:gridCol w:w="485"/>
        <w:gridCol w:w="131"/>
        <w:gridCol w:w="109"/>
        <w:gridCol w:w="109"/>
        <w:gridCol w:w="109"/>
        <w:gridCol w:w="241"/>
        <w:gridCol w:w="578"/>
        <w:gridCol w:w="124"/>
        <w:gridCol w:w="109"/>
        <w:gridCol w:w="109"/>
        <w:gridCol w:w="109"/>
        <w:gridCol w:w="255"/>
        <w:gridCol w:w="485"/>
        <w:gridCol w:w="131"/>
        <w:gridCol w:w="109"/>
        <w:gridCol w:w="109"/>
        <w:gridCol w:w="109"/>
        <w:gridCol w:w="167"/>
      </w:tblGrid>
      <w:tr>
        <w:trPr/>
        <w:tc>
          <w:tcPr>
            <w:tcW w:w="146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7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494" w:type="dxa"/>
            <w:gridSpan w:val="4"/>
            <w:tcBorders/>
          </w:tcPr>
          <w:p>
            <w:pPr>
              <w:pStyle w:val="TableContents"/>
              <w:bidi w:val="0"/>
              <w:spacing w:before="0" w:after="283"/>
              <w:jc w:val="left"/>
              <w:rPr>
                <w:sz w:val="4"/>
                <w:szCs w:val="4"/>
              </w:rPr>
            </w:pPr>
            <w:r>
              <w:rPr>
                <w:sz w:val="4"/>
                <w:szCs w:val="4"/>
              </w:rPr>
            </w:r>
          </w:p>
        </w:tc>
      </w:tr>
      <w:tr>
        <w:trPr/>
        <w:tc>
          <w:tcPr>
            <w:tcW w:w="97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Selected Cash Flows Information (Unaudited)</w:t>
            </w:r>
          </w:p>
        </w:tc>
        <w:tc>
          <w:tcPr>
            <w:tcW w:w="494" w:type="dxa"/>
            <w:gridSpan w:val="4"/>
            <w:tcBorders/>
          </w:tcPr>
          <w:p>
            <w:pPr>
              <w:pStyle w:val="TableContents"/>
              <w:bidi w:val="0"/>
              <w:spacing w:before="0" w:after="283"/>
              <w:jc w:val="left"/>
              <w:rPr>
                <w:sz w:val="4"/>
                <w:szCs w:val="4"/>
              </w:rPr>
            </w:pPr>
            <w:r>
              <w:rPr>
                <w:sz w:val="4"/>
                <w:szCs w:val="4"/>
              </w:rPr>
            </w:r>
          </w:p>
        </w:tc>
      </w:tr>
      <w:tr>
        <w:trPr/>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3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rPr>
            </w:pPr>
            <w:r>
              <w:rPr>
                <w:rFonts w:ascii="Times New Roman;sans-serif" w:hAnsi="Times New Roman;sans-serif"/>
                <w:b/>
                <w:i/>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Blue Chip Swap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Write-downs and Other Credits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Blue Chip Swap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Blue Chip Swap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(Payments) for 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and Repurchases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0E74"/>
                <w:sz w:val="20"/>
              </w:rPr>
            </w:pPr>
            <w:r>
              <w:rPr>
                <w:rFonts w:ascii="Times New Roman;sans-serif" w:hAnsi="Times New Roman;sans-serif"/>
                <w:b w:val="false"/>
                <w:color w:val="330E74"/>
                <w:sz w:val="20"/>
              </w:rPr>
              <w:t>(3)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0E74"/>
                <w:sz w:val="20"/>
              </w:rPr>
            </w:pPr>
            <w:r>
              <w:rPr>
                <w:rFonts w:ascii="Times New Roman;sans-serif" w:hAnsi="Times New Roman;sans-serif"/>
                <w:b w:val="false"/>
                <w:color w:val="330E74"/>
                <w:sz w:val="20"/>
              </w:rPr>
              <w:t>(230)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0E74"/>
                <w:sz w:val="20"/>
              </w:rPr>
            </w:pPr>
            <w:r>
              <w:rPr>
                <w:rFonts w:ascii="Times New Roman;sans-serif" w:hAnsi="Times New Roman;sans-serif"/>
                <w:b w:val="false"/>
                <w:color w:val="330E74"/>
                <w:sz w:val="20"/>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Remittance on Equity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0E74"/>
                <w:sz w:val="20"/>
              </w:rPr>
            </w:pPr>
            <w:r>
              <w:rPr>
                <w:rFonts w:ascii="Times New Roman;sans-serif" w:hAnsi="Times New Roman;sans-serif"/>
                <w:b w:val="false"/>
                <w:color w:val="330E74"/>
                <w:sz w:val="20"/>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0E74"/>
                <w:sz w:val="20"/>
              </w:rPr>
            </w:pPr>
            <w:r>
              <w:rPr>
                <w:rFonts w:ascii="Times New Roman;sans-serif" w:hAnsi="Times New Roman;sans-serif"/>
                <w:b w:val="false"/>
                <w:color w:val="330E74"/>
                <w:sz w:val="20"/>
              </w:rPr>
              <w:t>(54)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0E74"/>
                <w:sz w:val="20"/>
              </w:rPr>
            </w:pPr>
            <w:r>
              <w:rPr>
                <w:rFonts w:ascii="Times New Roman;sans-serif" w:hAnsi="Times New Roman;sans-serif"/>
                <w:b w:val="false"/>
                <w:color w:val="330E74"/>
                <w:sz w:val="20"/>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Other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both"/>
        <w:rPr/>
      </w:pPr>
      <w:r>
        <w:rPr/>
      </w:r>
    </w:p>
    <w:tbl>
      <w:tblPr>
        <w:tblW w:w="4978" w:type="dxa"/>
        <w:jc w:val="left"/>
        <w:tblInd w:w="0" w:type="dxa"/>
        <w:tblLayout w:type="fixed"/>
        <w:tblCellMar>
          <w:top w:w="28" w:type="dxa"/>
          <w:left w:w="28" w:type="dxa"/>
          <w:bottom w:w="28" w:type="dxa"/>
          <w:right w:w="28" w:type="dxa"/>
        </w:tblCellMar>
      </w:tblPr>
      <w:tblGrid>
        <w:gridCol w:w="281"/>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09"/>
        <w:gridCol w:w="154"/>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481" w:type="dxa"/>
            <w:gridSpan w:val="4"/>
            <w:tcBorders/>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 Financial Measures Defined (Unaudited)</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Free Cash Flow* (formerly titled as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417"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*Non-GAAP - as defined above and reconciled to the GAAP measures in the section titled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30"/>
        <w:gridCol w:w="713"/>
        <w:gridCol w:w="618"/>
        <w:gridCol w:w="109"/>
        <w:gridCol w:w="109"/>
        <w:gridCol w:w="109"/>
        <w:gridCol w:w="218"/>
        <w:gridCol w:w="638"/>
        <w:gridCol w:w="280"/>
        <w:gridCol w:w="109"/>
        <w:gridCol w:w="109"/>
        <w:gridCol w:w="109"/>
        <w:gridCol w:w="225"/>
        <w:gridCol w:w="659"/>
        <w:gridCol w:w="290"/>
        <w:gridCol w:w="109"/>
        <w:gridCol w:w="109"/>
        <w:gridCol w:w="109"/>
        <w:gridCol w:w="218"/>
        <w:gridCol w:w="638"/>
        <w:gridCol w:w="280"/>
        <w:gridCol w:w="109"/>
        <w:gridCol w:w="109"/>
        <w:gridCol w:w="109"/>
        <w:gridCol w:w="218"/>
        <w:gridCol w:w="638"/>
        <w:gridCol w:w="280"/>
        <w:gridCol w:w="109"/>
        <w:gridCol w:w="109"/>
        <w:gridCol w:w="109"/>
        <w:gridCol w:w="218"/>
        <w:gridCol w:w="638"/>
        <w:gridCol w:w="280"/>
        <w:gridCol w:w="109"/>
        <w:gridCol w:w="109"/>
        <w:gridCol w:w="109"/>
        <w:gridCol w:w="164"/>
      </w:tblGrid>
      <w:tr>
        <w:trPr/>
        <w:tc>
          <w:tcPr>
            <w:tcW w:w="103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 to Non-GAAP Financial Measures Reconciled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in Millions, Except Margin in Percentages)</w:t>
            </w:r>
          </w:p>
        </w:tc>
        <w:tc>
          <w:tcPr>
            <w:tcW w:w="491" w:type="dxa"/>
            <w:gridSpan w:val="4"/>
            <w:tcBorders/>
          </w:tcPr>
          <w:p>
            <w:pPr>
              <w:pStyle w:val="TableContents"/>
              <w:bidi w:val="0"/>
              <w:spacing w:before="0" w:after="283"/>
              <w:jc w:val="left"/>
              <w:rPr>
                <w:sz w:val="4"/>
                <w:szCs w:val="4"/>
              </w:rPr>
            </w:pPr>
            <w:r>
              <w:rPr>
                <w:sz w:val="4"/>
                <w:szCs w:val="4"/>
              </w:rPr>
            </w:r>
          </w:p>
        </w:tc>
      </w:tr>
      <w:tr>
        <w:trPr/>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Weatherford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Weatherford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$16, $16, $6, $32 and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Blue Chip Swap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Free Cash Flow*</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ans-serif" w:hAnsi="Times New Roman;sans-serif"/>
          <w:b w:val="false"/>
          <w:color w:val="000000"/>
          <w:sz w:val="18"/>
        </w:rPr>
      </w:pPr>
      <w:r>
        <w:rPr>
          <w:rFonts w:ascii="Times New Roman;sans-serif" w:hAnsi="Times New Roman;sans-serif"/>
          <w:b w:val="false"/>
          <w:color w:val="000000"/>
          <w:sz w:val="18"/>
        </w:rPr>
        <w:t>*Non-GAAP - as reconciled to the GAAP measures above and defined in the section titled Non-GAAP Financial Measures Defined</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5005</Words>
  <Characters>27350</Characters>
  <CharactersWithSpaces>31875</CharactersWithSpaces>
  <Paragraphs>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