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color w:val="auto"/>
        </w:rPr>
        <w:t>UNITED STATES</w:t>
      </w:r>
    </w:p>
    <w:p>
      <w:pPr>
        <w:spacing w:after="0" w:line="152" w:lineRule="exact"/>
        <w:rPr>
          <w:sz w:val="24"/>
          <w:szCs w:val="24"/>
          <w:color w:val="auto"/>
        </w:rPr>
      </w:pPr>
    </w:p>
    <w:p>
      <w:pPr>
        <w:jc w:val="center"/>
        <w:ind w:right="-1040"/>
        <w:spacing w:after="0"/>
        <w:rPr>
          <w:sz w:val="20"/>
          <w:szCs w:val="20"/>
          <w:color w:val="auto"/>
        </w:rPr>
      </w:pPr>
      <w:r>
        <w:rPr>
          <w:rFonts w:ascii="Arial" w:cs="Arial" w:eastAsia="Arial" w:hAnsi="Arial"/>
          <w:sz w:val="21"/>
          <w:szCs w:val="21"/>
          <w:b w:val="1"/>
          <w:bCs w:val="1"/>
          <w:color w:val="auto"/>
        </w:rPr>
        <w:t>SECURITIES AND EXCHANGE COMMISSION</w:t>
      </w:r>
    </w:p>
    <w:p>
      <w:pPr>
        <w:spacing w:after="0" w:line="151" w:lineRule="exact"/>
        <w:rPr>
          <w:sz w:val="24"/>
          <w:szCs w:val="24"/>
          <w:color w:val="auto"/>
        </w:rPr>
      </w:pPr>
    </w:p>
    <w:p>
      <w:pPr>
        <w:ind w:left="4620"/>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SCHEDULE 14A</w:t>
      </w:r>
    </w:p>
    <w:p>
      <w:pPr>
        <w:spacing w:after="0" w:line="24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13"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Exchange Act of 1934 (Amendment No. )</w:t>
      </w:r>
    </w:p>
    <w:p>
      <w:pPr>
        <w:spacing w:after="0" w:line="200" w:lineRule="exact"/>
        <w:rPr>
          <w:sz w:val="24"/>
          <w:szCs w:val="24"/>
          <w:color w:val="auto"/>
        </w:rPr>
      </w:pPr>
    </w:p>
    <w:p>
      <w:pPr>
        <w:spacing w:after="0" w:line="3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340" w:hanging="331"/>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340" w:hanging="331"/>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13" w:lineRule="exact"/>
        <w:rPr>
          <w:rFonts w:ascii="MS PGothic" w:cs="MS PGothic" w:eastAsia="MS PGothic" w:hAnsi="MS PGothic"/>
          <w:sz w:val="16"/>
          <w:szCs w:val="16"/>
          <w:color w:val="auto"/>
        </w:rPr>
      </w:pPr>
    </w:p>
    <w:p>
      <w:pPr>
        <w:ind w:left="340" w:hanging="331"/>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340" w:hanging="331"/>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340" w:hanging="331"/>
        <w:spacing w:after="0"/>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46355</wp:posOffset>
            </wp:positionV>
            <wp:extent cx="164592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040"/>
        <w:spacing w:after="0"/>
        <w:rPr>
          <w:sz w:val="20"/>
          <w:szCs w:val="20"/>
          <w:color w:val="auto"/>
        </w:rPr>
      </w:pPr>
      <w:r>
        <w:rPr>
          <w:rFonts w:ascii="Arial" w:cs="Arial" w:eastAsia="Arial" w:hAnsi="Arial"/>
          <w:sz w:val="29"/>
          <w:szCs w:val="29"/>
          <w:b w:val="1"/>
          <w:bCs w:val="1"/>
          <w:color w:val="auto"/>
        </w:rPr>
        <w:t>Weatherford International plc</w:t>
      </w:r>
    </w:p>
    <w:p>
      <w:pPr>
        <w:spacing w:after="0" w:line="186"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13"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106680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13" w:lineRule="exact"/>
        <w:rPr>
          <w:sz w:val="24"/>
          <w:szCs w:val="24"/>
          <w:color w:val="auto"/>
        </w:rPr>
      </w:pPr>
    </w:p>
    <w:p>
      <w:pPr>
        <w:ind w:left="340" w:hanging="331"/>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340" w:hanging="331"/>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231F20"/>
        </w:rPr>
        <w:t>Fee paid previously with preliminary materials:</w:t>
      </w:r>
    </w:p>
    <w:p>
      <w:pPr>
        <w:spacing w:after="0" w:line="59" w:lineRule="exact"/>
        <w:rPr>
          <w:rFonts w:ascii="MS PGothic" w:cs="MS PGothic" w:eastAsia="MS PGothic" w:hAnsi="MS PGothic"/>
          <w:sz w:val="16"/>
          <w:szCs w:val="16"/>
          <w:color w:val="auto"/>
        </w:rPr>
      </w:pPr>
    </w:p>
    <w:p>
      <w:pPr>
        <w:ind w:left="340" w:hanging="331"/>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231F20"/>
        </w:rPr>
        <w:t>Fee computed on table in exhibit required by Item 25(b) per Exchange Act Rules 14a-6(i)(1) and 0-11</w:t>
      </w:r>
    </w:p>
    <w:p>
      <w:pPr>
        <w:sectPr>
          <w:pgSz w:w="11900" w:h="16838" w:orient="portrait"/>
          <w:cols w:equalWidth="0" w:num="1">
            <w:col w:w="10059"/>
          </w:cols>
          <w:pgMar w:left="400" w:top="1440" w:right="1440" w:bottom="1440" w:gutter="0" w:footer="0" w:header="0"/>
        </w:sectPr>
      </w:pPr>
    </w:p>
    <w:bookmarkStart w:id="1" w:name="page2"/>
    <w:bookmarkEnd w:id="1"/>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Weatherford International plc (“Weatherford”) filed its definitive proxy statement (the “Proxy Statement”) with the Securities and Exchange Commission (the “SEC”) on April 21, 2026 in connection with Weatherford’s (a) special court-ordered shareholder meeting (the “Court Meeting”) and (b) 2026 annual general meeting of shareholders of Weatherford (the “AGM”), both to be held on June 11, 2026.</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contains communications related to the Proxy Statement, the AGM and the Court Meeting, including information used in investor communications related to the solicitation efforts in connection with Weatherford’s proposal to Redomesticate from Ireland to the United States of America (the “U.S.”). Capitalized terms used herein but not defined have the meanings set forth in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Starting on June 1, 2026, Weatherford sent the below communication to investors: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refer to our definitive proxy statement filed with the Securities and Exchange Commission (the “Proxy Statement”). As explained in the Proxy Statement, we believe that moving from Ireland back to the United States of America (the “U.S.”) provides Weatherford International plc (“Weatherford”) and its shareholders with certain unique financial, operational and other benefits. These include the following:</w:t>
      </w:r>
    </w:p>
    <w:p>
      <w:pPr>
        <w:spacing w:after="0" w:line="68" w:lineRule="exact"/>
        <w:rPr>
          <w:sz w:val="20"/>
          <w:szCs w:val="20"/>
          <w:color w:val="auto"/>
        </w:rPr>
      </w:pPr>
    </w:p>
    <w:p>
      <w:pPr>
        <w:ind w:left="340" w:right="42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Benefits</w:t>
      </w:r>
      <w:r>
        <w:rPr>
          <w:rFonts w:ascii="Times New Roman" w:cs="Times New Roman" w:eastAsia="Times New Roman" w:hAnsi="Times New Roman"/>
          <w:sz w:val="18"/>
          <w:szCs w:val="18"/>
          <w:color w:val="auto"/>
        </w:rPr>
        <w:t>: The Redomestication has expected financial benefits for Weatherford and its shareholders, which we estimate could result in approximately $20 million to $30 million in annual cash savings to Weatherford beginning in 2027, if the Redomestication is completed in 2026. Additionally, we view the Redomestication as fundamental to achieving our long-term goal of approximately 50% annual adjusted free cash flow conversion*;</w:t>
      </w:r>
    </w:p>
    <w:p>
      <w:pPr>
        <w:spacing w:after="0" w:line="71"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Value Drivers</w:t>
      </w:r>
      <w:r>
        <w:rPr>
          <w:rFonts w:ascii="Times New Roman" w:cs="Times New Roman" w:eastAsia="Times New Roman" w:hAnsi="Times New Roman"/>
          <w:sz w:val="18"/>
          <w:szCs w:val="18"/>
          <w:color w:val="auto"/>
        </w:rPr>
        <w:t>: The Redomestication is expected to enhance long-term shareholder value by simplifying our corporate structure, increasing financial and operational flexibility, broadening our U.S. shareholder and lending base, improving access to capital, enhancing cash management and administrative efficiency, and providing certain tax benefits, all of which are expected to contribute to the financial benefits discussed above;</w:t>
      </w:r>
    </w:p>
    <w:p>
      <w:pPr>
        <w:spacing w:after="0" w:line="6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Eases M&amp;A Process and Regulation</w:t>
      </w:r>
      <w:r>
        <w:rPr>
          <w:rFonts w:ascii="Times New Roman" w:cs="Times New Roman" w:eastAsia="Times New Roman" w:hAnsi="Times New Roman"/>
          <w:sz w:val="18"/>
          <w:szCs w:val="18"/>
          <w:color w:val="auto"/>
        </w:rPr>
        <w:t>: Moving to the U.S. will enable us to more effectively and efficiently execute merger and acquisition transactions, including to closely align with our peers with respect to the M&amp;A and regulatory framework in the U.S. and to streamline transactions that Weatherford may pursue to enhance shareholder value;</w:t>
      </w:r>
    </w:p>
    <w:p>
      <w:pPr>
        <w:spacing w:after="0" w:line="6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Court Approved Process</w:t>
      </w:r>
      <w:r>
        <w:rPr>
          <w:rFonts w:ascii="Times New Roman" w:cs="Times New Roman" w:eastAsia="Times New Roman" w:hAnsi="Times New Roman"/>
          <w:sz w:val="18"/>
          <w:szCs w:val="18"/>
          <w:color w:val="auto"/>
        </w:rPr>
        <w:t>: The Redomestication is being effected through a Scheme of Arrangement under Irish Law, which provides added protection to our shareholders and which must be sanctioned by the Irish High Court at a hearing where interested parties may appear (including Weatherford-Ireland shareholders) in person or by counsel;</w:t>
      </w:r>
    </w:p>
    <w:p>
      <w:pPr>
        <w:spacing w:after="0" w:line="67"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Headquarters Rationalized with Jurisdiction</w:t>
      </w:r>
      <w:r>
        <w:rPr>
          <w:rFonts w:ascii="Times New Roman" w:cs="Times New Roman" w:eastAsia="Times New Roman" w:hAnsi="Times New Roman"/>
          <w:sz w:val="18"/>
          <w:szCs w:val="18"/>
          <w:color w:val="auto"/>
        </w:rPr>
        <w:t>: We are moving our corporate jurisdiction to Texas to align with our Texas headquarters and longstanding Texas operations.</w:t>
      </w:r>
    </w:p>
    <w:p>
      <w:pPr>
        <w:spacing w:after="0" w:line="5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Redomestication proposal is a move from Ireland to the U.S. and is distinct in many regards from many of the domestic state-to-state standalone reincorporations currently being presented to shareholders of other companies. We are moving from a foreign domicile back to the U.S. principally for financial, operational and other benefits. Our proposal supports Weatherford’s value and addresses its specific needs – accordingly, we ask for your support.</w:t>
      </w:r>
    </w:p>
    <w:p>
      <w:pPr>
        <w:spacing w:after="0" w:line="5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were disappointed to learn that certain proxy advisory firms are recommending that our shareholders vote to keep Weatherford as an Irish domiciled company, rather than moving back to the U.S. We believe both Glass Lewis and ISS overlooked the financial, operational and other benefits of moving back to the U.S. described in our Proxy Statement and referenced herein. We encourage you to evaluate this transaction on its own merits.</w:t>
      </w:r>
    </w:p>
    <w:p>
      <w:pPr>
        <w:spacing w:after="0" w:line="81" w:lineRule="exact"/>
        <w:rPr>
          <w:sz w:val="20"/>
          <w:szCs w:val="20"/>
          <w:color w:val="auto"/>
        </w:rPr>
      </w:pPr>
    </w:p>
    <w:p>
      <w:pPr>
        <w:ind w:right="60"/>
        <w:spacing w:after="0" w:line="306" w:lineRule="auto"/>
        <w:rPr>
          <w:sz w:val="20"/>
          <w:szCs w:val="20"/>
          <w:color w:val="auto"/>
        </w:rPr>
      </w:pPr>
      <w:r>
        <w:rPr>
          <w:rFonts w:ascii="Times New Roman" w:cs="Times New Roman" w:eastAsia="Times New Roman" w:hAnsi="Times New Roman"/>
          <w:sz w:val="17"/>
          <w:szCs w:val="17"/>
          <w:color w:val="auto"/>
        </w:rPr>
        <w:t>Since the current management team and board of directors joined Weatherford in 2020, the company has been intensely focused on creating and delivering shareholder value. As evidence of this focus, we have significantly grown Weatherford's equity value, deleveraged the business by paying down over $1 billion in notes since Q1’24, and substantially improved our liquidity. We have also implemented a $500 million share repurchase program, initiated an annual dividend, and subsequently increased it. Building on this track record, our board of directors and management team recommend that shareholders approve the redomestication of the Company from Ireland to the U.S., which will better position us to continue advancing this focus on shareholder value.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Adjusted free cash flow conversion is a non-GAAP measure. See Non-GAAP Financial Measure Defined below.</w:t>
      </w:r>
    </w:p>
    <w:p>
      <w:pPr>
        <w:sectPr>
          <w:pgSz w:w="11900" w:h="16838" w:orient="portrait"/>
          <w:cols w:equalWidth="0" w:num="1">
            <w:col w:w="11220"/>
          </w:cols>
          <w:pgMar w:left="320" w:top="1417" w:right="359" w:bottom="1440" w:gutter="0" w:footer="0" w:header="0"/>
        </w:sectPr>
      </w:pPr>
    </w:p>
    <w:bookmarkStart w:id="2" w:name="page3"/>
    <w:bookmarkEnd w:id="2"/>
    <w:p>
      <w:pPr>
        <w:ind w:right="80"/>
        <w:spacing w:after="0" w:line="313" w:lineRule="auto"/>
        <w:rPr>
          <w:sz w:val="20"/>
          <w:szCs w:val="20"/>
          <w:color w:val="auto"/>
        </w:rPr>
      </w:pPr>
      <w:r>
        <w:rPr>
          <w:rFonts w:ascii="Times New Roman" w:cs="Times New Roman" w:eastAsia="Times New Roman" w:hAnsi="Times New Roman"/>
          <w:sz w:val="18"/>
          <w:szCs w:val="18"/>
          <w:color w:val="auto"/>
        </w:rPr>
        <w:t>Weatherford strongly believes the Redomestication will enhance shareholder value over the long-term and strongly encourages you to vote “FOR” each of the proposals at the shareholder meetings.</w:t>
      </w:r>
    </w:p>
    <w:p>
      <w:pPr>
        <w:spacing w:after="0" w:line="23"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b w:val="1"/>
          <w:bCs w:val="1"/>
          <w:color w:val="auto"/>
        </w:rPr>
        <w:t>Please vote today</w:t>
      </w:r>
      <w:r>
        <w:rPr>
          <w:rFonts w:ascii="Times New Roman" w:cs="Times New Roman" w:eastAsia="Times New Roman" w:hAnsi="Times New Roman"/>
          <w:sz w:val="18"/>
          <w:szCs w:val="18"/>
          <w:color w:val="auto"/>
        </w:rPr>
        <w:t>.You can vote at proxyvote.com with your 16-digit control number. Your control number was emailed to you from id@proxyvote.com.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can’t find your control number, or you need assistance voting your shares, you can also call our proxy solicitor, Okapi Partners, toll-free at +1 (855) 208-8902, or e-mail info@okapipartners.com.</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This release,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Weatherford’s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Redomestication, that include, among other things, the anticipated timing and benefits of the Redomestication, including the realization of additional cost savings and operational efficiencies, and statements relating to future financial performance and results and goals.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spacing w:after="0" w:line="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Redomestication within the expected timeframe or at all; our ability to realize the expected benefits from the Redomestication; the occurrence of difficulties in connection with the Redomestication, including any costs related thereto; the risk that the Redomestication disrupts current plans and operations; any changes in tax laws, tax treaties or tax regulations or the interpretation or enforcement thereof by the tax authorities in Ireland, the United States and other jurisdictions following the Redomestication; and the future financial performance of Weatherford following the Redomestication.</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 described below, and other documents filed with the SEC. There may be other risks and uncertainties that we are not currently aware of or are unable to predict and which may also affect Weatherford’s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result of new information, future events or otherwise, except as otherwise required by law.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Redomestication, Weatherford filed a definitive proxy statement with the SEC on April 21, 2026. Weatherford may also file other relevant documents with the SEC regarding the Redomestication. The definitive proxy statement has been mailed to shareholders of Weatherford. This communication is not a substitute for any proxy statement or any other document that is or may be filed with the SEC or sent to Weatherford’s shareholders in connection with the Redomestication.</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REDOMESTICATION AND RELATED MATTERS.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Investors and security holders are and will be able to obtain free copies of the definitive proxy statement and other documents containing important information about Weatherford and the Redomestication through the website maintained by the SEC at www.sec.gov. Copies of the documents filed with the SEC by Weatherford are available free of charge on Weatherford’s website at www.weatherford.com.</w:t>
      </w:r>
    </w:p>
    <w:p>
      <w:pPr>
        <w:sectPr>
          <w:pgSz w:w="11900" w:h="16838" w:orient="portrait"/>
          <w:cols w:equalWidth="0" w:num="1">
            <w:col w:w="11200"/>
          </w:cols>
          <w:pgMar w:left="320" w:top="143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Weatherford and its directors, executive officers and other members of management and employees may, under the rules of the SEC, be deemed to be participants in the solicitation of proxies from Weatherford’s shareholders in connection with the Redomestication. Information about the directors and executive officers of Weatherford and their ownership of Weatherford’s securities is set forth in the definitive proxy statement relating to the Redomestication https://www.sec.gov/ix?doc=/Archives/edgar/data/1603923/000119312526166847/d120523ddef14a.htm, which was filed with the SEC on April 21, 2026, including under the sections entitled “2025 Director Compensation,” “2025 Summary Compensation Table,” “Grants of Plan-Based Awards,” “Outstanding Equity Awards at December 31, 2025,” “Option Exercises and Shares Vested in 2025,” and “Share Ownership.” You may obtain free copies of these documents using the sources indicated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Defined</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Adjusted Free Cash Flow Conversion </w:t>
      </w:r>
      <w:r>
        <w:rPr>
          <w:rFonts w:ascii="Times New Roman" w:cs="Times New Roman" w:eastAsia="Times New Roman" w:hAnsi="Times New Roman"/>
          <w:sz w:val="18"/>
          <w:szCs w:val="18"/>
          <w:color w:val="auto"/>
        </w:rPr>
        <w:t>- Adjusted free cash flow conversion is a non-GAAP measure that is calculated by dividing adjusted free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adjusted EBITDA. Management believes adjusted free cash flow conversion is useful to assess the level of normalized liquidity generated in the operating cycle. Adjusted free cash flow conversion should be considered in addition to, but not as a substitute for the GAAP measures described above for the respective components, and should be viewed in addition to the Company’s reported results prepared in accordance with GAAP. The statement of adjusted free cash flow conversion above is a statement of Weatherford’s long-term goal, rather than a statement as to expected future performance.</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2026-06-01T17:16:55Z</dcterms:created>
  <dcterms:modified xsi:type="dcterms:W3CDTF">2026-06-01T17:16:55Z</dcterms:modified>
</cp:coreProperties>
</file>