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Duster Benjamin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01/18/2025</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2,397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15,198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01/18/2025</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887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73.99</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14,311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2,397</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01/18/2025</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2,397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share units ("RSUs") granted on January 18, 2024 pursuant to the Issuer's 2019 Equity Incentive Plan, as amended and restated (the "2019 EIP"). The RSUs vested in full on the first anniversary of the grant date.</w:t>
      </w:r>
    </w:p>
    <w:p>
      <w:pPr>
        <w:spacing w:after="0" w:line="1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Kathy Medford by Power of</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01/22/2025</w:t>
            </w:r>
          </w:p>
        </w:tc>
        <w:tc>
          <w:tcPr>
            <w:tcW w:w="0" w:type="dxa"/>
            <w:vAlign w:val="bottom"/>
          </w:tcPr>
          <w:p>
            <w:pPr>
              <w:spacing w:after="0"/>
              <w:rPr>
                <w:sz w:val="1"/>
                <w:szCs w:val="1"/>
                <w:color w:val="auto"/>
              </w:rPr>
            </w:pPr>
          </w:p>
        </w:tc>
      </w:tr>
      <w:tr>
        <w:trPr>
          <w:trHeight w:val="89"/>
        </w:trPr>
        <w:tc>
          <w:tcPr>
            <w:tcW w:w="620" w:type="dxa"/>
            <w:vAlign w:val="bottom"/>
            <w:tcBorders>
              <w:top w:val="single" w:sz="8" w:color="auto"/>
              <w:bottom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9"/>
              </w:rPr>
              <w:t>Attorney</w:t>
            </w:r>
          </w:p>
        </w:tc>
        <w:tc>
          <w:tcPr>
            <w:tcW w:w="130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620" w:type="dxa"/>
            <w:vAlign w:val="bottom"/>
            <w:tcBorders>
              <w:bottom w:val="single" w:sz="8" w:color="auto"/>
            </w:tcBorders>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Scott C. Weatherholt, Christine M. Morrison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Kathy Medford, or any of them signing singly, and with full power of substitution, as the undersigned's true and lawful attorney in fact to:</w:t>
      </w:r>
    </w:p>
    <w:p>
      <w:pPr>
        <w:spacing w:after="0" w:line="143" w:lineRule="exact"/>
        <w:rPr>
          <w:sz w:val="20"/>
          <w:szCs w:val="20"/>
          <w:color w:val="auto"/>
        </w:rPr>
      </w:pPr>
    </w:p>
    <w:p>
      <w:pPr>
        <w:jc w:val="both"/>
        <w:ind w:left="620" w:hanging="317"/>
        <w:spacing w:after="0" w:line="265"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jc w:val="both"/>
        <w:ind w:left="620" w:hanging="317"/>
        <w:spacing w:after="0" w:line="264"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for and on behalf of the undersigned, in the undersigned's capacity as an officer or director of Weatherford International plc (the "Company”), and file with the SEC Forms 3, 4, and 5 (including any successor forms thereto) in accordance with Section 16(a) of the Exchange Act and the rules thereunder, as well as any Forms 144 (including any successor forms thereto), and any amendments to any of the foregoing;</w:t>
      </w:r>
    </w:p>
    <w:p>
      <w:pPr>
        <w:spacing w:after="0" w:line="1" w:lineRule="exact"/>
        <w:rPr>
          <w:rFonts w:ascii="Times New Roman" w:cs="Times New Roman" w:eastAsia="Times New Roman" w:hAnsi="Times New Roman"/>
          <w:sz w:val="19"/>
          <w:szCs w:val="19"/>
          <w:color w:val="auto"/>
        </w:rPr>
      </w:pPr>
    </w:p>
    <w:p>
      <w:pPr>
        <w:jc w:val="both"/>
        <w:ind w:left="620" w:right="20" w:hanging="317"/>
        <w:spacing w:after="0" w:line="262"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forms, complete and execute any amendment or amendments thereto, and timely file such forms with the SEC and any stock exchange or similar authority; and</w:t>
      </w:r>
    </w:p>
    <w:p>
      <w:pPr>
        <w:jc w:val="both"/>
        <w:ind w:left="620" w:hanging="317"/>
        <w:spacing w:after="0" w:line="267" w:lineRule="auto"/>
        <w:tabs>
          <w:tab w:leader="none" w:pos="6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105" w:lineRule="exact"/>
        <w:rPr>
          <w:sz w:val="20"/>
          <w:szCs w:val="20"/>
          <w:color w:val="auto"/>
        </w:rPr>
      </w:pPr>
    </w:p>
    <w:p>
      <w:pPr>
        <w:jc w:val="both"/>
        <w:ind w:firstLine="29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Exchange Act.</w:t>
      </w:r>
    </w:p>
    <w:p>
      <w:pPr>
        <w:spacing w:after="0" w:line="108" w:lineRule="exact"/>
        <w:rPr>
          <w:sz w:val="20"/>
          <w:szCs w:val="20"/>
          <w:color w:val="auto"/>
        </w:rPr>
      </w:pPr>
    </w:p>
    <w:p>
      <w:pPr>
        <w:jc w:val="both"/>
        <w:ind w:right="20" w:firstLine="299"/>
        <w:spacing w:after="0" w:line="274"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reports under Section 16(a) of the Exchange Act with respect to the undersigned's holdings of and transactions in securities issued by the Company, unless earlier revoked by the undersigned in a signed writing delivered to the foregoing attorneys in fact.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day of June,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16548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5481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Benjamin C. Duster, IV</w:t>
      </w:r>
    </w:p>
    <w:sectPr>
      <w:pgSz w:w="11900" w:h="16838" w:orient="portrait"/>
      <w:cols w:equalWidth="0" w:num="1">
        <w:col w:w="10980"/>
      </w:cols>
      <w:pgMar w:left="460" w:top="137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3071"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2025-01-22T16:20:35Z</dcterms:created>
  <dcterms:modified xsi:type="dcterms:W3CDTF">2025-01-22T16:20:35Z</dcterms:modified>
</cp:coreProperties>
</file>