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25, 2022</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3"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w w:val="98"/>
              </w:rPr>
              <w:t>(Zip Code)</w:t>
            </w:r>
          </w:p>
        </w:tc>
        <w:tc>
          <w:tcPr>
            <w:tcW w:w="820" w:type="dxa"/>
            <w:vAlign w:val="bottom"/>
          </w:tcPr>
          <w:p>
            <w:pPr>
              <w:spacing w:after="0"/>
              <w:rPr>
                <w:sz w:val="19"/>
                <w:szCs w:val="19"/>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4"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5"/>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Ordinary shares, $0.001 par value per share</w:t>
            </w:r>
          </w:p>
        </w:tc>
        <w:tc>
          <w:tcPr>
            <w:tcW w:w="216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0" w:lineRule="exact"/>
        <w:rPr>
          <w:sz w:val="24"/>
          <w:szCs w:val="24"/>
          <w:color w:val="auto"/>
        </w:rPr>
      </w:pPr>
    </w:p>
    <w:p>
      <w:pPr>
        <w:ind w:right="56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47"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On July 27, 2022, Weatherford International plc (“Weatherford” and together with its subsidiaries, “we” or the “Company”) issued a news release announcing results for the second quarter ended June 30, 2022. A copy of the news release is furnished as Exhibit 99.1 and incorporated into this Item 2.02.</w:t>
      </w:r>
    </w:p>
    <w:p>
      <w:pPr>
        <w:spacing w:after="0" w:line="190" w:lineRule="exact"/>
        <w:rPr>
          <w:sz w:val="20"/>
          <w:szCs w:val="20"/>
          <w:color w:val="auto"/>
        </w:rPr>
      </w:pPr>
    </w:p>
    <w:p>
      <w:pPr>
        <w:jc w:val="both"/>
        <w:ind w:right="20" w:firstLine="161"/>
        <w:spacing w:after="0" w:line="279" w:lineRule="auto"/>
        <w:rPr>
          <w:sz w:val="20"/>
          <w:szCs w:val="20"/>
          <w:color w:val="auto"/>
        </w:rPr>
      </w:pPr>
      <w:r>
        <w:rPr>
          <w:rFonts w:ascii="Times New Roman" w:cs="Times New Roman" w:eastAsia="Times New Roman" w:hAnsi="Times New Roman"/>
          <w:sz w:val="18"/>
          <w:szCs w:val="18"/>
          <w:color w:val="auto"/>
        </w:rPr>
        <w:t>We will host a conference call on Thursday, July 28, 2022, to discuss the results for the second quarter ended June 30, 2022. The conference call will begin at 9:00 a.m. Eastern Time (8:00 a.m. Central Time).</w:t>
      </w:r>
    </w:p>
    <w:p>
      <w:pPr>
        <w:spacing w:after="0" w:line="19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Participants are encouraged to download the accompanying presentation slides which will be available in the investor relations section of the Company’s website.</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Alternatively, the conference call can be accessed by registering in advance (which will provide a PIN for immediate access) or by dialing +1 877-328-5344 (within the U.S.) or +1 412-902-6762 (outside of the U.S.) and asking for the Weatherford conference call. Participants should log in or dial in approximately 10 minutes prior to the start of the call.</w:t>
      </w:r>
    </w:p>
    <w:p>
      <w:pPr>
        <w:spacing w:after="0" w:line="20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August 10, 2022, at 5:00 p.m. Eastern Time. To access the replay, please dial +1 877-344-7529 (within the U.S.) or +1 412-317-0088 (outside of the U.S.) and reference conference number 7442205.</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replay and transcript of the earnings call will also be available in the investor relations section of the Company’s website.</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5.02</w:t>
            </w:r>
          </w:p>
        </w:tc>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Departure of Directors or Certain Officers; Election of Directors; Appointment of Certain Officers; Compensatory</w:t>
            </w:r>
          </w:p>
        </w:tc>
        <w:tc>
          <w:tcPr>
            <w:tcW w:w="0" w:type="dxa"/>
            <w:vAlign w:val="bottom"/>
          </w:tcPr>
          <w:p>
            <w:pPr>
              <w:spacing w:after="0"/>
              <w:rPr>
                <w:sz w:val="1"/>
                <w:szCs w:val="1"/>
                <w:color w:val="auto"/>
              </w:rPr>
            </w:pPr>
          </w:p>
        </w:tc>
      </w:tr>
      <w:tr>
        <w:trPr>
          <w:trHeight w:val="237"/>
        </w:trPr>
        <w:tc>
          <w:tcPr>
            <w:tcW w:w="1180" w:type="dxa"/>
            <w:vAlign w:val="bottom"/>
            <w:vMerge w:val="continue"/>
          </w:tcPr>
          <w:p>
            <w:pPr>
              <w:spacing w:after="0"/>
              <w:rPr>
                <w:sz w:val="20"/>
                <w:szCs w:val="20"/>
                <w:color w:val="auto"/>
              </w:rPr>
            </w:pPr>
          </w:p>
        </w:tc>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Arrangements of Certain Officers.</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Interim Chief Financial Officer</w:t>
      </w:r>
    </w:p>
    <w:p>
      <w:pPr>
        <w:spacing w:after="0" w:line="224" w:lineRule="exact"/>
        <w:rPr>
          <w:sz w:val="20"/>
          <w:szCs w:val="20"/>
          <w:color w:val="auto"/>
        </w:rPr>
      </w:pPr>
    </w:p>
    <w:p>
      <w:pPr>
        <w:jc w:val="both"/>
        <w:ind w:firstLine="161"/>
        <w:spacing w:after="0" w:line="229" w:lineRule="auto"/>
        <w:rPr>
          <w:sz w:val="20"/>
          <w:szCs w:val="20"/>
          <w:color w:val="auto"/>
        </w:rPr>
      </w:pPr>
      <w:r>
        <w:rPr>
          <w:rFonts w:ascii="Times New Roman" w:cs="Times New Roman" w:eastAsia="Times New Roman" w:hAnsi="Times New Roman"/>
          <w:sz w:val="18"/>
          <w:szCs w:val="18"/>
          <w:color w:val="auto"/>
        </w:rPr>
        <w:t>As previously announced, H. Keith Jennings, our Executive Vice President and Chief Financial Officer, will be leaving Weatherford effective July 31, 2022. While the Company is conducting a search for Mr. Jennings’ replacement, on July 25, 2022, the Board determined that effective August 1, 2022, Desmond J. Mills, Senior Vice President and Chief Accounting Officer, will assume the role of Chief Financial Officer and principal financial officer on an interim basis. Mr. Mills will receive an additional award of 5,000 performance share units (at target performance) under the previously disclosed Weatherford Accelerating Growth &amp; Efficiency Program in connection with these interim responsibilities. Additional information regarding Mr. Mills has been previously reported in our Annual Report on Form 10-K for the period ending December 31, 2021 filed with the SEC on February 17, 2022 and in our proxy statement for the 2022 Annual Meeting of Shareholders filed with the SEC on April 22, 2022.</w:t>
      </w:r>
    </w:p>
    <w:p>
      <w:pPr>
        <w:spacing w:after="0" w:line="201"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8"/>
          <w:szCs w:val="18"/>
          <w:color w:val="auto"/>
        </w:rPr>
        <w:t>There are no arrangements or understandings between Mr. Mills and any other persons pursuant to which Mr. Mills was selected to act on an interim basis as the Chief Financial Officer and principal financial officer of the Company. Mr. Mills does not have any family relationships subject to disclosure under Item 401(d) of Regulation S-K or any direct or indirect material interest in any transaction required to be disclosed pursuant to Item 404(a) of Regulation S-K.</w:t>
      </w:r>
    </w:p>
    <w:p>
      <w:pPr>
        <w:spacing w:after="0" w:line="249" w:lineRule="exact"/>
        <w:rPr>
          <w:sz w:val="20"/>
          <w:szCs w:val="20"/>
          <w:color w:val="auto"/>
        </w:rPr>
      </w:pPr>
    </w:p>
    <w:p>
      <w:pPr>
        <w:ind w:left="18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4" w:lineRule="exact"/>
        <w:rPr>
          <w:sz w:val="20"/>
          <w:szCs w:val="20"/>
          <w:color w:val="auto"/>
        </w:rPr>
      </w:pPr>
    </w:p>
    <w:p>
      <w:pPr>
        <w:ind w:left="1820" w:hanging="998"/>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1"/>
        </w:trPr>
        <w:tc>
          <w:tcPr>
            <w:tcW w:w="1520" w:type="dxa"/>
            <w:vAlign w:val="bottom"/>
            <w:tcBorders>
              <w:top w:val="single" w:sz="8" w:color="auto"/>
            </w:tcBorders>
          </w:tcPr>
          <w:p>
            <w:pPr>
              <w:jc w:val="right"/>
              <w:ind w:right="511"/>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News Release dated July 27, 2022, announcing results for the second quarter ended June 30 2022.</w:t>
            </w:r>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49"/>
        </w:trPr>
        <w:tc>
          <w:tcPr>
            <w:tcW w:w="15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59"/>
        </w:trPr>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H. Keith Jennings</w:t>
      </w:r>
    </w:p>
    <w:p>
      <w:pPr>
        <w:spacing w:after="0" w:line="2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140"/>
          </w:cols>
          <w:pgMar w:left="320" w:top="882"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61595</wp:posOffset>
            </wp:positionV>
            <wp:extent cx="1891665" cy="784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166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pacing w:after="0" w:line="212" w:lineRule="exact"/>
        <w:rPr>
          <w:sz w:val="20"/>
          <w:szCs w:val="20"/>
          <w:color w:val="auto"/>
        </w:rPr>
      </w:pPr>
    </w:p>
    <w:p>
      <w:pPr>
        <w:jc w:val="center"/>
        <w:ind w:right="320"/>
        <w:spacing w:after="0" w:line="406" w:lineRule="auto"/>
        <w:rPr>
          <w:sz w:val="20"/>
          <w:szCs w:val="20"/>
          <w:color w:val="auto"/>
        </w:rPr>
      </w:pPr>
      <w:r>
        <w:rPr>
          <w:rFonts w:ascii="Times New Roman" w:cs="Times New Roman" w:eastAsia="Times New Roman" w:hAnsi="Times New Roman"/>
          <w:sz w:val="32"/>
          <w:szCs w:val="32"/>
          <w:b w:val="1"/>
          <w:bCs w:val="1"/>
          <w:color w:val="auto"/>
        </w:rPr>
        <w:t>Weatherford Announces Second Quarter 2022 Results and Raises Full-Year Outlook</w:t>
      </w:r>
    </w:p>
    <w:p>
      <w:pPr>
        <w:spacing w:after="0" w:line="256" w:lineRule="exact"/>
        <w:rPr>
          <w:sz w:val="20"/>
          <w:szCs w:val="20"/>
          <w:color w:val="auto"/>
        </w:rPr>
      </w:pPr>
    </w:p>
    <w:p>
      <w:pPr>
        <w:ind w:left="320" w:hanging="311"/>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Full-year revenue outlook increased to mid-teens growth year-over-year</w:t>
      </w:r>
    </w:p>
    <w:p>
      <w:pPr>
        <w:spacing w:after="0" w:line="118" w:lineRule="exact"/>
        <w:rPr>
          <w:rFonts w:ascii="Times New Roman" w:cs="Times New Roman" w:eastAsia="Times New Roman" w:hAnsi="Times New Roman"/>
          <w:sz w:val="20"/>
          <w:szCs w:val="20"/>
          <w:color w:val="auto"/>
        </w:rPr>
      </w:pPr>
    </w:p>
    <w:p>
      <w:pPr>
        <w:ind w:left="320" w:hanging="311"/>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quarter revenues of $1,064 million increased 13% sequentially, led by strong international growth of 14%</w:t>
      </w:r>
    </w:p>
    <w:p>
      <w:pPr>
        <w:spacing w:after="0" w:line="105" w:lineRule="exact"/>
        <w:rPr>
          <w:rFonts w:ascii="Times New Roman" w:cs="Times New Roman" w:eastAsia="Times New Roman" w:hAnsi="Times New Roman"/>
          <w:sz w:val="20"/>
          <w:szCs w:val="20"/>
          <w:color w:val="auto"/>
        </w:rPr>
      </w:pPr>
    </w:p>
    <w:p>
      <w:pPr>
        <w:ind w:left="340" w:hanging="331"/>
        <w:spacing w:after="0" w:line="315"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was $104 million, compared to $18 million in the first quarter of 2022 and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$186 million or a 17.5% adjusted EBITDA margin, a sequential increase of 23%, a 140 basis points adjusted EBITDA margin rate expansion</w:t>
      </w:r>
    </w:p>
    <w:p>
      <w:pPr>
        <w:spacing w:after="0" w:line="5" w:lineRule="exact"/>
        <w:rPr>
          <w:rFonts w:ascii="Times New Roman" w:cs="Times New Roman" w:eastAsia="Times New Roman" w:hAnsi="Times New Roman"/>
          <w:sz w:val="20"/>
          <w:szCs w:val="20"/>
          <w:color w:val="auto"/>
        </w:rPr>
      </w:pPr>
    </w:p>
    <w:p>
      <w:pPr>
        <w:ind w:left="340" w:hanging="331"/>
        <w:spacing w:after="0" w:line="321" w:lineRule="auto"/>
        <w:tabs>
          <w:tab w:leader="none" w:pos="32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Net cash provided by operating activities was $60 million and free cash flow</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$59 million, driven by improved collections efficiency</w:t>
      </w:r>
    </w:p>
    <w:p>
      <w:pPr>
        <w:spacing w:after="0" w:line="19" w:lineRule="exact"/>
        <w:rPr>
          <w:rFonts w:ascii="Times New Roman" w:cs="Times New Roman" w:eastAsia="Times New Roman" w:hAnsi="Times New Roman"/>
          <w:sz w:val="20"/>
          <w:szCs w:val="20"/>
          <w:b w:val="1"/>
          <w:bCs w:val="1"/>
          <w:color w:val="auto"/>
        </w:rPr>
      </w:pPr>
    </w:p>
    <w:p>
      <w:pPr>
        <w:ind w:left="320" w:hanging="311"/>
        <w:spacing w:after="0"/>
        <w:tabs>
          <w:tab w:leader="none" w:pos="3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Issued a notice of election to redeem $50 million of our 11% senior unsecured notes</w:t>
      </w:r>
    </w:p>
    <w:p>
      <w:pPr>
        <w:spacing w:after="0" w:line="107" w:lineRule="exact"/>
        <w:rPr>
          <w:rFonts w:ascii="Times New Roman" w:cs="Times New Roman" w:eastAsia="Times New Roman" w:hAnsi="Times New Roman"/>
          <w:sz w:val="21"/>
          <w:szCs w:val="21"/>
          <w:color w:val="auto"/>
        </w:rPr>
      </w:pPr>
    </w:p>
    <w:p>
      <w:pPr>
        <w:ind w:left="320" w:hanging="311"/>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Joined the broad-market Russell 3000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Index, effective June 27, 2022</w:t>
      </w:r>
    </w:p>
    <w:p>
      <w:pPr>
        <w:sectPr>
          <w:pgSz w:w="11900" w:h="16838" w:orient="portrait"/>
          <w:cols w:equalWidth="0" w:num="1">
            <w:col w:w="10920"/>
          </w:cols>
          <w:pgMar w:left="640" w:top="1043" w:right="339" w:bottom="1440" w:gutter="0" w:footer="0" w:header="0"/>
        </w:sectPr>
      </w:pPr>
    </w:p>
    <w:bookmarkStart w:id="4" w:name="page5"/>
    <w:bookmarkEnd w:id="4"/>
    <w:p>
      <w:pPr>
        <w:jc w:val="both"/>
        <w:spacing w:after="0" w:line="396" w:lineRule="auto"/>
        <w:rPr>
          <w:sz w:val="20"/>
          <w:szCs w:val="20"/>
          <w:color w:val="auto"/>
        </w:rPr>
      </w:pPr>
      <w:r>
        <w:rPr>
          <w:rFonts w:ascii="Times New Roman" w:cs="Times New Roman" w:eastAsia="Times New Roman" w:hAnsi="Times New Roman"/>
          <w:sz w:val="20"/>
          <w:szCs w:val="20"/>
          <w:b w:val="1"/>
          <w:bCs w:val="1"/>
          <w:color w:val="auto"/>
        </w:rPr>
        <w:t xml:space="preserve">Houston, July 27, 2022 – </w:t>
      </w:r>
      <w:r>
        <w:rPr>
          <w:rFonts w:ascii="Times New Roman" w:cs="Times New Roman" w:eastAsia="Times New Roman" w:hAnsi="Times New Roman"/>
          <w:sz w:val="20"/>
          <w:szCs w:val="20"/>
          <w:color w:val="auto"/>
        </w:rPr>
        <w:t>Weatherford International plc (NASDAQ: WFRD) (“Weatherford” or the “Company”) announced today its results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second quarter of 2022.</w:t>
      </w:r>
    </w:p>
    <w:p>
      <w:pPr>
        <w:spacing w:after="0" w:line="91"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Revenues for the second quarter of 2022 were $1,064 million, an increase of 13% sequentially and 18% year-over-year. Operating income was $104 million in the second quarter of 2022, compared to $18 million in the first quarter of 2022 and $25 million in the second quarter of 2021. The Company’s second quarter of 2022 net income was $6 million, compared to a net loss of $80 million in the first quarter of 2022 and a net loss of $78 million in the second quarter of 2021. Tax expense in the second quarter of 2022 included a $27 million recognition of a benefit from certain previously uncertain tax positions.</w:t>
      </w:r>
    </w:p>
    <w:p>
      <w:pPr>
        <w:spacing w:after="0" w:line="135"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Second quarter 2022 cash flows provided by operations were $60 million, compared to cash flows used in operations of $64 million in the first quarter of 2022 and cash flows provided by operations of $46 million in the second quarter of 2021. Capital expenditures were $24 million in the second quarter of 2022, compared to $20 million in the first quarter of 2022 and $9 million in the second quarter of 2021.</w:t>
      </w:r>
    </w:p>
    <w:p>
      <w:pPr>
        <w:spacing w:after="0" w:line="115" w:lineRule="exact"/>
        <w:rPr>
          <w:sz w:val="20"/>
          <w:szCs w:val="20"/>
          <w:color w:val="auto"/>
        </w:rPr>
      </w:pPr>
    </w:p>
    <w:p>
      <w:pPr>
        <w:ind w:left="480" w:hanging="151"/>
        <w:spacing w:after="0"/>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$186 million, an increase of 23% sequentially and 37% year-over-year</w:t>
      </w:r>
    </w:p>
    <w:p>
      <w:pPr>
        <w:spacing w:after="0" w:line="182" w:lineRule="exact"/>
        <w:rPr>
          <w:rFonts w:ascii="Times New Roman" w:cs="Times New Roman" w:eastAsia="Times New Roman" w:hAnsi="Times New Roman"/>
          <w:sz w:val="20"/>
          <w:szCs w:val="20"/>
          <w:color w:val="auto"/>
        </w:rPr>
      </w:pPr>
    </w:p>
    <w:p>
      <w:pPr>
        <w:ind w:left="480" w:hanging="151"/>
        <w:spacing w:after="0"/>
        <w:tabs>
          <w:tab w:leader="none" w:pos="4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$59 million, an increase of $123 million sequentially and $11 million year-over-year</w:t>
      </w:r>
    </w:p>
    <w:p>
      <w:pPr>
        <w:spacing w:after="0" w:line="182" w:lineRule="exact"/>
        <w:rPr>
          <w:rFonts w:ascii="Times New Roman" w:cs="Times New Roman" w:eastAsia="Times New Roman" w:hAnsi="Times New Roman"/>
          <w:sz w:val="20"/>
          <w:szCs w:val="20"/>
          <w:color w:val="auto"/>
        </w:rPr>
      </w:pPr>
    </w:p>
    <w:p>
      <w:pPr>
        <w:ind w:left="500" w:hanging="171"/>
        <w:spacing w:after="0" w:line="378" w:lineRule="auto"/>
        <w:tabs>
          <w:tab w:leader="none" w:pos="48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(credits) charges was a net credit of $14 million, primarily related to the gain on sale of assets related to our fulfillment initiatives and collections of previously impaired receivables</w:t>
      </w:r>
    </w:p>
    <w:p>
      <w:pPr>
        <w:spacing w:after="0" w:line="81"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“We delivered noteworthy results well ahead of our guidance across all metrics. We showed strong sequential growth in revenues, adjusted EBITDA, and free cash flow, as our market leading offerings continued to gain commercial traction with solid fall-through on margins. We continue to make progress on our commercial and operational paradigm changes and our second quarter adjusted EBITDA margins of 17.5% and free cash flow of $59 million, demonstrate those improvements taking hold. Our results reaffirm that our strategy to expand margins sustainably over the cycle, while generating positive free cash flow, is delivering the intended results.</w:t>
      </w:r>
    </w:p>
    <w:p>
      <w:pPr>
        <w:spacing w:after="0" w:line="95" w:lineRule="exact"/>
        <w:rPr>
          <w:sz w:val="20"/>
          <w:szCs w:val="20"/>
          <w:color w:val="auto"/>
        </w:rPr>
      </w:pPr>
    </w:p>
    <w:p>
      <w:pPr>
        <w:jc w:val="both"/>
        <w:spacing w:after="0" w:line="387" w:lineRule="auto"/>
        <w:rPr>
          <w:sz w:val="20"/>
          <w:szCs w:val="20"/>
          <w:color w:val="auto"/>
        </w:rPr>
      </w:pPr>
      <w:r>
        <w:rPr>
          <w:rFonts w:ascii="Times New Roman" w:cs="Times New Roman" w:eastAsia="Times New Roman" w:hAnsi="Times New Roman"/>
          <w:sz w:val="19"/>
          <w:szCs w:val="19"/>
          <w:color w:val="auto"/>
        </w:rPr>
        <w:t>The macro-environment for the sector continues to be supported by strong fundamentals, and we are capitalizing on the opportunities enabled by our broad services portfolio, leading edge specialty services, transformation of our operating paradigm, and strong customer relationships. Despite substantial supply chain and geopolitical headwinds, based on the strength of our second-quarter performance and the confidence in our strategy, we now expect full-year 2022 revenue to grow by mid-teens year-over-year, exceeding our previous expectations.”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61" w:lineRule="exact"/>
        <w:rPr>
          <w:sz w:val="20"/>
          <w:szCs w:val="20"/>
          <w:color w:val="auto"/>
        </w:rPr>
      </w:pPr>
    </w:p>
    <w:p>
      <w:pPr>
        <w:jc w:val="both"/>
        <w:ind w:firstLine="7"/>
        <w:spacing w:after="0" w:line="272" w:lineRule="auto"/>
        <w:tabs>
          <w:tab w:leader="none" w:pos="131"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EBITDA represents income before interest expense, net, income taxes, depreciation and amortization expense. Adjusted EBITDA excludes, among other items, restructuring charges, share-based compensation expense, as well as other charges and credits. Free cash flow is calculated as cash flows provided by (used in) operating activities, less capital expenditures plus proceeds from the disposition of assets. EBITDA, adjusted EBITDA, and free cash flow are non-GAAP measures. Each measure is defined and reconciled to the most directly comparable GAAP measure in the tables below.</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u w:val="single" w:color="auto"/>
          <w:color w:val="auto"/>
        </w:rPr>
        <w:t>Commercial and Operational Highlights</w:t>
      </w:r>
    </w:p>
    <w:p>
      <w:pPr>
        <w:spacing w:after="0" w:line="133" w:lineRule="exact"/>
        <w:rPr>
          <w:sz w:val="20"/>
          <w:szCs w:val="20"/>
          <w:color w:val="auto"/>
        </w:rPr>
      </w:pPr>
    </w:p>
    <w:p>
      <w:pPr>
        <w:jc w:val="both"/>
        <w:ind w:left="320" w:hanging="313"/>
        <w:spacing w:after="0" w:line="378"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PTT Exploration and Production Thailand awarded Weatherford a five-year contract to deliver high-temperature directional drilling, measurement-while-drilling, and logging-while-drilling services. Our history of service excellence in the region and market-leading technology in high-temperature environments made Weatherford a preferred choice for this contract award.</w:t>
      </w:r>
    </w:p>
    <w:p>
      <w:pPr>
        <w:spacing w:after="0" w:line="40" w:lineRule="exact"/>
        <w:rPr>
          <w:rFonts w:ascii="Times New Roman" w:cs="Times New Roman" w:eastAsia="Times New Roman" w:hAnsi="Times New Roman"/>
          <w:sz w:val="20"/>
          <w:szCs w:val="20"/>
          <w:color w:val="auto"/>
        </w:rPr>
      </w:pPr>
    </w:p>
    <w:p>
      <w:pPr>
        <w:jc w:val="both"/>
        <w:ind w:left="320" w:hanging="313"/>
        <w:spacing w:after="0" w:line="371"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ADNOC Offshore awarded Weatherford a five-year well services agreement for the provision of through tubing equipment and services. Our offering combines expertise with field-proven technology to help customers consume fewer resources, reduce carbon footprint, and maximize the economic life of existing infrastructure.</w:t>
      </w:r>
    </w:p>
    <w:p>
      <w:pPr>
        <w:spacing w:after="0" w:line="47" w:lineRule="exact"/>
        <w:rPr>
          <w:rFonts w:ascii="Times New Roman" w:cs="Times New Roman" w:eastAsia="Times New Roman" w:hAnsi="Times New Roman"/>
          <w:sz w:val="20"/>
          <w:szCs w:val="20"/>
          <w:color w:val="auto"/>
        </w:rPr>
      </w:pPr>
    </w:p>
    <w:p>
      <w:pPr>
        <w:jc w:val="both"/>
        <w:ind w:left="320" w:hanging="313"/>
        <w:spacing w:after="0" w:line="357"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Hess Corporation and Weatherford entered into a three-year commercial agreement, with Weatherford serving as the primary supplier of artificial lift equipment and services, including automation, in Hess's Bakken operations, in North America. We received this award</w:t>
      </w:r>
    </w:p>
    <w:p>
      <w:pPr>
        <w:ind w:left="320"/>
        <w:spacing w:after="0" w:line="31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of the field-proven application of our Rotaflex® long-stroke pumping technology combined with Weatherford WellPilot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Regen variable speed drives (VSD) and the ability to provide value-added services and engineering.</w:t>
      </w:r>
    </w:p>
    <w:p>
      <w:pPr>
        <w:spacing w:after="0" w:line="92" w:lineRule="exact"/>
        <w:rPr>
          <w:rFonts w:ascii="Times New Roman" w:cs="Times New Roman" w:eastAsia="Times New Roman" w:hAnsi="Times New Roman"/>
          <w:sz w:val="20"/>
          <w:szCs w:val="20"/>
          <w:color w:val="auto"/>
        </w:rPr>
      </w:pPr>
    </w:p>
    <w:p>
      <w:pPr>
        <w:jc w:val="both"/>
        <w:ind w:left="320" w:hanging="313"/>
        <w:spacing w:after="0" w:line="371"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Chevron in Thailand awarded Weatherford a six-year commercial contract to deliver tubular running services (TRS). We credit this award to our 60 years of experience in TRS, our track record of incident-free operations in the region, and our high level of operational efficiency.</w:t>
      </w:r>
    </w:p>
    <w:p>
      <w:pPr>
        <w:spacing w:after="0" w:line="47" w:lineRule="exact"/>
        <w:rPr>
          <w:rFonts w:ascii="Times New Roman" w:cs="Times New Roman" w:eastAsia="Times New Roman" w:hAnsi="Times New Roman"/>
          <w:sz w:val="20"/>
          <w:szCs w:val="20"/>
          <w:color w:val="auto"/>
        </w:rPr>
      </w:pPr>
    </w:p>
    <w:p>
      <w:pPr>
        <w:jc w:val="both"/>
        <w:ind w:left="320" w:hanging="313"/>
        <w:spacing w:after="0" w:line="371"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Shell awarded Weatherford a three-year contract to continue providing cementing products and casing accessories in the Gulf of Mexico. We are a leading provider of deepwater cementing systems, with a well-integrity portfolio that optimizes cement placement, manages surges, and sets the stage for life-of-well integrity.</w:t>
      </w:r>
    </w:p>
    <w:p>
      <w:pPr>
        <w:spacing w:after="0" w:line="47" w:lineRule="exact"/>
        <w:rPr>
          <w:rFonts w:ascii="Times New Roman" w:cs="Times New Roman" w:eastAsia="Times New Roman" w:hAnsi="Times New Roman"/>
          <w:sz w:val="20"/>
          <w:szCs w:val="20"/>
          <w:color w:val="auto"/>
        </w:rPr>
      </w:pPr>
    </w:p>
    <w:p>
      <w:pPr>
        <w:jc w:val="both"/>
        <w:ind w:left="320" w:hanging="313"/>
        <w:spacing w:after="0" w:line="371" w:lineRule="auto"/>
        <w:tabs>
          <w:tab w:leader="none" w:pos="308"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Santos Limited awarded Weatherford a three-year commercial contract to provide sucker rods for their operations in Australia. Our sucker-rod portfolio guarantees a match between customer needs, budget, and production strategy to make the most of existing assets and unique well environments.</w:t>
      </w:r>
    </w:p>
    <w:p>
      <w:pPr>
        <w:spacing w:after="0" w:line="47" w:lineRule="exact"/>
        <w:rPr>
          <w:rFonts w:ascii="Times New Roman" w:cs="Times New Roman" w:eastAsia="Times New Roman" w:hAnsi="Times New Roman"/>
          <w:sz w:val="20"/>
          <w:szCs w:val="20"/>
          <w:b w:val="1"/>
          <w:bCs w:val="1"/>
          <w:color w:val="auto"/>
        </w:rPr>
      </w:pPr>
    </w:p>
    <w:p>
      <w:pPr>
        <w:jc w:val="both"/>
        <w:ind w:left="320" w:hanging="313"/>
        <w:spacing w:after="0" w:line="371" w:lineRule="auto"/>
        <w:tabs>
          <w:tab w:leader="none" w:pos="30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real-time remote engineering support, coupled with Managed Pressure Drilling (MPD) ability to execute against an exacting pressure management plan throughout the well construction phase, helped to drill the longest well in Canada at approx. 30,000 ft for a major operator, faster and with fewer trips.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Liquidity</w:t>
      </w:r>
    </w:p>
    <w:p>
      <w:pPr>
        <w:spacing w:after="0" w:line="200" w:lineRule="exact"/>
        <w:rPr>
          <w:sz w:val="20"/>
          <w:szCs w:val="20"/>
          <w:color w:val="auto"/>
        </w:rPr>
      </w:pPr>
    </w:p>
    <w:p>
      <w:pPr>
        <w:spacing w:after="0" w:line="201"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20"/>
          <w:szCs w:val="20"/>
          <w:color w:val="auto"/>
        </w:rPr>
        <w:t>We closed the second quarter of 2022 with total cash of approximately $1.1 billion as of June 30, 2022, up $34 million sequentially. Free cash flow of $59 million improved $123 million versus the first quarter of 2022. The sequential improvement was driven by improved collections efficiency. To further improve our debt profile and reduce interest payments, on July 11, 2022, we issued a notice to redeem $50 million of our 11% senior unsecured notes on August 10,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Drilling &amp; Evaluation (“DRE”)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22"/>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Seq.</w:t>
            </w: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Borders>
              <w:bottom w:val="single" w:sz="8" w:color="auto"/>
            </w:tcBorders>
          </w:tcPr>
          <w:p>
            <w:pPr>
              <w:spacing w:after="0"/>
              <w:rPr>
                <w:sz w:val="19"/>
                <w:szCs w:val="19"/>
                <w:color w:val="auto"/>
              </w:rPr>
            </w:pPr>
          </w:p>
        </w:tc>
      </w:tr>
      <w:tr>
        <w:trPr>
          <w:trHeight w:val="222"/>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21.8 %</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i w:val="1"/>
                <w:iCs w:val="1"/>
                <w:color w:val="auto"/>
              </w:rPr>
              <w:t>20.2 %</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160</w:t>
            </w:r>
          </w:p>
        </w:tc>
        <w:tc>
          <w:tcPr>
            <w:tcW w:w="88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i w:val="1"/>
                <w:iCs w:val="1"/>
                <w:color w:val="auto"/>
              </w:rPr>
              <w:t>bps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440 bps</w:t>
            </w:r>
          </w:p>
        </w:tc>
      </w:tr>
    </w:tbl>
    <w:p>
      <w:pPr>
        <w:spacing w:after="0" w:line="219"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Second quarter 2022 DRE revenues of $317 million increased by $25 million, or 9% sequentially, due to higher demand for all DRE product lines, driven by managed pressure drilling and drilling services, primarily in Latin America and the Middle East/North Africa/Asia regions. Second quarter 2022 DRE segment adjusted EBITDA of $69 million increased by $10 million, or 17% sequentially, largely due to higher fall-through for drilling services primarily in Latin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Well Construction and Completions (“WCC”)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22"/>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Seq.</w:t>
            </w: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Borders>
              <w:bottom w:val="single" w:sz="8" w:color="auto"/>
            </w:tcBorders>
          </w:tcPr>
          <w:p>
            <w:pPr>
              <w:spacing w:after="0"/>
              <w:rPr>
                <w:sz w:val="19"/>
                <w:szCs w:val="19"/>
                <w:color w:val="auto"/>
              </w:rPr>
            </w:pPr>
          </w:p>
        </w:tc>
      </w:tr>
      <w:tr>
        <w:trPr>
          <w:trHeight w:val="222"/>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i w:val="1"/>
                <w:iCs w:val="1"/>
                <w:color w:val="auto"/>
              </w:rPr>
              <w:t>19.5 %</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i w:val="1"/>
                <w:iCs w:val="1"/>
                <w:color w:val="auto"/>
              </w:rPr>
              <w:t>(200) bps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 bps</w:t>
            </w:r>
          </w:p>
        </w:tc>
      </w:tr>
    </w:tbl>
    <w:p>
      <w:pPr>
        <w:spacing w:after="0" w:line="286"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0"/>
          <w:szCs w:val="20"/>
          <w:color w:val="auto"/>
        </w:rPr>
        <w:t>Second quarter 2022 WCC revenues of $383 million increased by $39 million, or 11% sequentially, due to higher demand for all WCC product lines, driven by tubular running services and completions primarily in the Middle East North Africa/Asia region.</w:t>
      </w:r>
    </w:p>
    <w:p>
      <w:pPr>
        <w:spacing w:after="0" w:line="121"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0"/>
          <w:szCs w:val="20"/>
          <w:color w:val="auto"/>
        </w:rPr>
        <w:t>Second quarter 2022 WCC segment adjusted EBITDA of $67 million was flat sequentially with volume improvement primarily in Latin America and the Middle East/North Africa/Asia region offset by a change in revenue mix, which contributed to the margin decline.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Production and Intervention (“PRI”)</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22"/>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Seq.</w:t>
            </w:r>
          </w:p>
        </w:tc>
        <w:tc>
          <w:tcPr>
            <w:tcW w:w="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Borders>
              <w:bottom w:val="single" w:sz="8" w:color="auto"/>
            </w:tcBorders>
          </w:tcPr>
          <w:p>
            <w:pPr>
              <w:spacing w:after="0"/>
              <w:rPr>
                <w:sz w:val="19"/>
                <w:szCs w:val="19"/>
                <w:color w:val="auto"/>
              </w:rPr>
            </w:pPr>
          </w:p>
        </w:tc>
      </w:tr>
      <w:tr>
        <w:trPr>
          <w:trHeight w:val="222"/>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8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Margin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i w:val="1"/>
                <w:iCs w:val="1"/>
                <w:color w:val="auto"/>
              </w:rPr>
              <w:t>13.6 %</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610</w:t>
            </w:r>
          </w:p>
        </w:tc>
        <w:tc>
          <w:tcPr>
            <w:tcW w:w="88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i w:val="1"/>
                <w:iCs w:val="1"/>
                <w:color w:val="auto"/>
              </w:rPr>
              <w:t>bps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320 bps</w:t>
            </w:r>
          </w:p>
        </w:tc>
      </w:tr>
    </w:tbl>
    <w:p>
      <w:pPr>
        <w:spacing w:after="0" w:line="205"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20"/>
          <w:szCs w:val="20"/>
          <w:color w:val="auto"/>
        </w:rPr>
        <w:t>Second quarter 2022 PRI revenues of $345 million increased by $59 million, or 21% sequentially, due to higher demand for all PRI product lines, driven by intervention services and drilling tools and artificial lift, primarily in North America. Second quarter 2022 PRI segment adjusted EBITDA of $68 million, increased $29 million, or 74% sequentially, mainly from increased revenues and a higher fall-through for intervention services and drilling tools and artificial lift, primarily in North America and the Middle East/North Africa/Asia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8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294" w:lineRule="exact"/>
        <w:rPr>
          <w:sz w:val="20"/>
          <w:szCs w:val="20"/>
          <w:color w:val="auto"/>
        </w:rPr>
      </w:pPr>
    </w:p>
    <w:p>
      <w:pPr>
        <w:jc w:val="both"/>
        <w:ind w:right="40"/>
        <w:spacing w:after="0" w:line="367" w:lineRule="auto"/>
        <w:rPr>
          <w:sz w:val="20"/>
          <w:szCs w:val="20"/>
          <w:color w:val="auto"/>
        </w:rPr>
      </w:pPr>
      <w:r>
        <w:rPr>
          <w:rFonts w:ascii="Times New Roman" w:cs="Times New Roman" w:eastAsia="Times New Roman" w:hAnsi="Times New Roman"/>
          <w:sz w:val="20"/>
          <w:szCs w:val="20"/>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operates in approximately 75 countries and 17,500 team members representing more than 110 nationalities and 350 operating locations. Visit </w:t>
      </w:r>
      <w:r>
        <w:rPr>
          <w:rFonts w:ascii="Times New Roman" w:cs="Times New Roman" w:eastAsia="Times New Roman" w:hAnsi="Times New Roman"/>
          <w:sz w:val="20"/>
          <w:szCs w:val="20"/>
          <w:u w:val="single" w:color="auto"/>
          <w:color w:val="3051F2"/>
        </w:rPr>
        <w:t>weatherford.com</w:t>
      </w:r>
      <w:r>
        <w:rPr>
          <w:rFonts w:ascii="Times New Roman" w:cs="Times New Roman" w:eastAsia="Times New Roman" w:hAnsi="Times New Roman"/>
          <w:sz w:val="20"/>
          <w:szCs w:val="20"/>
          <w:color w:val="auto"/>
        </w:rPr>
        <w:t xml:space="preserve"> for more information and connect with us on social media.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307"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0"/>
          <w:szCs w:val="20"/>
          <w:color w:val="auto"/>
        </w:rPr>
        <w:t>Weatherford will host a conference call on Thursday, July 28, 2022, to discuss the results for the second quarter ended June 30, 2022. The conference call will begin at 9:00 a.m. Eastern Time (8:00 a.m. Central Time).</w:t>
      </w:r>
    </w:p>
    <w:p>
      <w:pPr>
        <w:spacing w:after="0" w:line="81"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8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 xml:space="preserve">Listeners can participate in the conference call via a live webcast at </w:t>
      </w:r>
      <w:r>
        <w:rPr>
          <w:rFonts w:ascii="Times New Roman" w:cs="Times New Roman" w:eastAsia="Times New Roman" w:hAnsi="Times New Roman"/>
          <w:sz w:val="20"/>
          <w:szCs w:val="20"/>
          <w:u w:val="single" w:color="auto"/>
          <w:color w:val="3051F2"/>
        </w:rPr>
        <w:t>https://www.weatherford.com/en/investor-relations/investor-news-and-events/events/</w:t>
      </w:r>
      <w:r>
        <w:rPr>
          <w:rFonts w:ascii="Times New Roman" w:cs="Times New Roman" w:eastAsia="Times New Roman" w:hAnsi="Times New Roman"/>
          <w:sz w:val="20"/>
          <w:szCs w:val="20"/>
          <w:color w:val="000000"/>
        </w:rPr>
        <w:t>, or by dialing +1 877-328-5344 (within the U.S.) or +1 412-902-6762 (outside of the U.S.) and asking for the Weatherford</w:t>
      </w:r>
      <w:r>
        <w:rPr>
          <w:rFonts w:ascii="Times New Roman" w:cs="Times New Roman" w:eastAsia="Times New Roman" w:hAnsi="Times New Roman"/>
          <w:sz w:val="20"/>
          <w:szCs w:val="20"/>
          <w:color w:val="3051F2"/>
        </w:rPr>
        <w:t xml:space="preserve"> </w:t>
      </w:r>
      <w:r>
        <w:rPr>
          <w:rFonts w:ascii="Times New Roman" w:cs="Times New Roman" w:eastAsia="Times New Roman" w:hAnsi="Times New Roman"/>
          <w:sz w:val="20"/>
          <w:szCs w:val="20"/>
          <w:color w:val="000000"/>
        </w:rPr>
        <w:t>conference call. Listeners should log in or dial in approximately 10 minutes prior to the start of the call.</w:t>
      </w:r>
    </w:p>
    <w:p>
      <w:pPr>
        <w:spacing w:after="0" w:line="88"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August 10, 2022 at 5:00 p.m. Eastern Time. To access the replay, please dial +1 877-344-7529 (within the U.S.) or +1 412-317-0088 (outside of the U.S.) and reference conference number 7442205. A replay and transcript of the earnings call will also be available in the investor relations section of the Company’s website.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Mohammed Topiwala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Investor Relations and M&amp;A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Global Communications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+1 713-836-4193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kelley.hughes@weatherford.com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47" w:lineRule="exact"/>
        <w:rPr>
          <w:sz w:val="20"/>
          <w:szCs w:val="20"/>
          <w:color w:val="auto"/>
        </w:rPr>
      </w:pPr>
    </w:p>
    <w:p>
      <w:pPr>
        <w:jc w:val="both"/>
        <w:spacing w:after="0" w:line="378" w:lineRule="auto"/>
        <w:rPr>
          <w:sz w:val="20"/>
          <w:szCs w:val="20"/>
          <w:color w:val="auto"/>
        </w:rPr>
      </w:pPr>
      <w:r>
        <w:rPr>
          <w:rFonts w:ascii="Times New Roman" w:cs="Times New Roman" w:eastAsia="Times New Roman" w:hAnsi="Times New Roman"/>
          <w:sz w:val="19"/>
          <w:szCs w:val="19"/>
          <w:color w:val="auto"/>
        </w:rPr>
        <w:t>This news release contains projections and forward-looking statements concerning, among other things, the Company’s quarterly and full-year revenues, operating income and losses, segment adjusted EBITDA, adjusted EBITDA, free cash flow,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various effects from the Russia Ukraine conflict including, but not limited to, extended business interruptions, sanctions imposed by various countries, associated operational and logistical challenges, and impacts to the overall global energy supply; cybersecurity issues, as we may experience a higher rate of cybersecurity attacks, intrusions or incidents in the current environment of remote connectivity; demand for oil and gas and fluctuations in commodity prices; general global economic repercussions related to U.S. and global inflationary pressures; the macroeconomic outlook for the oil and gas industry; operational challenges relating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w:t>
      </w:r>
    </w:p>
    <w:p>
      <w:pPr>
        <w:spacing w:after="0" w:line="230"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0"/>
          <w:szCs w:val="20"/>
          <w:color w:val="auto"/>
        </w:rPr>
        <w:t>These risks and uncertainties are more fully described in Weatherford’s reports and registration statements filed with the SEC, including the risk factors described in the Company’s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9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14"/>
                <w:szCs w:val="14"/>
                <w:color w:val="auto"/>
              </w:rPr>
            </w:pPr>
          </w:p>
        </w:tc>
        <w:tc>
          <w:tcPr>
            <w:tcW w:w="920" w:type="dxa"/>
            <w:vAlign w:val="bottom"/>
          </w:tcPr>
          <w:p>
            <w:pPr>
              <w:jc w:val="right"/>
              <w:ind w:right="13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7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4"/>
                <w:szCs w:val="14"/>
                <w:color w:val="auto"/>
              </w:rPr>
            </w:pPr>
          </w:p>
        </w:tc>
        <w:tc>
          <w:tcPr>
            <w:tcW w:w="920" w:type="dxa"/>
            <w:vAlign w:val="bottom"/>
          </w:tcPr>
          <w:p>
            <w:pPr>
              <w:jc w:val="right"/>
              <w:ind w:right="13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148"/>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80" w:type="dxa"/>
            <w:vAlign w:val="bottom"/>
          </w:tcPr>
          <w:p>
            <w:pPr>
              <w:spacing w:after="0"/>
              <w:rPr>
                <w:sz w:val="12"/>
                <w:szCs w:val="12"/>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2"/>
                <w:szCs w:val="12"/>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94"/>
        </w:trPr>
        <w:tc>
          <w:tcPr>
            <w:tcW w:w="534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Drilling and Evaluation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8"/>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8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w:t>
            </w:r>
          </w:p>
        </w:tc>
        <w:tc>
          <w:tcPr>
            <w:tcW w:w="4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22"/>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Revenues</w:t>
            </w:r>
          </w:p>
        </w:tc>
        <w:tc>
          <w:tcPr>
            <w:tcW w:w="18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1,045</w:t>
            </w:r>
          </w:p>
        </w:tc>
        <w:tc>
          <w:tcPr>
            <w:tcW w:w="4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1,064</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128"/>
        </w:trPr>
        <w:tc>
          <w:tcPr>
            <w:tcW w:w="5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Drilling and Evaluation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8"/>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8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5340" w:type="dxa"/>
            <w:vAlign w:val="bottom"/>
          </w:tcPr>
          <w:p>
            <w:pPr>
              <w:ind w:left="260"/>
              <w:spacing w:after="0" w:line="248" w:lineRule="exact"/>
              <w:rPr>
                <w:sz w:val="20"/>
                <w:szCs w:val="20"/>
                <w:color w:val="auto"/>
              </w:rPr>
            </w:pPr>
            <w:r>
              <w:rPr>
                <w:rFonts w:ascii="Times New Roman" w:cs="Times New Roman" w:eastAsia="Times New Roman" w:hAnsi="Times New Roman"/>
                <w:sz w:val="18"/>
                <w:szCs w:val="18"/>
                <w:color w:val="auto"/>
              </w:rPr>
              <w:t xml:space="preserve">Segment Adjusted EBITDA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shd w:val="clear" w:color="auto" w:fill="CCEEFF"/>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2"/>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Adjusted EBITDA</w:t>
            </w:r>
          </w:p>
        </w:tc>
        <w:tc>
          <w:tcPr>
            <w:tcW w:w="18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4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8"/>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8"/>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2"/>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2"/>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Weatherford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 Income (Loss)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8"/>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3"/>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40" w:right="360" w:hanging="233"/>
        <w:spacing w:after="0" w:line="219" w:lineRule="auto"/>
        <w:tabs>
          <w:tab w:leader="none" w:pos="227"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Segment adjusted EBITDA is our primary measure of segment profitability and is based on segment earnings before interest, taxes, depreciation, amortization, share-based compensation expense and other adjustments. Research and development expenses are included in segment adjusted EBITDA.</w:t>
      </w:r>
    </w:p>
    <w:p>
      <w:pPr>
        <w:ind w:left="240" w:right="80" w:hanging="233"/>
        <w:spacing w:after="0" w:line="260" w:lineRule="auto"/>
        <w:tabs>
          <w:tab w:leader="none" w:pos="227"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Corporate and other includes business activities related to all other segments (profit and loss), corporate and other expenses (overhead support and centrally managed or shared facilities costs) that do not individually meet the criteria for segment reporting.</w:t>
      </w:r>
    </w:p>
    <w:p>
      <w:pPr>
        <w:ind w:left="240" w:right="140" w:hanging="233"/>
        <w:spacing w:after="0" w:line="226" w:lineRule="auto"/>
        <w:tabs>
          <w:tab w:leader="none" w:pos="227"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adjustments in the six months ended June 30, 2022 primarily include a net credit from the gain on asset sales related to our fulfillment initiatives and collections of previously impaired receivables in the three months ended June 30, 2022 offset by net charges in the three months ended March 31, 2022 to include a $20 million restructuring charge and a $17 million charge related to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1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7"/>
        </w:trPr>
        <w:tc>
          <w:tcPr>
            <w:tcW w:w="3760" w:type="dxa"/>
            <w:vAlign w:val="bottom"/>
          </w:tcPr>
          <w:p>
            <w:pPr>
              <w:spacing w:after="0"/>
              <w:rPr>
                <w:sz w:val="20"/>
                <w:szCs w:val="20"/>
                <w:color w:val="auto"/>
              </w:rPr>
            </w:pPr>
          </w:p>
        </w:tc>
        <w:tc>
          <w:tcPr>
            <w:tcW w:w="4420" w:type="dxa"/>
            <w:vAlign w:val="bottom"/>
            <w:gridSpan w:val="6"/>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Revenues by Geographic Areas (Unaudited)</w:t>
            </w:r>
          </w:p>
        </w:tc>
      </w:tr>
      <w:tr>
        <w:trPr>
          <w:trHeight w:val="483"/>
        </w:trPr>
        <w:tc>
          <w:tcPr>
            <w:tcW w:w="3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2"/>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1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Geographic Areas: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8"/>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9"/>
                <w:szCs w:val="19"/>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8"/>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9"/>
                <w:szCs w:val="19"/>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3"/>
        </w:trPr>
        <w:tc>
          <w:tcPr>
            <w:tcW w:w="3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2"/>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93"/>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-1337310</wp:posOffset>
            </wp:positionV>
            <wp:extent cx="7005320" cy="144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5320"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-1047750</wp:posOffset>
            </wp:positionV>
            <wp:extent cx="7005320" cy="144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5320"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-758190</wp:posOffset>
            </wp:positionV>
            <wp:extent cx="7005320" cy="170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5320"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Variance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2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Seq.</w:t>
            </w:r>
          </w:p>
        </w:tc>
        <w:tc>
          <w:tcPr>
            <w:tcW w:w="11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445"/>
        </w:trPr>
        <w:tc>
          <w:tcPr>
            <w:tcW w:w="16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8"/>
        </w:trPr>
        <w:tc>
          <w:tcPr>
            <w:tcW w:w="16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8"/>
        </w:trPr>
        <w:tc>
          <w:tcPr>
            <w:tcW w:w="16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17 %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3"/>
        </w:trPr>
        <w:tc>
          <w:tcPr>
            <w:tcW w:w="16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11 %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2"/>
        </w:trPr>
        <w:tc>
          <w:tcPr>
            <w:tcW w:w="16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180" w:space="100"/>
            <w:col w:w="2760"/>
          </w:cols>
          <w:pgMar w:left="320" w:top="1070" w:right="5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2"/>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8"/>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879</w:t>
            </w: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8"/>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420" w:type="dxa"/>
            <w:vAlign w:val="bottom"/>
          </w:tcPr>
          <w:p>
            <w:pPr>
              <w:spacing w:after="0"/>
              <w:rPr>
                <w:sz w:val="19"/>
                <w:szCs w:val="19"/>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8"/>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930</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8"/>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420" w:type="dxa"/>
            <w:vAlign w:val="bottom"/>
          </w:tcPr>
          <w:p>
            <w:pPr>
              <w:spacing w:after="0"/>
              <w:rPr>
                <w:sz w:val="19"/>
                <w:szCs w:val="19"/>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716</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68"/>
        </w:trPr>
        <w:tc>
          <w:tcPr>
            <w:tcW w:w="58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28"/>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20" w:type="dxa"/>
            <w:vAlign w:val="bottom"/>
          </w:tcPr>
          <w:p>
            <w:pPr>
              <w:spacing w:after="0"/>
              <w:rPr>
                <w:sz w:val="19"/>
                <w:szCs w:val="19"/>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939</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8"/>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579</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68"/>
        </w:trPr>
        <w:tc>
          <w:tcPr>
            <w:tcW w:w="58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8"/>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tcPr>
          <w:p>
            <w:pPr>
              <w:spacing w:after="0"/>
              <w:rPr>
                <w:sz w:val="19"/>
                <w:szCs w:val="19"/>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448</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8"/>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8"/>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420" w:type="dxa"/>
            <w:vAlign w:val="bottom"/>
          </w:tcPr>
          <w:p>
            <w:pPr>
              <w:spacing w:after="0"/>
              <w:rPr>
                <w:sz w:val="19"/>
                <w:szCs w:val="19"/>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2,366</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68"/>
        </w:trPr>
        <w:tc>
          <w:tcPr>
            <w:tcW w:w="58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8"/>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20" w:type="dxa"/>
            <w:vAlign w:val="bottom"/>
          </w:tcPr>
          <w:p>
            <w:pPr>
              <w:spacing w:after="0"/>
              <w:rPr>
                <w:sz w:val="19"/>
                <w:szCs w:val="19"/>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491</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68"/>
        </w:trPr>
        <w:tc>
          <w:tcPr>
            <w:tcW w:w="58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28"/>
        </w:trPr>
        <w:tc>
          <w:tcPr>
            <w:tcW w:w="58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 xml:space="preserve">Components of Net Debt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8"/>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420" w:type="dxa"/>
            <w:vAlign w:val="bottom"/>
          </w:tcPr>
          <w:p>
            <w:pPr>
              <w:spacing w:after="0"/>
              <w:rPr>
                <w:sz w:val="19"/>
                <w:szCs w:val="19"/>
                <w:color w:val="auto"/>
              </w:rPr>
            </w:pP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2,366</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28"/>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879</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8"/>
        </w:trPr>
        <w:tc>
          <w:tcPr>
            <w:tcW w:w="5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Restricted Cash</w:t>
            </w:r>
          </w:p>
        </w:tc>
        <w:tc>
          <w:tcPr>
            <w:tcW w:w="1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7"/>
        </w:trPr>
        <w:tc>
          <w:tcPr>
            <w:tcW w:w="5800" w:type="dxa"/>
            <w:vAlign w:val="bottom"/>
            <w:tcBorders>
              <w:bottom w:val="single" w:sz="8" w:color="auto"/>
            </w:tcBorders>
            <w:shd w:val="clear" w:color="auto" w:fill="CCEEFF"/>
          </w:tcPr>
          <w:p>
            <w:pPr>
              <w:ind w:left="220"/>
              <w:spacing w:after="0" w:line="222" w:lineRule="exact"/>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1,340</w:t>
            </w:r>
          </w:p>
        </w:tc>
        <w:tc>
          <w:tcPr>
            <w:tcW w:w="3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340" w:hanging="172"/>
        <w:spacing w:after="0"/>
        <w:tabs>
          <w:tab w:leader="none" w:pos="3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7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Cash Flows Information (Unaudited)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8"/>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5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14"/>
                <w:szCs w:val="14"/>
                <w:color w:val="auto"/>
              </w:rPr>
            </w:pPr>
          </w:p>
        </w:tc>
        <w:tc>
          <w:tcPr>
            <w:tcW w:w="900" w:type="dxa"/>
            <w:vAlign w:val="bottom"/>
          </w:tcPr>
          <w:p>
            <w:pPr>
              <w:jc w:val="right"/>
              <w:ind w:right="13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4"/>
                <w:szCs w:val="14"/>
                <w:color w:val="auto"/>
              </w:rPr>
            </w:pPr>
          </w:p>
        </w:tc>
        <w:tc>
          <w:tcPr>
            <w:tcW w:w="900" w:type="dxa"/>
            <w:vAlign w:val="bottom"/>
          </w:tcPr>
          <w:p>
            <w:pPr>
              <w:jc w:val="right"/>
              <w:ind w:right="13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148"/>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160" w:type="dxa"/>
            <w:vAlign w:val="bottom"/>
          </w:tcPr>
          <w:p>
            <w:pPr>
              <w:spacing w:after="0"/>
              <w:rPr>
                <w:sz w:val="12"/>
                <w:szCs w:val="12"/>
                <w:color w:val="auto"/>
              </w:rPr>
            </w:pPr>
          </w:p>
        </w:tc>
        <w:tc>
          <w:tcPr>
            <w:tcW w:w="92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2"/>
                <w:szCs w:val="12"/>
                <w:color w:val="auto"/>
              </w:rPr>
            </w:pPr>
          </w:p>
        </w:tc>
        <w:tc>
          <w:tcPr>
            <w:tcW w:w="90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92"/>
        </w:trPr>
        <w:tc>
          <w:tcPr>
            <w:tcW w:w="546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74"/>
        </w:trPr>
        <w:tc>
          <w:tcPr>
            <w:tcW w:w="54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Adjustments to Reconcile Net Loss to Net Cash Provided (Used In) By</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8"/>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Write-downs and Other (Credits) Charges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Charges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8"/>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8"/>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8"/>
        </w:trPr>
        <w:tc>
          <w:tcPr>
            <w:tcW w:w="546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Other Operating Activities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41"/>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8"/>
        </w:trPr>
        <w:tc>
          <w:tcPr>
            <w:tcW w:w="5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Proceeds (Payments) for Other Investing Activities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41"/>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(5)</w:t>
            </w:r>
          </w:p>
        </w:tc>
        <w:tc>
          <w:tcPr>
            <w:tcW w:w="0" w:type="dxa"/>
            <w:vAlign w:val="bottom"/>
          </w:tcPr>
          <w:p>
            <w:pPr>
              <w:spacing w:after="0"/>
              <w:rPr>
                <w:sz w:val="1"/>
                <w:szCs w:val="1"/>
                <w:color w:val="auto"/>
              </w:rPr>
            </w:pPr>
          </w:p>
        </w:tc>
      </w:tr>
      <w:tr>
        <w:trPr>
          <w:trHeight w:val="228"/>
        </w:trPr>
        <w:tc>
          <w:tcPr>
            <w:tcW w:w="5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6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8"/>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8"/>
        </w:trPr>
        <w:tc>
          <w:tcPr>
            <w:tcW w:w="5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auto"/>
            </w:tcBorders>
          </w:tcPr>
          <w:p>
            <w:pPr>
              <w:ind w:left="220"/>
              <w:spacing w:after="0" w:line="222"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160" w:hanging="153"/>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Working capital is defined as the cash changes in accounts receivable plus inventory less accounts payable.</w:t>
      </w:r>
    </w:p>
    <w:p>
      <w:pPr>
        <w:ind w:left="160" w:hanging="153"/>
        <w:spacing w:after="0"/>
        <w:tabs>
          <w:tab w:leader="none" w:pos="16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operating activities is primarily accruals, net of cash payments for operational expenses, interest, taxes, employee costs and leases.</w:t>
      </w:r>
    </w:p>
    <w:p>
      <w:pPr>
        <w:spacing w:after="0" w:line="8" w:lineRule="exact"/>
        <w:rPr>
          <w:rFonts w:ascii="Times New Roman" w:cs="Times New Roman" w:eastAsia="Times New Roman" w:hAnsi="Times New Roman"/>
          <w:sz w:val="9"/>
          <w:szCs w:val="9"/>
          <w:color w:val="auto"/>
        </w:rPr>
      </w:pPr>
    </w:p>
    <w:p>
      <w:pPr>
        <w:ind w:left="160" w:hanging="153"/>
        <w:spacing w:after="0" w:line="280" w:lineRule="auto"/>
        <w:tabs>
          <w:tab w:leader="none" w:pos="143"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56"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7"/>
          <w:szCs w:val="17"/>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2900" w:type="dxa"/>
            <w:vAlign w:val="bottom"/>
            <w:gridSpan w:val="4"/>
          </w:tcPr>
          <w:p>
            <w:pPr>
              <w:jc w:val="center"/>
              <w:ind w:left="451"/>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plc</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9020" w:type="dxa"/>
            <w:vAlign w:val="bottom"/>
            <w:gridSpan w:val="9"/>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(Unaudited)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6"/>
        </w:trPr>
        <w:tc>
          <w:tcPr>
            <w:tcW w:w="3900" w:type="dxa"/>
            <w:vAlign w:val="bottom"/>
          </w:tcPr>
          <w:p>
            <w:pPr>
              <w:spacing w:after="0"/>
              <w:rPr>
                <w:sz w:val="19"/>
                <w:szCs w:val="19"/>
                <w:color w:val="auto"/>
              </w:rPr>
            </w:pPr>
          </w:p>
        </w:tc>
        <w:tc>
          <w:tcPr>
            <w:tcW w:w="3880" w:type="dxa"/>
            <w:vAlign w:val="bottom"/>
            <w:gridSpan w:val="5"/>
          </w:tcPr>
          <w:p>
            <w:pPr>
              <w:jc w:val="center"/>
              <w:ind w:right="351"/>
              <w:spacing w:after="0"/>
              <w:rPr>
                <w:sz w:val="20"/>
                <w:szCs w:val="20"/>
                <w:color w:val="auto"/>
              </w:rPr>
            </w:pPr>
            <w:r>
              <w:rPr>
                <w:rFonts w:ascii="Times New Roman" w:cs="Times New Roman" w:eastAsia="Times New Roman" w:hAnsi="Times New Roman"/>
                <w:sz w:val="18"/>
                <w:szCs w:val="18"/>
                <w:i w:val="1"/>
                <w:iCs w:val="1"/>
                <w:color w:val="auto"/>
                <w:w w:val="99"/>
              </w:rPr>
              <w:t>($ in Millions, Except Per Share Amounts)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7"/>
        </w:trPr>
        <w:tc>
          <w:tcPr>
            <w:tcW w:w="3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left="61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8"/>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4"/>
                <w:szCs w:val="14"/>
                <w:color w:val="auto"/>
              </w:rPr>
            </w:pPr>
          </w:p>
        </w:tc>
        <w:tc>
          <w:tcPr>
            <w:tcW w:w="980" w:type="dxa"/>
            <w:vAlign w:val="bottom"/>
          </w:tcPr>
          <w:p>
            <w:pPr>
              <w:jc w:val="center"/>
              <w:ind w:right="71"/>
              <w:spacing w:after="0" w:line="16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14"/>
                <w:szCs w:val="14"/>
                <w:color w:val="auto"/>
              </w:rPr>
            </w:pPr>
          </w:p>
        </w:tc>
        <w:tc>
          <w:tcPr>
            <w:tcW w:w="880" w:type="dxa"/>
            <w:vAlign w:val="bottom"/>
          </w:tcPr>
          <w:p>
            <w:pPr>
              <w:jc w:val="right"/>
              <w:ind w:right="131"/>
              <w:spacing w:after="0" w:line="16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7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4"/>
                <w:szCs w:val="14"/>
                <w:color w:val="auto"/>
              </w:rPr>
            </w:pPr>
          </w:p>
        </w:tc>
        <w:tc>
          <w:tcPr>
            <w:tcW w:w="920" w:type="dxa"/>
            <w:vAlign w:val="bottom"/>
          </w:tcPr>
          <w:p>
            <w:pPr>
              <w:jc w:val="right"/>
              <w:ind w:right="131"/>
              <w:spacing w:after="0" w:line="168"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39"/>
        </w:trPr>
        <w:tc>
          <w:tcPr>
            <w:tcW w:w="3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Operating Income</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(Credits) Charges</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9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Operating Non-GAAP Adjustments</w:t>
            </w:r>
          </w:p>
        </w:tc>
        <w:tc>
          <w:tcPr>
            <w:tcW w:w="1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Adjusted Operating Income</w:t>
            </w: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39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3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Income (Loss) Before Income Taxes</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8"/>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Non-GAAP Adjustments</w:t>
            </w: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Non-GAAP Adjustments Before Taxes</w:t>
            </w:r>
          </w:p>
        </w:tc>
        <w:tc>
          <w:tcPr>
            <w:tcW w:w="1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Income (Loss) Before Income Taxes</w:t>
            </w: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39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3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Provision for Income Taxes</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8"/>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Effect on Non-GAAP Adjustments</w:t>
            </w: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Non-GAAP Provision for Income Taxes</w:t>
            </w:r>
          </w:p>
        </w:tc>
        <w:tc>
          <w:tcPr>
            <w:tcW w:w="1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2"/>
        </w:trPr>
        <w:tc>
          <w:tcPr>
            <w:tcW w:w="39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Weatherford:</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 (Loss)</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8"/>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Non-GAAP Adjustments, net of tax</w:t>
            </w:r>
          </w:p>
        </w:tc>
        <w:tc>
          <w:tcPr>
            <w:tcW w:w="1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550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3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(Loss) Per Share Attributable to Weatherford:</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Diluted Income (Loss) per Share</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8"/>
        </w:trPr>
        <w:tc>
          <w:tcPr>
            <w:tcW w:w="3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Non-GAAP Adjustments, net of tax</w:t>
            </w:r>
          </w:p>
        </w:tc>
        <w:tc>
          <w:tcPr>
            <w:tcW w:w="16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22"/>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Non-GAAP Diluted Loss per Share</w:t>
            </w:r>
          </w:p>
        </w:tc>
        <w:tc>
          <w:tcPr>
            <w:tcW w:w="1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69" w:right="339" w:bottom="1440" w:gutter="0" w:footer="0" w:header="0"/>
        </w:sectPr>
      </w:pPr>
    </w:p>
    <w:bookmarkStart w:id="15" w:name="page16"/>
    <w:bookmarkEnd w:id="15"/>
    <w:p>
      <w:pPr>
        <w:ind w:left="44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Net Income (Loss) to Adjusted EBITDA (Unaudited)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40" w:type="dxa"/>
            <w:vAlign w:val="bottom"/>
            <w:tcBorders>
              <w:bottom w:val="single" w:sz="8" w:color="auto"/>
            </w:tcBorders>
          </w:tcPr>
          <w:p>
            <w:pPr>
              <w:spacing w:after="0"/>
              <w:rPr>
                <w:sz w:val="20"/>
                <w:szCs w:val="20"/>
                <w:color w:val="auto"/>
              </w:rPr>
            </w:pPr>
          </w:p>
        </w:tc>
      </w:tr>
      <w:tr>
        <w:trPr>
          <w:trHeight w:val="222"/>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2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Weatherford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4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8"/>
        </w:trPr>
        <w:tc>
          <w:tcPr>
            <w:tcW w:w="4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8"/>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8"/>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8"/>
        </w:trPr>
        <w:tc>
          <w:tcPr>
            <w:tcW w:w="4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68"/>
        </w:trPr>
        <w:tc>
          <w:tcPr>
            <w:tcW w:w="4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2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8"/>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(Credits) Charges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4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2"/>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7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Reconciliation of Non-GAAP Financial Measures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to Free Cash Flow (Unaudited)</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4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440" w:type="dxa"/>
            <w:vAlign w:val="bottom"/>
            <w:tcBorders>
              <w:bottom w:val="single" w:sz="8" w:color="auto"/>
            </w:tcBorders>
          </w:tcPr>
          <w:p>
            <w:pPr>
              <w:spacing w:after="0"/>
              <w:rPr>
                <w:sz w:val="20"/>
                <w:szCs w:val="20"/>
                <w:color w:val="auto"/>
              </w:rPr>
            </w:pPr>
          </w:p>
        </w:tc>
      </w:tr>
      <w:tr>
        <w:trPr>
          <w:trHeight w:val="222"/>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2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8"/>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From (Used) for Working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8"/>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Taxes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8"/>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Severance and Restructuring</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8"/>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8"/>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8"/>
        </w:trPr>
        <w:tc>
          <w:tcPr>
            <w:tcW w:w="4340" w:type="dxa"/>
            <w:vAlign w:val="bottom"/>
          </w:tcPr>
          <w:p>
            <w:pPr>
              <w:ind w:left="180"/>
              <w:spacing w:after="0" w:line="229" w:lineRule="exact"/>
              <w:rPr>
                <w:sz w:val="20"/>
                <w:szCs w:val="20"/>
                <w:color w:val="auto"/>
              </w:rPr>
            </w:pPr>
            <w:r>
              <w:rPr>
                <w:rFonts w:ascii="Times New Roman" w:cs="Times New Roman" w:eastAsia="Times New Roman" w:hAnsi="Times New Roman"/>
                <w:sz w:val="18"/>
                <w:szCs w:val="18"/>
                <w:color w:val="auto"/>
              </w:rPr>
              <w:t xml:space="preserve">Increase (Decrease) in Accruals, Net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4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(141)</w:t>
            </w:r>
          </w:p>
        </w:tc>
      </w:tr>
      <w:tr>
        <w:trPr>
          <w:trHeight w:val="222"/>
        </w:trPr>
        <w:tc>
          <w:tcPr>
            <w:tcW w:w="4340" w:type="dxa"/>
            <w:vAlign w:val="bottom"/>
            <w:tcBorders>
              <w:bottom w:val="single" w:sz="8" w:color="auto"/>
            </w:tcBorders>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23"/>
                <w:szCs w:val="23"/>
                <w:b w:val="1"/>
                <w:bCs w:val="1"/>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500" w:hanging="332"/>
        <w:spacing w:after="0" w:line="229" w:lineRule="auto"/>
        <w:tabs>
          <w:tab w:leader="none" w:pos="494"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Increase (Decrease) in Accruals, Net primarily includes accruals for net employee benefits, net payments for leases, change in our allowance for credit losses and foreign currency exchange impact.</w:t>
      </w:r>
    </w:p>
    <w:p>
      <w:pPr>
        <w:spacing w:after="0" w:line="1" w:lineRule="exact"/>
        <w:rPr>
          <w:rFonts w:ascii="Times New Roman" w:cs="Times New Roman" w:eastAsia="Times New Roman" w:hAnsi="Times New Roman"/>
          <w:sz w:val="20"/>
          <w:szCs w:val="20"/>
          <w:color w:val="auto"/>
          <w:vertAlign w:val="superscript"/>
        </w:rPr>
      </w:pPr>
    </w:p>
    <w:p>
      <w:pPr>
        <w:jc w:val="both"/>
        <w:ind w:left="500" w:hanging="332"/>
        <w:spacing w:after="0" w:line="229" w:lineRule="auto"/>
        <w:tabs>
          <w:tab w:leader="none" w:pos="494"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240"/>
      </w:cols>
      <w:pgMar w:left="320" w:top="10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2022-07-27T16:28:56Z</dcterms:created>
  <dcterms:modified xsi:type="dcterms:W3CDTF">2022-07-27T16:28:56Z</dcterms:modified>
</cp:coreProperties>
</file>