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November 14,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Weatherford International plc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29" w:type="dxa"/>
        <w:jc w:val="center"/>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15, 2023, a representative of Weatherford International plc (“Weatherford”) is expected to meet with analysts and investors in a fireside chat at the BofA Securities Global Energy Conference 2023 in Houston, Texas. A webcast of the event will be available from the date of the event through February 13, 2024 at https://bofa.veracast.com/webcasts/bofa/globalenergy2023/idDf63Di.cfm.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pPr>
      <w:r>
        <w:rPr/>
      </w:r>
    </w:p>
    <w:tbl>
      <w:tblPr>
        <w:tblW w:w="5880" w:type="dxa"/>
        <w:jc w:val="left"/>
        <w:tblInd w:w="0" w:type="dxa"/>
        <w:tblLayout w:type="fixed"/>
        <w:tblCellMar>
          <w:top w:w="28" w:type="dxa"/>
          <w:left w:w="28" w:type="dxa"/>
          <w:bottom w:w="28" w:type="dxa"/>
          <w:right w:w="28" w:type="dxa"/>
        </w:tblCellMar>
      </w:tblPr>
      <w:tblGrid>
        <w:gridCol w:w="797"/>
        <w:gridCol w:w="702"/>
        <w:gridCol w:w="706"/>
        <w:gridCol w:w="1074"/>
        <w:gridCol w:w="1074"/>
        <w:gridCol w:w="1527"/>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14, 2023</w:t>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C. Weatherholt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C. Weatherholt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w:t>
              <w:br/>
              <w:t>and Chief Compliance Officer</w:t>
            </w:r>
          </w:p>
        </w:tc>
      </w:tr>
    </w:tbl>
    <w:p>
      <w:pPr>
        <w:pStyle w:val="TextBody"/>
        <w:bidi w:val="0"/>
        <w:spacing w:before="0" w:after="283"/>
        <w:ind w:left="0" w:right="0" w:firstLine="495"/>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477</Words>
  <Characters>2672</Characters>
  <CharactersWithSpaces>3145</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