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645160</wp:posOffset>
            </wp:positionH>
            <wp:positionV relativeFrom="page">
              <wp:posOffset>3552190</wp:posOffset>
            </wp:positionV>
            <wp:extent cx="1645920"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39"/>
          <w:szCs w:val="39"/>
          <w:color w:val="CE1141"/>
        </w:rPr>
        <w:t>Weatherford International plc</w:t>
      </w:r>
    </w:p>
    <w:p>
      <w:pPr>
        <w:spacing w:after="0"/>
        <w:rPr>
          <w:sz w:val="20"/>
          <w:szCs w:val="20"/>
          <w:color w:val="auto"/>
        </w:rPr>
      </w:pPr>
      <w:r>
        <w:rPr>
          <w:rFonts w:ascii="Arial" w:cs="Arial" w:eastAsia="Arial" w:hAnsi="Arial"/>
          <w:sz w:val="18"/>
          <w:szCs w:val="18"/>
          <w:color w:val="CE1141"/>
        </w:rPr>
        <w:t>__________________________________</w:t>
      </w:r>
    </w:p>
    <w:p>
      <w:pPr>
        <w:spacing w:after="0" w:line="175" w:lineRule="exact"/>
        <w:rPr>
          <w:sz w:val="24"/>
          <w:szCs w:val="24"/>
          <w:color w:val="auto"/>
        </w:rPr>
      </w:pPr>
    </w:p>
    <w:p>
      <w:pPr>
        <w:spacing w:after="0"/>
        <w:rPr>
          <w:sz w:val="20"/>
          <w:szCs w:val="20"/>
          <w:color w:val="auto"/>
        </w:rPr>
      </w:pPr>
      <w:r>
        <w:rPr>
          <w:rFonts w:ascii="Arial" w:cs="Arial" w:eastAsia="Arial" w:hAnsi="Arial"/>
          <w:sz w:val="36"/>
          <w:szCs w:val="36"/>
          <w:b w:val="1"/>
          <w:bCs w:val="1"/>
          <w:color w:val="CE1141"/>
        </w:rPr>
        <w:t xml:space="preserve">Form 10-K </w:t>
      </w:r>
      <w:r>
        <w:rPr>
          <w:rFonts w:ascii="Arial" w:cs="Arial" w:eastAsia="Arial" w:hAnsi="Arial"/>
          <w:sz w:val="36"/>
          <w:szCs w:val="36"/>
          <w:color w:val="CE1141"/>
        </w:rPr>
        <w:t>2023</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CE1141"/>
        </w:rPr>
        <w:t>FOR THE YEAR ENDED</w:t>
      </w:r>
    </w:p>
    <w:p>
      <w:pPr>
        <w:spacing w:after="0"/>
        <w:rPr>
          <w:sz w:val="20"/>
          <w:szCs w:val="20"/>
          <w:color w:val="auto"/>
        </w:rPr>
      </w:pPr>
      <w:r>
        <w:rPr>
          <w:rFonts w:ascii="Arial" w:cs="Arial" w:eastAsia="Arial" w:hAnsi="Arial"/>
          <w:sz w:val="18"/>
          <w:szCs w:val="18"/>
          <w:color w:val="CE1141"/>
        </w:rPr>
        <w:t>DECEMBER 31</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397510</wp:posOffset>
            </wp:positionV>
            <wp:extent cx="6497955" cy="840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497955" cy="8409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-157480</wp:posOffset>
            </wp:positionV>
            <wp:extent cx="6720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387" w:lineRule="exact"/>
        <w:rPr>
          <w:sz w:val="20"/>
          <w:szCs w:val="20"/>
          <w:color w:val="auto"/>
        </w:rPr>
      </w:pPr>
    </w:p>
    <w:p>
      <w:pPr>
        <w:ind w:left="760" w:hanging="531"/>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6" w:lineRule="exact"/>
        <w:rPr>
          <w:sz w:val="20"/>
          <w:szCs w:val="20"/>
          <w:color w:val="auto"/>
        </w:rPr>
      </w:pPr>
    </w:p>
    <w:p>
      <w:pPr>
        <w:ind w:left="760"/>
        <w:spacing w:after="0"/>
        <w:tabs>
          <w:tab w:leader="none" w:pos="4520" w:val="left"/>
        </w:tabs>
        <w:rPr>
          <w:sz w:val="20"/>
          <w:szCs w:val="20"/>
          <w:color w:val="auto"/>
        </w:rPr>
      </w:pPr>
      <w:r>
        <w:rPr>
          <w:rFonts w:ascii="Times New Roman" w:cs="Times New Roman" w:eastAsia="Times New Roman" w:hAnsi="Times New Roman"/>
          <w:sz w:val="17"/>
          <w:szCs w:val="17"/>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2023</w:t>
      </w:r>
    </w:p>
    <w:p>
      <w:pPr>
        <w:spacing w:after="0" w:line="3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color w:val="auto"/>
        </w:rPr>
        <w:t>or</w:t>
      </w:r>
    </w:p>
    <w:p>
      <w:pPr>
        <w:spacing w:after="0" w:line="44" w:lineRule="exact"/>
        <w:rPr>
          <w:sz w:val="20"/>
          <w:szCs w:val="20"/>
          <w:color w:val="auto"/>
        </w:rPr>
      </w:pPr>
    </w:p>
    <w:p>
      <w:pPr>
        <w:ind w:left="760" w:right="1780" w:hanging="531"/>
        <w:spacing w:after="0" w:line="284" w:lineRule="auto"/>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color w:val="auto"/>
        </w:rPr>
        <w:t>For the transition period from __________________________________to __________________________________</w:t>
      </w:r>
    </w:p>
    <w:tbl>
      <w:tblPr>
        <w:tblLayout w:type="fixed"/>
        <w:tblInd w:w="760" w:type="dxa"/>
        <w:tblCellMar>
          <w:top w:w="0" w:type="dxa"/>
          <w:left w:w="0" w:type="dxa"/>
          <w:bottom w:w="0" w:type="dxa"/>
          <w:right w:w="0" w:type="dxa"/>
        </w:tblCellMar>
      </w:tblPr>
      <w:tr>
        <w:trPr>
          <w:trHeight w:val="222"/>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Commission file number</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001-36504</w:t>
            </w: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Weatherford International plc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4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980" w:type="dxa"/>
            <w:vAlign w:val="bottom"/>
          </w:tcPr>
          <w:p>
            <w:pPr>
              <w:spacing w:after="0"/>
              <w:rPr>
                <w:sz w:val="19"/>
                <w:szCs w:val="19"/>
                <w:color w:val="auto"/>
              </w:rPr>
            </w:pPr>
          </w:p>
        </w:tc>
        <w:tc>
          <w:tcPr>
            <w:tcW w:w="40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3"/>
        </w:trPr>
        <w:tc>
          <w:tcPr>
            <w:tcW w:w="3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2000 St. James Place, Houston,</w:t>
            </w:r>
          </w:p>
        </w:tc>
        <w:tc>
          <w:tcPr>
            <w:tcW w:w="1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1980" w:type="dxa"/>
            <w:vAlign w:val="bottom"/>
          </w:tcPr>
          <w:p>
            <w:pPr>
              <w:spacing w:after="0"/>
              <w:rPr>
                <w:sz w:val="20"/>
                <w:szCs w:val="20"/>
                <w:color w:val="auto"/>
              </w:rPr>
            </w:pPr>
          </w:p>
        </w:tc>
        <w:tc>
          <w:tcPr>
            <w:tcW w:w="4000" w:type="dxa"/>
            <w:vAlign w:val="bottom"/>
          </w:tcPr>
          <w:p>
            <w:pPr>
              <w:jc w:val="right"/>
              <w:ind w:right="141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34"/>
        </w:trPr>
        <w:tc>
          <w:tcPr>
            <w:tcW w:w="47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80" w:type="dxa"/>
            <w:vAlign w:val="bottom"/>
          </w:tcPr>
          <w:p>
            <w:pPr>
              <w:spacing w:after="0"/>
              <w:rPr>
                <w:sz w:val="20"/>
                <w:szCs w:val="20"/>
                <w:color w:val="auto"/>
              </w:rPr>
            </w:pP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3080" w:type="dxa"/>
            <w:vAlign w:val="bottom"/>
          </w:tcPr>
          <w:p>
            <w:pPr>
              <w:spacing w:after="0"/>
              <w:rPr>
                <w:sz w:val="24"/>
                <w:szCs w:val="24"/>
                <w:color w:val="auto"/>
              </w:rPr>
            </w:pPr>
          </w:p>
        </w:tc>
        <w:tc>
          <w:tcPr>
            <w:tcW w:w="7680" w:type="dxa"/>
            <w:vAlign w:val="bottom"/>
            <w:gridSpan w:val="3"/>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713.836.4000</w:t>
            </w:r>
          </w:p>
        </w:tc>
      </w:tr>
      <w:tr>
        <w:trPr>
          <w:trHeight w:val="243"/>
        </w:trPr>
        <w:tc>
          <w:tcPr>
            <w:tcW w:w="3080" w:type="dxa"/>
            <w:vAlign w:val="bottom"/>
          </w:tcPr>
          <w:p>
            <w:pPr>
              <w:spacing w:after="0"/>
              <w:rPr>
                <w:sz w:val="21"/>
                <w:szCs w:val="21"/>
                <w:color w:val="auto"/>
              </w:rPr>
            </w:pPr>
          </w:p>
        </w:tc>
        <w:tc>
          <w:tcPr>
            <w:tcW w:w="7680" w:type="dxa"/>
            <w:vAlign w:val="bottom"/>
            <w:gridSpan w:val="3"/>
          </w:tcPr>
          <w:p>
            <w:pPr>
              <w:jc w:val="center"/>
              <w:ind w:right="24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78"/>
        </w:trPr>
        <w:tc>
          <w:tcPr>
            <w:tcW w:w="308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8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19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WFRD</w:t>
            </w:r>
          </w:p>
        </w:tc>
        <w:tc>
          <w:tcPr>
            <w:tcW w:w="4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63" w:lineRule="exact"/>
        <w:rPr>
          <w:sz w:val="20"/>
          <w:szCs w:val="20"/>
          <w:color w:val="auto"/>
        </w:rPr>
      </w:pPr>
    </w:p>
    <w:p>
      <w:pPr>
        <w:ind w:right="1640"/>
        <w:spacing w:after="0" w:line="27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0"/>
          <w:szCs w:val="20"/>
          <w:color w:val="auto"/>
        </w:rPr>
      </w:pPr>
    </w:p>
    <w:p>
      <w:pPr>
        <w:ind w:left="140"/>
        <w:spacing w:after="0" w:line="196" w:lineRule="exact"/>
        <w:tabs>
          <w:tab w:leader="none" w:pos="1840" w:val="left"/>
          <w:tab w:leader="none" w:pos="3900" w:val="left"/>
          <w:tab w:leader="none" w:pos="5540" w:val="left"/>
          <w:tab w:leader="none" w:pos="5940" w:val="left"/>
          <w:tab w:leader="none" w:pos="8020" w:val="left"/>
          <w:tab w:leader="none" w:pos="8420" w:val="left"/>
          <w:tab w:leader="none" w:pos="1052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 xml:space="preserve">  ☐</w:t>
      </w:r>
      <w:r>
        <w:rPr>
          <w:sz w:val="20"/>
          <w:szCs w:val="20"/>
          <w:color w:val="auto"/>
        </w:rPr>
        <w:tab/>
      </w: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7"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2"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48" w:right="339" w:bottom="1440" w:gutter="0" w:footer="0" w:header="0"/>
        </w:sectPr>
      </w:pPr>
    </w:p>
    <w:bookmarkStart w:id="3" w:name="page4"/>
    <w:bookmarkEnd w:id="3"/>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June 30, 2023 was approximately $3.6 billion based upon the closing price on the Nasdaq Global Select Market as of such date. The registrant had 72,316,426 ordinary shares outstanding as of February 1, 2024.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Certain information required to be furnished pursuant to Part III of this Form 10-K will be set forth in, and will be incorporated by reference from, Weatherford’s definitive proxy statement for the 2024 Annual General Meeting of Shareholders to be filed by Weatherford with the Securities and Exchange Commission (“SEC”) pursuant to Regulation 14A within 120 days after the registrant’s fiscal year ended December 31, 2023.</w:t>
      </w:r>
    </w:p>
    <w:p>
      <w:pPr>
        <w:sectPr>
          <w:pgSz w:w="11900" w:h="16838" w:orient="portrait"/>
          <w:cols w:equalWidth="0" w:num="1">
            <w:col w:w="11240"/>
          </w:cols>
          <w:pgMar w:left="320" w:top="6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84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Weatherford International plc</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340" w:type="dxa"/>
            <w:vAlign w:val="bottom"/>
          </w:tcPr>
          <w:p>
            <w:pPr>
              <w:spacing w:after="0"/>
              <w:rPr>
                <w:sz w:val="24"/>
                <w:szCs w:val="24"/>
                <w:color w:val="auto"/>
              </w:rPr>
            </w:pPr>
          </w:p>
        </w:tc>
        <w:tc>
          <w:tcPr>
            <w:tcW w:w="84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Form 10-K for the Year Ended December 31, 2023</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84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440" w:type="dxa"/>
            <w:vAlign w:val="bottom"/>
          </w:tcPr>
          <w:p>
            <w:pPr>
              <w:spacing w:after="0"/>
              <w:rPr>
                <w:sz w:val="24"/>
                <w:szCs w:val="24"/>
                <w:color w:val="auto"/>
              </w:rPr>
            </w:pPr>
          </w:p>
        </w:tc>
        <w:tc>
          <w:tcPr>
            <w:tcW w:w="14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Business</w:t>
            </w:r>
          </w:p>
        </w:tc>
        <w:tc>
          <w:tcPr>
            <w:tcW w:w="144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Risk Factors</w:t>
            </w:r>
          </w:p>
        </w:tc>
        <w:tc>
          <w:tcPr>
            <w:tcW w:w="1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Cybersecurity</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Properties</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Legal Proceedings</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Mine Safety Disclosures</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Market for Registrant's Common Equity, Related Shareholder Matters and Issuer Purchases of Equity</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84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Securities</w:t>
            </w:r>
          </w:p>
        </w:tc>
        <w:tc>
          <w:tcPr>
            <w:tcW w:w="144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84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Selected Financial Data</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Financial Results Overview</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Business Outlook</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spacing w:after="0"/>
              <w:rPr>
                <w:sz w:val="21"/>
                <w:szCs w:val="21"/>
                <w:color w:val="auto"/>
              </w:rPr>
            </w:pPr>
          </w:p>
        </w:tc>
        <w:tc>
          <w:tcPr>
            <w:tcW w:w="84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8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Critical Accounting Estimates</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Information</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340" w:type="dxa"/>
            <w:vAlign w:val="bottom"/>
            <w:shd w:val="clear" w:color="auto" w:fill="CCEEFF"/>
          </w:tcPr>
          <w:p>
            <w:pPr>
              <w:spacing w:after="0"/>
              <w:rPr>
                <w:sz w:val="19"/>
                <w:szCs w:val="19"/>
                <w:color w:val="auto"/>
              </w:rPr>
            </w:pPr>
          </w:p>
        </w:tc>
        <w:tc>
          <w:tcPr>
            <w:tcW w:w="8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Executive Compensation</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Security Ownership of Certain Beneficial Owners and Related Stockholder Matters</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4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Exhibit and Financial Statement Schedules</w:t>
            </w:r>
          </w:p>
        </w:tc>
        <w:tc>
          <w:tcPr>
            <w:tcW w:w="1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5"/>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4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Form 10-K Summary</w:t>
            </w:r>
          </w:p>
        </w:tc>
        <w:tc>
          <w:tcPr>
            <w:tcW w:w="144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8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SIGNATURES</w:t>
            </w:r>
          </w:p>
        </w:tc>
        <w:tc>
          <w:tcPr>
            <w:tcW w:w="1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1</w:t>
      </w:r>
    </w:p>
    <w:p>
      <w:pPr>
        <w:sectPr>
          <w:pgSz w:w="11900" w:h="16838" w:orient="portrait"/>
          <w:cols w:equalWidth="0" w:num="1">
            <w:col w:w="11240"/>
          </w:cols>
          <w:pgMar w:left="320" w:top="1022" w:right="33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Weatherford International plc, an Irish public limited company, together with its subsidiaries (“Weatherford,” the “Company,” “we,” “us” and “our”),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210"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335 operating locations including manufacturing, research and development, service, and training facilities. Our operational performance is reviewed and managed across the life cycle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wellbore, and we report in three segments (1) Drilling and Evaluation, (2) Well Construction and Completions, and (3) Production and Intervention.</w:t>
      </w:r>
    </w:p>
    <w:p>
      <w:pPr>
        <w:spacing w:after="0" w:line="27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On June 1, 2021,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w:t>
      </w:r>
    </w:p>
    <w:p>
      <w:pPr>
        <w:spacing w:after="0" w:line="21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proxy statements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97" w:lineRule="exact"/>
        <w:rPr>
          <w:sz w:val="20"/>
          <w:szCs w:val="20"/>
          <w:color w:val="auto"/>
        </w:rPr>
      </w:pPr>
    </w:p>
    <w:p>
      <w:pPr>
        <w:jc w:val="both"/>
        <w:ind w:right="20" w:firstLine="324"/>
        <w:spacing w:after="0" w:line="305" w:lineRule="auto"/>
        <w:rPr>
          <w:sz w:val="20"/>
          <w:szCs w:val="20"/>
          <w:color w:val="auto"/>
        </w:rPr>
      </w:pPr>
      <w:r>
        <w:rPr>
          <w:rFonts w:ascii="Times New Roman" w:cs="Times New Roman" w:eastAsia="Times New Roman" w:hAnsi="Times New Roman"/>
          <w:sz w:val="18"/>
          <w:szCs w:val="18"/>
          <w:color w:val="auto"/>
        </w:rPr>
        <w:t>Our goal is to create and deliver value for our shareholders throughout industry cycles by creating sustainable profitability that enables cash flow generation from our products and services regardless of market conditions. We accomplish this goal by disciplined use of capital, rigor around safety and operations, and a strong customer focus.</w:t>
      </w:r>
    </w:p>
    <w:p>
      <w:pPr>
        <w:spacing w:after="0" w:line="21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customers’ objectives are continually evolving and are currently focused on disciplined capital and operational expenditures, generating investor and shareholder returns, reducing emissions, participating in the energy transition, and enhancing safety. Weatherford has aligned our technology development and operations around these objectives and expanded our role as a market leading provider of solutions that assist our customers in addressing their key operational challenges not just in conventional reservoirs but also in mature fields, unconventionals, offshore, and in digitalization and automation.</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focus is on accelerating the strategic deployment of our five strategic priorities of:</w:t>
      </w:r>
    </w:p>
    <w:p>
      <w:pPr>
        <w:spacing w:after="0" w:line="50"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Experience enhancement;</w:t>
      </w:r>
    </w:p>
    <w:p>
      <w:pPr>
        <w:spacing w:after="0" w:line="3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the Future through innovation of our products, services and solutions;</w:t>
      </w:r>
    </w:p>
    <w:p>
      <w:pPr>
        <w:spacing w:after="0" w:line="49" w:lineRule="exact"/>
        <w:rPr>
          <w:rFonts w:ascii="Times New Roman" w:cs="Times New Roman" w:eastAsia="Times New Roman" w:hAnsi="Times New Roman"/>
          <w:sz w:val="18"/>
          <w:szCs w:val="18"/>
          <w:color w:val="auto"/>
        </w:rPr>
      </w:pPr>
    </w:p>
    <w:p>
      <w:pPr>
        <w:ind w:left="1300" w:right="2260" w:hanging="644"/>
        <w:spacing w:after="0" w:line="289"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Vitality to hardness employee engagement, attract and retain talent, develop our people and increase leadership effectiveness;</w:t>
      </w:r>
    </w:p>
    <w:p>
      <w:pPr>
        <w:spacing w:after="0" w:line="1" w:lineRule="exact"/>
        <w:rPr>
          <w:rFonts w:ascii="Times New Roman" w:cs="Times New Roman" w:eastAsia="Times New Roman" w:hAnsi="Times New Roman"/>
          <w:sz w:val="18"/>
          <w:szCs w:val="18"/>
          <w:color w:val="auto"/>
        </w:rPr>
      </w:pPr>
    </w:p>
    <w:p>
      <w:pPr>
        <w:ind w:left="1300" w:right="2080" w:hanging="644"/>
        <w:spacing w:after="0" w:line="289"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 Operations to simplify and drive waste out of the business for increased productivity, quality, decreased cycle-times and for improved service levels, and;</w:t>
      </w:r>
    </w:p>
    <w:p>
      <w:pPr>
        <w:spacing w:after="0" w:line="1" w:lineRule="exact"/>
        <w:rPr>
          <w:rFonts w:ascii="Times New Roman" w:cs="Times New Roman" w:eastAsia="Times New Roman" w:hAnsi="Times New Roman"/>
          <w:sz w:val="18"/>
          <w:szCs w:val="18"/>
          <w:color w:val="auto"/>
        </w:rPr>
      </w:pPr>
    </w:p>
    <w:p>
      <w:pPr>
        <w:ind w:left="1300" w:right="2440" w:hanging="644"/>
        <w:spacing w:after="0" w:line="329"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 and value throughout industry cycles with sustainable profitability and cash flow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2</w:t>
      </w:r>
    </w:p>
    <w:p>
      <w:pPr>
        <w:sectPr>
          <w:pgSz w:w="11900" w:h="16838" w:orient="portrait"/>
          <w:cols w:equalWidth="0" w:num="1">
            <w:col w:w="11240"/>
          </w:cols>
          <w:pgMar w:left="320" w:top="432" w:right="33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We have driven this solution-based focus across our organization through a commitment to improving safety and service quality, embedding a returns-focused mindset in our organization, and developing and commercializing new technologies that add value to our customers’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environments and the level of workover activity worldwide.</w:t>
      </w:r>
    </w:p>
    <w:p>
      <w:pPr>
        <w:spacing w:after="0" w:line="210"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Technology is critical to the energy services marketplace as a result of the maturity of the world’s oil and natural gas reservoirs, declining production rates and the nature of complex well designs, in both land and offshore markets. Customers continue to seek, test and use technologies that accelerate and optimize production at an increasing rate. We invest substantial resources into building our technology offerings, which enable our customers to evaluate, develop and produce from their oil and natural gas reservoirs more efficiently. Our products and services are designed to enable our customers to increase production rates while reducing their costs of drilling and production.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83" w:lineRule="exact"/>
        <w:rPr>
          <w:sz w:val="20"/>
          <w:szCs w:val="20"/>
          <w:color w:val="auto"/>
        </w:rPr>
      </w:pPr>
    </w:p>
    <w:p>
      <w:pPr>
        <w:jc w:val="both"/>
        <w:ind w:firstLine="324"/>
        <w:spacing w:after="0" w:line="288" w:lineRule="auto"/>
        <w:rPr>
          <w:sz w:val="20"/>
          <w:szCs w:val="20"/>
          <w:color w:val="auto"/>
        </w:rPr>
      </w:pPr>
      <w:r>
        <w:rPr>
          <w:rFonts w:ascii="Times New Roman" w:cs="Times New Roman" w:eastAsia="Times New Roman" w:hAnsi="Times New Roman"/>
          <w:sz w:val="18"/>
          <w:szCs w:val="18"/>
          <w:color w:val="auto"/>
        </w:rPr>
        <w:t>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 at the end of the well’s productive life.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93"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1"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Managed Pressure Drilling </w:t>
      </w:r>
      <w:r>
        <w:rPr>
          <w:rFonts w:ascii="Times New Roman" w:cs="Times New Roman" w:eastAsia="Times New Roman" w:hAnsi="Times New Roman"/>
          <w:sz w:val="18"/>
          <w:szCs w:val="18"/>
          <w:color w:val="auto"/>
        </w:rPr>
        <w:t>helps to manage wellbore pressures to optimize drilling performance. We incorporate various technologies,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rotating control devices and advanced automated control systems, as well as several drilling techniques, such as closed-loop drilling, air drilling, managed-pressure drilling and underbalanced drilling.</w:t>
      </w:r>
    </w:p>
    <w:p>
      <w:pPr>
        <w:spacing w:after="0" w:line="205" w:lineRule="exact"/>
        <w:rPr>
          <w:sz w:val="20"/>
          <w:szCs w:val="20"/>
          <w:color w:val="auto"/>
        </w:rPr>
      </w:pPr>
    </w:p>
    <w:p>
      <w:pPr>
        <w:jc w:val="both"/>
        <w:ind w:left="50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Services </w:t>
      </w:r>
      <w:r>
        <w:rPr>
          <w:rFonts w:ascii="Times New Roman" w:cs="Times New Roman" w:eastAsia="Times New Roman" w:hAnsi="Times New Roman"/>
          <w:sz w:val="18"/>
          <w:szCs w:val="18"/>
          <w:color w:val="auto"/>
        </w:rPr>
        <w:t>includes directional drilling, logging while drilling, measurement while drilling and rotary-steerable systems. We provide a full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downhole equipment, including high-temperature and high-pressure sensors, drilling reamers and circulation subs.</w:t>
      </w:r>
    </w:p>
    <w:p>
      <w:pPr>
        <w:spacing w:after="0" w:line="194"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Wireline </w:t>
      </w:r>
      <w:r>
        <w:rPr>
          <w:rFonts w:ascii="Times New Roman" w:cs="Times New Roman" w:eastAsia="Times New Roman" w:hAnsi="Times New Roman"/>
          <w:sz w:val="18"/>
          <w:szCs w:val="18"/>
          <w:color w:val="auto"/>
        </w:rPr>
        <w:t>includes open-hole and cased-hole logging services that measure the geophysical properties of subsurface formations to determine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potential, locate resources and detect cement and casing integrity issues. We also execute well intervention and remediation operations by conveying equipment via cable into existing wells.</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Drilling Fluids </w:t>
      </w:r>
      <w:r>
        <w:rPr>
          <w:rFonts w:ascii="Times New Roman" w:cs="Times New Roman" w:eastAsia="Times New Roman" w:hAnsi="Times New Roman"/>
          <w:sz w:val="18"/>
          <w:szCs w:val="18"/>
          <w:color w:val="auto"/>
        </w:rPr>
        <w:t>provides fluids and chemicals essential to the drilling process.</w:t>
      </w:r>
    </w:p>
    <w:p>
      <w:pPr>
        <w:spacing w:after="0" w:line="266"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3</w:t>
      </w:r>
    </w:p>
    <w:p>
      <w:pPr>
        <w:sectPr>
          <w:pgSz w:w="11900" w:h="16838" w:orient="portrait"/>
          <w:cols w:equalWidth="0" w:num="1">
            <w:col w:w="11240"/>
          </w:cols>
          <w:pgMar w:left="320" w:top="432" w:right="33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5" w:lineRule="exact"/>
        <w:rPr>
          <w:sz w:val="20"/>
          <w:szCs w:val="20"/>
          <w:color w:val="auto"/>
        </w:rPr>
      </w:pPr>
    </w:p>
    <w:p>
      <w:pPr>
        <w:jc w:val="both"/>
        <w:ind w:left="500"/>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Tubular Running Services </w:t>
      </w:r>
      <w:r>
        <w:rPr>
          <w:rFonts w:ascii="Times New Roman" w:cs="Times New Roman" w:eastAsia="Times New Roman" w:hAnsi="Times New Roman"/>
          <w:sz w:val="18"/>
          <w:szCs w:val="18"/>
          <w:color w:val="auto"/>
        </w:rPr>
        <w:t>provides equipment, tubular handling, tubular management and tubular connection services for the drilling, completions,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workover of various types of wells. We include conventional rig services, automated rig systems, real-time torque-monitoring, and remote viewing of the makeup and breakout verification process, all underscored by our technology and procedural protocols to provide casing and tubular running operations with superior efficiency, and reduced health, safety, and environmental risks.</w:t>
      </w:r>
    </w:p>
    <w:p>
      <w:pPr>
        <w:spacing w:after="0" w:line="211"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Cementation Products </w:t>
      </w:r>
      <w:r>
        <w:rPr>
          <w:rFonts w:ascii="Times New Roman" w:cs="Times New Roman" w:eastAsia="Times New Roman" w:hAnsi="Times New Roman"/>
          <w:sz w:val="18"/>
          <w:szCs w:val="18"/>
          <w:color w:val="auto"/>
        </w:rPr>
        <w:t>enable operators to centralize the casing throughout the wellbore and control the displacement of cement and other fluids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 zonal isolation. Specialized equipment includes plugs, float and stage equipment and torque-and-drag reduction technology. Our cementation engineers analyze customer requirements and provide software enabled design input from pre-job planning to installation.</w:t>
      </w:r>
    </w:p>
    <w:p>
      <w:pPr>
        <w:spacing w:after="0" w:line="191" w:lineRule="exact"/>
        <w:rPr>
          <w:sz w:val="20"/>
          <w:szCs w:val="20"/>
          <w:color w:val="auto"/>
        </w:rPr>
      </w:pPr>
    </w:p>
    <w:p>
      <w:pPr>
        <w:jc w:val="both"/>
        <w:ind w:left="500"/>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Completions </w:t>
      </w:r>
      <w:r>
        <w:rPr>
          <w:rFonts w:ascii="Times New Roman" w:cs="Times New Roman" w:eastAsia="Times New Roman" w:hAnsi="Times New Roman"/>
          <w:sz w:val="18"/>
          <w:szCs w:val="18"/>
          <w:color w:val="auto"/>
        </w:rPr>
        <w:t>offer customers a comprehensive line of completion tools, such as safety valves, production packers, downhole reservoir monitoring,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flow control, isolation packers, multistage fracturing systems and sand-control technologies that set the stage for maximum production with minimal cost per barrel.</w:t>
      </w:r>
    </w:p>
    <w:p>
      <w:pPr>
        <w:spacing w:after="0" w:line="184"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Liner Hangers </w:t>
      </w:r>
      <w:r>
        <w:rPr>
          <w:rFonts w:ascii="Times New Roman" w:cs="Times New Roman" w:eastAsia="Times New Roman" w:hAnsi="Times New Roman"/>
          <w:sz w:val="18"/>
          <w:szCs w:val="18"/>
          <w:color w:val="auto"/>
        </w:rPr>
        <w:t>suspend a casing string within a previous casing string thereby eliminating the need to run casing to the surface. We offer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liner-hanger portfolio, along with engineering and execution experience, for a wide range of applications that include high-temperature and high-pressure wells.</w:t>
      </w:r>
    </w:p>
    <w:p>
      <w:pPr>
        <w:spacing w:after="0" w:line="191" w:lineRule="exact"/>
        <w:rPr>
          <w:sz w:val="20"/>
          <w:szCs w:val="20"/>
          <w:color w:val="auto"/>
        </w:rPr>
      </w:pPr>
    </w:p>
    <w:p>
      <w:pPr>
        <w:ind w:left="50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Services </w:t>
      </w:r>
      <w:r>
        <w:rPr>
          <w:rFonts w:ascii="Times New Roman" w:cs="Times New Roman" w:eastAsia="Times New Roman" w:hAnsi="Times New Roman"/>
          <w:sz w:val="18"/>
          <w:szCs w:val="18"/>
          <w:color w:val="auto"/>
        </w:rPr>
        <w:t>provides through tubing products and services which ensure consistent delivery of well solutions that extend the economic life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assets.</w:t>
      </w:r>
    </w:p>
    <w:p>
      <w:pPr>
        <w:spacing w:after="0" w:line="209"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production optimization technologies through the Company’s ability to design and deliver a complete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ecosystem ranging from boosting productivity to responsible well abandonment for our customers. The primary offerings are intervention services &amp; drilling tools, artificial lift, digital solutions,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spacing w:after="0" w:line="186" w:lineRule="exact"/>
        <w:rPr>
          <w:sz w:val="20"/>
          <w:szCs w:val="20"/>
          <w:color w:val="auto"/>
        </w:rPr>
      </w:pPr>
    </w:p>
    <w:p>
      <w:pPr>
        <w:jc w:val="both"/>
        <w:ind w:left="50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Intervention Services &amp; Drilling Tools </w:t>
      </w:r>
      <w:r>
        <w:rPr>
          <w:rFonts w:ascii="Times New Roman" w:cs="Times New Roman" w:eastAsia="Times New Roman" w:hAnsi="Times New Roman"/>
          <w:sz w:val="18"/>
          <w:szCs w:val="18"/>
          <w:color w:val="auto"/>
        </w:rPr>
        <w:t>provides re-entry, fishing and well abandonment services as well as patented bottom hole, tubular-handling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pressure-control equipment and drill pipe and collars for various types of wells.</w:t>
      </w:r>
    </w:p>
    <w:p>
      <w:pPr>
        <w:spacing w:after="0" w:line="181" w:lineRule="exact"/>
        <w:rPr>
          <w:sz w:val="20"/>
          <w:szCs w:val="20"/>
          <w:color w:val="auto"/>
        </w:rPr>
      </w:pPr>
    </w:p>
    <w:p>
      <w:pPr>
        <w:jc w:val="both"/>
        <w:ind w:left="500"/>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Artificial Lift </w:t>
      </w:r>
      <w:r>
        <w:rPr>
          <w:rFonts w:ascii="Times New Roman" w:cs="Times New Roman" w:eastAsia="Times New Roman" w:hAnsi="Times New Roman"/>
          <w:sz w:val="18"/>
          <w:szCs w:val="18"/>
          <w:color w:val="auto"/>
        </w:rPr>
        <w:t>provides pressure enabling methods to produce reservoir fluids from wells lacking sufficient reservoir pressure for natural flow.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70" w:lineRule="exact"/>
        <w:rPr>
          <w:sz w:val="20"/>
          <w:szCs w:val="20"/>
          <w:color w:val="auto"/>
        </w:rPr>
      </w:pPr>
    </w:p>
    <w:p>
      <w:pPr>
        <w:jc w:val="both"/>
        <w:ind w:left="5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Digital Solutions </w:t>
      </w:r>
      <w:r>
        <w:rPr>
          <w:rFonts w:ascii="Times New Roman" w:cs="Times New Roman" w:eastAsia="Times New Roman" w:hAnsi="Times New Roman"/>
          <w:sz w:val="18"/>
          <w:szCs w:val="18"/>
          <w:color w:val="auto"/>
        </w:rPr>
        <w:t>provides software, automation, and flow measurement solutions. For our customers’ drilling operations, the solutions deliver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aggregation, engineering, and optimization including performance analytics in real-time. For our customers’ production operations, the solutions provide flow measurement, surveillance, and control to deliver production optimization by integrating workflows and data for the well, surface facilities and the reservoir.</w:t>
      </w:r>
    </w:p>
    <w:p>
      <w:pPr>
        <w:spacing w:after="0" w:line="206" w:lineRule="exact"/>
        <w:rPr>
          <w:sz w:val="20"/>
          <w:szCs w:val="20"/>
          <w:color w:val="auto"/>
        </w:rPr>
      </w:pPr>
    </w:p>
    <w:p>
      <w:pPr>
        <w:jc w:val="both"/>
        <w:ind w:left="50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Sub-Sea Intervention </w:t>
      </w:r>
      <w:r>
        <w:rPr>
          <w:rFonts w:ascii="Times New Roman" w:cs="Times New Roman" w:eastAsia="Times New Roman" w:hAnsi="Times New Roman"/>
          <w:sz w:val="18"/>
          <w:szCs w:val="18"/>
          <w:color w:val="auto"/>
        </w:rPr>
        <w:t>provides electrical and hydraulic power transmission to subsea equipment in order to facilitate workovers and abandonment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and ultra-deep-water operations in select markets.</w:t>
      </w:r>
    </w:p>
    <w:p>
      <w:pPr>
        <w:spacing w:after="0" w:line="168" w:lineRule="exact"/>
        <w:rPr>
          <w:sz w:val="20"/>
          <w:szCs w:val="20"/>
          <w:color w:val="auto"/>
        </w:rPr>
      </w:pPr>
    </w:p>
    <w:p>
      <w:pPr>
        <w:jc w:val="both"/>
        <w:ind w:left="50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Pressure Pumping Services </w:t>
      </w:r>
      <w:r>
        <w:rPr>
          <w:rFonts w:ascii="Times New Roman" w:cs="Times New Roman" w:eastAsia="Times New Roman" w:hAnsi="Times New Roman"/>
          <w:sz w:val="18"/>
          <w:szCs w:val="18"/>
          <w:color w:val="auto"/>
        </w:rPr>
        <w:t>offers advanced chemistry-based solutions and associated pumping services for safe and effective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In select international markets, we provide pressure pumping and reservoir stimulation services, including acidizing, fracturing, cementing, and coiled-tubing intervention.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4</w:t>
      </w:r>
    </w:p>
    <w:p>
      <w:pPr>
        <w:sectPr>
          <w:pgSz w:w="11900" w:h="16838" w:orient="portrait"/>
          <w:cols w:equalWidth="0" w:num="1">
            <w:col w:w="11240"/>
          </w:cols>
          <w:pgMar w:left="320" w:top="432"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provide our products and services worldwide and compete with a number of global and regional competitors. Our principal competitors include SLB, Halliburton, Baker Hughes, National Oilwell Varco, ChampionX and Expro Group Holdings. We also compete with various other suppliers who provide products and services within a smaller cross section of our product line portfolio either locally, regionally, or globally.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consolidations of and acquisitions by our competitors are difficult to predict and may impact our business as a result.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purchase a wide variety of raw materials, as well as parts and components. We integrate products and components produced by other parties into the products and systems we sell. We continually evaluate and invest in our integrated supply chain in order to reduce materials constraints and impacts from inflationary pressures, while improving lead times and supporting our sustainability efforts.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9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Substantially all of our customers are engaged in the energy industry and include national oil companies, international and independent oil and natural gas companies as well as new energy companies.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Patents</w:t>
      </w:r>
    </w:p>
    <w:p>
      <w:pPr>
        <w:spacing w:after="0" w:line="283"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In addition to maintaining world-class technology and training centers throughout the world, we have research, development, and engineering teams focused on developing new technologies and improving existing products and services to meet customer demands for improved drilling performance, well integrity, and enhanced reservoir productivity, with emphasis on efficiency, reliability, safety and the environment. We also develop technologies for new energy markets, in addition to the existing oil and gas markets in which we traditionally operate. Weatherford has significant expertise, trade secrets, intellectual property and know-how with respect to the design, manufacturing, and use of our equipment and the provision of our services. As many areas of our business rely on proprietary technology, we seek to protect and defend our intellectual property through trade secrets and patent protection both inside and outside the U.S. for products and methods that we believe to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Weather and natural phenomena can temporarily affect the level of demand for our products and services; however, the widespread geographical locations of our operations serve to mitigate the overall impact on our business in any particular geographic region. Spring months in Canada, summer in the Southern hemisphere, and winter months in the North Sea and Russia typically have lower demand, driving a negative impact on operations. Additionally, heavy rains, hurricanes, unusual wildfires, extreme freezes or other unpredictable or unusually harsh natural phenomena could lengthen the periods of reduced activity and have a detrimental impact on our results of operations. In addition, customer spending patterns for our products and services may result in higher activity in the fourth quarter of each calendar year as our customers seek to fully utilize their annual budgets.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83" w:lineRule="exact"/>
        <w:rPr>
          <w:sz w:val="20"/>
          <w:szCs w:val="20"/>
          <w:color w:val="auto"/>
        </w:rPr>
      </w:pPr>
    </w:p>
    <w:p>
      <w:pPr>
        <w:jc w:val="both"/>
        <w:ind w:right="20" w:firstLine="324"/>
        <w:spacing w:after="0" w:line="305" w:lineRule="auto"/>
        <w:rPr>
          <w:sz w:val="20"/>
          <w:szCs w:val="20"/>
          <w:color w:val="auto"/>
        </w:rPr>
      </w:pPr>
      <w:r>
        <w:rPr>
          <w:rFonts w:ascii="Times New Roman" w:cs="Times New Roman" w:eastAsia="Times New Roman" w:hAnsi="Times New Roman"/>
          <w:sz w:val="18"/>
          <w:szCs w:val="18"/>
          <w:color w:val="auto"/>
        </w:rPr>
        <w:t>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5</w:t>
      </w:r>
    </w:p>
    <w:p>
      <w:pPr>
        <w:sectPr>
          <w:pgSz w:w="11900" w:h="16838" w:orient="portrait"/>
          <w:cols w:equalWidth="0" w:num="1">
            <w:col w:w="11240"/>
          </w:cols>
          <w:pgMar w:left="320" w:top="432" w:right="3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Revenues in Russia were approximately 6% of our total revenue for the year ended December 31, 2023, and were approximately 7% of our total revenues for the years ended December 31, 2022 and 2021. As of December 31, 2023, our Russia operations included $62 million in cash, $94 million in other current assets, $76 million in property, plant and equipment and other non-current assets, and $62 million in liabilities. As of December 31, 2022, our Russia operations included $30 million in cash, $98 million in other current assets, $65 million in property, plant and equipment and other non-current assets, and $52 million in liabilities.</w:t>
      </w:r>
    </w:p>
    <w:p>
      <w:pPr>
        <w:spacing w:after="0" w:line="204"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197"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49" w:lineRule="exact"/>
        <w:rPr>
          <w:rFonts w:ascii="Times New Roman" w:cs="Times New Roman" w:eastAsia="Times New Roman" w:hAnsi="Times New Roman"/>
          <w:sz w:val="18"/>
          <w:szCs w:val="18"/>
          <w:color w:val="auto"/>
        </w:rPr>
      </w:pPr>
    </w:p>
    <w:p>
      <w:pPr>
        <w:ind w:left="1300" w:right="2160" w:hanging="644"/>
        <w:spacing w:after="0" w:line="289"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49" w:lineRule="exact"/>
        <w:rPr>
          <w:rFonts w:ascii="Times New Roman" w:cs="Times New Roman" w:eastAsia="Times New Roman" w:hAnsi="Times New Roman"/>
          <w:sz w:val="18"/>
          <w:szCs w:val="18"/>
          <w:color w:val="auto"/>
        </w:rPr>
      </w:pPr>
    </w:p>
    <w:p>
      <w:pPr>
        <w:ind w:left="1300" w:hanging="644"/>
        <w:spacing w:after="0" w:line="289"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Regulation and Environmental Matters</w:t>
      </w:r>
    </w:p>
    <w:p>
      <w:pPr>
        <w:spacing w:after="0" w:line="29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in the U.S. and globally relating to the energy industry in general and the environment in particular. Our 2023 expenditures to comply with environmental laws and regulations were not material, and we currently do not expect the cost of compliance with environmental laws and regulations for 2024 to be material. We continuously monitor and strive to maintain compliance with changes in laws and regulations that impact our business.</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a former facility in Midland, Texas where we are performing a TCEQ-approved Remedial Action Plan (“RAP”) to address contaminated ground water. The performance of the RAP and related expenses are scheduled to be performed over a twenty to thirty-year period and, may cost as much as $11 million, all of which were recorded as an undiscounted obligation on the Consolidated Balance Sheets as of December 31, 2022, and remains unchanged as of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Focus on People and Culture</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At Weatherford, our global team is driven to further our mission – producing energy for today and tomorrow. Pivotal to our culture and ensuring we fulfill our mission and vision is our “One Weatherford” spirit – individually, we are impressive, and together, we are unstoppable. Our One Weatherford spirit motivates our global teams to collaborate for shared success and to seek out unique perspectives, fostering a culture where everyone can grow and contribute.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6</w:t>
      </w:r>
    </w:p>
    <w:p>
      <w:pPr>
        <w:sectPr>
          <w:pgSz w:w="11900" w:h="16838" w:orient="portrait"/>
          <w:cols w:equalWidth="0" w:num="1">
            <w:col w:w="11240"/>
          </w:cols>
          <w:pgMar w:left="320" w:top="432"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global team comprises experts in various disciplines, including engineering, oilfield services support, and multiple corporate functions. In addition to our commitment to operating sustainably with safety, quality, and integrity, we are also focused on recruiting, developing, and promoting an employee culture that revolves around the following Core Values:</w:t>
      </w:r>
    </w:p>
    <w:p>
      <w:pPr>
        <w:spacing w:after="0" w:line="245" w:lineRule="exact"/>
        <w:rPr>
          <w:sz w:val="20"/>
          <w:szCs w:val="20"/>
          <w:color w:val="auto"/>
        </w:rPr>
      </w:pPr>
    </w:p>
    <w:p>
      <w:pPr>
        <w:ind w:left="6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Passion: We are energized by our work and inspired to make a positive impact in our industry, for our customers, across our Company, and in our communities;</w:t>
      </w:r>
    </w:p>
    <w:p>
      <w:pPr>
        <w:spacing w:after="0" w:line="18"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Accountability: We operate with integrity, enable our people and teams to be successful, and aim to be true to our word;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Innovation: We are driven to deliver advancements that propel our Company, industry, and customers forward; and</w:t>
      </w:r>
    </w:p>
    <w:p>
      <w:pPr>
        <w:spacing w:after="0" w:line="35"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Value Creation: We aspire to achieving long-term value for all our stakeholders by providing compelling and unique benefits through technology differentiation and operational excellence.</w:t>
      </w:r>
    </w:p>
    <w:p>
      <w:pPr>
        <w:spacing w:after="0" w:line="24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believe that ensuring we have the right talent in place is essential to delivering positive results for the business. We remain focused on developing our talent through training, competency, and mentoring, as well as attracting diverse and qualified individuals who will bring fresh perspectives and skill sets to the team. Through role-specific competency-based training and leadership development programs, we seek to expand our employees’ skill sets and regularly reinforce important topics that align with our core values and strategic priorities.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Focus on Safety</w:t>
      </w:r>
    </w:p>
    <w:p>
      <w:pPr>
        <w:spacing w:after="0" w:line="283"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Weatherford is committed to the health, safety, and well-being of our employees, customers, and the communities in which we operate. We strive to be a company that is incident free, delivers on our promises, and leaves the environments and communities in which we operate better than we found them. Our company values are built on the foundation of safety, and we realize that a safe operation is indeed an efficient operation. Our commitment to safety and service quality is embedded into every level of our organization. Our Operational Excellence and Performance System (“OEPS”) is our integrated quality, health, safety, security, and environmental management system. OEPS meets or exceeds criteria outlined by international management system standards such as ISO 45001, supports our employees in the field, and enables us to deliver on our customer commitments without sacrificing quality, health, safety, security, or environmental performance. In addition, we have safety programs that are designed to educate employees and our Stop Work Authority program empowers them to intervene when they see or anticipate unsafe behaviors or conditions.</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283"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 believe in aligning our employees’ compensation with the positive performance of our Company and returns realized for our shareholders. The goal of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compensation programs with our strategic priorities supports a cohesive drive towards value creation for all our stakeholders.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understand the importance of operating collaboratively and inclusively across all levels of our organization, embracing the full spectrum of diversity among our employees, and recognizing the strength and competitive advantages our differences afford us as a Company. Our Diversity, Equity, and Inclusion (“DE&amp;I”) Program is a core element of our One Weatherford culture. Our DE&amp;I efforts aim to provide learning, engagement, and philanthropic opportunities to help our people and communities flourish. The executive team and frontline employees champion our commitment to embedding our DE&amp;I Program into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7</w:t>
      </w:r>
    </w:p>
    <w:p>
      <w:pPr>
        <w:sectPr>
          <w:pgSz w:w="11900" w:h="16838" w:orient="portrait"/>
          <w:cols w:equalWidth="0" w:num="1">
            <w:col w:w="11240"/>
          </w:cols>
          <w:pgMar w:left="320" w:top="432" w:right="3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In 2023, we continued to advance our program and awareness throughout the organization, including creating DE&amp;I strategies for each region and conducting celebrations across the Company that foster collaboration and meaningful conversations regarding DE&amp;I. We trained our employees on unconscious bias and continued our focus on NextGen, our field engineering graduate program designed to accelerate the development of defined competencies and skillsets to prepare participants for future leadership positions, as well as our Localization programs for select customers to develop local talent. In addition, we expanded participation in the Women of Weatherford (“WOW”), an employee resource group that seeks to engage, support, empower, and inspire women to foster professional growth and advancement across our regions and employee levels.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Community Impact and Volunteering</w:t>
      </w:r>
    </w:p>
    <w:p>
      <w:pPr>
        <w:spacing w:after="0" w:line="283"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In addition to investing in our employees, we are committed to making a positive impact in the communities in which we live and work. Across the globe, our employees give back to organizations who need support in terms of donated items, volunteered time, and financial giving. For example, our team in Canada participates in an annual radiothon to support a local hospital, and our offices across the Latin America and Europe and Africa regions donate time and resources to orphanages, hospitals, and schools to support children and their families. In the United States, we continue to raise funds and awareness to find a cure for Multiple Sclerosis (“MS”) through the MS Society and through our annual Weatherford Walks event, we raised approximately $500,000 benefiting a number of local not-for-profit organizations.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Statistics</w:t>
      </w:r>
    </w:p>
    <w:p>
      <w:pPr>
        <w:spacing w:after="0" w:line="297"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As of December 31, 2023, Weatherford had approximately 18,500 employees globally. Some of our operations are subject to union contracts and these contracts cover approximately 17%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8</w:t>
      </w:r>
    </w:p>
    <w:p>
      <w:pPr>
        <w:sectPr>
          <w:pgSz w:w="11900" w:h="16838" w:orient="portrait"/>
          <w:cols w:equalWidth="0" w:num="1">
            <w:col w:w="11240"/>
          </w:cols>
          <w:pgMar w:left="320" w:top="432" w:right="33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Weatherford</w:t>
      </w:r>
    </w:p>
    <w:p>
      <w:pPr>
        <w:spacing w:after="0" w:line="283"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The following table sets forth, as of February 7, 2024,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tbl>
      <w:tblPr>
        <w:tblLayout w:type="fixed"/>
        <w:tblInd w:w="40" w:type="dxa"/>
        <w:tblCellMar>
          <w:top w:w="0" w:type="dxa"/>
          <w:left w:w="0" w:type="dxa"/>
          <w:bottom w:w="0" w:type="dxa"/>
          <w:right w:w="0" w:type="dxa"/>
        </w:tblCellMar>
      </w:tblPr>
      <w:tr>
        <w:trPr>
          <w:trHeight w:val="238"/>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Age</w:t>
            </w:r>
          </w:p>
        </w:tc>
        <w:tc>
          <w:tcPr>
            <w:tcW w:w="8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Position and Five-Year Business Experience</w:t>
            </w:r>
          </w:p>
        </w:tc>
        <w:tc>
          <w:tcPr>
            <w:tcW w:w="0" w:type="dxa"/>
            <w:vAlign w:val="bottom"/>
          </w:tcPr>
          <w:p>
            <w:pPr>
              <w:spacing w:after="0"/>
              <w:rPr>
                <w:sz w:val="1"/>
                <w:szCs w:val="1"/>
                <w:color w:val="auto"/>
              </w:rPr>
            </w:pPr>
          </w:p>
        </w:tc>
      </w:tr>
      <w:tr>
        <w:trPr>
          <w:trHeight w:val="21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Girishchandra K. Saligram</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52</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 of Weatherford International plc, since October 2020</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Operating Officer of Exterran Corporation from August 2018 to September</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Arunava Mitra</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51</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Weatherford International plc, since January 2023</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 Officer of Mitsubishi Power Americas Inc. from October 2021 to</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2022</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Executive Vice President and Chief Financial Officer of Mitsubishi Hitachi Power Systems of Americas Inc.</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October 2014 to October 2021</w:t>
            </w:r>
          </w:p>
        </w:tc>
        <w:tc>
          <w:tcPr>
            <w:tcW w:w="0" w:type="dxa"/>
            <w:vAlign w:val="bottom"/>
          </w:tcPr>
          <w:p>
            <w:pPr>
              <w:spacing w:after="0"/>
              <w:rPr>
                <w:sz w:val="1"/>
                <w:szCs w:val="1"/>
                <w:color w:val="auto"/>
              </w:rPr>
            </w:pPr>
          </w:p>
        </w:tc>
      </w:tr>
      <w:tr>
        <w:trPr>
          <w:trHeight w:val="184"/>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Scott C. Weatherholt </w:t>
            </w:r>
            <w:r>
              <w:rPr>
                <w:rFonts w:ascii="Times New Roman" w:cs="Times New Roman" w:eastAsia="Times New Roman" w:hAnsi="Times New Roman"/>
                <w:sz w:val="23"/>
                <w:szCs w:val="23"/>
                <w:color w:val="auto"/>
                <w:vertAlign w:val="superscript"/>
              </w:rPr>
              <w:t>(a)</w:t>
            </w:r>
          </w:p>
        </w:tc>
        <w:tc>
          <w:tcPr>
            <w:tcW w:w="680" w:type="dxa"/>
            <w:vAlign w:val="bottom"/>
          </w:tcPr>
          <w:p>
            <w:pPr>
              <w:ind w:left="280"/>
              <w:spacing w:after="0" w:line="184" w:lineRule="exact"/>
              <w:rPr>
                <w:sz w:val="20"/>
                <w:szCs w:val="20"/>
                <w:color w:val="auto"/>
              </w:rPr>
            </w:pPr>
            <w:r>
              <w:rPr>
                <w:rFonts w:ascii="Times New Roman" w:cs="Times New Roman" w:eastAsia="Times New Roman" w:hAnsi="Times New Roman"/>
                <w:sz w:val="18"/>
                <w:szCs w:val="18"/>
                <w:color w:val="auto"/>
              </w:rPr>
              <w:t>46</w:t>
            </w:r>
          </w:p>
        </w:tc>
        <w:tc>
          <w:tcPr>
            <w:tcW w:w="826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Executive Vice President, General Counsel, and Chief Compliance Officer of Weatherford International plc,</w:t>
            </w:r>
          </w:p>
        </w:tc>
        <w:tc>
          <w:tcPr>
            <w:tcW w:w="0" w:type="dxa"/>
            <w:vAlign w:val="bottom"/>
          </w:tcPr>
          <w:p>
            <w:pPr>
              <w:spacing w:after="0"/>
              <w:rPr>
                <w:sz w:val="1"/>
                <w:szCs w:val="1"/>
                <w:color w:val="auto"/>
              </w:rPr>
            </w:pPr>
          </w:p>
        </w:tc>
      </w:tr>
      <w:tr>
        <w:trPr>
          <w:trHeight w:val="238"/>
        </w:trPr>
        <w:tc>
          <w:tcPr>
            <w:tcW w:w="220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since July 2020</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General Counsel of Arena Energy, L.P., from September 2019 to July 2020</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Executive Vice President, General Counsel, and Corporate Secretary at Midstates Petroleum Company, Inc.,</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February 2015 to August 2019</w:t>
            </w:r>
          </w:p>
        </w:tc>
        <w:tc>
          <w:tcPr>
            <w:tcW w:w="0" w:type="dxa"/>
            <w:vAlign w:val="bottom"/>
          </w:tcPr>
          <w:p>
            <w:pPr>
              <w:spacing w:after="0"/>
              <w:rPr>
                <w:sz w:val="1"/>
                <w:szCs w:val="1"/>
                <w:color w:val="auto"/>
              </w:rPr>
            </w:pPr>
          </w:p>
        </w:tc>
      </w:tr>
      <w:tr>
        <w:trPr>
          <w:trHeight w:val="23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D. Ward</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55</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Global Field Operations of Weatherford International plc, since January 2024</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Subsea Production Systems of Baker Hughes Co, from May 2021 to December 2022</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Strategic Planning &amp; Solutions of Baker Hughes Co, from October 2019 to May 2021</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Marketing, Strategy &amp; Solutions of Baker Hughes Co, from August 2017 to October 2019</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Reed</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50</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Commercial Officer of Weatherford International plc, since January 2024</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Commercial Officer of Weatherford International plc, from August 2021 to</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2023</w:t>
            </w: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of Sales, Tenaris, from July 2015 to January 2021</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Depinder Sandhu</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48</w:t>
            </w: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Global Product Lines of Weatherford International plc, since January 2024</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Senior Vice President, Global Product Lines of Weatherford International plc, from December 2021 to</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2023</w:t>
            </w: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Director, Corporate Strategy of Weatherford International plc, from April 2021 to November 2021</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Vice President, Business Development &amp; Strategy of Weatherford International plc, from July 2020 to March</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3"/>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Service Delivery of Weatherford International plc, from November 2017 to May 2020</w:t>
            </w: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Desmond J. Mills</w:t>
            </w:r>
          </w:p>
        </w:tc>
        <w:tc>
          <w:tcPr>
            <w:tcW w:w="6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51</w:t>
            </w:r>
          </w:p>
        </w:tc>
        <w:tc>
          <w:tcPr>
            <w:tcW w:w="826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Accounting Officer of Weatherford International plc, since November 2021</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 August 2022 to January 2023)</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040" w:right="80"/>
        <w:spacing w:after="0" w:line="237" w:lineRule="auto"/>
        <w:rPr>
          <w:sz w:val="20"/>
          <w:szCs w:val="20"/>
          <w:color w:val="auto"/>
        </w:rPr>
      </w:pPr>
      <w:r>
        <w:rPr>
          <w:rFonts w:ascii="Times New Roman" w:cs="Times New Roman" w:eastAsia="Times New Roman" w:hAnsi="Times New Roman"/>
          <w:sz w:val="18"/>
          <w:szCs w:val="18"/>
          <w:color w:val="auto"/>
        </w:rPr>
        <w:t>Vice President and Chief Accounting Officer of Weatherford International plc, from March 2021 to November 2021</w:t>
      </w:r>
    </w:p>
    <w:p>
      <w:pPr>
        <w:spacing w:after="0" w:line="10" w:lineRule="exact"/>
        <w:rPr>
          <w:sz w:val="20"/>
          <w:szCs w:val="20"/>
          <w:color w:val="auto"/>
        </w:rPr>
      </w:pPr>
    </w:p>
    <w:p>
      <w:pPr>
        <w:ind w:left="3040" w:right="80"/>
        <w:spacing w:after="0" w:line="237" w:lineRule="auto"/>
        <w:rPr>
          <w:sz w:val="20"/>
          <w:szCs w:val="20"/>
          <w:color w:val="auto"/>
        </w:rPr>
      </w:pPr>
      <w:r>
        <w:rPr>
          <w:rFonts w:ascii="Times New Roman" w:cs="Times New Roman" w:eastAsia="Times New Roman" w:hAnsi="Times New Roman"/>
          <w:sz w:val="18"/>
          <w:szCs w:val="18"/>
          <w:color w:val="auto"/>
        </w:rPr>
        <w:t>Segment Compliance Manager, Construction Industries Segment, Caterpillar Inc., from July 2020 to March 2021</w:t>
      </w:r>
    </w:p>
    <w:p>
      <w:pPr>
        <w:spacing w:after="0" w:line="10" w:lineRule="exact"/>
        <w:rPr>
          <w:sz w:val="20"/>
          <w:szCs w:val="20"/>
          <w:color w:val="auto"/>
        </w:rPr>
      </w:pPr>
    </w:p>
    <w:p>
      <w:pPr>
        <w:ind w:left="3040" w:right="80"/>
        <w:spacing w:after="0" w:line="237" w:lineRule="auto"/>
        <w:rPr>
          <w:sz w:val="20"/>
          <w:szCs w:val="20"/>
          <w:color w:val="auto"/>
        </w:rPr>
      </w:pPr>
      <w:r>
        <w:rPr>
          <w:rFonts w:ascii="Times New Roman" w:cs="Times New Roman" w:eastAsia="Times New Roman" w:hAnsi="Times New Roman"/>
          <w:sz w:val="18"/>
          <w:szCs w:val="18"/>
          <w:color w:val="auto"/>
        </w:rPr>
        <w:t>Division Chief Financial Officer, Integrated Components and Solutions Division, Caterpillar Inc., from September 2018 to July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Weatherford International plc – 2023 Form 10-K | 9</w:t>
      </w:r>
    </w:p>
    <w:p>
      <w:pPr>
        <w:sectPr>
          <w:pgSz w:w="11900" w:h="16838" w:orient="portrait"/>
          <w:cols w:equalWidth="0" w:num="1">
            <w:col w:w="11240"/>
          </w:cols>
          <w:pgMar w:left="320" w:top="432" w:right="339" w:bottom="1440" w:gutter="0" w:footer="0" w:header="0"/>
        </w:sectPr>
      </w:pPr>
    </w:p>
    <w:bookmarkStart w:id="13" w:name="page14"/>
    <w:bookmarkEnd w:id="13"/>
    <w:p>
      <w:pPr>
        <w:ind w:left="90"/>
        <w:spacing w:after="0"/>
        <w:rPr>
          <w:sz w:val="20"/>
          <w:szCs w:val="20"/>
          <w:color w:val="auto"/>
        </w:rPr>
      </w:pPr>
      <w:r>
        <w:rPr>
          <w:rFonts w:ascii="Times New Roman" w:cs="Times New Roman" w:eastAsia="Times New Roman" w:hAnsi="Times New Roman"/>
          <w:sz w:val="18"/>
          <w:szCs w:val="18"/>
          <w:color w:val="auto"/>
        </w:rPr>
        <w:t>Item 1 | Business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10" w:hanging="310"/>
        <w:spacing w:after="0"/>
        <w:tabs>
          <w:tab w:leader="none" w:pos="31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joining Weatherford, Mr. Weatherholt was the General Counsel at Midstates Petroleum Company, Inc. when the company filed for bankruptcy protection on May 1,</w:t>
      </w:r>
    </w:p>
    <w:p>
      <w:pPr>
        <w:spacing w:after="0" w:line="43" w:lineRule="exact"/>
        <w:rPr>
          <w:rFonts w:ascii="Times New Roman" w:cs="Times New Roman" w:eastAsia="Times New Roman" w:hAnsi="Times New Roman"/>
          <w:sz w:val="15"/>
          <w:szCs w:val="15"/>
          <w:color w:val="auto"/>
        </w:rPr>
      </w:pPr>
    </w:p>
    <w:p>
      <w:pPr>
        <w:jc w:val="both"/>
        <w:ind w:left="330"/>
        <w:spacing w:after="0" w:line="30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170"/>
        <w:spacing w:after="0"/>
        <w:rPr>
          <w:sz w:val="20"/>
          <w:szCs w:val="20"/>
          <w:color w:val="auto"/>
        </w:rPr>
      </w:pPr>
      <w:r>
        <w:rPr>
          <w:rFonts w:ascii="Times New Roman" w:cs="Times New Roman" w:eastAsia="Times New Roman" w:hAnsi="Times New Roman"/>
          <w:sz w:val="18"/>
          <w:szCs w:val="18"/>
          <w:color w:val="auto"/>
        </w:rPr>
        <w:t>Weatherford International plc – 2023 Form 10-K | 10</w:t>
      </w:r>
    </w:p>
    <w:p>
      <w:pPr>
        <w:sectPr>
          <w:pgSz w:w="11900" w:h="16838" w:orient="portrait"/>
          <w:cols w:equalWidth="0" w:num="1">
            <w:col w:w="11070"/>
          </w:cols>
          <w:pgMar w:left="490" w:top="432" w:right="3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Energy Services Industry Risks</w:t>
      </w:r>
    </w:p>
    <w:p>
      <w:pPr>
        <w:spacing w:after="0" w:line="279"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188"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Demand for our products and services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 in global demand for oil and natural gas, including reduced demand as a result of a pandemic, have previously led to our customers, including national oil companies and large oil and natural gas exploration and production companies, to greatly reduce planned future capital expenditures. Factors affecting the prices of oil and natural gas include, but are not limited to:</w:t>
      </w:r>
    </w:p>
    <w:p>
      <w:pPr>
        <w:spacing w:after="0" w:line="22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supply and demand for oil and natural gas;</w:t>
      </w:r>
    </w:p>
    <w:p>
      <w:pPr>
        <w:spacing w:after="0" w:line="36" w:lineRule="exact"/>
        <w:rPr>
          <w:rFonts w:ascii="Times New Roman" w:cs="Times New Roman" w:eastAsia="Times New Roman" w:hAnsi="Times New Roman"/>
          <w:sz w:val="18"/>
          <w:szCs w:val="18"/>
          <w:color w:val="auto"/>
        </w:rPr>
      </w:pPr>
    </w:p>
    <w:p>
      <w:pPr>
        <w:ind w:left="980" w:hanging="324"/>
        <w:spacing w:after="0" w:line="273"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(“OPEC”) and the expanded alliance (“OPEC+”) and other high oil exporting non-OPEC+ nations to set and maintain oil production levels;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natural gas production in the U.S. and by other non-OPEC+ countries;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refining capacity;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end-customer preferences toward sustainable energy sources, fuel efficiency and the use of natural gas;</w:t>
      </w:r>
    </w:p>
    <w:p>
      <w:pPr>
        <w:spacing w:after="0" w:line="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constraints associated with, producing and delivering oil and natural gas;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including the policies of governments regarding the exploration for and production and</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development of their oil and natural gas reserves;</w:t>
      </w:r>
    </w:p>
    <w:p>
      <w:pPr>
        <w:spacing w:after="0" w:line="36"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unusual wildfires, natural disasters, and health or similar issues, such as pandemics or epidemics;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military, and economic conditions (including impacts from the Russia Ukraine Conflict); and</w:t>
      </w:r>
    </w:p>
    <w:p>
      <w:pPr>
        <w:spacing w:after="0" w:line="36" w:lineRule="exact"/>
        <w:rPr>
          <w:rFonts w:ascii="Times New Roman" w:cs="Times New Roman" w:eastAsia="Times New Roman" w:hAnsi="Times New Roman"/>
          <w:sz w:val="18"/>
          <w:szCs w:val="18"/>
          <w:color w:val="auto"/>
        </w:rPr>
      </w:pPr>
    </w:p>
    <w:p>
      <w:pPr>
        <w:ind w:left="740" w:right="1860" w:hanging="84"/>
        <w:spacing w:after="0" w:line="329" w:lineRule="auto"/>
        <w:tabs>
          <w:tab w:leader="none" w:pos="9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alternative energy and electric vehicles, including government initiatives to promote the use of sustainable, renewable energy sources and public sentiment around alternatives to oil and natural gas.</w:t>
      </w:r>
    </w:p>
    <w:p>
      <w:pPr>
        <w:spacing w:after="0" w:line="175"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Reductions in capital spending or reductions in the prices we receive for our products and services provided to our customers could have a material adverse effect on our business, financial condition and results of operations. Spending by exploration and production companies can also be impacted by conditions in the capital markets, which may be volatile at times. Limitations on the availability of capital or higher costs of capital may cause exploration and production companies to make additional reductions to their capital budgets even if oil and natural gas prices increase from current levels. In addition, the transition of the global energy sector from primarily a fossil fuel-based system to renewable energy sources could affect our customers' levels of expenditures. Any such reductions in spending could curtail drilling programs, as well as discretionary spending on well services, which may result in a reduction in the demand for certain of our products and services, the rates we can charge for and the utilization of our assets, any or all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11</w:t>
      </w:r>
    </w:p>
    <w:p>
      <w:pPr>
        <w:sectPr>
          <w:pgSz w:w="11900" w:h="16838" w:orient="portrait"/>
          <w:cols w:equalWidth="0" w:num="1">
            <w:col w:w="11240"/>
          </w:cols>
          <w:pgMar w:left="320" w:top="378"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Our fulfillment system relies on a global network of external suppliers and service providers, which may be impacted by macroeconomic conditions and geopolitical conflict and instability. Shortages, supplier capacity constraints, supplier production disruptions, supplier quality and sourcing issues or price increases could have a material adverse effect on our business, financial condition and results of operations.</w:t>
      </w:r>
    </w:p>
    <w:p>
      <w:pPr>
        <w:spacing w:after="0" w:line="209" w:lineRule="exact"/>
        <w:rPr>
          <w:sz w:val="20"/>
          <w:szCs w:val="20"/>
          <w:color w:val="auto"/>
        </w:rPr>
      </w:pPr>
    </w:p>
    <w:p>
      <w:pPr>
        <w:jc w:val="both"/>
        <w:ind w:firstLine="324"/>
        <w:spacing w:after="0" w:line="233" w:lineRule="exact"/>
        <w:rPr>
          <w:sz w:val="20"/>
          <w:szCs w:val="20"/>
          <w:color w:val="auto"/>
        </w:rPr>
      </w:pPr>
      <w:r>
        <w:rPr>
          <w:rFonts w:ascii="Times New Roman" w:cs="Times New Roman" w:eastAsia="Times New Roman" w:hAnsi="Times New Roman"/>
          <w:sz w:val="18"/>
          <w:szCs w:val="18"/>
          <w:color w:val="auto"/>
        </w:rPr>
        <w:t>We purchase a variety of raw materials, as well as parts and components made by other manufacturers and suppliers for use in our manufacturing facilities. Our global supply chain is also subject to macroeconomic conditions and political risks. Adverse macroeconomic conditions, including inflation, slower growth or recession and higher interest rates could create disruptions in our supply chain. Similarly, geopolitical risks, including instability resulting from civil unrest, political demonstrations, strikes and armed conflict or other crises in the oil and gas producing regions, such as the Russia Ukraine Conflict and the resulting sanctions, could change the global supply chain dynamics and demand. A disruption in deliveries to or from suppliers or decreased availability of materials could have an adverse effect on our ability to meet our commitments to customers or increase our operating costs. Also, certain parts and equipment that we use in our operations may be available only from a small number of suppliers, manufacturers or service providers, or in some cases may be sourced through a single supplier, manufacturer or service provider. A disruption in the deliveries from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spacing w:after="0" w:line="243"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b w:val="1"/>
          <w:bCs w:val="1"/>
          <w:color w:val="auto"/>
        </w:rPr>
        <w:t>Climate change, environmental, social and governance (“ESG”) and other sustainability initiatives may result in regulatory or structural industry changes that could require significant operational changes and expenditures, reduce demand for our products and services and adversely affect our business, financial condition, results of operations, stock price or access to capital markets.</w:t>
      </w:r>
    </w:p>
    <w:p>
      <w:pPr>
        <w:spacing w:after="0" w:line="188"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Sustainability initiatives are a growing global movement. Continuing political and social attention to these issues has resulted in both existing and pending international agreements and national, regional and local legislation, regulatory measures, reporting obligations and policy changes.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significant equipment modifications, operational changes, taxes, or purchases of emission credits to reduce emission of greenhouse gases from our operations or those of our customers, which may result in substantial capital expenditures and compliance, operating, maintenance and remediation costs. As a result of heightened public awareness and attention to these issues as well as continued political and regulatory initiatives to reduce the reliance upon oil and natural gas, demand for hydrocarbons may be reduced, which could have an adverse effect on our business, financial condition, and results of operations. The imposition and enforcement of stringent greenhouse gas emissions reduction requirements could severely and adversely impact the oil and natural gas industry and therefore significantly reduce the value of our business.</w:t>
      </w:r>
    </w:p>
    <w:p>
      <w:pPr>
        <w:spacing w:after="0" w:line="20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Certain financial institutions, institutional investors and other sources of capital have begun to limit or eliminate their investment in financing of conventional energy-related activities due to concerns about climate change, which could make it more difficult for our customers and for us to finance our respective businesses. Increasing attention to climate change, ESG and sustainability has resulted in governmental investigations, and public and private litigation, which could increase our costs or otherwise adversely affect our business or results of operations.</w:t>
      </w:r>
    </w:p>
    <w:p>
      <w:pPr>
        <w:spacing w:after="0" w:line="21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companies or industries, which could have a negative impact on the price of our securities and our access to and costs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12</w:t>
      </w:r>
    </w:p>
    <w:p>
      <w:pPr>
        <w:sectPr>
          <w:pgSz w:w="11900" w:h="16838" w:orient="portrait"/>
          <w:cols w:equalWidth="0" w:num="1">
            <w:col w:w="11240"/>
          </w:cols>
          <w:pgMar w:left="320" w:top="378" w:right="33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auto"/>
        </w:rPr>
        <w:t>Any or all of these ESG and sustainability initiatives may result in significant operational changes and expenditures, reduced demand for our products and services, and could materially adversely affect our business, financial condition, results of operations, stock price or access to capital markets.</w:t>
      </w:r>
    </w:p>
    <w:p>
      <w:pPr>
        <w:spacing w:after="0" w:line="171"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need to operate more sustainably and with a lower carbon footprint and impact could adversely affect our business, results of operations and cash flows.</w:t>
      </w:r>
    </w:p>
    <w:p>
      <w:pPr>
        <w:spacing w:after="0" w:line="17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may also consider engaging with our customers to develop solutions to decarbonize our customers’ oil and natural gas operations. We could potentially lose engagement with customers, investors and/or certain financial institutions if we fail or are perceived to fail at effectively and timely addressing the need to conduct our operations and provision of services to our customers more sustainably and with a lower carbon footprint which could materially adversely affect our business, financial condition and results of operations.</w:t>
      </w:r>
    </w:p>
    <w:p>
      <w:pPr>
        <w:spacing w:after="0" w:line="201"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Failure to effectively and timely address the energy transition could materially adversely affect our business, financial condition and results of operations.</w:t>
      </w:r>
    </w:p>
    <w:p>
      <w:pPr>
        <w:spacing w:after="0" w:line="172"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Our long-term success depends on our ability to effectively participate in the energy transition, which will require adapting our technology portfolio to potentially changing market demand for products and services and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it could materially adversely affect our business, financial condition, results of reparations and our access to capital or the market for our securities.</w:t>
      </w:r>
    </w:p>
    <w:p>
      <w:pPr>
        <w:spacing w:after="0" w:line="220"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Severe weather, including extreme weather conditions and unusual wildfires, has in the past, and could in the future, adversely affect our business and results of operations.</w:t>
      </w:r>
    </w:p>
    <w:p>
      <w:pPr>
        <w:spacing w:after="0" w:line="19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business has been, and in the future will likely be, affected by severe weather and unusual wildfires in areas where we operate, which could materially adversely affect our operations. In addition, the frequency and severity of these events may also materially affect our operations and financial results. Any such events could have a material adverse effect on our business, financial condition and results of operations.</w:t>
      </w:r>
    </w:p>
    <w:p>
      <w:pPr>
        <w:spacing w:after="0" w:line="192"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Liability claims resulting from catastrophic incidents could have a material adverse effect on our business, financial condition and results of operations.</w:t>
      </w:r>
    </w:p>
    <w:p>
      <w:pPr>
        <w:spacing w:after="0" w:line="172"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equipment failures,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13</w:t>
      </w:r>
    </w:p>
    <w:p>
      <w:pPr>
        <w:sectPr>
          <w:pgSz w:w="11900" w:h="16838" w:orient="portrait"/>
          <w:cols w:equalWidth="0" w:num="1">
            <w:col w:w="11240"/>
          </w:cols>
          <w:pgMar w:left="320" w:top="378" w:right="33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Operational Risks</w:t>
      </w:r>
    </w:p>
    <w:p>
      <w:pPr>
        <w:spacing w:after="0" w:line="293" w:lineRule="exact"/>
        <w:rPr>
          <w:sz w:val="20"/>
          <w:szCs w:val="20"/>
          <w:color w:val="auto"/>
        </w:rPr>
      </w:pPr>
    </w:p>
    <w:p>
      <w:pPr>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operations outside the U.S., which exposes us to risks inherent in doing business in each of the approximately 75 countries in which we operate.</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U.S. accounted for 16%, 20% and 19% of revenues in 2023, 2022 and 2021, respectively. The rest of our revenues were from non-U.S.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countries other than the U.S. are subject to various risks, including:</w:t>
      </w:r>
    </w:p>
    <w:p>
      <w:pPr>
        <w:spacing w:after="0" w:line="261" w:lineRule="exact"/>
        <w:rPr>
          <w:sz w:val="20"/>
          <w:szCs w:val="20"/>
          <w:color w:val="auto"/>
        </w:rPr>
      </w:pPr>
    </w:p>
    <w:p>
      <w:pPr>
        <w:ind w:left="980" w:hanging="324"/>
        <w:spacing w:after="0" w:line="27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44" w:lineRule="exact"/>
        <w:rPr>
          <w:rFonts w:ascii="Times New Roman" w:cs="Times New Roman" w:eastAsia="Times New Roman" w:hAnsi="Times New Roman"/>
          <w:sz w:val="18"/>
          <w:szCs w:val="18"/>
          <w:color w:val="auto"/>
        </w:rPr>
      </w:pPr>
    </w:p>
    <w:p>
      <w:pPr>
        <w:ind w:left="980" w:hanging="324"/>
        <w:spacing w:after="0" w:line="27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980" w:hanging="324"/>
        <w:spacing w:after="0" w:line="278"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the potential for such issues to exacerbate other risks we face;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deprivation of contract rights or other governmental actions;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political corruption;</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international laws and regulations;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responses to a pandemic and related restrictions;</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36" w:lineRule="exact"/>
        <w:rPr>
          <w:rFonts w:ascii="Times New Roman" w:cs="Times New Roman" w:eastAsia="Times New Roman" w:hAnsi="Times New Roman"/>
          <w:sz w:val="18"/>
          <w:szCs w:val="18"/>
          <w:color w:val="auto"/>
        </w:rPr>
      </w:pPr>
    </w:p>
    <w:p>
      <w:pPr>
        <w:ind w:left="980" w:hanging="324"/>
        <w:spacing w:after="0" w:line="289"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Kingdom, the U.S. or other countries, including in response to the Russia Ukraine Conflict;</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under the U.S. Foreign Corrupt Practices Act or similar governmental legislation in other countries; and</w:t>
      </w:r>
    </w:p>
    <w:p>
      <w:pPr>
        <w:spacing w:after="0" w:line="4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275"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A concentration of our accounts receivables and revenues were related to one customer and significant changes to the demand or health of the customer could adversely impact our consolidated results of operations, financial condition and statements of cashflows.</w:t>
      </w:r>
    </w:p>
    <w:p>
      <w:pPr>
        <w:spacing w:after="0" w:line="17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Approximately 10% of our 2023 revenue and approximately 22% of our December 31, 2023 accounts receivables were related to our largest customer in Mexico. Additionally, during the fourth quarter of 2023, we entered into a credit default swap (“CDS”) with a third-party financial institution as described in “Note 10 – Derivative Financial Instruments” related to a secured loan between that third-party financial institution and our largest customer in Mexico. The secured loan was utilized by this customer to pay certain of our outstanding receivables. We expect the concentration risk to continue into 2024.</w:t>
      </w:r>
    </w:p>
    <w:p>
      <w:pPr>
        <w:spacing w:after="0" w:line="218"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Business slowdowns or other items impacting the financial health of the customer could potentially have an adverse impact on our results of operations.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business could be negatively affected by cybersecurity incidents and other technology disruptions.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rely heavily on information systems and other digital technology to conduct and protect our business. These information systems and other digital technology are subject to the risk of increasingly sophisticated cybersecurity attacks, incursions or other incidents such as unauthorized access to data and systems, loss or destruction of data (including confidential customer, supplier and employee information), computer viruses, or other malicious code, phishing and cyberattacks, and other similar events. These incidents could arise from numerous sources, including those outside our control, including fraud or malice on the part of third parties, governmental actors, accidental technological failure, electrical or telecommunication outages, failures of computer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14</w:t>
      </w:r>
    </w:p>
    <w:p>
      <w:pPr>
        <w:sectPr>
          <w:pgSz w:w="11900" w:h="16838" w:orient="portrait"/>
          <w:cols w:equalWidth="0" w:num="1">
            <w:col w:w="11240"/>
          </w:cols>
          <w:pgMar w:left="320" w:top="378" w:right="33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servers or other damage to our property or assets, human error, complications encountered as existing systems are maintained, repaired, replaced, or upgraded or outbreaks of hostilities or terrorist acts.</w:t>
      </w:r>
    </w:p>
    <w:p>
      <w:pPr>
        <w:spacing w:after="0" w:line="175"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Given the rapidly evolving nature of cybersecurity incidents, there can be no assurance that the controls we have designed and implemented to prevent or limit the effects of cybersecurity incidents or attacks will be sufficient in preventing or limiting the effects of all such incidents or attacks or be able to avoid a material impact to our systems should such incidents or attacks occur. Recent widespread cybersecurity incidents and attacks in the U.S. and elsewhere have affected many companies. To date, none of these have had a material impact on us. Cybersecurity incidents can result in the disclosure of confidential or proprietary customer, supplier or employee information; theft or loss of intellectual property; impairment in our ability to operate or conduct our business; damage to our reputation with our customers, suppliers, employees and the market; failure to meet customer requirements or result in customer dissatisfaction; legal and regulatory exposure, including fines or legal proceedings (including as a result of our failure to make adequate or timely disclosures to the public, government agencies or affected individuals); damage to equipment (which could cause environmental or safety issues) and other financial costs and losses, including as a result of any remediation efforts. While Weatherford imposes controls on third-party system connectivity to our systems, the risks from an attack via a third-party remain.</w:t>
      </w:r>
    </w:p>
    <w:p>
      <w:pPr>
        <w:spacing w:after="0" w:line="229"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The occurrence of a cybersecurity incident can go unnoticed for a period of time despite efforts to detect and respond in a timely manner. Any investigation of a cybersecurity incident is inherently unpredictable, and it takes time before the completion of any investigation and before there is availability of full and reliable information. Even when an attack has been detected, it is not always immediately apparent what the full nature and scope of any potential harm may be, or how best to remediate it, and certain errors or actions could be repeated or compounded before they are discovered and remediated, all or any of which further increase the risks, costs and consequences of a cybersecurity event or other technology disruption. As cybersecurity incidents and attacks continue to evolve, we may be required to expend significant additional resources and incur significant expenses to continue to modify or enhance our protective measures or to investigate, respond to or remediate any information security vulnerabilities.</w:t>
      </w:r>
    </w:p>
    <w:p>
      <w:pPr>
        <w:spacing w:after="0" w:line="210"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Depending on the nature and scope of the cybersecurity incident, it could have a material adverse effect on our business, reputation, financial condition and results of operations.</w:t>
      </w:r>
    </w:p>
    <w:p>
      <w:pPr>
        <w:spacing w:after="0" w:line="199" w:lineRule="exact"/>
        <w:rPr>
          <w:sz w:val="20"/>
          <w:szCs w:val="20"/>
          <w:color w:val="auto"/>
        </w:rPr>
      </w:pPr>
    </w:p>
    <w:p>
      <w:pPr>
        <w:jc w:val="both"/>
        <w:ind w:right="20" w:firstLine="324"/>
        <w:spacing w:after="0" w:line="302" w:lineRule="auto"/>
        <w:rPr>
          <w:sz w:val="20"/>
          <w:szCs w:val="20"/>
          <w:color w:val="auto"/>
        </w:rPr>
      </w:pPr>
      <w:r>
        <w:rPr>
          <w:rFonts w:ascii="Times New Roman" w:cs="Times New Roman" w:eastAsia="Times New Roman" w:hAnsi="Times New Roman"/>
          <w:sz w:val="18"/>
          <w:szCs w:val="18"/>
          <w:b w:val="1"/>
          <w:bCs w:val="1"/>
          <w:color w:val="auto"/>
        </w:rPr>
        <w:t>A pandemic significantly weakened demand for our products and services and had a substantial negative impact on our business, financial condition, results of operations and cash flows. A future pandemic may result in similar impacts.</w:t>
      </w:r>
    </w:p>
    <w:p>
      <w:pPr>
        <w:spacing w:after="0" w:line="18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effects of the COVID-19 pandemic in 2020 and 2021, including actions taken by businesses and governments to contain the spread of the virus, resulted in a significant reduction in international and U.S. economic activity and severely impacted our business and our industry. The effects included adverse revenue and net income impacts; disruptions to our operations; customer shutdowns of oil and natural gas exploration and production; employee impacts from illness, school closures and other community response measures; and temporary closures of our facilities or the facilities of our customers and suppliers.</w:t>
      </w:r>
    </w:p>
    <w:p>
      <w:pPr>
        <w:spacing w:after="0" w:line="21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COVID-19 pandemic, and the volatile regional and global economic conditions stemming from the pandemic, exacerbated the potential negative impact from many of the other risks we face. We believe that a future pandemic may result in similar impacts and could also include, but not limited to:</w:t>
      </w:r>
    </w:p>
    <w:p>
      <w:pPr>
        <w:spacing w:after="0" w:line="230" w:lineRule="exact"/>
        <w:rPr>
          <w:sz w:val="20"/>
          <w:szCs w:val="20"/>
          <w:color w:val="auto"/>
        </w:rPr>
      </w:pPr>
    </w:p>
    <w:p>
      <w:pPr>
        <w:ind w:left="660" w:right="2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Structural shift in the global economy and its demand for oil and natural gas as a result of changes in the way people work, travel and interact, or in connection with a global or regional recession or depression;</w:t>
      </w:r>
    </w:p>
    <w:p>
      <w:pPr>
        <w:spacing w:after="0" w:line="24"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Reduction of our global workforce to adjust to market conditions, including severance payments, retention issues, and an inability to hire employees when market conditions improve;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Infections and quarantining of our employees and the personnel of our customers, suppliers and other third parties in areas in which we operate;</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Our insurance policies may not cover losses associated with pandemics or similar global health threats;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15</w:t>
      </w:r>
    </w:p>
    <w:p>
      <w:pPr>
        <w:sectPr>
          <w:pgSz w:w="11900" w:h="16838" w:orient="portrait"/>
          <w:cols w:equalWidth="0" w:num="1">
            <w:col w:w="11240"/>
          </w:cols>
          <w:pgMar w:left="320" w:top="378" w:right="33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68" w:lineRule="exact"/>
        <w:rPr>
          <w:sz w:val="20"/>
          <w:szCs w:val="20"/>
          <w:color w:val="auto"/>
        </w:rPr>
      </w:pPr>
    </w:p>
    <w:p>
      <w:pPr>
        <w:ind w:left="6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Litigation risk and possible loss contingencies related to a pandemic and its impact, including with respect to commercial contracts, employment matters, personal injury and insurance arrangements; and</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 experience a higher rate of cybersecurity attacks, intrusions or incidents in the current environment of remote connectivity, as well as increased geopolitical conflicts and tensions.</w:t>
      </w:r>
    </w:p>
    <w:p>
      <w:pPr>
        <w:spacing w:after="0" w:line="236"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color w:val="auto"/>
        </w:rPr>
        <w:t>Our business is dependent upon our ability to efficiently and effectively perform and provide products and services to our customers. As such, we are subject to risks associated with cost over-runs, operating cost inflation, global supply chain disruptions, labor availability, supplier and contractor pricing and performance, and our need to continually improve and invest in our people, processes and systems. Our inability to efficiently and effectively mitigate these risks, or our inability to make timely investments could have an adverse effect on our business, financial condition and results of operations.</w:t>
      </w:r>
    </w:p>
    <w:p>
      <w:pPr>
        <w:spacing w:after="0" w:line="217"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Our customers rely on our ability to efficiently perform and execute on the delivery of our products and services, and a low success rate could adversely impact margins and our ability to obtain market share. Additionally, we continuously identify opportunities to invest in our people, processes and systems, however, we may not be able to adjust quickly enough to capitalize on market share during times of industry growth, or the returns on our investments may not outpace margin deterioration at times of slower activity.</w:t>
      </w:r>
    </w:p>
    <w:p>
      <w:pPr>
        <w:spacing w:after="0" w:line="198"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We sometimes provide integrated project management services in the form of long-term, fixed price contracts where we are both the project manager and service provider. Accordingly, under these contracts, we assume additional risks associated with engaging with certain third-party subcontractors, operating cost inflation, labor availability and productivity, global supply chain disruptions, supplier pricing and performance, and potential claims for liquidated damages. If we are unable to complete these contracts effectively and timely, it could potentially have an adverse impact on our results of operations.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operational and financial growth, in part, is dependent upon our liquidity requirements and the adequacy of our capital resources.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liquidity, including our ability to meet our ongoing operational obligations, as well as service our debt, is dependent upon, among other things: (i) our ability to maintain adequate cash on hand; (ii) our ability to generate cash flow from operations; (iii) our ability to access the capital markets; and (iv) changes in market conditions that would negatively impact our revenue or our profits.</w:t>
      </w:r>
    </w:p>
    <w:p>
      <w:pPr>
        <w:spacing w:after="0" w:line="196" w:lineRule="exact"/>
        <w:rPr>
          <w:sz w:val="20"/>
          <w:szCs w:val="20"/>
          <w:color w:val="auto"/>
        </w:rPr>
      </w:pPr>
    </w:p>
    <w:p>
      <w:pPr>
        <w:jc w:val="both"/>
        <w:ind w:firstLine="324"/>
        <w:spacing w:after="0" w:line="290" w:lineRule="auto"/>
        <w:rPr>
          <w:sz w:val="20"/>
          <w:szCs w:val="20"/>
          <w:color w:val="auto"/>
        </w:rPr>
      </w:pPr>
      <w:r>
        <w:rPr>
          <w:rFonts w:ascii="Times New Roman" w:cs="Times New Roman" w:eastAsia="Times New Roman" w:hAnsi="Times New Roman"/>
          <w:sz w:val="18"/>
          <w:szCs w:val="18"/>
          <w:color w:val="auto"/>
        </w:rPr>
        <w:t>At times, the energy industry has faced negative sentiment in the capital markets which has impacted the ability of participants to access appropriate amounts of capital upon suitable terms. This negative sentiment has not only impacted our customers in North America, it has also affected the availability and the pricing for most credit lines and other capital resources extended to participants in the industry, including us.</w:t>
      </w:r>
    </w:p>
    <w:p>
      <w:pPr>
        <w:spacing w:after="0" w:line="2"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spacing w:after="0" w:line="195"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our amended and restated credit agreement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16</w:t>
      </w:r>
    </w:p>
    <w:p>
      <w:pPr>
        <w:sectPr>
          <w:pgSz w:w="11900" w:h="16838" w:orient="portrait"/>
          <w:cols w:equalWidth="0" w:num="1">
            <w:col w:w="11240"/>
          </w:cols>
          <w:pgMar w:left="320" w:top="378" w:right="33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Latin America we utilize surety bonds as part of our customary business practice. As of December 31, 2023, we had $594 million of surety bonds outstanding. Any of our outstanding letters of credit or surety bonds could be called by the beneficiaries should we breach certain contractual or performance obligations and could reduce our available liquidity if we are unable mitigate the issue.</w:t>
      </w:r>
    </w:p>
    <w:p>
      <w:pPr>
        <w:spacing w:after="0" w:line="206"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We may not be fully indemnified against financial losses in all circumstances where damage to or loss of property, personal injury, death or environmental harm occur.</w:t>
      </w:r>
    </w:p>
    <w:p>
      <w:pPr>
        <w:spacing w:after="0" w:line="19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20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71"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w:t>
      </w:r>
    </w:p>
    <w:p>
      <w:pPr>
        <w:spacing w:after="0" w:line="172"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As of December 31, 2023, we had $168 million of short-term and $1.7 billion of long-term debt, all accruing interest. If business activity declines, or otherwise does not increase, our level of indebtedness could have negative consequences for our business, financial condition and results of operations, including:</w:t>
      </w:r>
    </w:p>
    <w:p>
      <w:pPr>
        <w:spacing w:after="0" w:line="21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refinance our existing debt, on terms that are commercially acceptable to us;</w:t>
      </w:r>
    </w:p>
    <w:p>
      <w:pPr>
        <w:spacing w:after="0" w:line="103"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thereby reducing our free cash flow and the amount of our cash flow available for other purposes;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w:t>
      </w:r>
    </w:p>
    <w:p>
      <w:pPr>
        <w:spacing w:after="0" w:line="90" w:lineRule="exact"/>
        <w:rPr>
          <w:rFonts w:ascii="Times New Roman" w:cs="Times New Roman" w:eastAsia="Times New Roman" w:hAnsi="Times New Roman"/>
          <w:sz w:val="18"/>
          <w:szCs w:val="18"/>
          <w:color w:val="auto"/>
        </w:rPr>
      </w:pPr>
    </w:p>
    <w:p>
      <w:pPr>
        <w:ind w:left="660" w:hanging="328"/>
        <w:spacing w:after="0" w:line="32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less leveraged competitors or competitors that may have better access to capital resources;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34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as a result, could adversely impact our liquidity position. Any harm to our business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17</w:t>
      </w:r>
    </w:p>
    <w:p>
      <w:pPr>
        <w:sectPr>
          <w:pgSz w:w="11900" w:h="16838" w:orient="portrait"/>
          <w:cols w:equalWidth="0" w:num="1">
            <w:col w:w="11240"/>
          </w:cols>
          <w:pgMar w:left="320" w:top="378" w:right="3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resulting from our current or future level of indebtedness could adversely affect our ability to pay amounts due to our lenders and noteholders.</w:t>
      </w:r>
    </w:p>
    <w:p>
      <w:pPr>
        <w:spacing w:after="0" w:line="275"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9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spacing w:after="0" w:line="20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96"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219"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There may be circumstances in which the interests of our significant shareholders could be in conflict with the interests of our other shareholders.</w:t>
      </w:r>
    </w:p>
    <w:p>
      <w:pPr>
        <w:spacing w:after="0" w:line="17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the aggregate, certain funds associated with our nine largest shareholders own approximately 51%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could be in conflict with the interest of our other shareholders. In addition, our significant concentration of share ownership may adversely affect the trading price of our securities because investors may perceive disadvantages in owning securities in companies with significant shareholders and may restrict the trading volume in our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18</w:t>
      </w:r>
    </w:p>
    <w:p>
      <w:pPr>
        <w:sectPr>
          <w:pgSz w:w="11900" w:h="16838" w:orient="portrait"/>
          <w:cols w:equalWidth="0" w:num="1">
            <w:col w:w="11240"/>
          </w:cols>
          <w:pgMar w:left="320" w:top="378" w:right="33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The terms of our indebtedness restrict our current and future operations, particularly our ability to respond to changes or to pursue our business strategies.</w:t>
      </w:r>
    </w:p>
    <w:p>
      <w:pPr>
        <w:spacing w:after="0" w:line="172"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Credit Agreement and the indentures governing our 6.5% Senior Secured Notes maturing on September 15, 2028 (“2028 Senior Secured Notes”) and our 8.625% Senior Notes maturing April 30, 2030 (the “2030 Senior Notes”), contain certain restrictive or limiting covenants that may impose significant operating and financial restrictions on us and may limit our ability to engage in acts that we may believe to be in our long-term best interest, including the following:</w:t>
      </w:r>
    </w:p>
    <w:p>
      <w:pPr>
        <w:spacing w:after="0" w:line="21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additional indebtedness;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limiting payment of dividends and other distributions;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prepayment, redemption or repurchase certain debt;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making loans and assets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selling assets and incur liens</w:t>
      </w:r>
    </w:p>
    <w:p>
      <w:pPr>
        <w:spacing w:after="0" w:line="9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minimum interest coverage ratio, maximum ratio of funded debt, and certain other financial ratios, which may apply in certain circumstances, and other restrictions. Our ability to meet the liquidity thresholds or those financial ratios could be affected by events beyond our control.</w:t>
      </w:r>
    </w:p>
    <w:p>
      <w:pPr>
        <w:spacing w:after="0" w:line="20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 breach of the covenants and other restrictions in any of our indebtedness could result in an event of default thereunder. Such a default may allow the lenders, holders or the trustee, as applicable, to accelerate the related indebtedness which may result in the acceleration of any other indebtedness or to foreclose on our assets, of which substantially all of our assets are secured by certain lenders. In addition, an event of default under the Credit Agreement would permit the lenders thereunder to terminate all commitments.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Failure to attract, retain and develop qualified personnel could impede our operations.</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future success depends on our ability to attract, retain and develop qualified personnel to operate and to provide services and support for our business. We may experience employee turnover or labor shortages if our business requirements and/or expectations are inconsistent with the expectations of our employees or if our employees or potential employees decide to pursue employment in fields with less volatility than in the energy industry. Additionally, during periods of increased demand for products and services in our industry, competition for qualified personnel may increase and the availability of qualified personnel may be further constrained. Failure to attract, retain and develop qualified personnel could have an adverse effect on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19</w:t>
      </w:r>
    </w:p>
    <w:p>
      <w:pPr>
        <w:sectPr>
          <w:pgSz w:w="11900" w:h="16838" w:orient="portrait"/>
          <w:cols w:equalWidth="0" w:num="1">
            <w:col w:w="11240"/>
          </w:cols>
          <w:pgMar w:left="320" w:top="378" w:right="33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Legal, Tax and Regulatory Risks</w:t>
      </w:r>
    </w:p>
    <w:p>
      <w:pPr>
        <w:spacing w:after="0" w:line="293"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b w:val="1"/>
          <w:bCs w:val="1"/>
          <w:color w:val="auto"/>
        </w:rPr>
        <w:t>Our operations are subject to numerous current and future social and governance related legislative and regulatory measures both globally and in the specific geographic regions in which we and our customers operate, including treaties and international agreements related to “sustainability” initiatives like greenhouse gases, climate change and renewable energy sources. Our ability to comply with, and respond to current and future changes may expose us to significant liabilities, result in additional compliance costs and could reduce our business opportunities and revenues.</w:t>
      </w:r>
    </w:p>
    <w:p>
      <w:pPr>
        <w:spacing w:after="0" w:line="204"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or former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in the Gulf of Mexico and elsewhere in the world could be imposed, and those regulations could limit our business where they are imposed.</w:t>
      </w:r>
    </w:p>
    <w:p>
      <w:pPr>
        <w:spacing w:after="0" w:line="208"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natural gas wells in low-permeability reservoirs. We previously provided (and may, in the future, resume providing) fracturing services to customers. Regulators periodically investigate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restricting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commitments and disclosures may expose us to reputational risks and legal liability.</w:t>
      </w:r>
    </w:p>
    <w:p>
      <w:pPr>
        <w:spacing w:after="0" w:line="270"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Increasing focus on ESG factors has led to enhanced interest in, and review of performance results by investors and other stakeholders, and the potential for litigation and reputational risk. In 2022, we made certain public commitments to various corporate ESG initiatives, including our commitment to achieve net-zero emissions for Scope 1 and 2 by 2050 and signing on to the UN Global Compact. Any failure, or perceived failure, to achieve or accurately report on our commitments in our disclosures, including our annual Sustainability Report and our other disclosures on these matters, could harm our reputation and adversely affect our client relationships or our recruitment and retention efforts, as well as expose us to potential legal liability. In addition, positions we take or do not take on social issues may be unpopular with some of our employees, our clients or potential clients, shareholders, investors, governments or advocacy groups, which may impact our ability to attract or retain employees or the demand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20</w:t>
      </w:r>
    </w:p>
    <w:p>
      <w:pPr>
        <w:sectPr>
          <w:pgSz w:w="11900" w:h="16838" w:orient="portrait"/>
          <w:cols w:equalWidth="0" w:num="1">
            <w:col w:w="11240"/>
          </w:cols>
          <w:pgMar w:left="320" w:top="378" w:right="3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Increasing focus on ESG matters has resulted in the adoption of legal and regulatory requirements designed to mitigate the effects of climate change on the environment, as well as legal and regulatory requirements requiring climate, human rights and supply chain-related disclosures. We expect these types of regulatory requirements related to ESG matters to continue to expand globally. If new laws or regulations are more stringent than current legal or regulatory requirements or involve reporting information according to differing standards and frameworks in the countries in which we operate, we may experience increased compliance burdens and costs to meet such obligations. In addition, our selection of voluntary disclosure frameworks and standards, and the interpretation or application of those frameworks and standards, may change from time to time or may not satisfy varying regulatory requirements or the expectations of investors or other stakeholders.</w:t>
      </w:r>
    </w:p>
    <w:p>
      <w:pPr>
        <w:spacing w:after="0" w:line="224"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Our ability to achieve our ESG commitments, including our goals relating to sustainability and inclusion and diversity, is subject to numerous risks, many of which are outside of our control. Examples of such risks include: (1) our ability to operate more sustainably and with a lower carbon footprint; (2) the availability and cost of low- or non-carbon-based energy sources and technologies; (3) evolving and potentially conflicting global regulatory requirements affecting ESG standards or disclosures; (4) the availability of suppliers that can meet our sustainability, diversity and other standards; and (5) our ability to recruit, develop, and retain diverse talent.</w:t>
      </w:r>
    </w:p>
    <w:p>
      <w:pPr>
        <w:spacing w:after="0" w:line="210"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In addition, standards for tracking and reporting on ESG matters, including climate change and human rights related matters, have not been harmonized and continue to evolve. Methodologies for reporting ESG data may be updated requiring that previously reported ESG data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to address obtaining information that resides in multiple internal systems and responding to multiple disparate standards for identifying, measuring, and reporting ESG metrics, including ESG-related disclosures that may be required by the SEC, European and other regulators. Such standards are currently not consistent and may change over time, which could result in significant revisions to our current goals, reported progress in achieving such goals, or ability to achieve such goals in the future.</w:t>
      </w:r>
    </w:p>
    <w:p>
      <w:pPr>
        <w:spacing w:after="0" w:line="218"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9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Changes in tax laws could significantly increase our tax expense and require us to take actions, at potential significant expense, to seek to preserve our current level of tax expense.</w:t>
      </w:r>
    </w:p>
    <w:p>
      <w:pPr>
        <w:spacing w:after="0" w:line="20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2002, we reorganized from the U.S.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21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The Organization of Economic Cooperation and Development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In addition, the OECD has advanced reforms focused on global profit allocation and implementing a global minimum tax rate of at least 15% for large multinational corporations on a jurisdiction-by-jurisdiction basis, known as “Pillar Two.” On October 8, 2021, the OECD announced an accord endorsing and providing an implementation plan for Pillar Two agreed upon by 136 nations. On December 15, 2022, the European Council formally adopted a European Union directive on the implementation of the plan by January 1, 2024. Numerous countries, including Ireland have enacted legislation implementing Pillar Two effective January 1, 2024. This is not expected to materially increase the taxes we owe; however, if future legislation is enacted to implement the accord in some or all the jurisdictions in which we have operations, it could materially increase the amount of taxes we owe, thereby negatively affecting our results of operations and our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21</w:t>
      </w:r>
    </w:p>
    <w:p>
      <w:pPr>
        <w:sectPr>
          <w:pgSz w:w="11900" w:h="16838" w:orient="portrait"/>
          <w:cols w:equalWidth="0" w:num="1">
            <w:col w:w="11240"/>
          </w:cols>
          <w:pgMar w:left="320" w:top="378" w:right="3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approximately 90% of our deferred tax assets.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If a U.S. person is treated as owning at least 10% of our shares, such holder may be subject to adverse U.S. federal income tax consequences.</w:t>
      </w:r>
    </w:p>
    <w:p>
      <w:pPr>
        <w:spacing w:after="0" w:line="297"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As a result of the Tax Cuts and Jobs Act of 2017, many of our non-U.S. subsidiaries are now classified as “controlled foreign corporations”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person may be treated as a “U.S. shareholder” with respect to one or more of our controlled foreign corporation subsidiaries. In addition, if our shares are treated as owned more than 50% by U.S. shareholders, we would be treated as a controlled foreign corporation. A U.S.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U.S. shareholder. An individual U.S. shareholder generally would not be allowed certain tax deductions or foreign tax credits that would be allowed to a corporate U.S. shareholder with respect to a controlled foreign corporation.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controlled foreign corporations or whether any investor is a U.S. shareholder with respect to any such controlled foreign corporations. We also cannot guarantee that we will furnish to U.S. shareholders information that may be necessary for them to comply with the aforementioned obligations. U.S.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shares.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United States could treat Weatherford International plc (parent corporation) as a United States taxpayer under IRC Section 7874.</w:t>
      </w:r>
    </w:p>
    <w:p>
      <w:pPr>
        <w:spacing w:after="0" w:line="297"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Following the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applies) of the shares of the foreign acquiring corporation after the acquisition by reason of holding shares in the U.S. acquired corporation, and (iii) the foreign corporation’s “expanded affiliated group” does not have substantial business</w:t>
      </w:r>
    </w:p>
    <w:p>
      <w:pPr>
        <w:spacing w:after="0" w:line="2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activities in the foreign corporation’s country of organization or incorporation relative to such expanded affiliated group’s worldwide activities. Although it is not free from doubt, we believe that as a result of the implementation of the plan of reorganization in 2019, PLC should not be treated as acquiring directly or indirectly substantially all of the properties of a U.S. corporation and, as a result, PLC is not expected to be treated as a U.S. corporation or</w:t>
      </w:r>
    </w:p>
    <w:p>
      <w:pPr>
        <w:spacing w:after="0" w:line="200" w:lineRule="exact"/>
        <w:rPr>
          <w:sz w:val="20"/>
          <w:szCs w:val="20"/>
          <w:color w:val="auto"/>
        </w:rPr>
      </w:pPr>
    </w:p>
    <w:p>
      <w:pPr>
        <w:spacing w:after="0" w:line="39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22</w:t>
      </w:r>
    </w:p>
    <w:p>
      <w:pPr>
        <w:sectPr>
          <w:pgSz w:w="11900" w:h="16838" w:orient="portrait"/>
          <w:cols w:equalWidth="0" w:num="1">
            <w:col w:w="11240"/>
          </w:cols>
          <w:pgMar w:left="320" w:top="378" w:right="33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214" w:lineRule="exact"/>
        <w:rPr>
          <w:sz w:val="20"/>
          <w:szCs w:val="20"/>
          <w:color w:val="auto"/>
        </w:rPr>
      </w:pPr>
    </w:p>
    <w:p>
      <w:pPr>
        <w:jc w:val="both"/>
        <w:ind w:right="20"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19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201"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72"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Similarly, judgments might not be enforceable in countries other than the United States where we have assets.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79"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Interruptions in the proper functioning of our information systems or other issues with our enterprise resource systems could cause disruption to our operations.</w:t>
      </w:r>
    </w:p>
    <w:p>
      <w:pPr>
        <w:spacing w:after="0" w:line="172"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rely extensively on our information systems to manage our business, data, communications, supply chain, ordering, pricing, billing, inventory replenishment, accounting functions, and other processes. Our enterprise resource systems are subject to damage or interruption from various sources, including obsolescence, power outages, computer and telecommunications failures, computer viruses, cyber security breaches, vandalism, severe weather conditions, catastrophic events, terrorism, and human error, and our disaster recovery planning cannot account for all eventualities. Our disaster recovery measures may or may not address all potential contingencies. If our systems are damaged, fail to function properly, or otherwise become compromised or unavailable, we may incur substantial costs to repair or replace them, and we may experience loss of critical data or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23</w:t>
      </w:r>
    </w:p>
    <w:p>
      <w:pPr>
        <w:sectPr>
          <w:pgSz w:w="11900" w:h="16838" w:orient="portrait"/>
          <w:cols w:equalWidth="0" w:num="1">
            <w:col w:w="11240"/>
          </w:cols>
          <w:pgMar w:left="320" w:top="378" w:right="33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8"/>
          <w:szCs w:val="18"/>
          <w:color w:val="auto"/>
        </w:rPr>
        <w:t>Item 1A | 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interruptions or delays in our ability to perform critical functions, which could adversely affect our business, operating results, or financial condition.</w:t>
      </w:r>
    </w:p>
    <w:p>
      <w:pPr>
        <w:spacing w:after="0" w:line="29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Furthermore, certain of our information systems are aged and may require periodic modifications, upgrades, and replacements which may subject us to risks, including operating disruptions, substantial capital expenditures, or additional cost to implement new systems. The failure to properly or efficiently modify, upgrade, replace or implement such systems on a timely basis could materially disrupt our operations, and have a material adverse effect on our financial results.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If our long-lived assets and other assets are impaired, we may be required to record significant non-cash charges to our earnings.</w:t>
      </w:r>
    </w:p>
    <w:p>
      <w:pPr>
        <w:spacing w:after="0" w:line="27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operating lease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24</w:t>
      </w:r>
    </w:p>
    <w:p>
      <w:pPr>
        <w:sectPr>
          <w:pgSz w:w="11900" w:h="16838" w:orient="portrait"/>
          <w:cols w:equalWidth="0" w:num="1">
            <w:col w:w="11240"/>
          </w:cols>
          <w:pgMar w:left="320" w:top="378" w:right="33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8"/>
          <w:szCs w:val="18"/>
          <w:color w:val="auto"/>
        </w:rPr>
        <w:t>Item 1B through Item 4 | Unresolved Staff Comments through Mine Safety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Oversight and Governance</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is committed to protecting its information systems. These efforts are led by the Chief Information Officer (“CIO”). Our program is designed to align with international best practices used in our industry, such as the Cyber Security Framework from the National Institute of Standards and Technology (“NIST”).</w:t>
      </w:r>
    </w:p>
    <w:p>
      <w:pPr>
        <w:spacing w:after="0" w:line="218"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8"/>
          <w:szCs w:val="18"/>
          <w:color w:val="auto"/>
        </w:rPr>
        <w:t>Weatherford’s cybersecurity has been developed by the CIO and the information security team, in coordination with our Board and key members of our finance, assurance and legal teams. The information security team, which has years of experience selecting, deploying, and operating cybersecurity technologies and initiatives around the world, uses a risk-based approach in an effort to facilitate protection, detection and rapid response to threats. We seek to validate our approach through NIST Cyber Security Risk Assessments conducted by third parties and tested through penetration tests and tabletop exercises, as well as internal and external audits.</w:t>
      </w:r>
    </w:p>
    <w:p>
      <w:pPr>
        <w:spacing w:after="0" w:line="21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Information security is a key part of the Company’s Enterprise Risk Management (“ERM”) program, which is designed to identify and evaluate potentially material risks, the potential impact of these risks on the enterprise, as well as steps to control and mitigate those risks. The Company has established an ERM Committee that meets regularly to evaluate risks and coordinate a consistent approach to risk mitigation across the enterprise, including risks related to cybersecurity. The ERM Committee is comprised of certain members of our cross-functional executive leadership team.</w:t>
      </w:r>
    </w:p>
    <w:p>
      <w:pPr>
        <w:spacing w:after="0" w:line="21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CIO reports quarterly to senior management, including the Chief Executive Officer, Chief Financial Officer, Chief Accounting Officer and General Counsel, among others, on the status of company-wide cybersecurity initiatives, risks and other developments. The CIO or key members of the executive leadership team update the audit committee of our Board periodically on the cybersecurity landscape, the status of ongoing initiatives and any threats or other issues. The audit committee has ultimate oversight over the cybersecurity of the organization.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Awareness and Training</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offers multilingual training sessions and awareness campaigns to better equip our employees with knowledge and tools to safeguard our information systems. Cybersecurity training occurs during onboarding and refresher courses are taken annually. Weatherford performs simulated phishing campaigns to raise employee awareness and provide guidance on recognizing and reporting potential threats. Employees are encouraged to report on cybersecurity threats, data privacy incidents, or any other concerns.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Weatherford also provides guidance to support employees on acceptable use, remote access, encryption, cloud security, and anti-virus best practices.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has long included a safety moment at the beginning of major internal meetings, and cyber safety is an occasional topic.</w:t>
      </w:r>
    </w:p>
    <w:p>
      <w:pPr>
        <w:spacing w:after="0" w:line="27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believe our ongoing training and awareness campaigns reinforce the importance of employees in preventing cybersecurity incidents, and further the goal of continuously promoting Weatherford’s culture of safety, security and compliance.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Protection Systems</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has made significant investments in cyber protection systems, including by engaging third party service providers to actively search and monitor information systems for vulnerabilities through penetration testing and other means. In addition, multi-factor authentication and strong passwords are used across all major Weatherford systems in an effort to prevent unauthorized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25</w:t>
      </w:r>
    </w:p>
    <w:p>
      <w:pPr>
        <w:sectPr>
          <w:pgSz w:w="11900" w:h="16838" w:orient="portrait"/>
          <w:cols w:equalWidth="0" w:num="1">
            <w:col w:w="11240"/>
          </w:cols>
          <w:pgMar w:left="320" w:top="378" w:right="339" w:bottom="1440" w:gutter="0" w:footer="0" w:header="0"/>
        </w:sectPr>
      </w:pPr>
    </w:p>
    <w:bookmarkStart w:id="29" w:name="page30"/>
    <w:bookmarkEnd w:id="29"/>
    <w:p>
      <w:pPr>
        <w:ind w:left="500"/>
        <w:spacing w:after="0"/>
        <w:rPr>
          <w:sz w:val="20"/>
          <w:szCs w:val="20"/>
          <w:color w:val="auto"/>
        </w:rPr>
      </w:pPr>
      <w:r>
        <w:rPr>
          <w:rFonts w:ascii="Times New Roman" w:cs="Times New Roman" w:eastAsia="Times New Roman" w:hAnsi="Times New Roman"/>
          <w:sz w:val="18"/>
          <w:szCs w:val="18"/>
          <w:color w:val="auto"/>
        </w:rPr>
        <w:t>Item 1B through Item 4 | Unresolved Staff Comments through Mine Safety</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Weatherford personnel perform risk assessments on third-party products and platforms through a checklist-based review and interview process that aim to validate security controls. Third parties are often asked to provide additional documentation on security architecture, certifications and results of assessments. Cybersecurity approval is a key factor in approving a new third-party product or platform.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Detection and Response</w:t>
      </w:r>
    </w:p>
    <w:p>
      <w:pPr>
        <w:spacing w:after="0" w:line="27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Weatherford uses multiple internal and external resources to continuously monitor our information systems for evidence of a threat, breach or other incident.</w:t>
      </w:r>
    </w:p>
    <w:p>
      <w:pPr>
        <w:spacing w:after="0" w:line="176"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When a threat or other issue is identified, the information security team follows an incident response plan that outlines the process for investigating and addressing the issue. The incident response plan is focused on prompt interdisciplinary communication and coordination between the information security team and key members of the finance, legal, and communication teams, as well as senior management. The information security team also utilizes specific runbooks for various types of threats that are updated and expanded based on lessons learned and emerging best practices. Our incident response plan also provides for consideration of whether an incident is material, requiring disclosure to shareholders in SEC filings. Our team also has a disaster recovery plan, under which recovery testing occurs annually.</w:t>
      </w:r>
    </w:p>
    <w:p>
      <w:pPr>
        <w:spacing w:after="0" w:line="20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Weatherford expects to continually invest in the improvement of cybersecurity infrastructure, as systems and needs evolve and as the threat landscape changes. Because we employ a prevention-based improvement cycle that requires the response team for each threat or incident to consider the root cause of the issue and any lessons learned throughout the response process, we strive to make corrections and improvements in our policies and procedures that are designed to safeguard against future threats.</w:t>
      </w:r>
    </w:p>
    <w:p>
      <w:pPr>
        <w:spacing w:after="0" w:line="205"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While we believe our approach to cybersecurity is reasonable, given the rapidly evolving nature of cybersecurity incidents, there can be no assurance that the controls we have designed and implemented will be sufficient in preventing future incidents or attacks. See “Item 1A –Risk Factors – Our business could be negatively affected by cybersecurity incidents and other technology disruptions” for more information about cybersecurity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26</w:t>
      </w:r>
    </w:p>
    <w:p>
      <w:pPr>
        <w:sectPr>
          <w:pgSz w:w="11900" w:h="16838" w:orient="portrait"/>
          <w:cols w:equalWidth="0" w:num="1">
            <w:col w:w="11240"/>
          </w:cols>
          <w:pgMar w:left="320" w:top="378" w:right="33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8"/>
          <w:szCs w:val="18"/>
          <w:color w:val="auto"/>
        </w:rPr>
        <w:t>Item 2 | Properties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97"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We conduct business in approximately 75 countries and have manufacturing facilities, research and technology centers, fluids and processing centers and sales, service and distribution locations throughout the world. Our principal executive offices are in Houston, Texas, U.S. We own or lease numerous other facilities such as service centers, shops, sales and administrative offices throughout the geographic regions in which we operate. The major service centers where we support our segment operations are located in Villahermosa, Mexico; Villavicencio, Colombia; Dhahran, Saudi Arabia; Neuquen, Argentina; Abu Dhabi, United Arab Emirates; Mina Abdulla, Kuwait; Williston, North Dakota, U.S.; Nimr, Oman and Odessa, Texas, U.S. We operate research and technology centers in Houston, Texas, U.S.; Loughborough, United Kingdom; and Mumbai, India and have major manufacturing centers in JiangSu, China; Abu Dhabi, United Arab Emirates; Huntsville, Texas, U.S.; Vadodara, India and Hannover, Germany.</w:t>
      </w:r>
    </w:p>
    <w:p>
      <w:pPr>
        <w:spacing w:after="0" w:line="21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All of our material U.S., Canada and United Kingdom properties are mortgaged to the lenders under our 2028 Senior Secured Notes and Credit Agreement. Our remaining owned properties are unencumbered; however, the lenders could require we mortgage certain of these properties as well. We believe the facilities that we currently occupy are suitable for their intended use.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7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the subject of governmental and internal investigations related to alleged misconduct and violations of U.S. or international laws in the</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it could have a material adverse effect on our business, financial condition and results of operations. For additional information, see Item 1A. Risk Factors- Legal, Tax and Regulatory Risks.</w:t>
      </w:r>
    </w:p>
    <w:p>
      <w:pPr>
        <w:spacing w:after="0" w:line="13"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“Item 1. - Business” and “Item 8. – Financial Statements and Supplementary Data – Notes to Consolidated Financial Statements – Note 12 – Disputes, Litigation and Legal Contingencies.”</w:t>
      </w:r>
    </w:p>
    <w:p>
      <w:pPr>
        <w:spacing w:after="0" w:line="257"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It is possible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27</w:t>
      </w:r>
    </w:p>
    <w:p>
      <w:pPr>
        <w:sectPr>
          <w:pgSz w:w="11900" w:h="16838" w:orient="portrait"/>
          <w:cols w:equalWidth="0" w:num="1">
            <w:col w:w="11240"/>
          </w:cols>
          <w:pgMar w:left="320" w:top="37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5 | Market for Registrants Ordinary Shares</w:t>
      </w: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28</w:t>
      </w:r>
    </w:p>
    <w:p>
      <w:pPr>
        <w:sectPr>
          <w:pgSz w:w="11900" w:h="16838" w:orient="portrait"/>
          <w:cols w:equalWidth="0" w:num="1">
            <w:col w:w="10900"/>
          </w:cols>
          <w:pgMar w:left="580" w:top="378" w:right="419" w:bottom="1440" w:gutter="0" w:footer="0" w:header="0"/>
        </w:sectPr>
      </w:pPr>
    </w:p>
    <w:bookmarkStart w:id="32" w:name="page33"/>
    <w:bookmarkEnd w:id="32"/>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On June 1, 2021, NASDAQ approved our application for the listing of our ordinary shares and we became subject to the reporting requirements of the Securities Exchange Act of 1934 (as amended, the “Exchange Act”). Our ordinary shares began trading on the Nasdaq Global Select Market on June 2, 2021 under the ticker symbol “WFRD”. As of February 1, 2024, we had 68 shareholders of record. The actual number of shareholders is considerably greater than the number of shareholders of record and includes shareholders who are beneficial owners but whose shares are held in street name by brokers and other nominees.</w:t>
      </w:r>
    </w:p>
    <w:p>
      <w:pPr>
        <w:spacing w:after="0" w:line="20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During the three months ended December 31, 2023, we issued 3,429 ordinary shares upon the exercise of outstanding warrants, resulting in cash proceeds to the Company of $342,763. The ordinary shares were issued pursuant to an exemption from registration under Section 1145 of the Bankruptcy Code. On December 13, 2023, the remaining 7,774,134 unexercised warrants expired, and the rights of the warrant holders to purchase ordinary shares were terminated.</w:t>
      </w:r>
    </w:p>
    <w:p>
      <w:pPr>
        <w:spacing w:after="0" w:line="214"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intend to retain future earnings to reinvest in our business and/or to repay debt, and the declaration and payment of future dividends and/or other forms of shareholder returns will be at the discretion of the Board and will depend, among other things, on future earnings, general financial condition and liquidity restrictions contained in our financing agreements, capital requirements and general business conditions, in addition to legal requirements.</w:t>
      </w:r>
    </w:p>
    <w:p>
      <w:pPr>
        <w:spacing w:after="0" w:line="19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shareholder return on our ordinary shares, the Dow Jones U.S. Index (“DJI”), the Dow Jones U.S. Oil Equipment and Services Index (“DJUSOI”), the Philadelphia Oil Service Index (“OSX”), the VanEck Oil Services ETF (“OIH”) and the Standard &amp; Poor’s 500 Index (“S&amp;P 500”) from June 2, 2021 (date we began trading on NASDAQ) through 2023. During 2023, we elected to include OSX, OIH, and S&amp;P 500 as these either: represent a group of our competitors, is an index in which we are a component of or is an index in which we and our peers benchmark against. The graph assumes $100 was invested in each of the Company’s ordinary shares, and aforementioned indices. Note that past stock price performance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29</w:t>
      </w:r>
    </w:p>
    <w:p>
      <w:pPr>
        <w:sectPr>
          <w:pgSz w:w="11900" w:h="16838" w:orient="portrait"/>
          <w:cols w:equalWidth="0" w:num="1">
            <w:col w:w="11240"/>
          </w:cols>
          <w:pgMar w:left="320" w:top="4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7 |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248920</wp:posOffset>
            </wp:positionV>
            <wp:extent cx="5760720" cy="4114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4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06/02/21</w:t>
            </w: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12/31/23</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c>
          <w:tcPr>
            <w:tcW w:w="1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Jones U.S. Oil Equipment and Services Index</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Index</w:t>
            </w:r>
          </w:p>
        </w:tc>
        <w:tc>
          <w:tcPr>
            <w:tcW w:w="1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Philadelphia Oil Service Index</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VanEck Oil Services ETF</w:t>
            </w:r>
          </w:p>
        </w:tc>
        <w:tc>
          <w:tcPr>
            <w:tcW w:w="1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 Index</w:t>
            </w: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30</w:t>
      </w:r>
    </w:p>
    <w:p>
      <w:pPr>
        <w:sectPr>
          <w:pgSz w:w="11900" w:h="16838" w:orient="portrait"/>
          <w:cols w:equalWidth="0" w:num="1">
            <w:col w:w="10900"/>
          </w:cols>
          <w:pgMar w:left="580" w:top="432"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w:t>
      </w:r>
    </w:p>
    <w:p>
      <w:pPr>
        <w:spacing w:after="0" w:line="175"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earlier section “Item 1. Business” and our Consolidated Financial Statements and Notes thereto included later in “Item 8.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Risk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35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64" w:lineRule="exact"/>
        <w:rPr>
          <w:sz w:val="20"/>
          <w:szCs w:val="20"/>
          <w:color w:val="auto"/>
        </w:rPr>
      </w:pPr>
    </w:p>
    <w:p>
      <w:pPr>
        <w:jc w:val="both"/>
        <w:ind w:right="160" w:firstLine="324"/>
        <w:spacing w:after="0" w:line="305"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pacing w:after="0" w:line="196"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and Brent North Sea (“Brent”) crude oil and Henry Hub (“HH”) natural gas.</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8"/>
        </w:trPr>
        <w:tc>
          <w:tcPr>
            <w:tcW w:w="59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40" w:type="dxa"/>
            <w:vAlign w:val="bottom"/>
            <w:tcBorders>
              <w:bottom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8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3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77.64</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94.79</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67.99</w:t>
            </w:r>
          </w:p>
        </w:tc>
      </w:tr>
      <w:tr>
        <w:trPr>
          <w:trHeight w:val="36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3"/>
                <w:szCs w:val="23"/>
                <w:color w:val="auto"/>
                <w:vertAlign w:val="superscript"/>
              </w:rPr>
              <w:t>(1)</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82.47</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6"/>
              </w:rPr>
              <w:t>100.78</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70.68</w:t>
            </w:r>
          </w:p>
        </w:tc>
      </w:tr>
      <w:tr>
        <w:trPr>
          <w:trHeight w:val="36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Natural Gas price - HH </w:t>
            </w:r>
            <w:r>
              <w:rPr>
                <w:rFonts w:ascii="Times New Roman" w:cs="Times New Roman" w:eastAsia="Times New Roman" w:hAnsi="Times New Roman"/>
                <w:sz w:val="23"/>
                <w:szCs w:val="23"/>
                <w:color w:val="auto"/>
                <w:vertAlign w:val="superscript"/>
              </w:rPr>
              <w:t>(2)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2.54</w:t>
            </w:r>
          </w:p>
        </w:tc>
        <w:tc>
          <w:tcPr>
            <w:tcW w:w="6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6.42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50" w:lineRule="exact"/>
        <w:rPr>
          <w:sz w:val="20"/>
          <w:szCs w:val="20"/>
          <w:color w:val="auto"/>
        </w:rPr>
      </w:pPr>
    </w:p>
    <w:p>
      <w:pPr>
        <w:ind w:left="520" w:hanging="170"/>
        <w:spacing w:after="0"/>
        <w:tabs>
          <w:tab w:leader="none" w:pos="5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Oil price measured in dollars per barrel (rounded to the nearest $0.01)</w:t>
      </w:r>
    </w:p>
    <w:p>
      <w:pPr>
        <w:spacing w:after="0" w:line="96" w:lineRule="exact"/>
        <w:rPr>
          <w:rFonts w:ascii="Times New Roman" w:cs="Times New Roman" w:eastAsia="Times New Roman" w:hAnsi="Times New Roman"/>
          <w:sz w:val="21"/>
          <w:szCs w:val="21"/>
          <w:color w:val="auto"/>
          <w:vertAlign w:val="superscript"/>
        </w:rPr>
      </w:pPr>
    </w:p>
    <w:p>
      <w:pPr>
        <w:ind w:left="520" w:hanging="170"/>
        <w:spacing w:after="0"/>
        <w:tabs>
          <w:tab w:leader="none" w:pos="5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Natural gas price measured in dollars per million British thermal units (Btu), or MMBtu</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59"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260" w:type="dxa"/>
            <w:vAlign w:val="bottom"/>
          </w:tcPr>
          <w:p>
            <w:pPr>
              <w:spacing w:after="0"/>
              <w:rPr>
                <w:sz w:val="19"/>
                <w:szCs w:val="19"/>
                <w:color w:val="auto"/>
              </w:rPr>
            </w:pPr>
          </w:p>
        </w:tc>
        <w:tc>
          <w:tcPr>
            <w:tcW w:w="3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19"/>
                <w:szCs w:val="19"/>
                <w:color w:val="auto"/>
              </w:rPr>
            </w:pPr>
          </w:p>
        </w:tc>
      </w:tr>
      <w:tr>
        <w:trPr>
          <w:trHeight w:val="238"/>
        </w:trPr>
        <w:tc>
          <w:tcPr>
            <w:tcW w:w="62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864</w:t>
            </w:r>
          </w:p>
        </w:tc>
        <w:tc>
          <w:tcPr>
            <w:tcW w:w="15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898</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948</w:t>
            </w:r>
          </w:p>
        </w:tc>
        <w:tc>
          <w:tcPr>
            <w:tcW w:w="15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851</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755</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1,812</w:t>
            </w:r>
          </w:p>
        </w:tc>
        <w:tc>
          <w:tcPr>
            <w:tcW w:w="15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1,749</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1,365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31</w:t>
      </w:r>
    </w:p>
    <w:p>
      <w:pPr>
        <w:sectPr>
          <w:pgSz w:w="11900" w:h="16838" w:orient="portrait"/>
          <w:cols w:equalWidth="0" w:num="1">
            <w:col w:w="11240"/>
          </w:cols>
          <w:pgMar w:left="320" w:top="1022" w:right="33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Income Summary</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95"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Revenues totaled $5.14 billion in 2023, an increase of $804 million, or 19% compared to 2022. The year-over-year improvement was due to increased activity across all reporting segments. Customer demand is primarily driven by changes in oil and natural gas prices and rig counts. Revenues in 2023 reflect a 18% increase in service revenues and a 20% increase in product revenues. WCC, DRE, and PRI contributed to 35%, 26%, and 10% of the increase in revenues, respectively, with the remainder from higher activity in integrated services and projects. Geographically, growth in 2023 was led by improvements in the Middle East/North Africa/Asia, Latin America and Europe/Sub-Sahara Africa/Russia, which contributed to 51%, 40%, and 13% of the increase, respectively, partly offset by a revenue decline in North America. Approximately 80% of our revenue increase in 2023 was due to increased customer demand, with the remainder from pricing and market share improvements, and operational focus. Average oil prices in 2023 decreased 18% for both West Texas Intermediate crude oil and Brent North Sea crude oil compared to 2022. Henry Hub natural gas prices decreased 60% compared to 2022. Global rig counts increased 4% compared to 2022. International revenues (outside of North America, see “Note 3 – Revenue” to our Consolidated Financial Statements) led the increase in 2023, observable in the 11% increase of international rig counts for the same periods.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products and services of $3.40 billion increased $375 million, or 12%, in 2023 compared to 2022, to support the increased overall activity across our segments. Approximately 80% of our increase in 2023 was attributable to cost increases necessary to meet increased demand, with a large portion of the remainder from a shift in service and product mix and the rest due to inflation in the cost of labor and materials. Our cost of products and services as a percentage of revenues was 66% in 2023, an improvement compared to 70% in 2022, reflecting improved utilization on a more efficient operating cost structure, and pricing improvements to customers to offset impacts from supply chain disruptions and inflation. Additionally, lower inventory charges contributed to the lower cost structure as a percentage of revenues.</w:t>
      </w:r>
    </w:p>
    <w:p>
      <w:pPr>
        <w:spacing w:after="0" w:line="21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$916 million increased $48 million, or 6%. The increase primarily reflects an increase in research and development investment in newer technologies and an increase in overhead to support organization growth. These costs as a percentage of revenues were 18% in 2023, an improvement compared to 20% in 2022, reflecting our focus on cost control initiatives.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2022 vs 2021</w:t>
      </w:r>
    </w:p>
    <w:p>
      <w:pPr>
        <w:spacing w:after="0" w:line="295" w:lineRule="exact"/>
        <w:rPr>
          <w:sz w:val="20"/>
          <w:szCs w:val="20"/>
          <w:color w:val="auto"/>
        </w:rPr>
      </w:pPr>
    </w:p>
    <w:p>
      <w:pPr>
        <w:jc w:val="both"/>
        <w:ind w:firstLine="324"/>
        <w:spacing w:after="0" w:line="291" w:lineRule="auto"/>
        <w:rPr>
          <w:sz w:val="20"/>
          <w:szCs w:val="20"/>
          <w:color w:val="auto"/>
        </w:rPr>
      </w:pPr>
      <w:r>
        <w:rPr>
          <w:rFonts w:ascii="Times New Roman" w:cs="Times New Roman" w:eastAsia="Times New Roman" w:hAnsi="Times New Roman"/>
          <w:sz w:val="18"/>
          <w:szCs w:val="18"/>
          <w:color w:val="auto"/>
        </w:rPr>
        <w:t>Revenues totaled $4.33 billion in 2022, an increase of $686 million, or 19% compared to 2021. The year-over-year improvement was due to increased activity across all reporting segments. Revenues in 2022 reflect a 15% increase in service revenues and a 26% increase in product revenues. The year-over-year improvement was due to increased activity across all reporting segments with PRI, DRE and WCC contributing 39%, 38%, and 24% of the increase in revenues, respectively. Geographically, growth in 2022 was led by improvements in Latin America, the Middle East/North Africa/Asia, and North America, which contributed to 36%, 30%, and 30% of the increase, respectively. Approximately 70% of our revenue increase in 2022 was due to increased customer demand with remainder from pricing and market share improvements, and operational focus. Customer demand is primarily driven by changes in oil and natural gas prices and rig counts. Average oil prices in 2022 increased 39% for West Texas Intermediate crude oil and 43% for Brent North Sea crude oil compared to 2021. Henry Hub natural gas prices increased 64% compared to 2021. Global rig counts increased 28% compared to 2021. Service and product quality excellence allowed us to benefit from a robust market with customers focusing on delivering energy supply with minimal disruption, globally. Imbalance across geographies driven by geopolitical conflicts, investment variances and supply disruptions caused a greater focus on energy security, globally. Our operational initiatives, put in place over the past couple of years, enabled us to regain share in a few product lines and geographies, as well as improve pricing through differentiation.</w:t>
      </w:r>
    </w:p>
    <w:p>
      <w:pPr>
        <w:spacing w:after="0" w:line="228"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Cost of products and services of $3.02 billion increased $304 million, or 11% compared to 2021, to support the increased overall activity across our segments. Approximately 70% of this increase is attributable to cost increases necessary to meet increased demand for our products and services. The remainder of the increase was primarily due to inflation of wages and to a lesser extent higher cost of materials. Our cost of products and services as a percentage of revenues was 70% in 2022, 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32</w:t>
      </w:r>
    </w:p>
    <w:p>
      <w:pPr>
        <w:sectPr>
          <w:pgSz w:w="11900" w:h="16838" w:orient="portrait"/>
          <w:cols w:equalWidth="0" w:num="1">
            <w:col w:w="11240"/>
          </w:cols>
          <w:pgMar w:left="320" w:top="378" w:right="33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34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improvement compared to 75% in 2021, reflecting improved utilization on a more efficient operating cost structure, and pricing improvements to customers to offset impacts from supply chain disruptions and inflation. Additionally, higher gains on asset sales and lower inventory charges contributed to the lower cost structure as a percentage of revenues.</w:t>
      </w:r>
    </w:p>
    <w:p>
      <w:pPr>
        <w:spacing w:after="0" w:line="21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in 2022 of $868 million increased $45 million, or 5%, when compared to 2021 to keep up with increased activity and demand across our segments. These costs as a percentage of revenues were 20% in 2022, an improvement compared to 23% in 2021, reflecting our focus on cost control initiatives.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8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Interest expense, net primarily represented for each year, the interest on our outstanding long-term debt (see “Note 8 – Borrowings and Other Debt Obligations” to our Consolidated Financial Statements for additional details) offset by interest income. Interest expense, net, of $123 million in 2023, decreased $56 million, or 31%, compared to 2022 primarily due to the early repayments of principal on our 11.00% Exit Notes maturing on December 1, 2024, fully repaid in 2023, early repayments and repurchases of principal on our 6.5% Senior Secured Notes maturing September 15, 2028, and an increase in interest income. Interest expense, net, of $179 million in 2022, decreased $81 million, or 31%, compared to $260 million in 2021 primarily due to the early repayments of principal amounts on our 11.00% Exit Notes maturing on December 1, 2024, having fully repaid in 2021 on our 8.75% Senior Secured Notes maturing on September 1, 2024, and an increase in interest income.</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81"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An indirect foreign exchange mechanism known as the Blue Chip Swap (“BCS”) allows entities to remit U.S. dollars from operations in Argentina. During the second quarter of 2023, we entered into a series of BCS securities transactions that resulted in a “Loss on Blue Chip Swap Securities” of $57 million. See “Note 17 – Blue Chip Swap Securities - Argentina” to our Consolidated Financial Statements for additional details.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Loss on Extinguishment of Debt and Bond Redemption Premium</w:t>
      </w:r>
    </w:p>
    <w:p>
      <w:pPr>
        <w:spacing w:after="0" w:line="268"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During 2023, we repaid the remaining $125 million in principal on our Exit Notes and made $243 million in repayments and repurchases of our 6.5% Senior Secured Notes, and incurred a $5 million bond redemption premium. During 2022, we repaid $175 million in principal on our Exit Notes and incurred a $5 million bond redemption premium. During 2021, we repaid in full our 2024 Senior Secured Notes, repaid $200 million of Exit Notes, and refinanced $1.6 billion of Exit Notes. As such, we recognized a $170 million loss, comprised of a $39 million loss on extinguishment of debt and a $131 million bond redemption premium. See “Note 8 – Borrowings and Other Debt Obligations” for additional details.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8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Other expense, net, of $129 million in 2023 increased $39 million compared to 2022 expense of $90 million primarily attributable to currency losses on the Argentine Peso. Other expense, net, in 2022 increased by $61 million compared to the 2021 expense of $29 million primarily attributable to currency losses in the Argentine Peso and the Russian Ruble.</w:t>
      </w:r>
    </w:p>
    <w:p>
      <w:pPr>
        <w:spacing w:after="0" w:line="21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When economically advantageous, we enter into foreign currency forward contracts to mitigate the risk of future cash flows denominated in a foreign currency. Additionally, we enter into certain short-term investments which partially offset these foreign exchange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33</w:t>
      </w:r>
    </w:p>
    <w:p>
      <w:pPr>
        <w:sectPr>
          <w:pgSz w:w="11900" w:h="16838" w:orient="portrait"/>
          <w:cols w:equalWidth="0" w:num="1">
            <w:col w:w="11240"/>
          </w:cols>
          <w:pgMar w:left="320" w:top="378" w:right="33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8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unable to recognize tax benefit on certain losses.</w:t>
      </w:r>
    </w:p>
    <w:p>
      <w:pPr>
        <w:spacing w:after="0" w:line="218"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record deferred tax assets for net operating losses and temporary differences between the book and tax basis of assets and liabilities that are expected to produce tax deductions in future periods. The realizability of the deferred tax assets is dependent upon judgments and assumptions inherent in the determination of future taxable income, including factors such as future operating conditions (particularly as related to prevailing oil prices and market demand for our products and services). The Company concluded it was not able to realize the benefit of certain deferred tax assets and has established a valuation allowance. Continued performance improvement in certain jurisdictions could result in a change in our realization of deferred tax asset assessment in the near future, which would release valuation allowance.</w:t>
      </w:r>
    </w:p>
    <w:p>
      <w:pPr>
        <w:spacing w:after="0" w:line="22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income tax provision and respective effective tax rate was $57 million and 11%, $87 million and 63%, and $86 million and (25)% for 2023, 2022 and 2021, respectively.</w:t>
      </w:r>
    </w:p>
    <w:p>
      <w:pPr>
        <w:spacing w:after="0" w:line="203"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8"/>
          <w:szCs w:val="18"/>
          <w:color w:val="auto"/>
        </w:rPr>
        <w:t>Our income tax provisions in 2023 and 2022 are primarily driven by income in certain jurisdictions, deemed profit countries and withholding taxes on intercompany and third-party transactions that do not directly correlate to ordinary income or loss. Impairments and other charges recognized do not result in significant tax benefit as a result of being attributed to a non-income tax jurisdiction or our inability to forecast realization of the tax benefit of such losses.</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For the year ended December 31, 2023, income tax expense was lower by $93 million, due to the release of valuation allowances where deferred tax assets are now considered more likely than not to be realized in the future, and $22 million due to the recognition of a benefit from previously uncertain tax positions throughout the year. Those benefits were offset by the establishment of valuation allowance of approximately $50 million against the sale of Blue Chip Swap securities and currency devaluation in Argentina (see Note 17 – Blue Chip Swap Securities - Argentina). During the year ended December 31, 2022, income tax expense was lower by $35 million, due to the release of valuation allowances and $27 million, due to the recognition of a benefit from previously uncertain tax positions.</w:t>
      </w:r>
    </w:p>
    <w:p>
      <w:pPr>
        <w:spacing w:after="0" w:line="205"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We cannot predict the timing or outcome regarding resolution of these tax examinations or if they will have a material impact on our consolidated financial statements. As of December 31, 2023, we anticipate that it is reasonably possible that the amount of our uncertain tax positions of $203 million may decrease by up to $13 million in the next twelve months due to expiration of statutes of limitations, settlements and/or conclusions of tax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34</w:t>
      </w:r>
    </w:p>
    <w:p>
      <w:pPr>
        <w:sectPr>
          <w:pgSz w:w="11900" w:h="16838" w:orient="portrait"/>
          <w:cols w:equalWidth="0" w:num="1">
            <w:col w:w="11240"/>
          </w:cols>
          <w:pgMar w:left="320" w:top="378" w:right="339"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8"/>
          <w:szCs w:val="18"/>
          <w:color w:val="auto"/>
        </w:rPr>
        <w:t>Item 7 | MD&amp;A</w:t>
      </w:r>
    </w:p>
    <w:p>
      <w:pPr>
        <w:sectPr>
          <w:pgSz w:w="11900" w:h="16838" w:orient="portrait"/>
          <w:cols w:equalWidth="0" w:num="1">
            <w:col w:w="10740"/>
          </w:cols>
          <w:pgMar w:left="500" w:top="378" w:right="6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p>
      <w:pPr>
        <w:spacing w:after="0" w:line="200" w:lineRule="exact"/>
        <w:rPr>
          <w:sz w:val="20"/>
          <w:szCs w:val="20"/>
          <w:color w:val="auto"/>
        </w:rPr>
      </w:pPr>
    </w:p>
    <w:p>
      <w:pPr>
        <w:spacing w:after="0" w:line="39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2"/>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-159385</wp:posOffset>
            </wp:positionV>
            <wp:extent cx="674624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624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spacing w:after="0"/>
        <w:tabs>
          <w:tab w:leader="none" w:pos="2300" w:val="left"/>
        </w:tabs>
        <w:rPr>
          <w:sz w:val="20"/>
          <w:szCs w:val="20"/>
          <w:color w:val="auto"/>
        </w:rPr>
      </w:pPr>
      <w:r>
        <w:rPr>
          <w:rFonts w:ascii="Times New Roman" w:cs="Times New Roman" w:eastAsia="Times New Roman" w:hAnsi="Times New Roman"/>
          <w:sz w:val="16"/>
          <w:szCs w:val="16"/>
          <w:b w:val="1"/>
          <w:bCs w:val="1"/>
          <w:color w:val="auto"/>
        </w:rPr>
        <w:t>Favorable</w:t>
      </w:r>
      <w:r>
        <w:rPr>
          <w:sz w:val="20"/>
          <w:szCs w:val="20"/>
          <w:color w:val="auto"/>
        </w:rPr>
        <w:tab/>
      </w:r>
      <w:r>
        <w:rPr>
          <w:rFonts w:ascii="Times New Roman" w:cs="Times New Roman" w:eastAsia="Times New Roman" w:hAnsi="Times New Roman"/>
          <w:sz w:val="16"/>
          <w:szCs w:val="16"/>
          <w:b w:val="1"/>
          <w:bCs w:val="1"/>
          <w:color w:val="auto"/>
        </w:rPr>
        <w:t>Favorable</w:t>
      </w:r>
    </w:p>
    <w:p>
      <w:pPr>
        <w:spacing w:after="0" w:line="32" w:lineRule="exact"/>
        <w:rPr>
          <w:sz w:val="20"/>
          <w:szCs w:val="20"/>
          <w:color w:val="auto"/>
        </w:rPr>
      </w:pPr>
    </w:p>
    <w:p>
      <w:pPr>
        <w:ind w:left="380"/>
        <w:spacing w:after="0"/>
        <w:tabs>
          <w:tab w:leader="none" w:pos="2160" w:val="left"/>
        </w:tabs>
        <w:rPr>
          <w:sz w:val="20"/>
          <w:szCs w:val="20"/>
          <w:color w:val="auto"/>
        </w:rPr>
      </w:pPr>
      <w:r>
        <w:rPr>
          <w:rFonts w:ascii="Times New Roman" w:cs="Times New Roman" w:eastAsia="Times New Roman" w:hAnsi="Times New Roman"/>
          <w:sz w:val="16"/>
          <w:szCs w:val="16"/>
          <w:b w:val="1"/>
          <w:bCs w:val="1"/>
          <w:color w:val="auto"/>
        </w:rPr>
        <w:t>(Unfavorable)</w:t>
      </w:r>
      <w:r>
        <w:rPr>
          <w:sz w:val="20"/>
          <w:szCs w:val="20"/>
          <w:color w:val="auto"/>
        </w:rPr>
        <w:tab/>
      </w:r>
      <w:r>
        <w:rPr>
          <w:rFonts w:ascii="Times New Roman" w:cs="Times New Roman" w:eastAsia="Times New Roman" w:hAnsi="Times New Roman"/>
          <w:sz w:val="16"/>
          <w:szCs w:val="16"/>
          <w:b w:val="1"/>
          <w:bCs w:val="1"/>
          <w:color w:val="auto"/>
        </w:rPr>
        <w:t>(Unfavorable)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or bps</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or bps</w:t>
            </w:r>
          </w:p>
        </w:tc>
      </w:tr>
      <w:tr>
        <w:trPr>
          <w:trHeight w:val="209"/>
        </w:trPr>
        <w:tc>
          <w:tcPr>
            <w:tcW w:w="17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80" w:type="dxa"/>
            <w:vAlign w:val="bottom"/>
          </w:tcPr>
          <w:p>
            <w:pPr>
              <w:spacing w:after="0"/>
              <w:rPr>
                <w:sz w:val="18"/>
                <w:szCs w:val="18"/>
                <w:color w:val="auto"/>
              </w:rPr>
            </w:pPr>
          </w:p>
        </w:tc>
        <w:tc>
          <w:tcPr>
            <w:tcW w:w="16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2022 vs 2021</w:t>
            </w:r>
          </w:p>
        </w:tc>
      </w:tr>
    </w:tbl>
    <w:p>
      <w:pPr>
        <w:spacing w:after="0" w:line="239" w:lineRule="exact"/>
        <w:rPr>
          <w:sz w:val="20"/>
          <w:szCs w:val="20"/>
          <w:color w:val="auto"/>
        </w:rPr>
      </w:pPr>
    </w:p>
    <w:p>
      <w:pPr>
        <w:sectPr>
          <w:pgSz w:w="11900" w:h="16838" w:orient="portrait"/>
          <w:cols w:equalWidth="0" w:num="2">
            <w:col w:w="7060" w:space="80"/>
            <w:col w:w="3600"/>
          </w:cols>
          <w:pgMar w:left="500" w:top="378" w:right="659" w:bottom="1440" w:gutter="0" w:footer="0" w:header="0"/>
          <w:type w:val="continuous"/>
        </w:sectPr>
      </w:pPr>
    </w:p>
    <w:tbl>
      <w:tblPr>
        <w:tblLayout w:type="fixed"/>
        <w:tblInd w:w="20" w:type="dxa"/>
        <w:tblCellMar>
          <w:top w:w="0" w:type="dxa"/>
          <w:left w:w="0" w:type="dxa"/>
          <w:bottom w:w="0" w:type="dxa"/>
          <w:right w:w="0" w:type="dxa"/>
        </w:tblCellMar>
      </w:tblPr>
      <w:tr>
        <w:trPr>
          <w:trHeight w:val="21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Revenues</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1,536</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1,328</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1,066</w:t>
            </w: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Revenues</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1,800</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1,521</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1,353</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Revenues</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1,472</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1,395</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1,127</w:t>
            </w:r>
          </w:p>
        </w:tc>
      </w:tr>
      <w:tr>
        <w:trPr>
          <w:trHeight w:val="234"/>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99</w:t>
            </w:r>
          </w:p>
        </w:tc>
      </w:tr>
      <w:tr>
        <w:trPr>
          <w:trHeight w:val="232"/>
        </w:trPr>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5,135</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4,331</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3,645</w:t>
            </w:r>
          </w:p>
        </w:tc>
      </w:tr>
      <w:tr>
        <w:trPr>
          <w:trHeight w:val="491"/>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-908050</wp:posOffset>
            </wp:positionV>
            <wp:extent cx="674624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6240" cy="1454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-616585</wp:posOffset>
            </wp:positionV>
            <wp:extent cx="674624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6240" cy="1454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-316230</wp:posOffset>
            </wp:positionV>
            <wp:extent cx="67462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6240" cy="1714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0</wp:posOffset>
            </wp:positionV>
            <wp:extent cx="674624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624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40" w:val="left"/>
          <w:tab w:leader="none" w:pos="1000" w:val="left"/>
        </w:tabs>
        <w:rPr>
          <w:sz w:val="20"/>
          <w:szCs w:val="20"/>
          <w:color w:val="auto"/>
        </w:rPr>
      </w:pPr>
      <w:r>
        <w:rPr>
          <w:rFonts w:ascii="Times New Roman" w:cs="Times New Roman" w:eastAsia="Times New Roman" w:hAnsi="Times New Roman"/>
          <w:sz w:val="18"/>
          <w:szCs w:val="18"/>
          <w:color w:val="auto"/>
        </w:rPr>
        <w:t>$</w:t>
        <w:tab/>
        <w:t>208</w:t>
      </w:r>
      <w:r>
        <w:rPr>
          <w:sz w:val="20"/>
          <w:szCs w:val="20"/>
          <w:color w:val="auto"/>
        </w:rPr>
        <w:tab/>
      </w:r>
      <w:r>
        <w:rPr>
          <w:rFonts w:ascii="Times New Roman" w:cs="Times New Roman" w:eastAsia="Times New Roman" w:hAnsi="Times New Roman"/>
          <w:sz w:val="18"/>
          <w:szCs w:val="18"/>
          <w:color w:val="auto"/>
        </w:rPr>
        <w:t>16%</w:t>
      </w:r>
    </w:p>
    <w:p>
      <w:pPr>
        <w:spacing w:after="0" w:line="14" w:lineRule="exact"/>
        <w:rPr>
          <w:sz w:val="20"/>
          <w:szCs w:val="20"/>
          <w:color w:val="auto"/>
        </w:rPr>
      </w:pPr>
    </w:p>
    <w:p>
      <w:pPr>
        <w:ind w:left="1020" w:hanging="759"/>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w:t>
      </w:r>
    </w:p>
    <w:p>
      <w:pPr>
        <w:spacing w:after="0" w:line="22" w:lineRule="exact"/>
        <w:rPr>
          <w:rFonts w:ascii="Times New Roman" w:cs="Times New Roman" w:eastAsia="Times New Roman" w:hAnsi="Times New Roman"/>
          <w:sz w:val="18"/>
          <w:szCs w:val="18"/>
          <w:color w:val="auto"/>
        </w:rPr>
      </w:pPr>
    </w:p>
    <w:p>
      <w:pPr>
        <w:ind w:left="1060" w:hanging="709"/>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3" w:lineRule="exact"/>
        <w:rPr>
          <w:sz w:val="20"/>
          <w:szCs w:val="20"/>
          <w:color w:val="auto"/>
        </w:rPr>
      </w:pPr>
    </w:p>
    <w:p>
      <w:pPr>
        <w:ind w:left="980" w:hanging="719"/>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w:t>
      </w:r>
    </w:p>
    <w:p>
      <w:pPr>
        <w:spacing w:after="0" w:line="27" w:lineRule="exact"/>
        <w:rPr>
          <w:rFonts w:ascii="Times New Roman" w:cs="Times New Roman" w:eastAsia="Times New Roman" w:hAnsi="Times New Roman"/>
          <w:sz w:val="18"/>
          <w:szCs w:val="18"/>
          <w:color w:val="auto"/>
        </w:rPr>
      </w:pPr>
    </w:p>
    <w:p>
      <w:pPr>
        <w:ind w:left="1000" w:hanging="739"/>
        <w:spacing w:after="0"/>
        <w:tabs>
          <w:tab w:leader="none" w:pos="10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-133985</wp:posOffset>
            </wp:positionV>
            <wp:extent cx="1105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60" w:val="left"/>
          <w:tab w:leader="none" w:pos="1020" w:val="left"/>
        </w:tabs>
        <w:rPr>
          <w:sz w:val="20"/>
          <w:szCs w:val="20"/>
          <w:color w:val="auto"/>
        </w:rPr>
      </w:pPr>
      <w:r>
        <w:rPr>
          <w:rFonts w:ascii="Times New Roman" w:cs="Times New Roman" w:eastAsia="Times New Roman" w:hAnsi="Times New Roman"/>
          <w:sz w:val="18"/>
          <w:szCs w:val="18"/>
          <w:color w:val="auto"/>
        </w:rPr>
        <w:t>$</w:t>
        <w:tab/>
        <w:t>262</w:t>
      </w:r>
      <w:r>
        <w:rPr>
          <w:sz w:val="20"/>
          <w:szCs w:val="20"/>
          <w:color w:val="auto"/>
        </w:rPr>
        <w:tab/>
      </w:r>
      <w:r>
        <w:rPr>
          <w:rFonts w:ascii="Times New Roman" w:cs="Times New Roman" w:eastAsia="Times New Roman" w:hAnsi="Times New Roman"/>
          <w:sz w:val="17"/>
          <w:szCs w:val="17"/>
          <w:color w:val="auto"/>
        </w:rPr>
        <w:t>25%</w:t>
      </w:r>
    </w:p>
    <w:p>
      <w:pPr>
        <w:spacing w:after="0" w:line="14" w:lineRule="exact"/>
        <w:rPr>
          <w:sz w:val="20"/>
          <w:szCs w:val="20"/>
          <w:color w:val="auto"/>
        </w:rPr>
      </w:pPr>
    </w:p>
    <w:p>
      <w:pPr>
        <w:ind w:left="1040" w:hanging="76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2" w:lineRule="exact"/>
        <w:rPr>
          <w:rFonts w:ascii="Times New Roman" w:cs="Times New Roman" w:eastAsia="Times New Roman" w:hAnsi="Times New Roman"/>
          <w:sz w:val="18"/>
          <w:szCs w:val="18"/>
          <w:color w:val="auto"/>
        </w:rPr>
      </w:pPr>
    </w:p>
    <w:p>
      <w:pPr>
        <w:ind w:left="1040" w:hanging="76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2" w:lineRule="exact"/>
        <w:rPr>
          <w:rFonts w:ascii="Times New Roman" w:cs="Times New Roman" w:eastAsia="Times New Roman" w:hAnsi="Times New Roman"/>
          <w:sz w:val="18"/>
          <w:szCs w:val="18"/>
          <w:color w:val="auto"/>
        </w:rPr>
      </w:pPr>
    </w:p>
    <w:p>
      <w:pPr>
        <w:ind w:left="980" w:hanging="554"/>
        <w:spacing w:after="0"/>
        <w:tabs>
          <w:tab w:leader="none" w:pos="9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w:t>
      </w:r>
    </w:p>
    <w:p>
      <w:pPr>
        <w:spacing w:after="0" w:line="38" w:lineRule="exact"/>
        <w:rPr>
          <w:rFonts w:ascii="Times New Roman" w:cs="Times New Roman" w:eastAsia="Times New Roman" w:hAnsi="Times New Roman"/>
          <w:sz w:val="17"/>
          <w:szCs w:val="17"/>
          <w:color w:val="auto"/>
        </w:rPr>
      </w:pPr>
    </w:p>
    <w:p>
      <w:pPr>
        <w:ind w:left="1020" w:hanging="744"/>
        <w:spacing w:after="0"/>
        <w:tabs>
          <w:tab w:leader="none" w:pos="10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-133985</wp:posOffset>
            </wp:positionV>
            <wp:extent cx="1062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531" w:lineRule="exact"/>
        <w:rPr>
          <w:sz w:val="20"/>
          <w:szCs w:val="20"/>
          <w:color w:val="auto"/>
        </w:rPr>
      </w:pPr>
    </w:p>
    <w:p>
      <w:pPr>
        <w:sectPr>
          <w:pgSz w:w="11900" w:h="16838" w:orient="portrait"/>
          <w:cols w:equalWidth="0" w:num="3">
            <w:col w:w="7060" w:space="180"/>
            <w:col w:w="1400" w:space="340"/>
            <w:col w:w="1760"/>
          </w:cols>
          <w:pgMar w:left="500" w:top="378" w:right="659" w:bottom="1440" w:gutter="0" w:footer="0" w:header="0"/>
          <w:type w:val="continuous"/>
        </w:sectPr>
      </w:pPr>
    </w:p>
    <w:tbl>
      <w:tblPr>
        <w:tblLayout w:type="fixed"/>
        <w:tblInd w:w="20" w:type="dxa"/>
        <w:tblCellMar>
          <w:top w:w="0" w:type="dxa"/>
          <w:left w:w="0" w:type="dxa"/>
          <w:bottom w:w="0" w:type="dxa"/>
          <w:right w:w="0" w:type="dxa"/>
        </w:tblCellMar>
      </w:tblP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8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299</w:t>
            </w:r>
          </w:p>
        </w:tc>
        <w:tc>
          <w:tcPr>
            <w:tcW w:w="4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8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323</w:t>
            </w:r>
          </w:p>
        </w:tc>
        <w:tc>
          <w:tcPr>
            <w:tcW w:w="4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261</w:t>
            </w:r>
          </w:p>
        </w:tc>
        <w:tc>
          <w:tcPr>
            <w:tcW w:w="4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(327)</w:t>
            </w:r>
          </w:p>
        </w:tc>
        <w:tc>
          <w:tcPr>
            <w:tcW w:w="4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(440)</w:t>
            </w: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8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820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-1062355</wp:posOffset>
            </wp:positionV>
            <wp:extent cx="674624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6240" cy="1454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-770890</wp:posOffset>
            </wp:positionV>
            <wp:extent cx="67462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6240" cy="1460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-479425</wp:posOffset>
            </wp:positionV>
            <wp:extent cx="67462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6240" cy="14605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-187960</wp:posOffset>
            </wp:positionV>
            <wp:extent cx="67462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62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w:t>
            </w:r>
          </w:p>
        </w:tc>
      </w:tr>
      <w:tr>
        <w:trPr>
          <w:trHeight w:val="230"/>
        </w:trPr>
        <w:tc>
          <w:tcPr>
            <w:tcW w:w="320" w:type="dxa"/>
            <w:vAlign w:val="bottom"/>
          </w:tcPr>
          <w:p>
            <w:pPr>
              <w:spacing w:after="0"/>
              <w:rPr>
                <w:sz w:val="19"/>
                <w:szCs w:val="19"/>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29"/>
        </w:trPr>
        <w:tc>
          <w:tcPr>
            <w:tcW w:w="320" w:type="dxa"/>
            <w:vAlign w:val="bottom"/>
          </w:tcPr>
          <w:p>
            <w:pPr>
              <w:spacing w:after="0"/>
              <w:rPr>
                <w:sz w:val="19"/>
                <w:szCs w:val="19"/>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r>
      <w:tr>
        <w:trPr>
          <w:trHeight w:val="230"/>
        </w:trPr>
        <w:tc>
          <w:tcPr>
            <w:tcW w:w="320" w:type="dxa"/>
            <w:vAlign w:val="bottom"/>
          </w:tcPr>
          <w:p>
            <w:pPr>
              <w:spacing w:after="0"/>
              <w:rPr>
                <w:sz w:val="19"/>
                <w:szCs w:val="19"/>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3700%</w:t>
            </w:r>
          </w:p>
        </w:tc>
        <w:tc>
          <w:tcPr>
            <w:tcW w:w="32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(83)%</w:t>
            </w:r>
          </w:p>
        </w:tc>
      </w:tr>
      <w:tr>
        <w:trPr>
          <w:trHeight w:val="229"/>
        </w:trPr>
        <w:tc>
          <w:tcPr>
            <w:tcW w:w="320" w:type="dxa"/>
            <w:vAlign w:val="bottom"/>
          </w:tcPr>
          <w:p>
            <w:pPr>
              <w:spacing w:after="0"/>
              <w:rPr>
                <w:sz w:val="19"/>
                <w:szCs w:val="19"/>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320" w:type="dxa"/>
            <w:vAlign w:val="bottom"/>
          </w:tcPr>
          <w:p>
            <w:pPr>
              <w:spacing w:after="0"/>
              <w:rPr>
                <w:sz w:val="19"/>
                <w:szCs w:val="19"/>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32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r>
        <w:trPr>
          <w:trHeight w:val="230"/>
        </w:trPr>
        <w:tc>
          <w:tcPr>
            <w:tcW w:w="32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(410)%</w:t>
            </w:r>
          </w:p>
        </w:tc>
      </w:tr>
      <w:tr>
        <w:trPr>
          <w:trHeight w:val="223"/>
        </w:trPr>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408</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296</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255%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80"/>
            <w:col w:w="3600"/>
          </w:cols>
          <w:pgMar w:left="500" w:top="378" w:right="659" w:bottom="1440" w:gutter="0" w:footer="0" w:header="0"/>
          <w:type w:val="continuous"/>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Margins: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Segment Adjusted EBITDA Margin</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bps</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bps</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 Segment Adjusted EBITDA Margin</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4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bps</w:t>
            </w:r>
          </w:p>
        </w:tc>
        <w:tc>
          <w:tcPr>
            <w:tcW w:w="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bps</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Segment Adjusted EBITDA Margin</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bps</w:t>
            </w:r>
          </w:p>
        </w:tc>
        <w:tc>
          <w:tcPr>
            <w:tcW w:w="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35</w:t>
      </w:r>
    </w:p>
    <w:p>
      <w:pPr>
        <w:sectPr>
          <w:pgSz w:w="11900" w:h="16838" w:orient="portrait"/>
          <w:cols w:equalWidth="0" w:num="1">
            <w:col w:w="10740"/>
          </w:cols>
          <w:pgMar w:left="500" w:top="378" w:right="659" w:bottom="1440" w:gutter="0" w:footer="0" w:header="0"/>
          <w:type w:val="continuous"/>
        </w:sectPr>
      </w:pPr>
    </w:p>
    <w:bookmarkStart w:id="39" w:name="page40"/>
    <w:bookmarkEnd w:id="39"/>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 Results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81"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DRE revenues of $1.5 billion in 2023 increased by $208 million or 16% compared to 2022 due to higher demand and activity with approximately 70% of the increase from drilling-related services. Geographically, approximately 55% of the overall revenue growth came from Latin America and approximately 25% from the Middle East/North Africa/Asia regions.</w:t>
      </w:r>
    </w:p>
    <w:p>
      <w:pPr>
        <w:spacing w:after="0" w:line="20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DRE segment adjusted EBITDA of $422 million in 2023 increased by $98 million or 30% compared to 2022. DRE segment adjusted EBITDA margin was 27.5% in 2023 compared to 24.4% in 2022.</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2022 vs 2021</w:t>
      </w:r>
    </w:p>
    <w:p>
      <w:pPr>
        <w:spacing w:after="0" w:line="252"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DRE revenues of $1.3 billion in 2022, increased by $262 million or 25% compared to 2021 due to higher demand and activity with approximately 70% of the increase from managed pressure drilling and drilling services. Geographically, approximately half of the overall revenue growth came from Latin America and 35% from the Middle East/North Africa/Asia regions.</w:t>
      </w:r>
    </w:p>
    <w:p>
      <w:pPr>
        <w:spacing w:after="0" w:line="20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DRE segment adjusted EBITDA of $324 million in 2022 increased by $138 million or 74% compared to 2021. DRE segment adjusted EBITDA margin was 24.4% in 2022 compared to 17.4% in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WCC Results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WCC revenues of $1.8 billion in 2023 increased by $279 million or 18% compared to 2022 due to higher demand and activity with approximately 75% of the increase from completions and cementation products. Geographically, international regions contributed to approximately all of the overall revenue growth with 50% from the Middle East/North Africa/Asia. Latin America along with Europe/Sub-Sahara Africa/Russia equally contributed to the remaining overall revenue growth.</w:t>
      </w:r>
    </w:p>
    <w:p>
      <w:pPr>
        <w:spacing w:after="0" w:line="21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WCC segment adjusted EBITDA of $455 million in 2023 increased by $156 million or 52% compared to 2022. WCC segment adjusted EBITDA margin was 25.3% in 2023 compared to 19.7% in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2022 vs 2021</w:t>
      </w:r>
    </w:p>
    <w:p>
      <w:pPr>
        <w:spacing w:after="0" w:line="27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WCC revenues of $1.5 billion in 2022 increased by $168 million or 12% compared to 2021 due to higher demand and activity with approximately 55% of the increase from cementation products. Geographically, approximately half of the overall revenue growth came from the Middle East/North Africa/Asia with North America and Latin America contributing equally to remaining overall revenue growth. The increase was offset by a revenue decline in Europe/Sub-Sahara Africa/Russia.</w:t>
      </w:r>
    </w:p>
    <w:p>
      <w:pPr>
        <w:spacing w:after="0" w:line="21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WCC segment adjusted EBITDA of $299 million in 2022 increased by $43 million or 17% compared to 2021. WCC segment adjusted EBITDA margin was 19.7% in 2022 compared to 18.9% in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 Results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vs 2022</w:t>
      </w:r>
    </w:p>
    <w:p>
      <w:pPr>
        <w:spacing w:after="0" w:line="2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 revenues of $1.5 billion in 2023 increased by $77 million or 6% compared to 2022 due to higher demand and activity with approximately 75% of the increase from pressure pumping and intervention services and drilling tools. Geographically, international regions contributed approximately all of the overall revenue growth with approximately half from Latin America and half from the Middle East/North Africa/Asia. The increase was offset by a revenue decline in North America.</w:t>
      </w: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2023 Form 10-K | 36</w:t>
      </w:r>
    </w:p>
    <w:p>
      <w:pPr>
        <w:sectPr>
          <w:pgSz w:w="11900" w:h="16838" w:orient="portrait"/>
          <w:cols w:equalWidth="0" w:num="1">
            <w:col w:w="11240"/>
          </w:cols>
          <w:pgMar w:left="320" w:top="378" w:right="339" w:bottom="1440" w:gutter="0" w:footer="0" w:header="0"/>
          <w:type w:val="continuous"/>
        </w:sectPr>
      </w:pPr>
    </w:p>
    <w:bookmarkStart w:id="40" w:name="page41"/>
    <w:bookmarkEnd w:id="40"/>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 segment adjusted EBITDA of $323 million in 2023 increased by $62 million or 24% compared to 2022. PRI segment adjusted EBITDA margin was 21.9% in 2023 compared to 18.7% in 2022.</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2022 vs 2021</w:t>
      </w:r>
    </w:p>
    <w:p>
      <w:pPr>
        <w:spacing w:after="0" w:line="266"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PRI revenues of $1.4 billion in 2022, increased by $268 million or 24% compared to 2021 due to higher demand and activity across all PRI product lines with approximately 75% of the increase from artificial lift and pressure pumping. Geographically, approximately 45% of the revenue growth came from North America and approximately 45% of the growth was contributed equally by Europe/Sub-Sahara Africa/Russia and Latin America.</w:t>
      </w:r>
    </w:p>
    <w:p>
      <w:pPr>
        <w:spacing w:after="0" w:line="19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PRI segment adjusted EBITDA of $261 million in 2022 increased by $70 million or 37% compared to 2021. PRI segment adjusted EBITDA margin was 18.7% in 2022 compared to 16.9%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37</w:t>
      </w:r>
    </w:p>
    <w:p>
      <w:pPr>
        <w:sectPr>
          <w:pgSz w:w="11900" w:h="16838" w:orient="portrait"/>
          <w:cols w:equalWidth="0" w:num="1">
            <w:col w:w="11240"/>
          </w:cols>
          <w:pgMar w:left="320" w:top="378" w:right="33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81"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All other includes results from non-core business activities that do not individually meet the criteria for segment reporting, including integrated services and projects, which includes pass through services and project management services.</w:t>
      </w:r>
    </w:p>
    <w:p>
      <w:pPr>
        <w:spacing w:after="0" w:line="17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All other revenues of $327 million, increased $240 million or 276%, in 2023 compared to 2022, primarily due to higher activity related to integrated services and projects in the Middle East/North Africa/Asia and Latin America. All other revenues of $87 million, decreased $12 million or 12% in 2022 compared to 2021, primarily due to product line discontinuations and lower revenues from integrated services and projects.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6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Corporate was a net expense of $52 million in 2023, a decrease of $16 million or 24% compared to 2022, primarily due to lower litigation expense in 2023. Corporate was a net expense of $68 million in 2022 and 2021 and included the impact of litigation expense or other one-time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68"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Depreciation and amortization expense in 2023 was $327 million, a decrease of $22 million compared to 2022, and in 2022 was $349 million, a decrease of $91 million compared to 2021. The decrease in both periods was primarily attributed to a lower asset base, offset by an increase in our capital expenditures as demand increased. See “Note 2 – Segment Information”, “Note 7 – Property, Plant and Equipment, Net”, and “Note 8 – Intangible Assets, Net” for additional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81"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We record share-based compensation expense in “Selling, General and Administrative” on the accompanying Consolidated Statements of Operations. We recognized $35 million in 2023 and $25 million in each of 2022, and 2021. The increase was primarily attributable to the cost of performance share units. See “Note 13 – Share-Based Compensation”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Weatherford International plc – 2023 Form 10-K |</w:t>
      </w:r>
    </w:p>
    <w:p>
      <w:pPr>
        <w:sectPr>
          <w:pgSz w:w="11900" w:h="16838" w:orient="portrait"/>
          <w:cols w:equalWidth="0" w:num="1">
            <w:col w:w="11240"/>
          </w:cols>
          <w:pgMar w:left="320" w:top="378" w:right="3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83"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Growth and spending in the energy services industry is highly dependent on many external factors. These include but are not limited to; the impact from geopolitical conflicts; global response to any ongoing pandemics; our customers’ capital expenditures; environmental, social and governance and other sustainability initiatives; world economic, political and weather conditions; the price of oil and natural gas; and, member-country quota compliance within the Organization of Petroleum Exporting Countries and the expanded alliance. Imbalance across geographies driven by geopolitical conflicts, investment variances and supply disruptions are driving a greater focus on energy security, which in turn is creating a shift towards national oil companies. We expect continued improvements in our customer activity levels and generally positive macroeconomic conditions, all of which are expected to continue to provide a pathway to a multi-year energy demand expansion. We continue to closely monitor macroeconomic conditions, potential supply chain disruptions, inflationary factors, and other labor and logistical constraints that could impact our operations and results.</w:t>
      </w:r>
    </w:p>
    <w:p>
      <w:pPr>
        <w:spacing w:after="0" w:line="219"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 us to deliver our products and services at competitive rates. Over the long-term, we expect demand for oil and natural gas exploration and production industry as well as new energy platforms to continue to require more advanced technology from the energy service industry. Weatherford delivers innovative energy services that integrate proven technologies with advanced digitalization to create sustainable offerings for maximized value and return on investment. There was substantial negative impact on the global economy and demand leftover in 2021 from the COVID-19 pandemic, which carried at a lesser extent into 2022 which also included inflationary pressures, logistical delays and service and supply shortages. We managed to face these challenges by evolving our offerings, increasing the breadth of our digital portfolio and enhancing our applications to offer more fully integrated digital energy services solutions. We also increased our offerings of automated well construction and remote monitoring and predictive analytics related to our product offerings. Our resiliency continued to show in our performance through 2023, allowing us to also make improvements on our capital structure through debt reduction. We believe we are well positioned to satisfy our customers’ needs, but the level of improvement in our businesses in the future will continue to depend heavily on pricing, volume of work, our ability to offer cost efficient, innovative and effective technology solutions, and our success in gaining market share in new and existing markets.</w:t>
      </w:r>
    </w:p>
    <w:p>
      <w:pPr>
        <w:spacing w:after="0" w:line="223"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Our company performance, industry conditions and related perception, could make it more difficult to obtain our targeted cost reduction benefits and to recruit, motivate and retain employees, including key personnel. The implementation of new or escalation of existing sanctions imposed against countries in which we operate, including any further escalation of sanctions and other events around the Russia Ukraine Conflict, including increased exposure to cyberattacks, increasing investor and government focus on sustainability initiatives, supply chain challenges and disruptions, and the cyclicality of the energy industry may negatively impact demand for our products and services. The Russia Ukraine Conflict, or other future geopolitical conflicts, could also have the effect of heightening many other risks disclosed in our public filings, any of which could materially and adversely affect our business, financial condition, and results of operations. Such risks include, but are not limited to, adverse effects on global macroeconomic conditions; increased volatility in the price and demand of oil and natural gas, increased exposure to cyberattacks; limitations in our ability to implement and execute our business strategy; risks to employees and contractors that we have in the region; disruptions in global supply chains; exposure to foreign currency fluctuations; potential nationalizations and assets seizures in Russia or elsewhere; constraints or disruption in the capital markets and our sources of liquidity; our potential inability to service our remaining performance obligations and potential contractual breaches and litigation.</w:t>
      </w:r>
    </w:p>
    <w:p>
      <w:pPr>
        <w:spacing w:after="0" w:line="21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39</w:t>
      </w:r>
    </w:p>
    <w:p>
      <w:pPr>
        <w:sectPr>
          <w:pgSz w:w="11900" w:h="16838" w:orient="portrait"/>
          <w:cols w:equalWidth="0" w:num="1">
            <w:col w:w="11240"/>
          </w:cols>
          <w:pgMar w:left="320" w:top="378" w:right="33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At December 31, 2023, we had cash and cash equivalents of $958 million and $105 million in restricted cash, compared to $910 million of cash and cash equivalents and $202 million of restricted cash at December 31, 2022. The following table summarizes cash provided by (used in) each type of business activity in the periods presented:</w:t>
      </w:r>
    </w:p>
    <w:tbl>
      <w:tblPr>
        <w:tblLayout w:type="fixed"/>
        <w:tblInd w:w="70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3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Pr>
          <w:p>
            <w:pPr>
              <w:spacing w:after="0"/>
              <w:rPr>
                <w:sz w:val="19"/>
                <w:szCs w:val="19"/>
                <w:color w:val="auto"/>
              </w:rPr>
            </w:pPr>
          </w:p>
        </w:tc>
      </w:tr>
      <w:tr>
        <w:trPr>
          <w:trHeight w:val="238"/>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1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1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  832</w:t>
            </w:r>
          </w:p>
        </w:tc>
        <w:tc>
          <w:tcPr>
            <w:tcW w:w="16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  349</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322</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(289)</w:t>
            </w: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1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(514)</w:t>
            </w:r>
          </w:p>
        </w:tc>
        <w:tc>
          <w:tcPr>
            <w:tcW w:w="1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bl>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The primary source of cash provided by operating activities was attributed to operating income and collections, which offset operating spend, including cash interest.</w:t>
      </w:r>
    </w:p>
    <w:p>
      <w:pPr>
        <w:spacing w:after="0" w:line="17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Cash provided by operating activities in 2023 was $832 million. Heightened collections activity attributed to the increase year-over-year. During the fourth quarter of 2023, we entered into a credit default swap with a third-party financial institution related to a secured loan between that third-party financial institution and our largest customer in Mexico. The secured loan was utilized by this customer to pay us $140 million of certain of our outstanding receivables, increasing our net cash provided by operating activities. See further discussion below under “Derivative Financial Instruments” and in “Note 10 – Derivative Financial Instruments”.</w:t>
      </w:r>
    </w:p>
    <w:p>
      <w:pPr>
        <w:spacing w:after="0" w:line="218"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Cash provided by operating activities was $349 million in 2022 and $322 million in 2021. The primary sources of cash from operating activities were from higher operating income as well as effective working capital management, partially offset by interest payments.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Cash used in investing activities in 2023 was $289 million. The primary uses of cash in investing activities were for capital expenditures of $209 million, the purchase of Blue Chip Swap securities in Argentina for $110 million (see Note 17 – Blue Chip Swap Securities - Argentina), and $51 million of other investing activities. The uses of cash were offset by Blue Chip Swap proceeds of $53 million and $28 million in proceeds from the disposition of assets.</w:t>
      </w:r>
    </w:p>
    <w:p>
      <w:pPr>
        <w:spacing w:after="0" w:line="21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Cash used in investing activities in 2022 was $54 million. The primary uses of cash in investing activities were for capital expenditures of $132 million, partially offset by proceeds from the sale of assets of $82 million.</w:t>
      </w:r>
    </w:p>
    <w:p>
      <w:pPr>
        <w:spacing w:after="0" w:line="20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Cash used in investing activities in 2021 was $83 million. The primary uses of cash in investing activities were for capital expenditures of $85 million and investments in marketable securities in Argentina of $39 million. The primary source of cash from investing activities was $41 million of proceeds from asset dispositions.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Cash used in financing activities in 2023 was $514 million. The primary uses of cash in financing activities were for repayments and repurchases of long-term debt of $386 million (see “Note 8 – Borrowings and Other Debt Obligations”) and $56 million in tax remittances on equity awards vested. The tax remittances were higher than the same period of the prior year due to an increase in both the share price and the quantity of shares vested. Additionally, we paid distributions to noncontrolling interests of $52 million. The remaining financing cash uses were primarily for financing fees paid on the Credit Agreement.</w:t>
      </w: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2023 Form 10-K | 40</w:t>
      </w:r>
    </w:p>
    <w:p>
      <w:pPr>
        <w:sectPr>
          <w:pgSz w:w="11900" w:h="16838" w:orient="portrait"/>
          <w:cols w:equalWidth="0" w:num="1">
            <w:col w:w="11240"/>
          </w:cols>
          <w:pgMar w:left="320" w:top="378" w:right="339" w:bottom="1440" w:gutter="0" w:footer="0" w:header="0"/>
          <w:type w:val="continuous"/>
        </w:sectPr>
      </w:pPr>
    </w:p>
    <w:bookmarkStart w:id="44" w:name="page45"/>
    <w:bookmarkEnd w:id="44"/>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Cash used in financing activities in 2022 was $248 million. The primary uses of cash in financing activities were repayments of long-term debt of $198 million which included finance leases, a repurchase of $8 million of our 2028 Senior Secured Notes and a $175 million early redemption of our Exit Notes. Additionally, we paid distributions to noncontrolling interests of $30 million. The remaining financing cash uses were primarily for financing fees paid on the Credit Agreement.</w:t>
      </w:r>
    </w:p>
    <w:p>
      <w:pPr>
        <w:spacing w:after="0" w:line="20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Cash used in financing activities in 2021 was $403 million. The primary uses of cash in financing activities were repayments of long-term debt of $2.3 billion associated with the partial redemption of our Exit Notes and full redemption of our 2024 Senior Secured Notes as well as finance lease obligations. Other primary uses of cash from financing activities were $131 million in bond redemption premium payments as a result of the early redemptions and $28 million, primarily for $21 million in distributions to noncontrolling interests that were settled in cash (as certain distributions in the year were settled in other noncash methods). The primary sources of cash from financing activities were net proceeds of $2.1 billion from the issuance of our 2030 Senior Notes and 2028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41</w:t>
      </w:r>
    </w:p>
    <w:p>
      <w:pPr>
        <w:sectPr>
          <w:pgSz w:w="11900" w:h="16838" w:orient="portrait"/>
          <w:cols w:equalWidth="0" w:num="1">
            <w:col w:w="11240"/>
          </w:cols>
          <w:pgMar w:left="320" w:top="378" w:right="33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recent refinancing transactions, we expect to have sufficient cash from operations and cash on hand to fund our cash requirements (discussed below) and financial obligations, both in the short-term and long-term.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Weatherford International plc – 2023 Form 10-K |</w:t>
      </w:r>
    </w:p>
    <w:p>
      <w:pPr>
        <w:sectPr>
          <w:pgSz w:w="11900" w:h="16838" w:orient="portrait"/>
          <w:cols w:equalWidth="0" w:num="1">
            <w:col w:w="11240"/>
          </w:cols>
          <w:pgMar w:left="320" w:top="378" w:right="33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5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and restructuring payments. As business activity continues to rise, we expect to continue to utilize cash on capital assets and working capital growth.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below under “Derivative Financial Instruments” and in “Note 10 – Derivative Financial Instruments”.</w:t>
      </w:r>
    </w:p>
    <w:p>
      <w:pPr>
        <w:spacing w:after="0" w:line="205"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As of December 31, 2023, we had outstanding debt of $248 million in aggregate principal amount for our 2028 Senior Secured Notes and $1.6 billion in aggregate principal amount for our 2030 Senior Notes. After the January 2024 repurchases of our 2028 Senior Secured Notes, we expect $144 million in interest payments annually in 2024 and each year thereafter until the maturity of our 2028 Senior Secured Notes and 2030 Senior Notes. See “Note 8 – Borrowings and Other Debt Obligations” for additional information.</w:t>
      </w:r>
    </w:p>
    <w:p>
      <w:pPr>
        <w:spacing w:after="0" w:line="20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have laid out a plan that envisions a capital spend that is 3-5% of revenue over a 12 to 18 months rolling period and our 2024 capital spend is projected to fall within the same framework. Our payments on our operating and finance leases in 2024 are expected to be approximately $79 million and $254 million in the years thereafter. See “Note 7 – Leases” for additional information.</w:t>
      </w:r>
    </w:p>
    <w:p>
      <w:pPr>
        <w:spacing w:after="0" w:line="21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December 31, 2023 we had approximately $92 million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in 2023 (see “Note 17 – Blue Chip Swap Securities - Argentina”), which may contribute to a decrease in cash and cash equivalents that cannot be immediately repatriated. As we continue to conduct business in Argentina and in other countries with cash that cannot be immediately repatriated, we may consider infrequent transactions like the BCS transaction in the future to safeguard our cash from exposure to the effects of inflation and currency devaluation.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43</w:t>
      </w:r>
    </w:p>
    <w:p>
      <w:pPr>
        <w:sectPr>
          <w:pgSz w:w="11900" w:h="16838" w:orient="portrait"/>
          <w:cols w:equalWidth="0" w:num="1">
            <w:col w:w="11240"/>
          </w:cols>
          <w:pgMar w:left="320" w:top="378" w:right="33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credit ratings at December 31, 2023 were upgraded, maintained, or newly initiated since December 31, 2022 as follows:</w:t>
      </w:r>
    </w:p>
    <w:p>
      <w:pPr>
        <w:spacing w:after="0" w:line="27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 (“S&amp;P”) upgraded our issuer credit rating from ‘B’ to ‘B+’. The outlook was upgraded from stable to positive.</w:t>
      </w:r>
    </w:p>
    <w:p>
      <w:pPr>
        <w:spacing w:after="0" w:line="90"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Moody's Investors Service (Moody's) maintained all ratings since December 31, 2022 with the exception of an upgrade to its Corporate Family Rating to B1 from B2. The outlook was upgraded from stable to positive.</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 Ratings (“Fitch”) initiated a credit rating of ‘B+’ with Stable Outlook.</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9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may experience delayed customer payments and payment defaults due to, among other reasons, a weaker economic environment, reductions in our customers’ cash flow from operations, our customers’ inability to access credit markets, as well as unsettled political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See “Note 1</w:t>
      </w:r>
    </w:p>
    <w:p>
      <w:pPr>
        <w:spacing w:after="0" w:line="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 Summary of Significant Accounting Policies” and “Item 1A. Risk Factors” for additional information. In addition, our customers are primarily in fossil fuel-related industries and broad declines might impact the collections of our customer receivables.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 and Monetization</w:t>
      </w:r>
    </w:p>
    <w:p>
      <w:pPr>
        <w:spacing w:after="0" w:line="27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 and hold-back. During 2023, 2022, and 2021 we sold accounts receivable balances of $210 million, $96 million, and $100 million, respectively, and received cash proceeds of $202 million, $93 million, and $85 million, respectively, at the time of factoring. During 2022, we also entered into a short-term monetization transaction on accounts receivable balances of $77 million and received cash proceeds of $75 million. These factoring and monetization proceeds are included as operating cash flows in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44</w:t>
      </w:r>
    </w:p>
    <w:p>
      <w:pPr>
        <w:sectPr>
          <w:pgSz w:w="11900" w:h="16838" w:orient="portrait"/>
          <w:cols w:equalWidth="0" w:num="1">
            <w:col w:w="11240"/>
          </w:cols>
          <w:pgMar w:left="320" w:top="378" w:right="33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83"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We enter into foreign currency forward contracts to mitigate the risk of future cash flows denominated in a foreign currency. The amounts will fluctuate, depending on exchange rate volatility, the volume of our foreign currency transactions, and our decisions to hedge. During the fourth quarter of 2023, we entered into a credit default swap, further described below. The notional amounts of our foreign currency forward contracts and the credit default swap do not generally represent cash amounts exchanged by the parties and are calculated based on the terms of the derivative instrument. See also “Note 10 – Derivative Financial Instruments” for additional information.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Default Swap</w:t>
      </w:r>
    </w:p>
    <w:p>
      <w:pPr>
        <w:spacing w:after="0" w:line="29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During the fourth quarter of 2023, we entered into a credit default swap (“CDS”) with a third-party financial institution terminating in February of 2026 related to a secured loan between that third-party financial institution and our largest customer in Mexico. The secured loan was utilized by this customer to pay certain of our outstanding receivables and accordingly, in the fourth quarter of 2023 and January of 2024, we received $140 million and $142 million, respectively.</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Under the CDS terms, within five business days upon notification of default, we could be required to pay the then outstanding notional balance net of recoveries. As of December 31, 2023, we had a notional balance of $130 million outstanding under the CDS, which increased to $260 million in January of 2024, following the receipt of the $142 million payment. Management expects the total notional balance under the CDS to decrease to $161 million, $54 million and nil by December 31, 2024, December 31, 2025 and March 31, 2026, respectively. The fair value of this derivative was not material as of December 31, 2023.</w:t>
      </w:r>
    </w:p>
    <w:p>
      <w:pPr>
        <w:spacing w:after="0" w:line="21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As of the date of this report, we are not aware of any events of default under the loan agreement between that third-party financial institution and our largest customer in Mexico.</w:t>
      </w:r>
    </w:p>
    <w:p>
      <w:pPr>
        <w:spacing w:after="0" w:line="200" w:lineRule="exact"/>
        <w:rPr>
          <w:sz w:val="20"/>
          <w:szCs w:val="20"/>
          <w:color w:val="auto"/>
        </w:rPr>
      </w:pPr>
    </w:p>
    <w:p>
      <w:pPr>
        <w:spacing w:after="0" w:line="39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45</w:t>
      </w:r>
    </w:p>
    <w:p>
      <w:pPr>
        <w:sectPr>
          <w:pgSz w:w="11900" w:h="16838" w:orient="portrait"/>
          <w:cols w:equalWidth="0" w:num="1">
            <w:col w:w="11240"/>
          </w:cols>
          <w:pgMar w:left="320" w:top="378" w:right="33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Our Exit Notes were fully repaid in 2023.</w:t>
      </w:r>
    </w:p>
    <w:p>
      <w:pPr>
        <w:spacing w:after="0" w:line="19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Weatherford International plc – 2023 Form 10-K |</w:t>
      </w:r>
    </w:p>
    <w:p>
      <w:pPr>
        <w:sectPr>
          <w:pgSz w:w="11900" w:h="16838" w:orient="portrait"/>
          <w:cols w:equalWidth="0" w:num="1">
            <w:col w:w="11240"/>
          </w:cols>
          <w:pgMar w:left="320" w:top="378" w:right="33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8"/>
          <w:szCs w:val="18"/>
          <w:color w:val="auto"/>
        </w:rPr>
        <w:t>Item 7 | MD&amp;A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83"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8"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On March 24, 2023, we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w:t>
      </w:r>
    </w:p>
    <w:p>
      <w:pPr>
        <w:spacing w:after="0" w:line="205"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8"/>
          <w:szCs w:val="18"/>
          <w:color w:val="auto"/>
        </w:rPr>
        <w:t>On October 24, 2023, we amended the Credit Agreement to, among other things, (i) allow for an increase in total commitment amount from $400 million to $550 million ($250 million for performance letters of credit and $300 million for either borrowings or additional performance or financial letters of credit), (ii) extend maturity to October 24, 2028, subject to certain conditions, (iii) allow for dividends, share buybacks, and acquisitions which combined with other permitted transactions, are not to exceed a total net leverage ratio of 2.00 to 1.00 and an aggregate liquidity not less than $400 million,</w:t>
      </w:r>
    </w:p>
    <w:p>
      <w:pPr>
        <w:spacing w:after="0" w:line="1" w:lineRule="exact"/>
        <w:rPr>
          <w:sz w:val="20"/>
          <w:szCs w:val="20"/>
          <w:color w:val="auto"/>
        </w:rPr>
      </w:pPr>
    </w:p>
    <w:p>
      <w:pPr>
        <w:jc w:val="both"/>
        <w:ind w:firstLine="8"/>
        <w:spacing w:after="0" w:line="285" w:lineRule="auto"/>
        <w:tabs>
          <w:tab w:leader="none" w:pos="3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minimum book value of assets requirement, (v) add Weatherford Switzerland as a borrower, and (vi) modify certain pricing provisions and eliminate secured overnight financing rate exposure to certain letters of credit. The amendment also gives the ability to request an increase in total commitments by up to $200 million, upon satisfaction of certain conditions. We further amended the Credit Agreement on December 20, 2023, to permit a certain specified swap transaction.</w:t>
      </w:r>
    </w:p>
    <w:p>
      <w:pPr>
        <w:spacing w:after="0" w:line="21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spacing w:after="0" w:line="20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Consolidated Balance Sheets).</w:t>
      </w:r>
    </w:p>
    <w:p>
      <w:pPr>
        <w:spacing w:after="0" w:line="19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Latin America we utilize surety bonds as part of our customary business practice. As of December 31, 2023, we had $594 million of surety bonds outstanding. Any of our outstanding letters of credit or surety bonds could be called by the beneficiaries should we breach certain contractual or performance obligations and could reduce our available liquidity if we are unable to mitigate the issue.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47</w:t>
      </w:r>
    </w:p>
    <w:p>
      <w:pPr>
        <w:sectPr>
          <w:pgSz w:w="11900" w:h="16838" w:orient="portrait"/>
          <w:cols w:equalWidth="0" w:num="1">
            <w:col w:w="11240"/>
          </w:cols>
          <w:pgMar w:left="320" w:top="378" w:right="339" w:bottom="1440" w:gutter="0" w:footer="0" w:header="0"/>
        </w:sectPr>
      </w:pPr>
    </w:p>
    <w:bookmarkStart w:id="51" w:name="page52"/>
    <w:bookmarkEnd w:id="51"/>
    <w:p>
      <w:pPr>
        <w:ind w:left="26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9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 is based upon our Consolidated Financial Statements. We prepare these consolidated financial statements in conformity with accounting principles generally accepted in the United States of America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9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(“PP&amp;E”), definite-lived intangibles and operating lease assets, comprise a significant amount of our assets. The carrying value of our long-lived assets at December 31, 2023 and December 31, 2022 was approximately $1.5 billion. The cost of the long-lived assets is then amortized over its expected useful life or their respective lease terms, if applicable. A change in the estimated useful lives of our long-lived assets would have an impact on our results of operations. We estimate the useful lives of our long-lived assets over their respective lease terms, if applicable, or as follows:</w:t>
      </w:r>
    </w:p>
    <w:p>
      <w:pPr>
        <w:spacing w:after="0" w:line="7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34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Buildings and Leasehold </w:t>
            </w:r>
            <w:r>
              <w:rPr>
                <w:rFonts w:ascii="Times New Roman" w:cs="Times New Roman" w:eastAsia="Times New Roman" w:hAnsi="Times New Roman"/>
                <w:sz w:val="10"/>
                <w:szCs w:val="10"/>
                <w:color w:val="auto"/>
              </w:rPr>
              <w:t>I</w:t>
            </w:r>
            <w:r>
              <w:rPr>
                <w:rFonts w:ascii="Times New Roman" w:cs="Times New Roman" w:eastAsia="Times New Roman" w:hAnsi="Times New Roman"/>
                <w:sz w:val="18"/>
                <w:szCs w:val="18"/>
                <w:color w:val="auto"/>
              </w:rPr>
              <w:t>mprovements</w:t>
            </w:r>
          </w:p>
        </w:tc>
        <w:tc>
          <w:tcPr>
            <w:tcW w:w="5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10 – 40 years</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3 – 10 years</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50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 – 12 years</w:t>
            </w: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 – 10 years</w:t>
            </w:r>
          </w:p>
        </w:tc>
      </w:tr>
    </w:tbl>
    <w:p>
      <w:pPr>
        <w:spacing w:after="0" w:line="328"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203" w:lineRule="exact"/>
        <w:rPr>
          <w:sz w:val="20"/>
          <w:szCs w:val="20"/>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Long-lived assets to be held and used by us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 groups identified as not being recoverable using a discounted cash flow analysis or Level 3 fair value analysis, to determine if an impairment has occurred. The discounted cash flow analysis consists of estimating the future cash flows that are directly associated with, and are expected to arise from, the use and eventual disposition of the asset group over its remaining useful life. These estimated discounted cash flows are inherently subjective and includes significant assumptions, specifically the forecasted revenue, forecasted operating margins, and the discount rate assumptions and require estimates based upon historical experience and future expectations. The fair value of the asset group is measured using market prices, or in the absence of market prices, is based on an estimate of discounted cash flows. Cash flows are discounted at an interest rate commensurate with our weighted average cost of capital for a similar asset.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48</w:t>
      </w:r>
    </w:p>
    <w:p>
      <w:pPr>
        <w:sectPr>
          <w:pgSz w:w="11900" w:h="16838" w:orient="portrait"/>
          <w:cols w:equalWidth="0" w:num="1">
            <w:col w:w="11240"/>
          </w:cols>
          <w:pgMar w:left="320" w:top="378" w:right="339" w:bottom="1440" w:gutter="0" w:footer="0" w:header="0"/>
        </w:sectPr>
      </w:pPr>
    </w:p>
    <w:bookmarkStart w:id="52" w:name="page53"/>
    <w:bookmarkEnd w:id="52"/>
    <w:p>
      <w:pPr>
        <w:ind w:left="26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an impairment has occurred, the Company recognizes a loss for the difference between the carrying amount and the fair value of the asset group.</w:t>
      </w:r>
    </w:p>
    <w:p>
      <w:pPr>
        <w:spacing w:after="0" w:line="29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group long-lived assets by product line. We have long-lived assets, such as facilities, utilized by multiple operating divisions that do not have identifiable cash flows and impairment testing for these long-lived assets is based on the consolidated entity. We did not recognize long-lived assets impairments during 2023, 2022 and 2021.</w:t>
      </w:r>
    </w:p>
    <w:p>
      <w:pPr>
        <w:spacing w:after="0" w:line="196"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Management cannot predict the occurrence of future impairment-triggering events, so we continue to assess whether indicators of impairment to long-lived assets exist due to the current business conditions in the energy services industry.</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5"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16 – Income Taxes” for detailed discussion of results.</w:t>
      </w:r>
    </w:p>
    <w:p>
      <w:pPr>
        <w:spacing w:after="0" w:line="214"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257"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7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32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December 2023, Ireland enacted tax legislation that models the Organization of Economic Cooperation and Development (“OECD”) reform plans focused on global profit allocation and implementing a global minimum tax rate of at least 15% for large multinational corporations on a jurisdiction-by-jurisdiction basis, known as “Pillar Two.” This is not expected to materially increase the taxes we owe, however, if future legislation is enacted to implement the accord in other jurisdictions in which we have operations, it could materially increase the amount of taxes we owe, thereby negatively affecting our results of operations and our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49</w:t>
      </w:r>
    </w:p>
    <w:p>
      <w:pPr>
        <w:sectPr>
          <w:pgSz w:w="11900" w:h="16838" w:orient="portrait"/>
          <w:cols w:equalWidth="0" w:num="1">
            <w:col w:w="11240"/>
          </w:cols>
          <w:pgMar w:left="320" w:top="378" w:right="339" w:bottom="1440" w:gutter="0" w:footer="0" w:header="0"/>
        </w:sectPr>
      </w:pPr>
    </w:p>
    <w:bookmarkStart w:id="53" w:name="page54"/>
    <w:bookmarkEnd w:id="53"/>
    <w:p>
      <w:pPr>
        <w:ind w:left="260"/>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Valuation Allowance for Deferred Tax Assets</w:t>
      </w:r>
    </w:p>
    <w:p>
      <w:pPr>
        <w:spacing w:after="0" w:line="29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and various tax planning strategies.</w:t>
      </w:r>
    </w:p>
    <w:p>
      <w:pPr>
        <w:spacing w:after="0" w:line="20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When the likelihood of the realization of existing deferred tax assets changes, adjustments to the valuation allowance are charged to our income tax provision in the period in which the determination is made. The Company concluded it was not able to realize the benefits of certain of its deferred tax assets and has established a valuation allowance. Our valuation allowance on our deferred tax assets was $1.3 billion and $1.3 billion as of December 31, 2023, and December 31, 2022,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04"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 – Item 1A. Risk Factors”, sets forth certain risks and uncertainties relating to our forward-looking statements that may cause actual results to be materially different from our present expectations or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50</w:t>
      </w:r>
    </w:p>
    <w:p>
      <w:pPr>
        <w:sectPr>
          <w:pgSz w:w="11900" w:h="16838" w:orient="portrait"/>
          <w:cols w:equalWidth="0" w:num="1">
            <w:col w:w="11240"/>
          </w:cols>
          <w:pgMar w:left="320" w:top="378" w:right="33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00" w:lineRule="exact"/>
        <w:rPr>
          <w:sz w:val="20"/>
          <w:szCs w:val="20"/>
          <w:color w:val="auto"/>
        </w:rPr>
      </w:pPr>
    </w:p>
    <w:p>
      <w:pPr>
        <w:spacing w:after="0" w:line="241" w:lineRule="exact"/>
        <w:rPr>
          <w:sz w:val="20"/>
          <w:szCs w:val="20"/>
          <w:color w:val="auto"/>
        </w:rPr>
      </w:pPr>
    </w:p>
    <w:p>
      <w:pPr>
        <w:ind w:left="740" w:hanging="327"/>
        <w:spacing w:after="0" w:line="289"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49" w:lineRule="exact"/>
        <w:rPr>
          <w:rFonts w:ascii="Times New Roman" w:cs="Times New Roman" w:eastAsia="Times New Roman" w:hAnsi="Times New Roman"/>
          <w:sz w:val="18"/>
          <w:szCs w:val="18"/>
          <w:color w:val="auto"/>
        </w:rPr>
      </w:pPr>
    </w:p>
    <w:p>
      <w:pPr>
        <w:ind w:left="740" w:right="20" w:hanging="327"/>
        <w:spacing w:after="0" w:line="289"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jc w:val="both"/>
        <w:ind w:left="740" w:hanging="327"/>
        <w:spacing w:after="0" w:line="286"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we face, including those related to the other risks and uncertainties listed or referenced;</w:t>
      </w:r>
    </w:p>
    <w:p>
      <w:pPr>
        <w:spacing w:after="0" w:line="2" w:lineRule="exact"/>
        <w:rPr>
          <w:rFonts w:ascii="Times New Roman" w:cs="Times New Roman" w:eastAsia="Times New Roman" w:hAnsi="Times New Roman"/>
          <w:sz w:val="18"/>
          <w:szCs w:val="18"/>
          <w:color w:val="auto"/>
        </w:rPr>
      </w:pPr>
    </w:p>
    <w:p>
      <w:pPr>
        <w:ind w:left="740" w:right="200" w:hanging="327"/>
        <w:spacing w:after="0" w:line="273"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ind w:left="740" w:hanging="327"/>
        <w:spacing w:after="0" w:line="294"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spacing w:after="0" w:line="1" w:lineRule="exact"/>
        <w:rPr>
          <w:rFonts w:ascii="Times New Roman" w:cs="Times New Roman" w:eastAsia="Times New Roman" w:hAnsi="Times New Roman"/>
          <w:sz w:val="18"/>
          <w:szCs w:val="18"/>
          <w:color w:val="auto"/>
        </w:rPr>
      </w:pPr>
    </w:p>
    <w:p>
      <w:pPr>
        <w:ind w:left="740" w:hanging="327"/>
        <w:spacing w:after="0" w:line="289"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ind w:left="740" w:hanging="327"/>
        <w:spacing w:after="0" w:line="289"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the business of our company, customers, suppliers and other partners;</w:t>
      </w:r>
    </w:p>
    <w:p>
      <w:pPr>
        <w:spacing w:after="0" w:line="1" w:lineRule="exact"/>
        <w:rPr>
          <w:rFonts w:ascii="Times New Roman" w:cs="Times New Roman" w:eastAsia="Times New Roman" w:hAnsi="Times New Roman"/>
          <w:sz w:val="18"/>
          <w:szCs w:val="18"/>
          <w:color w:val="auto"/>
        </w:rPr>
      </w:pPr>
    </w:p>
    <w:p>
      <w:pPr>
        <w:jc w:val="both"/>
        <w:ind w:left="740" w:right="20" w:hanging="327"/>
        <w:spacing w:after="0" w:line="289"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w:t>
      </w:r>
    </w:p>
    <w:p>
      <w:pPr>
        <w:spacing w:after="0" w:line="1" w:lineRule="exact"/>
        <w:rPr>
          <w:rFonts w:ascii="Times New Roman" w:cs="Times New Roman" w:eastAsia="Times New Roman" w:hAnsi="Times New Roman"/>
          <w:sz w:val="18"/>
          <w:szCs w:val="18"/>
          <w:color w:val="auto"/>
        </w:rPr>
      </w:pPr>
    </w:p>
    <w:p>
      <w:pPr>
        <w:ind w:left="7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including vaccination requirements and the associated availability of vaccines, restrictions on business operations or social distancing requirements, and the duration and efficacy of such restrictions;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3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4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3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49" w:lineRule="exact"/>
        <w:rPr>
          <w:rFonts w:ascii="Times New Roman" w:cs="Times New Roman" w:eastAsia="Times New Roman" w:hAnsi="Times New Roman"/>
          <w:sz w:val="18"/>
          <w:szCs w:val="18"/>
          <w:color w:val="auto"/>
        </w:rPr>
      </w:pPr>
    </w:p>
    <w:p>
      <w:pPr>
        <w:jc w:val="both"/>
        <w:ind w:left="740" w:hanging="327"/>
        <w:spacing w:after="0" w:line="292"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3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4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3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4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3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w:t>
      </w:r>
    </w:p>
    <w:p>
      <w:pPr>
        <w:spacing w:after="0" w:line="49" w:lineRule="exact"/>
        <w:rPr>
          <w:rFonts w:ascii="Times New Roman" w:cs="Times New Roman" w:eastAsia="Times New Roman" w:hAnsi="Times New Roman"/>
          <w:sz w:val="18"/>
          <w:szCs w:val="18"/>
          <w:color w:val="auto"/>
        </w:rPr>
      </w:pPr>
    </w:p>
    <w:p>
      <w:pPr>
        <w:ind w:left="740" w:right="4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and commercialization, including the impact of our organization restructure, business enhancements, improvement efforts and the cost and support reduction plans;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3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4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279"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51</w:t>
      </w:r>
    </w:p>
    <w:p>
      <w:pPr>
        <w:sectPr>
          <w:pgSz w:w="11900" w:h="16838" w:orient="portrait"/>
          <w:cols w:equalWidth="0" w:num="1">
            <w:col w:w="11240"/>
          </w:cols>
          <w:pgMar w:left="320" w:top="378" w:right="339"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Information related to market risk is included earlier in Item 7. Management's Discussion and Analysis of Financial Condition and Results of Operations – “Other Expense, Net” and “Derivative Financial Instruments” and later, in the Notes to Consolidated Financial Statements under Item 8. Financial Statements and Supplementary Data, in “Note 1 – Summary of Significant Accounting Policies”, “Note 9 – Fair Value of Financial Instruments, Assets and Other Assets” and “Note 10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Weatherford International plc – 2023 Form 10-K | 52</w:t>
      </w:r>
    </w:p>
    <w:p>
      <w:pPr>
        <w:sectPr>
          <w:pgSz w:w="11900" w:h="16838" w:orient="portrait"/>
          <w:cols w:equalWidth="0" w:num="1">
            <w:col w:w="11240"/>
          </w:cols>
          <w:pgMar w:left="320" w:top="378" w:right="33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8"/>
          <w:szCs w:val="18"/>
          <w:color w:val="auto"/>
        </w:rPr>
        <w:t>Item 8 | Financial Statements and Supplementary Data</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29"/>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70"/>
        </w:trPr>
        <w:tc>
          <w:tcPr>
            <w:tcW w:w="20" w:type="dxa"/>
            <w:vAlign w:val="bottom"/>
            <w:shd w:val="clear" w:color="auto" w:fill="CCEEFF"/>
          </w:tcPr>
          <w:p>
            <w:pPr>
              <w:spacing w:after="0"/>
              <w:rPr>
                <w:sz w:val="23"/>
                <w:szCs w:val="23"/>
                <w:color w:val="auto"/>
              </w:rPr>
            </w:pPr>
          </w:p>
        </w:tc>
        <w:tc>
          <w:tcPr>
            <w:tcW w:w="93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(KPMG LLP, Houston, TX Firm ID 185)</w:t>
            </w:r>
          </w:p>
        </w:tc>
        <w:tc>
          <w:tcPr>
            <w:tcW w:w="16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48</w:t>
            </w:r>
          </w:p>
        </w:tc>
      </w:tr>
      <w:tr>
        <w:trPr>
          <w:trHeight w:val="75"/>
        </w:trPr>
        <w:tc>
          <w:tcPr>
            <w:tcW w:w="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270"/>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93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2022 and 2021</w:t>
            </w:r>
          </w:p>
        </w:tc>
        <w:tc>
          <w:tcPr>
            <w:tcW w:w="16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52</w:t>
            </w:r>
          </w:p>
        </w:tc>
      </w:tr>
      <w:tr>
        <w:trPr>
          <w:trHeight w:val="74"/>
        </w:trPr>
        <w:tc>
          <w:tcPr>
            <w:tcW w:w="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2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270"/>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93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2023, 2022 and 2021</w:t>
            </w:r>
          </w:p>
        </w:tc>
        <w:tc>
          <w:tcPr>
            <w:tcW w:w="16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53</w:t>
            </w:r>
          </w:p>
        </w:tc>
      </w:tr>
      <w:tr>
        <w:trPr>
          <w:trHeight w:val="74"/>
        </w:trPr>
        <w:tc>
          <w:tcPr>
            <w:tcW w:w="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2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270"/>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93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16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54</w:t>
            </w:r>
          </w:p>
        </w:tc>
      </w:tr>
      <w:tr>
        <w:trPr>
          <w:trHeight w:val="75"/>
        </w:trPr>
        <w:tc>
          <w:tcPr>
            <w:tcW w:w="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270"/>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93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2023, 2022 and 2021</w:t>
            </w:r>
          </w:p>
        </w:tc>
        <w:tc>
          <w:tcPr>
            <w:tcW w:w="16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55</w:t>
            </w:r>
          </w:p>
        </w:tc>
      </w:tr>
      <w:tr>
        <w:trPr>
          <w:trHeight w:val="75"/>
        </w:trPr>
        <w:tc>
          <w:tcPr>
            <w:tcW w:w="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2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270"/>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93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16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56</w:t>
            </w:r>
          </w:p>
        </w:tc>
      </w:tr>
      <w:tr>
        <w:trPr>
          <w:trHeight w:val="75"/>
        </w:trPr>
        <w:tc>
          <w:tcPr>
            <w:tcW w:w="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22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r>
        <w:trPr>
          <w:trHeight w:val="270"/>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93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6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57</w:t>
            </w:r>
          </w:p>
        </w:tc>
      </w:tr>
      <w:tr>
        <w:trPr>
          <w:trHeight w:val="75"/>
        </w:trPr>
        <w:tc>
          <w:tcPr>
            <w:tcW w:w="20" w:type="dxa"/>
            <w:vAlign w:val="bottom"/>
            <w:tcBorders>
              <w:top w:val="single" w:sz="8" w:color="CCEEFF"/>
            </w:tcBorders>
            <w:shd w:val="clear" w:color="auto" w:fill="CCEEFF"/>
          </w:tcPr>
          <w:p>
            <w:pPr>
              <w:spacing w:after="0"/>
              <w:rPr>
                <w:sz w:val="6"/>
                <w:szCs w:val="6"/>
                <w:color w:val="auto"/>
              </w:rPr>
            </w:pPr>
          </w:p>
        </w:tc>
        <w:tc>
          <w:tcPr>
            <w:tcW w:w="3160" w:type="dxa"/>
            <w:vAlign w:val="bottom"/>
            <w:tcBorders>
              <w:top w:val="single" w:sz="8" w:color="auto"/>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53</w:t>
      </w:r>
    </w:p>
    <w:p>
      <w:pPr>
        <w:sectPr>
          <w:pgSz w:w="11900" w:h="16838" w:orient="portrait"/>
          <w:cols w:equalWidth="0" w:num="1">
            <w:col w:w="11160"/>
          </w:cols>
          <w:pgMar w:left="320" w:top="432" w:right="4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Weatherford International plc and subsidiaries (the Company) as of December 31, 2023 and 2022, the related consolidated statements of operations, comprehensive income (loss), shareholders’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2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7, 2024 expressed an unqualified opinion on the effectiveness of the Company’s internal control over financial reporting.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Assessment of impairment triggering events related to long-lived assets</w:t>
      </w:r>
    </w:p>
    <w:p>
      <w:pPr>
        <w:spacing w:after="0" w:line="295" w:lineRule="exact"/>
        <w:rPr>
          <w:sz w:val="20"/>
          <w:szCs w:val="20"/>
          <w:color w:val="auto"/>
        </w:rPr>
      </w:pPr>
    </w:p>
    <w:p>
      <w:pPr>
        <w:jc w:val="both"/>
        <w:ind w:left="660"/>
        <w:spacing w:after="0" w:line="274"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evaluates long-lived assets, consisting of property, plant and equipment, operating lease right-of use assets, and definite-lived intangible assets, for impairment to determine whether any events or changes in circumstances, known as triggering events, indicate that the carrying amount of an asset group may not be recoverable. The triggering events evaluated by the Company include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2023 was $1.5 billion.</w:t>
      </w:r>
    </w:p>
    <w:p>
      <w:pPr>
        <w:spacing w:after="0" w:line="30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Weatherford International plc – 2023 Form 10-K | 54</w:t>
      </w:r>
    </w:p>
    <w:p>
      <w:pPr>
        <w:sectPr>
          <w:pgSz w:w="11900" w:h="16838" w:orient="portrait"/>
          <w:cols w:equalWidth="0" w:num="1">
            <w:col w:w="11240"/>
          </w:cols>
          <w:pgMar w:left="320" w:top="941" w:right="339" w:bottom="1440" w:gutter="0" w:footer="0" w:header="0"/>
        </w:sectPr>
      </w:pPr>
    </w:p>
    <w:bookmarkStart w:id="58" w:name="page59"/>
    <w:bookmarkEnd w:id="58"/>
    <w:p>
      <w:pPr>
        <w:jc w:val="both"/>
        <w:ind w:left="660"/>
        <w:spacing w:after="0" w:line="305" w:lineRule="auto"/>
        <w:rPr>
          <w:sz w:val="20"/>
          <w:szCs w:val="20"/>
          <w:color w:val="auto"/>
        </w:rPr>
      </w:pPr>
      <w:r>
        <w:rPr>
          <w:rFonts w:ascii="Times New Roman" w:cs="Times New Roman" w:eastAsia="Times New Roman" w:hAnsi="Times New Roman"/>
          <w:sz w:val="18"/>
          <w:szCs w:val="18"/>
          <w:color w:val="auto"/>
        </w:rPr>
        <w:t>We identified the assessment of impairment triggering events related to long-lived asset groups as a critical audit matter. The assessment of whether (i) reduced or expected sustained decreases in cash flows generated by an asset group and (ii) negative changes in industry conditions represented a triggering event required a higher degree of subjective auditor judgment.</w:t>
      </w:r>
    </w:p>
    <w:p>
      <w:pPr>
        <w:spacing w:after="0" w:line="196" w:lineRule="exact"/>
        <w:rPr>
          <w:sz w:val="20"/>
          <w:szCs w:val="20"/>
          <w:color w:val="auto"/>
        </w:rPr>
      </w:pPr>
    </w:p>
    <w:p>
      <w:pPr>
        <w:jc w:val="both"/>
        <w:ind w:left="660"/>
        <w:spacing w:after="0" w:line="29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group may not be recoverable. We evaluated the Company’s identification of triggering events related to the evaluation of cash flow trends for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36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Weatherford International plc – 2023 Form 10-K | 55</w:t>
      </w:r>
    </w:p>
    <w:p>
      <w:pPr>
        <w:sectPr>
          <w:pgSz w:w="11900" w:h="16838" w:orient="portrait"/>
          <w:cols w:equalWidth="0" w:num="1">
            <w:col w:w="11240"/>
          </w:cols>
          <w:pgMar w:left="320" w:top="118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plc:</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We have audited Weatherford International plc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shareholders’ equity, and cash flows for each of the years in the three-year period ended December 31, 2023, and the related notes (collectively, the consolidated financial statements), and our report dated February 7, 2024 expressed an unqualified opinion on those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9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Weatherford International plc – 2023 Form 10-K | 56</w:t>
      </w:r>
    </w:p>
    <w:p>
      <w:pPr>
        <w:sectPr>
          <w:pgSz w:w="11900" w:h="16838" w:orient="portrait"/>
          <w:cols w:equalWidth="0" w:num="1">
            <w:col w:w="11240"/>
          </w:cols>
          <w:pgMar w:left="320" w:top="941" w:right="339" w:bottom="1440" w:gutter="0" w:footer="0" w:header="0"/>
        </w:sectPr>
      </w:pPr>
    </w:p>
    <w:bookmarkStart w:id="60" w:name="page61"/>
    <w:bookmarkEnd w:id="60"/>
    <w:p>
      <w:pPr>
        <w:jc w:val="center"/>
        <w:ind w:right="-259"/>
        <w:spacing w:after="0"/>
        <w:rPr>
          <w:sz w:val="20"/>
          <w:szCs w:val="20"/>
          <w:color w:val="auto"/>
        </w:rPr>
      </w:pPr>
      <w:r>
        <w:rPr>
          <w:rFonts w:ascii="Times New Roman" w:cs="Times New Roman" w:eastAsia="Times New Roman" w:hAnsi="Times New Roman"/>
          <w:sz w:val="18"/>
          <w:szCs w:val="18"/>
          <w:u w:val="single" w:color="auto"/>
          <w:color w:val="auto"/>
        </w:rPr>
        <w:t>/s/ KPMG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57</w:t>
      </w:r>
    </w:p>
    <w:p>
      <w:pPr>
        <w:sectPr>
          <w:pgSz w:w="11900" w:h="16838" w:orient="portrait"/>
          <w:cols w:equalWidth="0" w:num="1">
            <w:col w:w="11000"/>
          </w:cols>
          <w:pgMar w:left="320" w:top="945" w:right="579" w:bottom="1440" w:gutter="0" w:footer="0" w:header="0"/>
        </w:sectPr>
      </w:pPr>
    </w:p>
    <w:bookmarkStart w:id="61" w:name="page62"/>
    <w:bookmarkEnd w:id="61"/>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2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and shares in millions, except per share amounts)</w:t>
            </w:r>
          </w:p>
        </w:tc>
        <w:tc>
          <w:tcPr>
            <w:tcW w:w="15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3,179</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2,698</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2,353</w:t>
            </w:r>
          </w:p>
        </w:tc>
      </w:tr>
      <w:tr>
        <w:trPr>
          <w:trHeight w:val="229"/>
        </w:trPr>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Products</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1,956</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1,633</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8"/>
              </w:rPr>
              <w:t>1,292</w:t>
            </w:r>
          </w:p>
        </w:tc>
      </w:tr>
      <w:tr>
        <w:trPr>
          <w:trHeight w:val="223"/>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5,135</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4,331</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3,645</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8"/>
              </w:rPr>
              <w:t>1,965</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1,688</w:t>
            </w: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1,547</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w:t>
            </w:r>
          </w:p>
        </w:tc>
        <w:tc>
          <w:tcPr>
            <w:tcW w:w="8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8"/>
              </w:rPr>
              <w:t>1,430</w:t>
            </w:r>
          </w:p>
        </w:tc>
        <w:tc>
          <w:tcPr>
            <w:tcW w:w="36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1,332</w:t>
            </w:r>
          </w:p>
        </w:tc>
        <w:tc>
          <w:tcPr>
            <w:tcW w:w="420" w:type="dxa"/>
            <w:vAlign w:val="bottom"/>
          </w:tcPr>
          <w:p>
            <w:pPr>
              <w:spacing w:after="0"/>
              <w:rPr>
                <w:sz w:val="19"/>
                <w:szCs w:val="19"/>
                <w:color w:val="auto"/>
              </w:rPr>
            </w:pP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8"/>
              </w:rPr>
              <w:t>1,169</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804</w:t>
            </w:r>
          </w:p>
        </w:tc>
        <w:tc>
          <w:tcPr>
            <w:tcW w:w="36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778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738</w:t>
            </w:r>
          </w:p>
        </w:tc>
      </w:tr>
      <w:tr>
        <w:trPr>
          <w:trHeight w:val="22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Charges (Credits)</w:t>
            </w: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4,315</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3,919</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8"/>
              </w:rPr>
              <w:t>3,529</w:t>
            </w:r>
          </w:p>
        </w:tc>
      </w:tr>
      <w:tr>
        <w:trPr>
          <w:trHeight w:val="223"/>
        </w:trPr>
        <w:tc>
          <w:tcPr>
            <w:tcW w:w="5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820</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412</w:t>
            </w: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r>
      <w:tr>
        <w:trPr>
          <w:trHeight w:val="237"/>
        </w:trPr>
        <w:tc>
          <w:tcPr>
            <w:tcW w:w="5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 of $59, $31 and $20</w:t>
            </w:r>
          </w:p>
        </w:tc>
        <w:tc>
          <w:tcPr>
            <w:tcW w:w="80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and Bond Redemption Premium</w:t>
            </w:r>
          </w:p>
        </w:tc>
        <w:tc>
          <w:tcPr>
            <w:tcW w:w="80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506</w:t>
            </w:r>
          </w:p>
        </w:tc>
        <w:tc>
          <w:tcPr>
            <w:tcW w:w="36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Attributable to Weatherford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  26</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23"/>
        </w:trPr>
        <w:tc>
          <w:tcPr>
            <w:tcW w:w="5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57"/>
        </w:trPr>
        <w:tc>
          <w:tcPr>
            <w:tcW w:w="5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 Attributable to Weatherford</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5.79</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0.37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80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5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 Attributable to Weatherford</w:t>
            </w:r>
          </w:p>
        </w:tc>
        <w:tc>
          <w:tcPr>
            <w:tcW w:w="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72</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58</w:t>
      </w:r>
    </w:p>
    <w:p>
      <w:pPr>
        <w:sectPr>
          <w:pgSz w:w="11900" w:h="16838" w:orient="portrait"/>
          <w:cols w:equalWidth="0" w:num="1">
            <w:col w:w="10560"/>
          </w:cols>
          <w:pgMar w:left="1000" w:top="1211" w:right="339" w:bottom="1440" w:gutter="0" w:footer="0" w:header="0"/>
        </w:sectPr>
      </w:pPr>
    </w:p>
    <w:bookmarkStart w:id="62" w:name="page63"/>
    <w:bookmarkEnd w:id="62"/>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00" w:lineRule="exact"/>
        <w:rPr>
          <w:sz w:val="20"/>
          <w:szCs w:val="20"/>
          <w:color w:val="auto"/>
        </w:rPr>
      </w:pPr>
    </w:p>
    <w:p>
      <w:pPr>
        <w:spacing w:after="0" w:line="3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40" w:type="dxa"/>
            <w:vAlign w:val="bottom"/>
            <w:tcBorders>
              <w:bottom w:val="single" w:sz="8" w:color="auto"/>
            </w:tcBorders>
          </w:tcPr>
          <w:p>
            <w:pPr>
              <w:spacing w:after="0"/>
              <w:rPr>
                <w:sz w:val="19"/>
                <w:szCs w:val="19"/>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449</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9"/>
                <w:szCs w:val="19"/>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w:t>
            </w:r>
          </w:p>
        </w:tc>
        <w:tc>
          <w:tcPr>
            <w:tcW w:w="10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18</w:t>
            </w:r>
          </w:p>
        </w:tc>
        <w:tc>
          <w:tcPr>
            <w:tcW w:w="6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443</w:t>
            </w: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Weatherford</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411</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660"/>
          </w:cols>
          <w:pgMar w:left="90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Weatherford International plc – 2023 Form 10-K | 59</w:t>
      </w:r>
    </w:p>
    <w:p>
      <w:pPr>
        <w:sectPr>
          <w:pgSz w:w="11900" w:h="16838" w:orient="portrait"/>
          <w:cols w:equalWidth="0" w:num="1">
            <w:col w:w="10660"/>
          </w:cols>
          <w:pgMar w:left="900" w:top="1211"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and shares in millions, except par value)</w:t>
            </w:r>
          </w:p>
        </w:tc>
        <w:tc>
          <w:tcPr>
            <w:tcW w:w="200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958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84"/>
        </w:trPr>
        <w:tc>
          <w:tcPr>
            <w:tcW w:w="83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$16 at December 31, 2023 and $26 at December 31,</w:t>
            </w:r>
          </w:p>
        </w:tc>
        <w:tc>
          <w:tcPr>
            <w:tcW w:w="8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1,216</w:t>
            </w:r>
          </w:p>
        </w:tc>
        <w:tc>
          <w:tcPr>
            <w:tcW w:w="2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140"/>
        </w:trPr>
        <w:tc>
          <w:tcPr>
            <w:tcW w:w="8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82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320" w:type="dxa"/>
            <w:vAlign w:val="bottom"/>
            <w:vMerge w:val="continue"/>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82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788</w:t>
            </w:r>
          </w:p>
        </w:tc>
        <w:tc>
          <w:tcPr>
            <w:tcW w:w="2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3,345</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142"/>
        </w:trPr>
        <w:tc>
          <w:tcPr>
            <w:tcW w:w="8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3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$883 at December 31, 2023 and $773 at</w:t>
            </w:r>
          </w:p>
        </w:tc>
        <w:tc>
          <w:tcPr>
            <w:tcW w:w="820" w:type="dxa"/>
            <w:vAlign w:val="bottom"/>
          </w:tcPr>
          <w:p>
            <w:pPr>
              <w:spacing w:after="0"/>
              <w:rPr>
                <w:sz w:val="16"/>
                <w:szCs w:val="16"/>
                <w:color w:val="auto"/>
              </w:rPr>
            </w:pPr>
          </w:p>
        </w:tc>
        <w:tc>
          <w:tcPr>
            <w:tcW w:w="11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957</w:t>
            </w:r>
          </w:p>
        </w:tc>
        <w:tc>
          <w:tcPr>
            <w:tcW w:w="280" w:type="dxa"/>
            <w:vAlign w:val="bottom"/>
          </w:tcPr>
          <w:p>
            <w:pPr>
              <w:spacing w:after="0"/>
              <w:rPr>
                <w:sz w:val="16"/>
                <w:szCs w:val="16"/>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140"/>
        </w:trPr>
        <w:tc>
          <w:tcPr>
            <w:tcW w:w="8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3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Net of Accumulated Amortization of $639 at December 31, 2023 and</w:t>
            </w:r>
          </w:p>
        </w:tc>
        <w:tc>
          <w:tcPr>
            <w:tcW w:w="8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26"/>
        </w:trPr>
        <w:tc>
          <w:tcPr>
            <w:tcW w:w="8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$480 at December 31, 2022</w:t>
            </w:r>
          </w:p>
        </w:tc>
        <w:tc>
          <w:tcPr>
            <w:tcW w:w="82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320" w:type="dxa"/>
            <w:vAlign w:val="bottom"/>
            <w:tcBorders>
              <w:bottom w:val="single" w:sz="8" w:color="CCEEFF"/>
            </w:tcBorders>
            <w:vMerge w:val="continue"/>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82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5,068</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45</w:t>
            </w:r>
          </w:p>
        </w:tc>
        <w:tc>
          <w:tcPr>
            <w:tcW w:w="0" w:type="dxa"/>
            <w:vAlign w:val="bottom"/>
          </w:tcPr>
          <w:p>
            <w:pPr>
              <w:spacing w:after="0"/>
              <w:rPr>
                <w:sz w:val="1"/>
                <w:szCs w:val="1"/>
                <w:color w:val="auto"/>
              </w:rPr>
            </w:pPr>
          </w:p>
        </w:tc>
      </w:tr>
      <w:tr>
        <w:trPr>
          <w:trHeight w:val="229"/>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387</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82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1,866</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29"/>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Taxes Payable</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4,146</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 - Par value $0.001; Authorized 1,356, Issued and</w:t>
            </w:r>
          </w:p>
        </w:tc>
        <w:tc>
          <w:tcPr>
            <w:tcW w:w="820" w:type="dxa"/>
            <w:vAlign w:val="bottom"/>
          </w:tcPr>
          <w:p>
            <w:pPr>
              <w:spacing w:after="0"/>
              <w:rPr>
                <w:sz w:val="19"/>
                <w:szCs w:val="19"/>
                <w:color w:val="auto"/>
              </w:rPr>
            </w:pPr>
          </w:p>
        </w:tc>
        <w:tc>
          <w:tcPr>
            <w:tcW w:w="11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8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Outstanding 72 at December 31, 2023 and 71 at December 31, 2022</w:t>
            </w:r>
          </w:p>
        </w:tc>
        <w:tc>
          <w:tcPr>
            <w:tcW w:w="8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8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2,906</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9"/>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Deficit</w:t>
            </w:r>
          </w:p>
        </w:tc>
        <w:tc>
          <w:tcPr>
            <w:tcW w:w="82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(1,954)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Weatherford Shareholders’ Equity</w:t>
            </w:r>
          </w:p>
        </w:tc>
        <w:tc>
          <w:tcPr>
            <w:tcW w:w="82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924</w:t>
            </w:r>
          </w:p>
        </w:tc>
        <w:tc>
          <w:tcPr>
            <w:tcW w:w="2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5,068</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60</w:t>
      </w:r>
    </w:p>
    <w:p>
      <w:pPr>
        <w:sectPr>
          <w:pgSz w:w="11900" w:h="16838" w:orient="portrait"/>
          <w:cols w:equalWidth="0" w:num="1">
            <w:col w:w="11240"/>
          </w:cols>
          <w:pgMar w:left="320" w:top="96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6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3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11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Par Value of</w:t>
            </w:r>
          </w:p>
        </w:tc>
        <w:tc>
          <w:tcPr>
            <w:tcW w:w="1500" w:type="dxa"/>
            <w:vAlign w:val="bottom"/>
            <w:gridSpan w:val="2"/>
            <w:vMerge w:val="restart"/>
          </w:tcPr>
          <w:p>
            <w:pPr>
              <w:jc w:val="right"/>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Capital In Excess</w:t>
            </w:r>
          </w:p>
        </w:tc>
        <w:tc>
          <w:tcPr>
            <w:tcW w:w="1200" w:type="dxa"/>
            <w:vAlign w:val="bottom"/>
            <w:gridSpan w:val="2"/>
            <w:vMerge w:val="restart"/>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Income</w:t>
            </w:r>
          </w:p>
        </w:tc>
        <w:tc>
          <w:tcPr>
            <w:tcW w:w="1500" w:type="dxa"/>
            <w:vAlign w:val="bottom"/>
            <w:gridSpan w:val="2"/>
            <w:vMerge w:val="continue"/>
          </w:tcPr>
          <w:p>
            <w:pPr>
              <w:spacing w:after="0"/>
              <w:rPr>
                <w:sz w:val="10"/>
                <w:szCs w:val="10"/>
                <w:color w:val="auto"/>
              </w:rPr>
            </w:pPr>
          </w:p>
        </w:tc>
        <w:tc>
          <w:tcPr>
            <w:tcW w:w="134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3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43"/>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140" w:type="dxa"/>
            <w:vAlign w:val="bottom"/>
            <w:gridSpan w:val="2"/>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340" w:type="dxa"/>
            <w:vAlign w:val="bottom"/>
            <w:gridSpan w:val="2"/>
            <w:vMerge w:val="continue"/>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2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Shares</w:t>
            </w:r>
          </w:p>
        </w:tc>
        <w:tc>
          <w:tcPr>
            <w:tcW w:w="1500" w:type="dxa"/>
            <w:vAlign w:val="bottom"/>
            <w:tcBorders>
              <w:bottom w:val="single" w:sz="8" w:color="auto"/>
            </w:tcBorders>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of Par Value</w:t>
            </w:r>
          </w:p>
        </w:tc>
        <w:tc>
          <w:tcPr>
            <w:tcW w:w="1200" w:type="dxa"/>
            <w:vAlign w:val="bottom"/>
            <w:tcBorders>
              <w:bottom w:val="single" w:sz="8" w:color="auto"/>
            </w:tcBorders>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500" w:type="dxa"/>
            <w:vAlign w:val="bottom"/>
            <w:tcBorders>
              <w:bottom w:val="single" w:sz="8" w:color="auto"/>
            </w:tcBorders>
            <w:gridSpan w:val="2"/>
            <w:vMerge w:val="continue"/>
          </w:tcPr>
          <w:p>
            <w:pPr>
              <w:spacing w:after="0"/>
              <w:rPr>
                <w:sz w:val="18"/>
                <w:szCs w:val="18"/>
                <w:color w:val="auto"/>
              </w:rPr>
            </w:pPr>
          </w:p>
        </w:tc>
        <w:tc>
          <w:tcPr>
            <w:tcW w:w="134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8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680" w:type="dxa"/>
            <w:vAlign w:val="bottom"/>
            <w:tcBorders>
              <w:bottom w:val="single" w:sz="8" w:color="auto"/>
            </w:tcBorders>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2,897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(1,947)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1"/>
              </w:rPr>
              <w:t>937</w:t>
            </w:r>
          </w:p>
        </w:tc>
        <w:tc>
          <w:tcPr>
            <w:tcW w:w="0" w:type="dxa"/>
            <w:vAlign w:val="bottom"/>
          </w:tcPr>
          <w:p>
            <w:pPr>
              <w:spacing w:after="0"/>
              <w:rPr>
                <w:sz w:val="1"/>
                <w:szCs w:val="1"/>
                <w:color w:val="auto"/>
              </w:rPr>
            </w:pPr>
          </w:p>
        </w:tc>
      </w:tr>
      <w:tr>
        <w:trPr>
          <w:trHeight w:val="208"/>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68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(450)</w:t>
            </w:r>
          </w:p>
        </w:tc>
        <w:tc>
          <w:tcPr>
            <w:tcW w:w="1060" w:type="dxa"/>
            <w:vAlign w:val="bottom"/>
          </w:tcPr>
          <w:p>
            <w:pPr>
              <w:spacing w:after="0"/>
              <w:rPr>
                <w:sz w:val="18"/>
                <w:szCs w:val="18"/>
                <w:color w:val="auto"/>
              </w:rPr>
            </w:pP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165"/>
        </w:trPr>
        <w:tc>
          <w:tcPr>
            <w:tcW w:w="32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Equity Awards, Granted, Vested and Exercised,</w:t>
            </w:r>
          </w:p>
        </w:tc>
        <w:tc>
          <w:tcPr>
            <w:tcW w:w="6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7</w:t>
            </w:r>
          </w:p>
        </w:tc>
        <w:tc>
          <w:tcPr>
            <w:tcW w:w="4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6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8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720" w:type="dxa"/>
            <w:vAlign w:val="bottom"/>
          </w:tcPr>
          <w:p>
            <w:pPr>
              <w:spacing w:after="0"/>
              <w:rPr>
                <w:sz w:val="18"/>
                <w:szCs w:val="18"/>
                <w:color w:val="auto"/>
              </w:rPr>
            </w:pPr>
          </w:p>
        </w:tc>
        <w:tc>
          <w:tcPr>
            <w:tcW w:w="6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6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(27)</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6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2,904</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(2,397)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24</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1"/>
              </w:rPr>
              <w:t>496</w:t>
            </w: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26</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25</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62"/>
        </w:trPr>
        <w:tc>
          <w:tcPr>
            <w:tcW w:w="326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Equity Awards, Granted, Vested and Exercised,</w:t>
            </w:r>
          </w:p>
        </w:tc>
        <w:tc>
          <w:tcPr>
            <w:tcW w:w="680" w:type="dxa"/>
            <w:vAlign w:val="bottom"/>
          </w:tcPr>
          <w:p>
            <w:pPr>
              <w:spacing w:after="0"/>
              <w:rPr>
                <w:sz w:val="14"/>
                <w:szCs w:val="14"/>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18</w:t>
            </w:r>
          </w:p>
        </w:tc>
        <w:tc>
          <w:tcPr>
            <w:tcW w:w="480" w:type="dxa"/>
            <w:vAlign w:val="bottom"/>
          </w:tcPr>
          <w:p>
            <w:pPr>
              <w:spacing w:after="0"/>
              <w:rPr>
                <w:sz w:val="14"/>
                <w:szCs w:val="14"/>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4"/>
                <w:szCs w:val="14"/>
                <w:color w:val="auto"/>
              </w:rPr>
            </w:pPr>
          </w:p>
        </w:tc>
        <w:tc>
          <w:tcPr>
            <w:tcW w:w="4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4"/>
                <w:szCs w:val="14"/>
                <w:color w:val="auto"/>
              </w:rPr>
            </w:pPr>
          </w:p>
        </w:tc>
        <w:tc>
          <w:tcPr>
            <w:tcW w:w="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4"/>
                <w:szCs w:val="14"/>
                <w:color w:val="auto"/>
              </w:rPr>
            </w:pPr>
          </w:p>
        </w:tc>
        <w:tc>
          <w:tcPr>
            <w:tcW w:w="4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6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68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(30)</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6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2,928</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(2,371)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16</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1"/>
              </w:rPr>
              <w:t>551</w:t>
            </w: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417</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32</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1"/>
              </w:rPr>
              <w:t>449</w:t>
            </w:r>
          </w:p>
        </w:tc>
        <w:tc>
          <w:tcPr>
            <w:tcW w:w="0" w:type="dxa"/>
            <w:vAlign w:val="bottom"/>
          </w:tcPr>
          <w:p>
            <w:pPr>
              <w:spacing w:after="0"/>
              <w:rPr>
                <w:sz w:val="1"/>
                <w:szCs w:val="1"/>
                <w:color w:val="auto"/>
              </w:rPr>
            </w:pPr>
          </w:p>
        </w:tc>
      </w:tr>
      <w:tr>
        <w:trPr>
          <w:trHeight w:val="162"/>
        </w:trPr>
        <w:tc>
          <w:tcPr>
            <w:tcW w:w="326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Equity Awards, Granted, Vested and Exercised,</w:t>
            </w:r>
          </w:p>
        </w:tc>
        <w:tc>
          <w:tcPr>
            <w:tcW w:w="680" w:type="dxa"/>
            <w:vAlign w:val="bottom"/>
          </w:tcPr>
          <w:p>
            <w:pPr>
              <w:spacing w:after="0"/>
              <w:rPr>
                <w:sz w:val="14"/>
                <w:szCs w:val="14"/>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4"/>
                <w:szCs w:val="14"/>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480" w:type="dxa"/>
            <w:vAlign w:val="bottom"/>
          </w:tcPr>
          <w:p>
            <w:pPr>
              <w:spacing w:after="0"/>
              <w:rPr>
                <w:sz w:val="14"/>
                <w:szCs w:val="14"/>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4"/>
                <w:szCs w:val="14"/>
                <w:color w:val="auto"/>
              </w:rPr>
            </w:pPr>
          </w:p>
        </w:tc>
        <w:tc>
          <w:tcPr>
            <w:tcW w:w="4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4"/>
                <w:szCs w:val="14"/>
                <w:color w:val="auto"/>
              </w:rPr>
            </w:pPr>
          </w:p>
        </w:tc>
        <w:tc>
          <w:tcPr>
            <w:tcW w:w="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6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680" w:type="dxa"/>
            <w:vAlign w:val="bottom"/>
            <w:shd w:val="clear" w:color="auto" w:fill="CCEEFF"/>
          </w:tcPr>
          <w:p>
            <w:pPr>
              <w:spacing w:after="0"/>
              <w:rPr>
                <w:sz w:val="19"/>
                <w:szCs w:val="19"/>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7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68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6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(52)</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6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2,906</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(1,954)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7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1"/>
              </w:rPr>
              <w:t>922</w:t>
            </w:r>
          </w:p>
        </w:tc>
        <w:tc>
          <w:tcPr>
            <w:tcW w:w="0" w:type="dxa"/>
            <w:vAlign w:val="bottom"/>
          </w:tcPr>
          <w:p>
            <w:pPr>
              <w:spacing w:after="0"/>
              <w:rPr>
                <w:sz w:val="1"/>
                <w:szCs w:val="1"/>
                <w:color w:val="auto"/>
              </w:rPr>
            </w:pPr>
          </w:p>
        </w:tc>
      </w:tr>
      <w:tr>
        <w:trPr>
          <w:trHeight w:val="22"/>
        </w:trPr>
        <w:tc>
          <w:tcPr>
            <w:tcW w:w="3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2023 Form 10-K | 61</w:t>
      </w:r>
    </w:p>
    <w:p>
      <w:pPr>
        <w:sectPr>
          <w:pgSz w:w="11900" w:h="16838" w:orient="portrait"/>
          <w:cols w:equalWidth="0" w:num="1">
            <w:col w:w="11240"/>
          </w:cols>
          <w:pgMar w:left="320" w:top="1211" w:right="339" w:bottom="1440" w:gutter="0" w:footer="0" w:header="0"/>
        </w:sectPr>
      </w:pPr>
    </w:p>
    <w:bookmarkStart w:id="65" w:name="page66"/>
    <w:bookmarkEnd w:id="65"/>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WEATHERFORD INTERNATIONAL PLC AND SUBSIDIARIES</w:t>
      </w:r>
    </w:p>
    <w:p>
      <w:pPr>
        <w:spacing w:after="0" w:line="3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84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840" w:type="dxa"/>
            <w:vAlign w:val="bottom"/>
          </w:tcPr>
          <w:p>
            <w:pPr>
              <w:jc w:val="center"/>
              <w:ind w:left="3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449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Pr>
          <w:p>
            <w:pPr>
              <w:spacing w:after="0"/>
              <w:rPr>
                <w:sz w:val="18"/>
                <w:szCs w:val="18"/>
                <w:color w:val="auto"/>
              </w:rPr>
            </w:pP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165"/>
        </w:trPr>
        <w:tc>
          <w:tcPr>
            <w:tcW w:w="5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Net Income (Loss) to Net Cash Provided by Operating</w:t>
            </w:r>
          </w:p>
        </w:tc>
        <w:tc>
          <w:tcPr>
            <w:tcW w:w="8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327</w:t>
            </w:r>
          </w:p>
        </w:tc>
        <w:tc>
          <w:tcPr>
            <w:tcW w:w="60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349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440</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Exchange Losses</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116</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71</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Extinguishment of Debt and Bond Redemption Premium</w:t>
            </w:r>
          </w:p>
        </w:tc>
        <w:tc>
          <w:tcPr>
            <w:tcW w:w="84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170</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57</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Inventory Charges</w:t>
            </w:r>
          </w:p>
        </w:tc>
        <w:tc>
          <w:tcPr>
            <w:tcW w:w="84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19</w:t>
            </w:r>
          </w:p>
        </w:tc>
        <w:tc>
          <w:tcPr>
            <w:tcW w:w="60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(41)</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84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w:t>
            </w:r>
          </w:p>
        </w:tc>
        <w:tc>
          <w:tcPr>
            <w:tcW w:w="60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Employee Share-Based Compensation Expense</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35</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w:t>
            </w:r>
          </w:p>
        </w:tc>
      </w:tr>
      <w:tr>
        <w:trPr>
          <w:trHeight w:val="214"/>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Accounts Receivable, Inventory, and Accounts Payable:</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8"/>
        </w:trPr>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(221)</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84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(114)</w:t>
            </w:r>
          </w:p>
        </w:tc>
        <w:tc>
          <w:tcPr>
            <w:tcW w:w="6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231</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84</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Changes, Net</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45</w:t>
            </w:r>
          </w:p>
        </w:tc>
      </w:tr>
      <w:tr>
        <w:trPr>
          <w:trHeight w:val="21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840" w:type="dxa"/>
            <w:vAlign w:val="bottom"/>
            <w:tcBorders>
              <w:bottom w:val="single" w:sz="8" w:color="auto"/>
            </w:tcBorders>
            <w:shd w:val="clear" w:color="auto" w:fill="CCEEFF"/>
          </w:tcPr>
          <w:p>
            <w:pPr>
              <w:jc w:val="center"/>
              <w:ind w:left="3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832</w:t>
            </w:r>
          </w:p>
        </w:tc>
        <w:tc>
          <w:tcPr>
            <w:tcW w:w="6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349</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322</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(132)</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28</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82</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84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w:t>
            </w:r>
          </w:p>
        </w:tc>
        <w:tc>
          <w:tcPr>
            <w:tcW w:w="600" w:type="dxa"/>
            <w:vAlign w:val="bottom"/>
          </w:tcPr>
          <w:p>
            <w:pPr>
              <w:spacing w:after="0"/>
              <w:rPr>
                <w:sz w:val="18"/>
                <w:szCs w:val="18"/>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53</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(51)</w:t>
            </w: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(54)</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8"/>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2,073</w:t>
            </w: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4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(386)</w:t>
            </w:r>
          </w:p>
        </w:tc>
        <w:tc>
          <w:tcPr>
            <w:tcW w:w="6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(198)</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(2,313)</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Bond Redemption Premium</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3"/>
        </w:trPr>
        <w:tc>
          <w:tcPr>
            <w:tcW w:w="5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4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(52)</w:t>
            </w:r>
          </w:p>
        </w:tc>
        <w:tc>
          <w:tcPr>
            <w:tcW w:w="6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 Vested</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(56)</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5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0"/>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8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(248)</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08"/>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84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(78)</w:t>
            </w:r>
          </w:p>
        </w:tc>
        <w:tc>
          <w:tcPr>
            <w:tcW w:w="600" w:type="dxa"/>
            <w:vAlign w:val="bottom"/>
          </w:tcPr>
          <w:p>
            <w:pPr>
              <w:spacing w:after="0"/>
              <w:rPr>
                <w:sz w:val="18"/>
                <w:szCs w:val="18"/>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(49)</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50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1,112</w:t>
            </w:r>
          </w:p>
        </w:tc>
        <w:tc>
          <w:tcPr>
            <w:tcW w:w="126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1,113</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1,285</w:t>
            </w:r>
          </w:p>
        </w:tc>
      </w:tr>
      <w:tr>
        <w:trPr>
          <w:trHeight w:val="234"/>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500" w:type="dxa"/>
            <w:vAlign w:val="bottom"/>
            <w:tcBorders>
              <w:bottom w:val="single" w:sz="8" w:color="auto"/>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  1,063</w:t>
            </w:r>
          </w:p>
        </w:tc>
        <w:tc>
          <w:tcPr>
            <w:tcW w:w="1260" w:type="dxa"/>
            <w:vAlign w:val="bottom"/>
            <w:tcBorders>
              <w:bottom w:val="single" w:sz="8" w:color="auto"/>
            </w:tcBorders>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  1,112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1,113</w:t>
            </w:r>
          </w:p>
        </w:tc>
      </w:tr>
      <w:tr>
        <w:trPr>
          <w:trHeight w:val="20"/>
        </w:trPr>
        <w:tc>
          <w:tcPr>
            <w:tcW w:w="5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8"/>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840" w:type="dxa"/>
            <w:vAlign w:val="bottom"/>
            <w:shd w:val="clear" w:color="auto" w:fill="CCEEFF"/>
          </w:tcPr>
          <w:p>
            <w:pPr>
              <w:jc w:val="center"/>
              <w:ind w:left="3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181</w:t>
            </w:r>
          </w:p>
        </w:tc>
        <w:tc>
          <w:tcPr>
            <w:tcW w:w="6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220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269</w:t>
            </w: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840" w:type="dxa"/>
            <w:vAlign w:val="bottom"/>
          </w:tcPr>
          <w:p>
            <w:pPr>
              <w:jc w:val="center"/>
              <w:ind w:left="358"/>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132</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86</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62</w:t>
      </w:r>
    </w:p>
    <w:p>
      <w:pPr>
        <w:sectPr>
          <w:pgSz w:w="11900" w:h="16838" w:orient="portrait"/>
          <w:cols w:equalWidth="0" w:num="1">
            <w:col w:w="10540"/>
          </w:cols>
          <w:pgMar w:left="860" w:top="1163" w:right="499" w:bottom="1440" w:gutter="0" w:footer="0" w:header="0"/>
        </w:sectPr>
      </w:pPr>
    </w:p>
    <w:bookmarkStart w:id="66" w:name="page67"/>
    <w:bookmarkEnd w:id="66"/>
    <w:p>
      <w:pPr>
        <w:ind w:left="17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63</w:t>
      </w:r>
    </w:p>
    <w:p>
      <w:pPr>
        <w:sectPr>
          <w:pgSz w:w="11900" w:h="16838" w:orient="portrait"/>
          <w:cols w:equalWidth="0" w:num="1">
            <w:col w:w="9960"/>
          </w:cols>
          <w:pgMar w:left="1440" w:top="895" w:right="499" w:bottom="1440" w:gutter="0" w:footer="0" w:header="0"/>
        </w:sectPr>
      </w:pPr>
    </w:p>
    <w:bookmarkStart w:id="67" w:name="page68"/>
    <w:bookmarkEnd w:id="67"/>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Summary of Significant Accounting Policies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97"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conduct business in approximately 75 countries and have service and sales locations in oil and natural gas producing regions globally.</w:t>
      </w:r>
    </w:p>
    <w:p>
      <w:pPr>
        <w:spacing w:after="0" w:line="21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authorized share capital of Weatherford includes 1.356 billion ordinary shares with a par value of $0.001 per share. On June 1, 2021, the Nasdaq Stock Market LLC stock exchange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of America (“U.S. GAAP”) and pursuant to the rules and regulations of the Exchange Act for annual financial information. We consolidate all wholly owned subsidiaries and controlled joint ventures and eliminate intercompany balances in consolidation.</w:t>
      </w:r>
    </w:p>
    <w:p>
      <w:pPr>
        <w:spacing w:after="0" w:line="210"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Certain reclassifications have been made to the financial statements and accompanying footnotes to conform to the Company’s current period presentation.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83"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valuation of derivative financial instruments,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64</w:t>
      </w:r>
    </w:p>
    <w:p>
      <w:pPr>
        <w:sectPr>
          <w:pgSz w:w="11900" w:h="16838" w:orient="portrait"/>
          <w:cols w:equalWidth="0" w:num="1">
            <w:col w:w="11240"/>
          </w:cols>
          <w:pgMar w:left="320" w:top="378" w:right="3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9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Our restricted cash balance of $105 million at December 31, 2023 and $202 million at December 31, 2022 primarily includes cash collateral for certain of our letters of credit facilities.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and Allowance for Credit Losses</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Substantially all of our customers are in fossil fuel-related industries and thus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w:t>
      </w:r>
    </w:p>
    <w:p>
      <w:pPr>
        <w:spacing w:after="0" w:line="21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establish an allowance for credit losses based on various factors,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Risk profiles can vary between larger and smaller independent customers as well as between state-owned customers. Account balances are charged against the allowance after all means of collection have been exhausted and the potential for recovery is considered remote.</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of December 31, 2023, and December 31, 2022, Mexico accounted for 27% and 21% of our total net outstanding accounts receivables, respectively, of which our largest customer in the country accounted for 22% and 18% of our total net outstanding accounts receivables, respectively. From time to time, we experience delayed payments from our largest customer in Mexico although the balances due are not in dispute and we do not expect to have any material write-offs of receivables. Delays or failure to pay in the future could differ from management’s expectations and negatively impact future results of the Company. As of December 31, 2023, and December 31, 2022, the U.S. accounted for 11% and 12% of our total net accounts receivables, respectively. No other country or individual customer accounted for more than 10% of our total net outstanding accounts receivables.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state our inventories at the lower of cost or net realizable value using either the first-in, first-out (“FIFO”) or average cost method. Cost represents third-party invoice or production cost. Production cost includes material, labor and manufacturing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periodically recognize additional charges for inventory in which we determine there is no forecasted demand.</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(“PP&amp;E”)</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PP&amp;E is both owned and under finance leases. Owned PP&amp;E are initially stated at cost and finance leases are initially stated at the present value of lease payments. Both are depreciated on straight-line basis over its estimated useful life. Subsequently, PP&amp;E is measured at cost less accumulated depreciation and adjusted for impairment, when applicable. The carrying values are based on our estimates and judgments relative to capitalized costs, useful lives and salvage value, where applicable. We expense maintenance and repairs as incurred and capitalize expenditures for improvements as well as renewals and replacements that extend the useful life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65</w:t>
      </w:r>
    </w:p>
    <w:p>
      <w:pPr>
        <w:sectPr>
          <w:pgSz w:w="11900" w:h="16838" w:orient="portrait"/>
          <w:cols w:equalWidth="0" w:num="1">
            <w:col w:w="11240"/>
          </w:cols>
          <w:pgMar w:left="320" w:top="378" w:right="33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estimate the useful lives of our PP&amp;E over their respective lease terms, if applicable, or as follows:</w:t>
      </w:r>
    </w:p>
    <w:p>
      <w:pPr>
        <w:spacing w:after="0" w:line="73"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2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53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10 – 40 years</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53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3 – 10 years</w:t>
            </w: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other</w:t>
            </w:r>
          </w:p>
        </w:tc>
        <w:tc>
          <w:tcPr>
            <w:tcW w:w="53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2 – 12 years</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identifiable intangible assets include developed and acquired technologies and our trade names, amortized on a straight-line basis over their estimated economic lives, generally ranging from 5 years (developed and acquired technologies) to 10 years (trade names).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7"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Leases with an initial term of 12 months or less (“short-term leases”) are not recorded on the balance sheet; we recognize lease expense for these leases on a straight-line basis over the lease term.</w:t>
      </w:r>
    </w:p>
    <w:p>
      <w:pPr>
        <w:spacing w:after="0" w:line="20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Operating lease assets and operating lease liabilities are recognized based on the present value of lease payments over the lease term at commencement date and include related options to extend or terminate lease terms that are reasonably certain of being exercised. We determine if an arrangement is classified as a lease at its inception. As most of our leases do not provide an implicit rate of return, on a quarterly basis, we use our incremental borrowing rate, together with the lease term information available at commencement date of the lease, in determining the present value of lease payments.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Impairment</w:t>
      </w:r>
    </w:p>
    <w:p>
      <w:pPr>
        <w:spacing w:after="0" w:line="29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Long-lived assets, consisting of PP&amp;E, operating lease assets and intangible assets, to be held and used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impairment is recognized to the extent the carrying amount exceeds the estimated fair value of the asset group, as determined by a discounted cash flow analysis.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Expenditures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Research and development expenditures are expensed as incurred.</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enter into foreign currency forward contracts to mitigate the risk of future cash flows denominated in a foreign currency. The amounts will fluctuate, depending on exchange rate volatility, the volume of our foreign currency transactions, and our decisions to hedge. During the fourth quarter of 2023, we entered into a credit default swap. The notional amounts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66</w:t>
      </w:r>
    </w:p>
    <w:p>
      <w:pPr>
        <w:sectPr>
          <w:pgSz w:w="11900" w:h="16838" w:orient="portrait"/>
          <w:cols w:equalWidth="0" w:num="1">
            <w:col w:w="11240"/>
          </w:cols>
          <w:pgMar w:left="320" w:top="378" w:right="339" w:bottom="1440" w:gutter="0" w:footer="0" w:header="0"/>
        </w:sectPr>
      </w:pPr>
    </w:p>
    <w:bookmarkStart w:id="70" w:name="page71"/>
    <w:bookmarkEnd w:id="70"/>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our foreign currency forward contracts and the credit default swap do not generally represent cash amounts exchanged by the parties and are calculated based on the terms of the derivative instrument.</w:t>
      </w:r>
    </w:p>
    <w:p>
      <w:pPr>
        <w:spacing w:after="0" w:line="175"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 xml:space="preserve">Both our foreign currency forward contracts and the credit default swap are undesignated hedging instruments under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We record these derivative instruments on the balance sheet at their fair value as either assets or liabilities. See “Note 10 – Derivative Financial Instruments” for additional information.</w:t>
      </w:r>
    </w:p>
    <w:p>
      <w:pPr>
        <w:spacing w:after="0" w:line="21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fair values of our outstanding derivative instruments are determined using models with either Level 2 or Level 3 inputs. See “Note 9 – Fair Value of Financial Instruments, Assets and Other Assets” for additional information.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83" w:lineRule="exact"/>
        <w:rPr>
          <w:sz w:val="20"/>
          <w:szCs w:val="20"/>
          <w:color w:val="auto"/>
        </w:rPr>
      </w:pPr>
    </w:p>
    <w:p>
      <w:pPr>
        <w:jc w:val="both"/>
        <w:ind w:firstLine="243"/>
        <w:spacing w:after="0" w:line="313" w:lineRule="auto"/>
        <w:rPr>
          <w:sz w:val="20"/>
          <w:szCs w:val="20"/>
          <w:color w:val="auto"/>
        </w:rPr>
      </w:pPr>
      <w:r>
        <w:rPr>
          <w:rFonts w:ascii="Times New Roman" w:cs="Times New Roman" w:eastAsia="Times New Roman" w:hAnsi="Times New Roman"/>
          <w:sz w:val="18"/>
          <w:szCs w:val="18"/>
          <w:color w:val="auto"/>
        </w:rPr>
        <w:t>Results of operations for our foreign subsidiaries with functional currencies other than the U.S. dollar are translated using average exchange rates during the period. Assets and liabilities translated using the exchange rates in effect at the balance sheet dates are included in “Accumulated Other Comprehensive Loss” on the accompanying Consolidated Statements of Shareholders' Equity.</w:t>
      </w:r>
    </w:p>
    <w:p>
      <w:pPr>
        <w:spacing w:after="0" w:line="189"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For our subsidiaries with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Remeasurement gains and losses are recognized during the period incurred and recognized in “Other Expense, Net” on the accompanying Consolidated Statements of Operations.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9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account for share-based payment awards by recognizing the grant date fair value as an expense, net of forfeitures, over the service period, which is usually the vesting period. The fair value and associated expense is adjusted when the published price of our stock changes for share-based awards we intend to settle in cash. We record share-based compensation in “Selling, General and Administrative” on the accompanying Consolidated Statements of Operations.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Disputes, Litigation and Contingencies</w:t>
      </w:r>
    </w:p>
    <w:p>
      <w:pPr>
        <w:spacing w:after="0" w:line="28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2023 Form 10-K | 67</w:t>
      </w:r>
    </w:p>
    <w:p>
      <w:pPr>
        <w:sectPr>
          <w:pgSz w:w="11900" w:h="16838" w:orient="portrait"/>
          <w:cols w:equalWidth="0" w:num="1">
            <w:col w:w="11240"/>
          </w:cols>
          <w:pgMar w:left="320" w:top="378" w:right="339" w:bottom="1440" w:gutter="0" w:footer="0" w:header="0"/>
        </w:sectPr>
      </w:pPr>
    </w:p>
    <w:bookmarkStart w:id="71" w:name="page72"/>
    <w:bookmarkEnd w:id="71"/>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95" w:lineRule="exact"/>
        <w:rPr>
          <w:sz w:val="20"/>
          <w:szCs w:val="20"/>
          <w:color w:val="auto"/>
        </w:rPr>
      </w:pPr>
    </w:p>
    <w:p>
      <w:pPr>
        <w:jc w:val="both"/>
        <w:ind w:firstLine="324"/>
        <w:spacing w:after="0" w:line="298" w:lineRule="auto"/>
        <w:rPr>
          <w:sz w:val="20"/>
          <w:szCs w:val="20"/>
          <w:color w:val="auto"/>
        </w:rPr>
      </w:pPr>
      <w:r>
        <w:rPr>
          <w:rFonts w:ascii="Times New Roman" w:cs="Times New Roman" w:eastAsia="Times New Roman" w:hAnsi="Times New Roman"/>
          <w:sz w:val="18"/>
          <w:szCs w:val="18"/>
          <w:color w:val="auto"/>
        </w:rPr>
        <w:t xml:space="preserve">We account for revenue in accordance with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02"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If the terms of a service contract give us the right to invoice the customer for an amount that corresponds directly with the value of our performance completed to date, revenues are recognized at the amount to which we have the right to invoice.</w:t>
      </w:r>
    </w:p>
    <w:p>
      <w:pPr>
        <w:spacing w:after="0" w:line="17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For certain long-term contracts, our revenue is recognized for services over time as the services are rendered and we utilize an output method such as time elapsed or footage drilled, which coincides with how customers receive the benefit.</w:t>
      </w:r>
    </w:p>
    <w:p>
      <w:pPr>
        <w:spacing w:after="0" w:line="18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are recognized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and are recorded within “Services Revenue” on the accompanying Consolidated Statements of Operations.</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and unbilled accounts receivable (included in “Accounts Receivable, Net”), contract assets (included in “Other Current Assets” and “Other Non-Current Assets”), and contract liabilities (included in “Other Current Liabilities” and “Other Non-current Liabilities”) on our Consolidated Balance Sheets. We recognize receivables for work completed on service contracts but not billed in which the rights to consideration are conditional as contract assets. We recognize contract liabilities when consideration is received in advance of the recognition of revenue.</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w:t>
      </w:r>
    </w:p>
    <w:p>
      <w:pPr>
        <w:spacing w:after="0" w:line="175"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auto"/>
        </w:rPr>
        <w:t>We generally bill our sales of products and services upon completion of the performance obligation. Product sales and services are billed and recognized when control passes to the customer. Our products are produced in a standard manufacturing operation, even if produced to our customer’s specifications.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spacing w:after="0" w:line="20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Revenue is occasionally generated from contracts that include multiple performance obligations, such as product sales with related installation and/or maintenance services. The consideration in the contract is allocated between separate products and services based on their standalone selling prices (determined based on the prices at which we separately sell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68</w:t>
      </w:r>
    </w:p>
    <w:p>
      <w:pPr>
        <w:sectPr>
          <w:pgSz w:w="11900" w:h="16838" w:orient="portrait"/>
          <w:cols w:equalWidth="0" w:num="1">
            <w:col w:w="11240"/>
          </w:cols>
          <w:pgMar w:left="320" w:top="378" w:right="339" w:bottom="1440" w:gutter="0" w:footer="0" w:header="0"/>
        </w:sectPr>
      </w:pPr>
    </w:p>
    <w:bookmarkStart w:id="72" w:name="page73"/>
    <w:bookmarkEnd w:id="72"/>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(Loss) per Share</w:t>
      </w:r>
    </w:p>
    <w:p>
      <w:pPr>
        <w:spacing w:after="0" w:line="297"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Basic income (loss) per share for all periods presented equals net income (loss) divided by the weighted average shares outstanding during the period including participating securities. Diluted income (loss) per share is computed by dividing net income (loss) by our weighted average shares outstanding during the period including participating securities and any potential dilutive shares, when applicable.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95"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280)-Improvements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an update that improves reportable segment disclosure requirements. Under ASU 2023-07, issuers must provide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disclosure requirements, clarify circumstances in which an entity can disclose multiple segment measures of profit or loss, provide new segment disclosure requirements for entities with a single reportable segment, and contains other disclosure requirements. The amendments are effective for fiscal years beginning after December 15, 2023 and interim periods within fiscal years beginning after December 15, 2024, and should be applied retrospectively. We expect to adopt ASU 2023-07 in our 2024 Form 10-K and in the interim periods thereafter. The adoption of ASU 2023-07 will require us to provide additional disclosures related to our segments, but otherwise will not materially impact our financial statements.</w:t>
      </w:r>
    </w:p>
    <w:p>
      <w:pPr>
        <w:spacing w:after="0" w:line="21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an update that improves income tax disclosure requirements. Under ASU 2023-09, issuers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are effective for fiscal years beginning after December 15, 2024 and should be applied prospectively. We expect to adopt ASU 2023-09 in our 2025 Form 10-K. The adoption of ASU 2023-09 will require us to provide additional disclosures related to our income taxes, but otherwise will not materially impact our financial statements.</w:t>
      </w:r>
    </w:p>
    <w:p>
      <w:pPr>
        <w:spacing w:after="0" w:line="222" w:lineRule="exact"/>
        <w:rPr>
          <w:sz w:val="20"/>
          <w:szCs w:val="20"/>
          <w:color w:val="auto"/>
        </w:rPr>
      </w:pPr>
    </w:p>
    <w:p>
      <w:pPr>
        <w:ind w:right="140" w:firstLine="324"/>
        <w:spacing w:after="0" w:line="313"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69</w:t>
      </w:r>
    </w:p>
    <w:p>
      <w:pPr>
        <w:sectPr>
          <w:pgSz w:w="11900" w:h="16838" w:orient="portrait"/>
          <w:cols w:equalWidth="0" w:num="1">
            <w:col w:w="11240"/>
          </w:cols>
          <w:pgMar w:left="320" w:top="378" w:right="339" w:bottom="1440" w:gutter="0" w:footer="0" w:header="0"/>
        </w:sectPr>
      </w:pPr>
    </w:p>
    <w:bookmarkStart w:id="73" w:name="page74"/>
    <w:bookmarkEnd w:id="73"/>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97"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Company's chief operating decision maker (“CODM”), our chief executive officer, regularly reviews information to make operating decisions, allocate resources and assess performance of the business. The CODM regularly reviews information aligned with how we offer our services and technologies in relation to the well life cycle as reflected in our reportable segments. All of our segments are enabled by a suite of digital monitoring, control and optimization solutions using advanced analytics to provide safe, reliable and efficient solutions throughout the well life cycle, including responsible abandonment. We have three reportable segments: (1) Drilling and Evaluation (2) Well Construction and Completions, and (3) Production and Intervention.</w:t>
      </w:r>
    </w:p>
    <w:p>
      <w:pPr>
        <w:spacing w:after="0" w:line="201"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84"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205"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in conventional and unconventional wells, deep water, and aging reservoirs. The primary offerings are intervention services &amp; drilling tools, artificial lift, digital solutions (previously production automation &amp; software), sub-sea intervention and pressure pumping services in select markets.</w:t>
      </w:r>
    </w:p>
    <w:p>
      <w:pPr>
        <w:spacing w:after="0" w:line="19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Total revenues are from external customers and segment revenues are specific to our three reportable segments and all other revenues are specific to our non-operating segment revenues. Revenues are further described in “Note 3 – Revenue.”</w:t>
      </w:r>
    </w:p>
    <w:p>
      <w:pPr>
        <w:spacing w:after="0" w:line="175"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2023 Form 10-K | 70</w:t>
      </w:r>
    </w:p>
    <w:p>
      <w:pPr>
        <w:sectPr>
          <w:pgSz w:w="11900" w:h="16838" w:orient="portrait"/>
          <w:cols w:equalWidth="0" w:num="1">
            <w:col w:w="11240"/>
          </w:cols>
          <w:pgMar w:left="320" w:top="37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936"/>
        </w:trPr>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8"/>
        </w:trPr>
        <w:tc>
          <w:tcPr>
            <w:tcW w:w="500" w:type="dxa"/>
            <w:vAlign w:val="bottom"/>
          </w:tcPr>
          <w:p>
            <w:pPr>
              <w:spacing w:after="0"/>
              <w:rPr>
                <w:sz w:val="20"/>
                <w:szCs w:val="20"/>
                <w:color w:val="auto"/>
              </w:rPr>
            </w:pP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04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gridSpan w:val="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0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1,536</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1,328</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1,066</w:t>
            </w:r>
          </w:p>
        </w:tc>
      </w:tr>
      <w:tr>
        <w:trPr>
          <w:trHeight w:val="229"/>
        </w:trPr>
        <w:tc>
          <w:tcPr>
            <w:tcW w:w="50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1,800</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8"/>
              </w:rPr>
              <w:t>1,521</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1,353</w:t>
            </w:r>
          </w:p>
        </w:tc>
      </w:tr>
      <w:tr>
        <w:trPr>
          <w:trHeight w:val="229"/>
        </w:trPr>
        <w:tc>
          <w:tcPr>
            <w:tcW w:w="5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14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1,472</w:t>
            </w:r>
          </w:p>
        </w:tc>
        <w:tc>
          <w:tcPr>
            <w:tcW w:w="540" w:type="dxa"/>
            <w:vAlign w:val="bottom"/>
          </w:tcPr>
          <w:p>
            <w:pPr>
              <w:spacing w:after="0"/>
              <w:rPr>
                <w:sz w:val="19"/>
                <w:szCs w:val="19"/>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1,395</w:t>
            </w:r>
          </w:p>
        </w:tc>
        <w:tc>
          <w:tcPr>
            <w:tcW w:w="40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1,127</w:t>
            </w:r>
          </w:p>
        </w:tc>
      </w:tr>
      <w:tr>
        <w:trPr>
          <w:trHeight w:val="230"/>
        </w:trPr>
        <w:tc>
          <w:tcPr>
            <w:tcW w:w="500" w:type="dxa"/>
            <w:vAlign w:val="bottom"/>
          </w:tcPr>
          <w:p>
            <w:pPr>
              <w:spacing w:after="0"/>
              <w:rPr>
                <w:sz w:val="19"/>
                <w:szCs w:val="19"/>
                <w:color w:val="auto"/>
              </w:rPr>
            </w:pPr>
          </w:p>
        </w:tc>
        <w:tc>
          <w:tcPr>
            <w:tcW w:w="4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327</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500" w:type="dxa"/>
            <w:vAlign w:val="bottom"/>
          </w:tcPr>
          <w:p>
            <w:pPr>
              <w:spacing w:after="0"/>
              <w:rPr>
                <w:sz w:val="19"/>
                <w:szCs w:val="19"/>
                <w:color w:val="auto"/>
              </w:rPr>
            </w:pP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5,135</w:t>
            </w:r>
          </w:p>
        </w:tc>
        <w:tc>
          <w:tcPr>
            <w:tcW w:w="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8"/>
              </w:rPr>
              <w:t>4,331</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3,645</w:t>
            </w:r>
          </w:p>
        </w:tc>
      </w:tr>
      <w:tr>
        <w:trPr>
          <w:trHeight w:val="142"/>
        </w:trPr>
        <w:tc>
          <w:tcPr>
            <w:tcW w:w="500" w:type="dxa"/>
            <w:vAlign w:val="bottom"/>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29"/>
        </w:trPr>
        <w:tc>
          <w:tcPr>
            <w:tcW w:w="5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422</w:t>
            </w:r>
          </w:p>
        </w:tc>
        <w:tc>
          <w:tcPr>
            <w:tcW w:w="5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5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114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455</w:t>
            </w:r>
          </w:p>
        </w:tc>
        <w:tc>
          <w:tcPr>
            <w:tcW w:w="540" w:type="dxa"/>
            <w:vAlign w:val="bottom"/>
          </w:tcPr>
          <w:p>
            <w:pPr>
              <w:spacing w:after="0"/>
              <w:rPr>
                <w:sz w:val="19"/>
                <w:szCs w:val="19"/>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299</w:t>
            </w:r>
          </w:p>
        </w:tc>
        <w:tc>
          <w:tcPr>
            <w:tcW w:w="40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50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323</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261</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5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14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tcPr>
          <w:p>
            <w:pPr>
              <w:spacing w:after="0"/>
              <w:rPr>
                <w:sz w:val="19"/>
                <w:szCs w:val="19"/>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0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(327)</w:t>
            </w:r>
          </w:p>
        </w:tc>
        <w:tc>
          <w:tcPr>
            <w:tcW w:w="54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(349)</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365"/>
        </w:trPr>
        <w:tc>
          <w:tcPr>
            <w:tcW w:w="500" w:type="dxa"/>
            <w:vAlign w:val="bottom"/>
          </w:tcPr>
          <w:p>
            <w:pPr>
              <w:spacing w:after="0"/>
              <w:rPr>
                <w:sz w:val="24"/>
                <w:szCs w:val="24"/>
                <w:color w:val="auto"/>
              </w:rPr>
            </w:pP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3"/>
                <w:szCs w:val="23"/>
                <w:color w:val="auto"/>
                <w:vertAlign w:val="superscript"/>
              </w:rPr>
              <w:t>(a)</w:t>
            </w:r>
          </w:p>
        </w:tc>
        <w:tc>
          <w:tcPr>
            <w:tcW w:w="1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00" w:type="dxa"/>
            <w:vAlign w:val="bottom"/>
          </w:tcPr>
          <w:p>
            <w:pPr>
              <w:spacing w:after="0"/>
              <w:rPr>
                <w:sz w:val="19"/>
                <w:szCs w:val="19"/>
                <w:color w:val="auto"/>
              </w:rPr>
            </w:pP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(Charges) Credits</w:t>
            </w:r>
          </w:p>
        </w:tc>
        <w:tc>
          <w:tcPr>
            <w:tcW w:w="1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500" w:type="dxa"/>
            <w:vAlign w:val="bottom"/>
          </w:tcPr>
          <w:p>
            <w:pPr>
              <w:spacing w:after="0"/>
              <w:rPr>
                <w:sz w:val="21"/>
                <w:szCs w:val="21"/>
                <w:color w:val="auto"/>
              </w:rPr>
            </w:pPr>
          </w:p>
        </w:tc>
        <w:tc>
          <w:tcPr>
            <w:tcW w:w="4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820</w:t>
            </w:r>
          </w:p>
        </w:tc>
        <w:tc>
          <w:tcPr>
            <w:tcW w:w="5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412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00" w:type="dxa"/>
            <w:vAlign w:val="bottom"/>
          </w:tcPr>
          <w:p>
            <w:pPr>
              <w:spacing w:after="0" w:line="20" w:lineRule="exact"/>
              <w:rPr>
                <w:sz w:val="1"/>
                <w:szCs w:val="1"/>
                <w:color w:val="auto"/>
              </w:rPr>
            </w:pPr>
          </w:p>
        </w:tc>
        <w:tc>
          <w:tcPr>
            <w:tcW w:w="4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See “Note 13 – Share-Based Compensation” for additional information.</w:t>
      </w: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64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80" w:type="dxa"/>
            <w:vAlign w:val="bottom"/>
            <w:tcBorders>
              <w:bottom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164</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95</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123</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94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Pr>
          <w:p>
            <w:pPr>
              <w:spacing w:after="0"/>
              <w:rPr>
                <w:sz w:val="19"/>
                <w:szCs w:val="19"/>
                <w:color w:val="auto"/>
              </w:rPr>
            </w:pPr>
          </w:p>
        </w:tc>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102</w:t>
            </w: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327</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440</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37"/>
        </w:trPr>
        <w:tc>
          <w:tcPr>
            <w:tcW w:w="43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1940" w:type="dxa"/>
            <w:vAlign w:val="bottom"/>
          </w:tcPr>
          <w:p>
            <w:pPr>
              <w:spacing w:after="0"/>
              <w:rPr>
                <w:sz w:val="19"/>
                <w:szCs w:val="19"/>
                <w:color w:val="auto"/>
              </w:rPr>
            </w:pP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19"/>
                <w:szCs w:val="19"/>
                <w:color w:val="auto"/>
              </w:rPr>
            </w:pPr>
          </w:p>
        </w:tc>
        <w:tc>
          <w:tcPr>
            <w:tcW w:w="9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9"/>
                <w:szCs w:val="19"/>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209</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132</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71</w:t>
      </w:r>
    </w:p>
    <w:p>
      <w:pPr>
        <w:sectPr>
          <w:pgSz w:w="11900" w:h="16838" w:orient="portrait"/>
          <w:cols w:equalWidth="0" w:num="1">
            <w:col w:w="11060"/>
          </w:cols>
          <w:pgMar w:left="500" w:top="378" w:right="339" w:bottom="1440" w:gutter="0" w:footer="0" w:header="0"/>
        </w:sectPr>
      </w:pPr>
    </w:p>
    <w:bookmarkStart w:id="75" w:name="page76"/>
    <w:bookmarkEnd w:id="75"/>
    <w:tbl>
      <w:tblPr>
        <w:tblLayout w:type="fixed"/>
        <w:tblInd w:w="18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75"/>
        </w:trPr>
        <w:tc>
          <w:tcPr>
            <w:tcW w:w="4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9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2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766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42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1,066</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993</w:t>
            </w:r>
          </w:p>
        </w:tc>
      </w:tr>
      <w:tr>
        <w:trPr>
          <w:trHeight w:val="230"/>
        </w:trPr>
        <w:tc>
          <w:tcPr>
            <w:tcW w:w="42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w:t>
            </w:r>
          </w:p>
        </w:tc>
        <w:tc>
          <w:tcPr>
            <w:tcW w:w="740" w:type="dxa"/>
            <w:vAlign w:val="bottom"/>
          </w:tcPr>
          <w:p>
            <w:pPr>
              <w:spacing w:after="0"/>
              <w:rPr>
                <w:sz w:val="19"/>
                <w:szCs w:val="19"/>
                <w:color w:val="auto"/>
              </w:rPr>
            </w:pP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729</w:t>
            </w:r>
          </w:p>
        </w:tc>
      </w:tr>
      <w:tr>
        <w:trPr>
          <w:trHeight w:val="364"/>
        </w:trPr>
        <w:tc>
          <w:tcPr>
            <w:tcW w:w="420" w:type="dxa"/>
            <w:vAlign w:val="bottom"/>
          </w:tcPr>
          <w:p>
            <w:pPr>
              <w:spacing w:after="0"/>
              <w:rPr>
                <w:sz w:val="24"/>
                <w:szCs w:val="24"/>
                <w:color w:val="auto"/>
              </w:rPr>
            </w:pPr>
          </w:p>
        </w:tc>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(a)</w:t>
            </w:r>
          </w:p>
        </w:tc>
        <w:tc>
          <w:tcPr>
            <w:tcW w:w="7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98"/>
              </w:rPr>
              <w:t>2,534</w:t>
            </w: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2,285</w:t>
            </w:r>
          </w:p>
        </w:tc>
      </w:tr>
      <w:tr>
        <w:trPr>
          <w:trHeight w:val="223"/>
        </w:trPr>
        <w:tc>
          <w:tcPr>
            <w:tcW w:w="420" w:type="dxa"/>
            <w:vAlign w:val="bottom"/>
          </w:tcPr>
          <w:p>
            <w:pPr>
              <w:spacing w:after="0"/>
              <w:rPr>
                <w:sz w:val="19"/>
                <w:szCs w:val="19"/>
                <w:color w:val="auto"/>
              </w:rPr>
            </w:pPr>
          </w:p>
        </w:tc>
        <w:tc>
          <w:tcPr>
            <w:tcW w:w="6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98"/>
              </w:rPr>
              <w:t>5,068</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4,720</w:t>
            </w:r>
          </w:p>
        </w:tc>
      </w:tr>
      <w:tr>
        <w:trPr>
          <w:trHeight w:val="21"/>
        </w:trPr>
        <w:tc>
          <w:tcPr>
            <w:tcW w:w="4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80" w:right="2200" w:hanging="5"/>
        <w:spacing w:after="0" w:line="246" w:lineRule="auto"/>
        <w:tabs>
          <w:tab w:leader="none" w:pos="754"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and other total assets primarily include cash and cash equivalents, certain intangible assets, and centrally managed or shared facilities.</w:t>
      </w: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PP&amp;E, Net and Operating Lease Assets by Geographic Area</w:t>
      </w:r>
    </w:p>
    <w:p>
      <w:pPr>
        <w:spacing w:after="0" w:line="270" w:lineRule="exact"/>
        <w:rPr>
          <w:sz w:val="20"/>
          <w:szCs w:val="20"/>
          <w:color w:val="auto"/>
        </w:rPr>
      </w:pPr>
    </w:p>
    <w:p>
      <w:pPr>
        <w:jc w:val="both"/>
        <w:ind w:firstLine="243"/>
        <w:spacing w:after="0" w:line="271" w:lineRule="auto"/>
        <w:rPr>
          <w:sz w:val="20"/>
          <w:szCs w:val="20"/>
          <w:color w:val="auto"/>
        </w:rPr>
      </w:pPr>
      <w:r>
        <w:rPr>
          <w:rFonts w:ascii="Times New Roman" w:cs="Times New Roman" w:eastAsia="Times New Roman" w:hAnsi="Times New Roman"/>
          <w:sz w:val="18"/>
          <w:szCs w:val="18"/>
          <w:color w:val="auto"/>
        </w:rPr>
        <w:t>As of December 31, 2023, and 2022 the U.S. accounted for 23% and 22%, respectively, and as of December 31, 2023, the Kingdom of Saudi Arabia accounted for 10% of our PP&amp;E, Net and operating lease assets identifiable by geography. No other country accounted for more than 10% of our PP&amp;E, Net and operating lease assets identifiable by geography as of December 31, 2023 and 2022. We had no PP&amp;E, Net and operating lease assets in our country of domicile (Ireland) as of December 31, 2023, and 2022.</w:t>
      </w:r>
    </w:p>
    <w:p>
      <w:pPr>
        <w:spacing w:after="0" w:line="87"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220" w:type="dxa"/>
            <w:vAlign w:val="bottom"/>
            <w:tcBorders>
              <w:bottom w:val="single" w:sz="8" w:color="auto"/>
            </w:tcBorders>
            <w:gridSpan w:val="2"/>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r>
      <w:tr>
        <w:trPr>
          <w:trHeight w:val="344"/>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280</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Latin America</w:t>
            </w:r>
          </w:p>
        </w:tc>
        <w:tc>
          <w:tcPr>
            <w:tcW w:w="920" w:type="dxa"/>
            <w:vAlign w:val="bottom"/>
          </w:tcPr>
          <w:p>
            <w:pPr>
              <w:spacing w:after="0"/>
              <w:rPr>
                <w:sz w:val="19"/>
                <w:szCs w:val="19"/>
                <w:color w:val="auto"/>
              </w:rPr>
            </w:pPr>
          </w:p>
        </w:tc>
        <w:tc>
          <w:tcPr>
            <w:tcW w:w="13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177</w:t>
            </w:r>
          </w:p>
        </w:tc>
        <w:tc>
          <w:tcPr>
            <w:tcW w:w="44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393</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9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239</w:t>
            </w:r>
          </w:p>
        </w:tc>
      </w:tr>
      <w:tr>
        <w:trPr>
          <w:trHeight w:val="370"/>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PP&amp;E, Net and Operating Lease Assets by Geography </w:t>
            </w:r>
            <w:r>
              <w:rPr>
                <w:rFonts w:ascii="Times New Roman" w:cs="Times New Roman" w:eastAsia="Times New Roman" w:hAnsi="Times New Roman"/>
                <w:sz w:val="23"/>
                <w:szCs w:val="23"/>
                <w:color w:val="auto"/>
                <w:vertAlign w:val="superscript"/>
              </w:rPr>
              <w:t>(b)</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1,061</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1,015</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160" w:hanging="180"/>
        <w:spacing w:after="0"/>
        <w:tabs>
          <w:tab w:leader="none" w:pos="11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8" w:lineRule="exact"/>
        <w:rPr>
          <w:rFonts w:ascii="Times New Roman" w:cs="Times New Roman" w:eastAsia="Times New Roman" w:hAnsi="Times New Roman"/>
          <w:sz w:val="23"/>
          <w:szCs w:val="23"/>
          <w:color w:val="auto"/>
          <w:vertAlign w:val="superscript"/>
        </w:rPr>
      </w:pPr>
    </w:p>
    <w:p>
      <w:pPr>
        <w:ind w:left="1160" w:hanging="180"/>
        <w:spacing w:after="0" w:line="194" w:lineRule="auto"/>
        <w:tabs>
          <w:tab w:leader="none" w:pos="116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assets not allocated by geography are excluded from this total.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additional details on our revenue recognition policies see “Note 1 – Summary of Significant Accounting Policies”.</w:t>
      </w:r>
    </w:p>
    <w:p>
      <w:pPr>
        <w:spacing w:after="0" w:line="293" w:lineRule="exact"/>
        <w:rPr>
          <w:sz w:val="20"/>
          <w:szCs w:val="20"/>
          <w:color w:val="auto"/>
        </w:rPr>
      </w:pPr>
    </w:p>
    <w:p>
      <w:pPr>
        <w:jc w:val="both"/>
        <w:ind w:firstLine="243"/>
        <w:spacing w:after="0" w:line="313" w:lineRule="auto"/>
        <w:rPr>
          <w:sz w:val="20"/>
          <w:szCs w:val="20"/>
          <w:color w:val="auto"/>
        </w:rPr>
      </w:pPr>
      <w:r>
        <w:rPr>
          <w:rFonts w:ascii="Times New Roman" w:cs="Times New Roman" w:eastAsia="Times New Roman" w:hAnsi="Times New Roman"/>
          <w:sz w:val="18"/>
          <w:szCs w:val="18"/>
          <w:color w:val="auto"/>
        </w:rPr>
        <w:t>The following tables disaggregate our revenue from contracts with customers by geographic region and includes equipment rental revenue. Equipment rental revenue were $142 million, $146 million and $131 million in 2023, 2022 and 2021, respectively.</w:t>
      </w:r>
    </w:p>
    <w:p>
      <w:pPr>
        <w:spacing w:after="0" w:line="189"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During 2023, Mexico accounted for 13% of total revenue, driven by our largest customer, which accounted for 10% of our total revenue. During 2023, 2022 and 2021, the U.S. accounted for 16%, 20% and 19% of total revenue, respectively. No other country or individual customer accounted for more than 10% of our total revenue in 2023, 2022 and 2021. We had no revenue in our country of domicile (Ireland) in 2023, 2022 and 2021.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72</w:t>
      </w:r>
    </w:p>
    <w:p>
      <w:pPr>
        <w:sectPr>
          <w:pgSz w:w="11900" w:h="16838" w:orient="portrait"/>
          <w:cols w:equalWidth="0" w:num="1">
            <w:col w:w="11240"/>
          </w:cols>
          <w:pgMar w:left="320" w:top="378" w:right="339" w:bottom="1440" w:gutter="0" w:footer="0" w:header="0"/>
        </w:sectPr>
      </w:pPr>
    </w:p>
    <w:bookmarkStart w:id="76" w:name="page77"/>
    <w:bookmarkEnd w:id="76"/>
    <w:tbl>
      <w:tblPr>
        <w:tblLayout w:type="fixed"/>
        <w:tblInd w:w="18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666"/>
        </w:trPr>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7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40" w:type="dxa"/>
            <w:vAlign w:val="bottom"/>
            <w:tcBorders>
              <w:bottom w:val="single" w:sz="8" w:color="auto"/>
            </w:tcBorders>
            <w:gridSpan w:val="2"/>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365"/>
        </w:trPr>
        <w:tc>
          <w:tcPr>
            <w:tcW w:w="700" w:type="dxa"/>
            <w:vAlign w:val="bottom"/>
          </w:tcPr>
          <w:p>
            <w:pPr>
              <w:spacing w:after="0"/>
              <w:rPr>
                <w:sz w:val="24"/>
                <w:szCs w:val="24"/>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(a)</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1,068</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1,104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896</w:t>
            </w:r>
          </w:p>
        </w:tc>
      </w:tr>
      <w:tr>
        <w:trPr>
          <w:trHeight w:val="270"/>
        </w:trPr>
        <w:tc>
          <w:tcPr>
            <w:tcW w:w="700" w:type="dxa"/>
            <w:vAlign w:val="bottom"/>
          </w:tcPr>
          <w:p>
            <w:pPr>
              <w:spacing w:after="0"/>
              <w:rPr>
                <w:sz w:val="23"/>
                <w:szCs w:val="23"/>
                <w:color w:val="auto"/>
              </w:rPr>
            </w:pPr>
          </w:p>
        </w:tc>
        <w:tc>
          <w:tcPr>
            <w:tcW w:w="38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29"/>
        </w:trPr>
        <w:tc>
          <w:tcPr>
            <w:tcW w:w="700" w:type="dxa"/>
            <w:vAlign w:val="bottom"/>
          </w:tcPr>
          <w:p>
            <w:pPr>
              <w:spacing w:after="0"/>
              <w:rPr>
                <w:sz w:val="19"/>
                <w:szCs w:val="19"/>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80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4,067</w:t>
            </w:r>
          </w:p>
        </w:tc>
        <w:tc>
          <w:tcPr>
            <w:tcW w:w="640" w:type="dxa"/>
            <w:vAlign w:val="bottom"/>
          </w:tcPr>
          <w:p>
            <w:pPr>
              <w:spacing w:after="0"/>
              <w:rPr>
                <w:sz w:val="19"/>
                <w:szCs w:val="19"/>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3,227</w:t>
            </w:r>
          </w:p>
        </w:tc>
        <w:tc>
          <w:tcPr>
            <w:tcW w:w="4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2,749</w:t>
            </w:r>
          </w:p>
        </w:tc>
      </w:tr>
      <w:tr>
        <w:trPr>
          <w:trHeight w:val="229"/>
        </w:trPr>
        <w:tc>
          <w:tcPr>
            <w:tcW w:w="700" w:type="dxa"/>
            <w:vAlign w:val="bottom"/>
          </w:tcPr>
          <w:p>
            <w:pPr>
              <w:spacing w:after="0"/>
              <w:rPr>
                <w:sz w:val="19"/>
                <w:szCs w:val="19"/>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Latin America</w:t>
            </w:r>
          </w:p>
        </w:tc>
        <w:tc>
          <w:tcPr>
            <w:tcW w:w="8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1,387</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1,062</w:t>
            </w: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814</w:t>
            </w:r>
          </w:p>
        </w:tc>
      </w:tr>
      <w:tr>
        <w:trPr>
          <w:trHeight w:val="230"/>
        </w:trPr>
        <w:tc>
          <w:tcPr>
            <w:tcW w:w="700" w:type="dxa"/>
            <w:vAlign w:val="bottom"/>
          </w:tcPr>
          <w:p>
            <w:pPr>
              <w:spacing w:after="0"/>
              <w:rPr>
                <w:sz w:val="19"/>
                <w:szCs w:val="19"/>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80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865</w:t>
            </w:r>
          </w:p>
        </w:tc>
        <w:tc>
          <w:tcPr>
            <w:tcW w:w="640" w:type="dxa"/>
            <w:vAlign w:val="bottom"/>
          </w:tcPr>
          <w:p>
            <w:pPr>
              <w:spacing w:after="0"/>
              <w:rPr>
                <w:sz w:val="19"/>
                <w:szCs w:val="19"/>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764</w:t>
            </w:r>
          </w:p>
        </w:tc>
        <w:tc>
          <w:tcPr>
            <w:tcW w:w="4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70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8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1,815</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1,401</w:t>
            </w:r>
          </w:p>
        </w:tc>
        <w:tc>
          <w:tcPr>
            <w:tcW w:w="4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1,198</w:t>
            </w:r>
          </w:p>
        </w:tc>
      </w:tr>
      <w:tr>
        <w:trPr>
          <w:trHeight w:val="223"/>
        </w:trPr>
        <w:tc>
          <w:tcPr>
            <w:tcW w:w="700" w:type="dxa"/>
            <w:vAlign w:val="bottom"/>
          </w:tcPr>
          <w:p>
            <w:pPr>
              <w:spacing w:after="0"/>
              <w:rPr>
                <w:sz w:val="19"/>
                <w:szCs w:val="19"/>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5,135</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4,331</w:t>
            </w:r>
          </w:p>
        </w:tc>
        <w:tc>
          <w:tcPr>
            <w:tcW w:w="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3,645</w:t>
            </w:r>
          </w:p>
        </w:tc>
      </w:tr>
      <w:tr>
        <w:trPr>
          <w:trHeight w:val="20"/>
        </w:trPr>
        <w:tc>
          <w:tcPr>
            <w:tcW w:w="70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840" w:hanging="184"/>
        <w:spacing w:after="0"/>
        <w:tabs>
          <w:tab w:leader="none" w:pos="84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97" w:lineRule="exact"/>
        <w:rPr>
          <w:sz w:val="20"/>
          <w:szCs w:val="20"/>
          <w:color w:val="auto"/>
        </w:rPr>
      </w:pPr>
    </w:p>
    <w:p>
      <w:pPr>
        <w:ind w:firstLine="243"/>
        <w:spacing w:after="0" w:line="313"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 in the recording of accounts receivable, contract assets, and contract liabilities. The following table summarizes these balances as of December 31, 2023, and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1,182</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954</w:t>
            </w:r>
          </w:p>
        </w:tc>
      </w:tr>
      <w:tr>
        <w:trPr>
          <w:trHeight w:val="229"/>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r>
      <w:tr>
        <w:trPr>
          <w:trHeight w:val="25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$16 at December 31, 2023 and $26 at December</w:t>
            </w:r>
          </w:p>
        </w:tc>
        <w:tc>
          <w:tcPr>
            <w:tcW w:w="8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327"/>
        </w:trPr>
        <w:tc>
          <w:tcPr>
            <w:tcW w:w="8100" w:type="dxa"/>
            <w:vAlign w:val="bottom"/>
            <w:tcBorders>
              <w:bottom w:val="single" w:sz="8" w:color="CCEEFF"/>
            </w:tcBorders>
            <w:shd w:val="clear" w:color="auto" w:fill="CCEE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31, 2022 </w:t>
            </w:r>
            <w:r>
              <w:rPr>
                <w:rFonts w:ascii="Times New Roman" w:cs="Times New Roman" w:eastAsia="Times New Roman" w:hAnsi="Times New Roman"/>
                <w:sz w:val="23"/>
                <w:szCs w:val="23"/>
                <w:color w:val="auto"/>
                <w:vertAlign w:val="superscript"/>
              </w:rPr>
              <w:t>(a)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1,216</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989</w:t>
            </w:r>
          </w:p>
        </w:tc>
      </w:tr>
      <w:tr>
        <w:trPr>
          <w:trHeight w:val="20"/>
        </w:trPr>
        <w:tc>
          <w:tcPr>
            <w:tcW w:w="8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8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86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8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ind w:left="400" w:hanging="230"/>
        <w:spacing w:after="0"/>
        <w:tabs>
          <w:tab w:leader="none" w:pos="40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change in allowance for credit losses includes charges offset primarily by recoveries and write-offs. The credit loss charges were $9 million, $10 million and</w:t>
      </w:r>
    </w:p>
    <w:p>
      <w:pPr>
        <w:spacing w:after="0" w:line="37" w:lineRule="exact"/>
        <w:rPr>
          <w:rFonts w:ascii="Times New Roman" w:cs="Times New Roman" w:eastAsia="Times New Roman" w:hAnsi="Times New Roman"/>
          <w:sz w:val="21"/>
          <w:szCs w:val="21"/>
          <w:color w:val="auto"/>
          <w:vertAlign w:val="superscript"/>
        </w:rPr>
      </w:pPr>
    </w:p>
    <w:p>
      <w:pPr>
        <w:ind w:left="420" w:right="140"/>
        <w:spacing w:after="0" w:line="29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$30 million during 2023, 2022 and 2021, respectively. Offsets to allowance for credit losses were primarily recoveries and write-offs of $19 million, $15 million and $31 million during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73</w:t>
      </w:r>
    </w:p>
    <w:p>
      <w:pPr>
        <w:sectPr>
          <w:pgSz w:w="11900" w:h="16838" w:orient="portrait"/>
          <w:cols w:equalWidth="0" w:num="1">
            <w:col w:w="11240"/>
          </w:cols>
          <w:pgMar w:left="320" w:top="378" w:right="339" w:bottom="1440" w:gutter="0" w:footer="0" w:header="0"/>
        </w:sectPr>
      </w:pPr>
    </w:p>
    <w:bookmarkStart w:id="77" w:name="page78"/>
    <w:bookmarkEnd w:id="77"/>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Inventories, Net</w:t>
      </w:r>
    </w:p>
    <w:p>
      <w:pPr>
        <w:spacing w:after="0" w:line="297" w:lineRule="exact"/>
        <w:rPr>
          <w:sz w:val="20"/>
          <w:szCs w:val="20"/>
          <w:color w:val="auto"/>
        </w:rPr>
      </w:pPr>
    </w:p>
    <w:p>
      <w:pPr>
        <w:ind w:firstLine="324"/>
        <w:spacing w:after="0" w:line="313" w:lineRule="auto"/>
        <w:rPr>
          <w:sz w:val="20"/>
          <w:szCs w:val="20"/>
          <w:color w:val="auto"/>
        </w:rPr>
      </w:pPr>
      <w:r>
        <w:rPr>
          <w:rFonts w:ascii="Times New Roman" w:cs="Times New Roman" w:eastAsia="Times New Roman" w:hAnsi="Times New Roman"/>
          <w:sz w:val="18"/>
          <w:szCs w:val="18"/>
          <w:color w:val="auto"/>
        </w:rPr>
        <w:t>Inventories, net of reserves of $121 million and $129 million as of December 31, 2023 and December 31, 2022, respectively, by category were as follows:</w:t>
      </w:r>
    </w:p>
    <w:p>
      <w:pPr>
        <w:spacing w:after="0" w:line="6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688</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601</w:t>
            </w:r>
          </w:p>
        </w:tc>
      </w:tr>
      <w:tr>
        <w:trPr>
          <w:trHeight w:val="230"/>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0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788</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689</w:t>
            </w:r>
          </w:p>
        </w:tc>
      </w:tr>
      <w:tr>
        <w:trPr>
          <w:trHeight w:val="20"/>
        </w:trPr>
        <w:tc>
          <w:tcPr>
            <w:tcW w:w="7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inventory reserves includes the inventory charges below, primarily offset by the disposal of inventory previously reserved.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charges were recognized in the following captions on our Consolidated Statements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8"/>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9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3"/>
        </w:trPr>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Charges in “Cost of Products”</w:t>
            </w:r>
          </w:p>
        </w:tc>
        <w:tc>
          <w:tcPr>
            <w:tcW w:w="9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55</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Inventory Charges in “Other Charges (Credits)”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69"/>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Charges</w:t>
            </w:r>
          </w:p>
        </w:tc>
        <w:tc>
          <w:tcPr>
            <w:tcW w:w="94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62</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41"/>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 Property, Plant and Equipment, Net</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86"/>
        </w:trPr>
        <w:tc>
          <w:tcPr>
            <w:tcW w:w="220" w:type="dxa"/>
            <w:vAlign w:val="bottom"/>
          </w:tcPr>
          <w:p>
            <w:pPr>
              <w:spacing w:after="0"/>
              <w:rPr>
                <w:sz w:val="24"/>
                <w:szCs w:val="24"/>
                <w:color w:val="auto"/>
              </w:rPr>
            </w:pPr>
          </w:p>
        </w:tc>
        <w:tc>
          <w:tcPr>
            <w:tcW w:w="5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 was composed of the following:</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Borders>
              <w:bottom w:val="single" w:sz="8" w:color="auto"/>
            </w:tcBorders>
          </w:tcPr>
          <w:p>
            <w:pPr>
              <w:spacing w:after="0"/>
              <w:rPr>
                <w:sz w:val="24"/>
                <w:szCs w:val="24"/>
                <w:color w:val="auto"/>
              </w:rPr>
            </w:pPr>
          </w:p>
        </w:tc>
      </w:tr>
      <w:tr>
        <w:trPr>
          <w:trHeight w:val="223"/>
        </w:trPr>
        <w:tc>
          <w:tcPr>
            <w:tcW w:w="220" w:type="dxa"/>
            <w:vAlign w:val="bottom"/>
          </w:tcPr>
          <w:p>
            <w:pPr>
              <w:spacing w:after="0"/>
              <w:rPr>
                <w:sz w:val="19"/>
                <w:szCs w:val="19"/>
                <w:color w:val="auto"/>
              </w:rPr>
            </w:pPr>
          </w:p>
        </w:tc>
        <w:tc>
          <w:tcPr>
            <w:tcW w:w="5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20" w:type="dxa"/>
            <w:vAlign w:val="bottom"/>
          </w:tcPr>
          <w:p>
            <w:pPr>
              <w:spacing w:after="0"/>
              <w:rPr>
                <w:sz w:val="19"/>
                <w:szCs w:val="19"/>
                <w:color w:val="auto"/>
              </w:rPr>
            </w:pPr>
          </w:p>
        </w:tc>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Buildings and Leasehold Improvements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220" w:type="dxa"/>
            <w:vAlign w:val="bottom"/>
          </w:tcPr>
          <w:p>
            <w:pPr>
              <w:spacing w:after="0"/>
              <w:rPr>
                <w:sz w:val="19"/>
                <w:szCs w:val="19"/>
                <w:color w:val="auto"/>
              </w:rPr>
            </w:pP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Rental and Service Equipment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1,092</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220" w:type="dxa"/>
            <w:vAlign w:val="bottom"/>
          </w:tcPr>
          <w:p>
            <w:pPr>
              <w:spacing w:after="0"/>
              <w:rPr>
                <w:sz w:val="19"/>
                <w:szCs w:val="19"/>
                <w:color w:val="auto"/>
              </w:rPr>
            </w:pPr>
          </w:p>
        </w:tc>
        <w:tc>
          <w:tcPr>
            <w:tcW w:w="54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220" w:type="dxa"/>
            <w:vAlign w:val="bottom"/>
          </w:tcPr>
          <w:p>
            <w:pPr>
              <w:spacing w:after="0"/>
              <w:rPr>
                <w:sz w:val="19"/>
                <w:szCs w:val="19"/>
                <w:color w:val="auto"/>
              </w:rPr>
            </w:pP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1,840</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1,691</w:t>
            </w:r>
          </w:p>
        </w:tc>
      </w:tr>
      <w:tr>
        <w:trPr>
          <w:trHeight w:val="230"/>
        </w:trPr>
        <w:tc>
          <w:tcPr>
            <w:tcW w:w="220" w:type="dxa"/>
            <w:vAlign w:val="bottom"/>
          </w:tcPr>
          <w:p>
            <w:pPr>
              <w:spacing w:after="0"/>
              <w:rPr>
                <w:sz w:val="19"/>
                <w:szCs w:val="19"/>
                <w:color w:val="auto"/>
              </w:rPr>
            </w:pPr>
          </w:p>
        </w:tc>
        <w:tc>
          <w:tcPr>
            <w:tcW w:w="54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773</w:t>
            </w:r>
          </w:p>
        </w:tc>
      </w:tr>
      <w:tr>
        <w:trPr>
          <w:trHeight w:val="223"/>
        </w:trPr>
        <w:tc>
          <w:tcPr>
            <w:tcW w:w="220" w:type="dxa"/>
            <w:vAlign w:val="bottom"/>
          </w:tcPr>
          <w:p>
            <w:pPr>
              <w:spacing w:after="0"/>
              <w:rPr>
                <w:sz w:val="19"/>
                <w:szCs w:val="19"/>
                <w:color w:val="auto"/>
              </w:rPr>
            </w:pPr>
          </w:p>
        </w:tc>
        <w:tc>
          <w:tcPr>
            <w:tcW w:w="5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918</w:t>
            </w:r>
          </w:p>
        </w:tc>
      </w:tr>
      <w:tr>
        <w:trPr>
          <w:trHeight w:val="20"/>
        </w:trPr>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$171 million, $194 million and $284 million in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74</w:t>
      </w:r>
    </w:p>
    <w:p>
      <w:pPr>
        <w:sectPr>
          <w:pgSz w:w="11900" w:h="16838" w:orient="portrait"/>
          <w:cols w:equalWidth="0" w:num="1">
            <w:col w:w="11240"/>
          </w:cols>
          <w:pgMar w:left="320" w:top="378"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75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 Intangible Assets, Net</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83"/>
        </w:trPr>
        <w:tc>
          <w:tcPr>
            <w:tcW w:w="6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14"/>
        </w:trPr>
        <w:tc>
          <w:tcPr>
            <w:tcW w:w="63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500" w:type="dxa"/>
            <w:vAlign w:val="bottom"/>
          </w:tcPr>
          <w:p>
            <w:pPr>
              <w:spacing w:after="0"/>
              <w:rPr>
                <w:sz w:val="18"/>
                <w:szCs w:val="18"/>
                <w:color w:val="auto"/>
              </w:rPr>
            </w:pPr>
          </w:p>
        </w:tc>
      </w:tr>
      <w:tr>
        <w:trPr>
          <w:trHeight w:val="230"/>
        </w:trPr>
        <w:tc>
          <w:tcPr>
            <w:tcW w:w="63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Intangible</w:t>
            </w:r>
          </w:p>
        </w:tc>
      </w:tr>
      <w:tr>
        <w:trPr>
          <w:trHeight w:val="238"/>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00" w:type="dxa"/>
            <w:vAlign w:val="bottom"/>
            <w:tcBorders>
              <w:bottom w:val="single" w:sz="8" w:color="auto"/>
            </w:tcBorders>
          </w:tcPr>
          <w:p>
            <w:pPr>
              <w:spacing w:after="0"/>
              <w:rPr>
                <w:sz w:val="20"/>
                <w:szCs w:val="20"/>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(479)</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235</w:t>
            </w:r>
          </w:p>
        </w:tc>
      </w:tr>
      <w:tr>
        <w:trPr>
          <w:trHeight w:val="248"/>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1,009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(639)</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6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14"/>
        </w:trPr>
        <w:tc>
          <w:tcPr>
            <w:tcW w:w="63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500" w:type="dxa"/>
            <w:vAlign w:val="bottom"/>
          </w:tcPr>
          <w:p>
            <w:pPr>
              <w:spacing w:after="0"/>
              <w:rPr>
                <w:sz w:val="18"/>
                <w:szCs w:val="18"/>
                <w:color w:val="auto"/>
              </w:rPr>
            </w:pPr>
          </w:p>
        </w:tc>
      </w:tr>
      <w:tr>
        <w:trPr>
          <w:trHeight w:val="229"/>
        </w:trPr>
        <w:tc>
          <w:tcPr>
            <w:tcW w:w="632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9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Intangible</w:t>
            </w:r>
          </w:p>
        </w:tc>
      </w:tr>
      <w:tr>
        <w:trPr>
          <w:trHeight w:val="238"/>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9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9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500" w:type="dxa"/>
            <w:vAlign w:val="bottom"/>
            <w:tcBorders>
              <w:bottom w:val="single" w:sz="8" w:color="auto"/>
            </w:tcBorders>
          </w:tcPr>
          <w:p>
            <w:pPr>
              <w:spacing w:after="0"/>
              <w:rPr>
                <w:sz w:val="20"/>
                <w:szCs w:val="20"/>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and Acquired Technology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(359)</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(121)</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274</w:t>
            </w:r>
          </w:p>
        </w:tc>
      </w:tr>
      <w:tr>
        <w:trPr>
          <w:trHeight w:val="248"/>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(480)</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6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Amortization expense was $156 million, $155 million and $156 million in 2023, 2022, and 2021, respectively. Based on the carrying value of intangible assets at December 31, 2023, amortization expense for the subsequent five years is estimated as follows (dollars in millions):</w:t>
      </w:r>
    </w:p>
    <w:p>
      <w:pPr>
        <w:spacing w:after="0" w:line="50" w:lineRule="exact"/>
        <w:rPr>
          <w:sz w:val="20"/>
          <w:szCs w:val="20"/>
          <w:color w:val="auto"/>
        </w:rPr>
      </w:pPr>
    </w:p>
    <w:tbl>
      <w:tblPr>
        <w:tblLayout w:type="fixed"/>
        <w:tblInd w:w="2160" w:type="dxa"/>
        <w:tblCellMar>
          <w:top w:w="0" w:type="dxa"/>
          <w:left w:w="0" w:type="dxa"/>
          <w:bottom w:w="0" w:type="dxa"/>
          <w:right w:w="0" w:type="dxa"/>
        </w:tblCellMar>
      </w:tblPr>
      <w:tr>
        <w:trPr>
          <w:trHeight w:val="238"/>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150</w:t>
            </w: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75</w:t>
      </w:r>
    </w:p>
    <w:p>
      <w:pPr>
        <w:sectPr>
          <w:pgSz w:w="11900" w:h="16838" w:orient="portrait"/>
          <w:cols w:equalWidth="0" w:num="1">
            <w:col w:w="11240"/>
          </w:cols>
          <w:pgMar w:left="320" w:top="432"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5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756"/>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 Leases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86"/>
        </w:trPr>
        <w:tc>
          <w:tcPr>
            <w:tcW w:w="260" w:type="dxa"/>
            <w:vAlign w:val="bottom"/>
          </w:tcPr>
          <w:p>
            <w:pPr>
              <w:spacing w:after="0"/>
              <w:rPr>
                <w:sz w:val="24"/>
                <w:szCs w:val="24"/>
                <w:color w:val="auto"/>
              </w:rPr>
            </w:pPr>
          </w:p>
        </w:tc>
        <w:tc>
          <w:tcPr>
            <w:tcW w:w="5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following table presents our lease expense components: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64"/>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3"/>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14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40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Expense Components:</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61</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Short-term and Variable Lease Expense</w:t>
            </w: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65</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Subtotal of Operating Lease Expense</w:t>
            </w: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234</w:t>
            </w:r>
          </w:p>
        </w:tc>
        <w:tc>
          <w:tcPr>
            <w:tcW w:w="5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78"/>
        </w:trPr>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Finance Lease Expense: Amortization of Assets and Interest</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4"/>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Lease Liabilities</w:t>
            </w:r>
          </w:p>
        </w:tc>
        <w:tc>
          <w:tcPr>
            <w:tcW w:w="700" w:type="dxa"/>
            <w:vAlign w:val="bottom"/>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16</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29"/>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7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Lease Expense</w:t>
            </w: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251</w:t>
            </w:r>
          </w:p>
        </w:tc>
        <w:tc>
          <w:tcPr>
            <w:tcW w:w="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61"/>
        </w:trPr>
        <w:tc>
          <w:tcPr>
            <w:tcW w:w="260" w:type="dxa"/>
            <w:vAlign w:val="bottom"/>
          </w:tcPr>
          <w:p>
            <w:pPr>
              <w:spacing w:after="0"/>
              <w:rPr>
                <w:sz w:val="24"/>
                <w:szCs w:val="24"/>
                <w:color w:val="auto"/>
              </w:rPr>
            </w:pPr>
          </w:p>
        </w:tc>
        <w:tc>
          <w:tcPr>
            <w:tcW w:w="5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Future commitments under operating and finance leases are as follows: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56"/>
        </w:trPr>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460" w:type="dxa"/>
            <w:vAlign w:val="bottom"/>
          </w:tcPr>
          <w:p>
            <w:pPr>
              <w:spacing w:after="0"/>
              <w:rPr>
                <w:sz w:val="24"/>
                <w:szCs w:val="24"/>
                <w:color w:val="auto"/>
              </w:rPr>
            </w:pPr>
          </w:p>
        </w:tc>
      </w:tr>
      <w:tr>
        <w:trPr>
          <w:trHeight w:val="238"/>
        </w:trPr>
        <w:tc>
          <w:tcPr>
            <w:tcW w:w="260" w:type="dxa"/>
            <w:vAlign w:val="bottom"/>
          </w:tcPr>
          <w:p>
            <w:pPr>
              <w:spacing w:after="0"/>
              <w:rPr>
                <w:sz w:val="20"/>
                <w:szCs w:val="20"/>
                <w:color w:val="auto"/>
              </w:rPr>
            </w:pPr>
          </w:p>
        </w:tc>
        <w:tc>
          <w:tcPr>
            <w:tcW w:w="5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60" w:type="dxa"/>
            <w:vAlign w:val="bottom"/>
            <w:tcBorders>
              <w:bottom w:val="single" w:sz="8" w:color="auto"/>
            </w:tcBorders>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Maturity of Lease Liabilities as of December 31, 2023:</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26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60" w:type="dxa"/>
            <w:vAlign w:val="bottom"/>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6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60" w:type="dxa"/>
            <w:vAlign w:val="bottom"/>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60" w:type="dxa"/>
            <w:vAlign w:val="bottom"/>
          </w:tcPr>
          <w:p>
            <w:pPr>
              <w:spacing w:after="0"/>
              <w:rPr>
                <w:sz w:val="19"/>
                <w:szCs w:val="19"/>
                <w:color w:val="auto"/>
              </w:rPr>
            </w:pPr>
          </w:p>
        </w:tc>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7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60" w:type="dxa"/>
            <w:vAlign w:val="bottom"/>
          </w:tcPr>
          <w:p>
            <w:pPr>
              <w:spacing w:after="0"/>
              <w:rPr>
                <w:sz w:val="19"/>
                <w:szCs w:val="19"/>
                <w:color w:val="auto"/>
              </w:rPr>
            </w:pPr>
          </w:p>
        </w:tc>
        <w:tc>
          <w:tcPr>
            <w:tcW w:w="5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(96)</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260" w:type="dxa"/>
            <w:vAlign w:val="bottom"/>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60" w:type="dxa"/>
            <w:vAlign w:val="bottom"/>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76</w:t>
      </w:r>
    </w:p>
    <w:p>
      <w:pPr>
        <w:sectPr>
          <w:pgSz w:w="11900" w:h="16838" w:orient="portrait"/>
          <w:cols w:equalWidth="0" w:num="1">
            <w:col w:w="11240"/>
          </w:cols>
          <w:pgMar w:left="320" w:top="43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83"/>
        </w:trPr>
        <w:tc>
          <w:tcPr>
            <w:tcW w:w="5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 except years and percentages)</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80" w:type="dxa"/>
            <w:vAlign w:val="bottom"/>
            <w:tcBorders>
              <w:bottom w:val="single" w:sz="8" w:color="auto"/>
            </w:tcBorders>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Supplemental Information:</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76"/>
        </w:trPr>
        <w:tc>
          <w:tcPr>
            <w:tcW w:w="520" w:type="dxa"/>
            <w:vAlign w:val="bottom"/>
          </w:tcPr>
          <w:p>
            <w:pPr>
              <w:spacing w:after="0"/>
              <w:rPr>
                <w:sz w:val="15"/>
                <w:szCs w:val="15"/>
                <w:color w:val="auto"/>
              </w:rPr>
            </w:pPr>
          </w:p>
        </w:tc>
        <w:tc>
          <w:tcPr>
            <w:tcW w:w="5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43"/>
        </w:trPr>
        <w:tc>
          <w:tcPr>
            <w:tcW w:w="520" w:type="dxa"/>
            <w:vAlign w:val="bottom"/>
          </w:tcPr>
          <w:p>
            <w:pPr>
              <w:spacing w:after="0"/>
              <w:rPr>
                <w:sz w:val="21"/>
                <w:szCs w:val="21"/>
                <w:color w:val="auto"/>
              </w:rPr>
            </w:pPr>
          </w:p>
        </w:tc>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30"/>
        </w:trPr>
        <w:tc>
          <w:tcPr>
            <w:tcW w:w="52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r>
      <w:tr>
        <w:trPr>
          <w:trHeight w:val="162"/>
        </w:trPr>
        <w:tc>
          <w:tcPr>
            <w:tcW w:w="520" w:type="dxa"/>
            <w:vAlign w:val="bottom"/>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29"/>
        </w:trPr>
        <w:tc>
          <w:tcPr>
            <w:tcW w:w="5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obtained in exchange for:</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r>
      <w:tr>
        <w:trPr>
          <w:trHeight w:val="162"/>
        </w:trPr>
        <w:tc>
          <w:tcPr>
            <w:tcW w:w="520" w:type="dxa"/>
            <w:vAlign w:val="bottom"/>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30"/>
        </w:trPr>
        <w:tc>
          <w:tcPr>
            <w:tcW w:w="5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52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9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Pr>
          <w:p>
            <w:pPr>
              <w:spacing w:after="0"/>
              <w:rPr>
                <w:sz w:val="19"/>
                <w:szCs w:val="19"/>
                <w:color w:val="auto"/>
              </w:rPr>
            </w:pP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62"/>
        </w:trPr>
        <w:tc>
          <w:tcPr>
            <w:tcW w:w="520" w:type="dxa"/>
            <w:vAlign w:val="bottom"/>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229"/>
        </w:trPr>
        <w:tc>
          <w:tcPr>
            <w:tcW w:w="5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(percentages)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5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77</w:t>
      </w:r>
    </w:p>
    <w:p>
      <w:pPr>
        <w:sectPr>
          <w:pgSz w:w="11900" w:h="16838" w:orient="portrait"/>
          <w:cols w:equalWidth="0" w:num="1">
            <w:col w:w="11060"/>
          </w:cols>
          <w:pgMar w:left="500" w:top="432" w:right="3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Borrowings and Other Debt Obligations</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debt carrying values consisted of the following:</w:t>
      </w:r>
    </w:p>
    <w:p>
      <w:pPr>
        <w:spacing w:after="0" w:line="154"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6.5% Senior Secured Notes due 2028 “2028 Senior Secured Notes”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151</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11.00% Exit Notes due 2024 “Exit Notes”</w:t>
            </w:r>
          </w:p>
        </w:tc>
        <w:tc>
          <w:tcPr>
            <w:tcW w:w="1060" w:type="dxa"/>
            <w:vAlign w:val="bottom"/>
          </w:tcPr>
          <w:p>
            <w:pPr>
              <w:spacing w:after="0"/>
              <w:rPr>
                <w:sz w:val="19"/>
                <w:szCs w:val="19"/>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Portion</w:t>
            </w:r>
          </w:p>
        </w:tc>
        <w:tc>
          <w:tcPr>
            <w:tcW w:w="10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168</w:t>
            </w: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7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8"/>
              </w:rPr>
              <w:t>1,587</w:t>
            </w:r>
          </w:p>
        </w:tc>
        <w:tc>
          <w:tcPr>
            <w:tcW w:w="8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1,586</w:t>
            </w: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 “2028 Senior Secured Notes”</w:t>
            </w: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92</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11.00% Exit Notes due 2024 “Exit Notes”</w:t>
            </w:r>
          </w:p>
        </w:tc>
        <w:tc>
          <w:tcPr>
            <w:tcW w:w="1060" w:type="dxa"/>
            <w:vAlign w:val="bottom"/>
          </w:tcPr>
          <w:p>
            <w:pPr>
              <w:spacing w:after="0"/>
              <w:rPr>
                <w:sz w:val="19"/>
                <w:szCs w:val="19"/>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Long-term Portion</w:t>
            </w:r>
          </w:p>
        </w:tc>
        <w:tc>
          <w:tcPr>
            <w:tcW w:w="10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8"/>
              </w:rPr>
              <w:t>1,715</w:t>
            </w:r>
          </w:p>
        </w:tc>
        <w:tc>
          <w:tcPr>
            <w:tcW w:w="8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2,203</w:t>
            </w:r>
          </w:p>
        </w:tc>
      </w:tr>
      <w:tr>
        <w:trPr>
          <w:trHeight w:val="21"/>
        </w:trPr>
        <w:tc>
          <w:tcPr>
            <w:tcW w:w="7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2028 Senior Secured Notes and the related guarantees are secured by substantially all of the assets and properties of the Company and the other guarantors (on an effectively first-priority basis with respect to the priority collateral for the 2028 Senior Secured Notes, and on an effectively second-priority basis with respect to the priority collateral for the senior secured letter of credit agreement (now the “Credit Agreement”), in each case, subject to permitted liens).</w:t>
      </w:r>
    </w:p>
    <w:p>
      <w:pPr>
        <w:spacing w:after="0" w:line="21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pacing w:after="0" w:line="196"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18"/>
          <w:szCs w:val="18"/>
          <w:color w:val="auto"/>
        </w:rPr>
        <w:t>The bond redemption premiums and noncash loss on extinguishment of debt related to the unamortized debt issuance costs described in the following paragraphs are presented as “Loss on Extinguishment of Debt and Bond Redemption Premium” on the Consolidated Statements of Operations. Additionally, debt issuance costs described in the following paragraphs reduce the carrying amount of the debt liability and are recognized using the effective interest rate method over the term of the debt in “Interest Expense, Net of Interest Income” on our Consolidated Financial Statements.</w:t>
      </w: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Exit Notes</w:t>
      </w:r>
    </w:p>
    <w:p>
      <w:pPr>
        <w:spacing w:after="0" w:line="28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On December 13, 2019, we issued unsecured 11.00% Exit Notes due in 2024 for an aggregate principal amount of $2.1 billion. Interest on the Exit Notes accrues at the rate of 11.00% per annum and is payable semiannually on June 1 and December 1. Proceeds from the issuance were reduced by debt issuance costs.</w:t>
      </w:r>
    </w:p>
    <w:p>
      <w:pPr>
        <w:spacing w:after="0" w:line="19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2021, we redeemed $1.8 billion in principal amount and paid the related accrued interest along with a bond redemption premium of $109 million and recognized a $2 million noncash loss on extinguishment of debt related to the unamortized debt issuance costs. Part of this redemption used net proceeds from our issuance of $1.6 billion of 2030 Senior Notes (defined below) and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78</w:t>
      </w:r>
    </w:p>
    <w:p>
      <w:pPr>
        <w:sectPr>
          <w:pgSz w:w="11900" w:h="16838" w:orient="portrait"/>
          <w:cols w:equalWidth="0" w:num="1">
            <w:col w:w="11240"/>
          </w:cols>
          <w:pgMar w:left="320" w:top="432" w:right="339" w:bottom="1440" w:gutter="0" w:footer="0" w:header="0"/>
        </w:sectPr>
      </w:pPr>
    </w:p>
    <w:bookmarkStart w:id="82" w:name="page83"/>
    <w:bookmarkEnd w:id="82"/>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2022, we redeemed $175 million in principal amount and paid the related accrued interest along with a bond redemption premium of $5 million. During the fourth quarter of 2022, we elected to redeem an additional $20 million and presented this amount as “Short-term Borrowings and Current Portion of Long-term Debt” on the Consolidated Financial Statements as of December 31, 2022.</w:t>
      </w:r>
    </w:p>
    <w:p>
      <w:pPr>
        <w:spacing w:after="0" w:line="19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In 2023, we fully redeemed the remaining $125 million principal amount and paid the related accrued interest along with a bond redemption premium of $3 million.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Senior Secured Notes</w:t>
      </w:r>
    </w:p>
    <w:p>
      <w:pPr>
        <w:spacing w:after="0" w:line="281"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On August 28, 2020, we entered into an indenture and issued the 8.75% Senior Secured Notes for an aggregate principal amount of $500 million maturing September 1, 2024 (the “2024 Senior Secured Notes”). Interest accrued at the rate of 8.75% per annum and was payable semiannually on March 1 and September 1. In 2021, we fully repaid the remaining unpaid principal of $500 million, along with a $22 million bond redemption premium and recognized a $37 million noncash loss on extinguishment of debt related to the unamortized debt issuance costs and discount.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95"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On September 30, 2021, we issued 6.5% Senior Secured Notes in aggregate principal amount of $500 million maturing September 15, 2028 (the “2028 Senior Secured Notes”). Interest accrues at the rate of 6.5% per annum and is payable semiannually on September 15 and March 15 of each year, and commenced March 15, 2022. Proceeds from the issuance were reduced by debt issuance costs. In 2023, we repurchased $243 million in principal along with a $2 million bond redemption premium and in 2022, we repurchased $8 million in principal of our 2028 Senior Secured Notes. At December 31, 2023 and December 31, 2022, the carrying value represents the remaining unpaid principal of $248 million and $492 million, respectively, offset by unamortized deferred issuance cost of $5 million and $10 million, respectively. Subsequent to year-end, in January 2024, we repurchased an additional $151 million (presented as “Short-term Borrowings and Current Portion of Long-term Debt” on the Consolidated Financial Statements as of December 31, 2023) in principal amount of our 2028 Senior Secured Notes, leaving $97 million as the remaining unpaid principal.</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9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On October 27, 2021, we issued 8.625% Senior Notes in aggregate principal amount of $1.6 billion maturing April 30, 2030 (the “2030 Senior Notes”). Interest accrues at the rate of 8.625% per annum and is payable semiannually on June 1 and December 1 of each year, and commenced June 1, 2022. On December 1, 2022, we modified our 2030 Senior Notes, as described earlier. At December 31, 2023 and December 31, 2022, the carrying value represents the remaining unpaid principal of $1.6 billion at each date, offset by unamortized deferred issuance cost of $13 million and $14 million, respectively.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79</w:t>
      </w:r>
    </w:p>
    <w:p>
      <w:pPr>
        <w:sectPr>
          <w:pgSz w:w="11900" w:h="16838" w:orient="portrait"/>
          <w:cols w:equalWidth="0" w:num="1">
            <w:col w:w="11240"/>
          </w:cols>
          <w:pgMar w:left="320" w:top="432" w:right="3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8"/>
          <w:szCs w:val="18"/>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8"/>
          <w:szCs w:val="18"/>
          <w:color w:val="auto"/>
        </w:rPr>
        <w:t>On March 24, 2023, we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w:t>
      </w:r>
    </w:p>
    <w:p>
      <w:pPr>
        <w:spacing w:after="0" w:line="2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On October 24, 2023, we amended the Credit Agreement to, among other things, (i) allow for an increase in total commitment amount from $400 million to $550 million ($250 million for performance letters of credit and $300 million for either borrowings or additional performance or financial letters of credit), (ii) extend maturity to October 24, 2028, subject to certain conditions, (iii) allow for dividends, share buybacks, and acquisitions which combined with other permitted transactions, are not to exceed a total net leverage ratio of 2.00 to 1.00 and an aggregate liquidity not less than $400 million,</w:t>
      </w:r>
    </w:p>
    <w:p>
      <w:pPr>
        <w:spacing w:after="0" w:line="1" w:lineRule="exact"/>
        <w:rPr>
          <w:sz w:val="20"/>
          <w:szCs w:val="20"/>
          <w:color w:val="auto"/>
        </w:rPr>
      </w:pPr>
    </w:p>
    <w:p>
      <w:pPr>
        <w:jc w:val="both"/>
        <w:ind w:firstLine="8"/>
        <w:spacing w:after="0" w:line="280" w:lineRule="auto"/>
        <w:tabs>
          <w:tab w:leader="none" w:pos="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minimum book value of assets requirement, (v) add Weatherford Switzerland as a borrower, and (vi) modify certain pricing provisions and eliminate secured overnight financing rate exposure to certain letters of credit. The amendment also gives the ability to request an increase in total commitments by up to $200 million, upon satisfaction of certain conditions. We further amended the Credit Agreement on December 20, 2023, to permit a certain specified swap transaction.</w:t>
      </w:r>
    </w:p>
    <w:p>
      <w:pPr>
        <w:spacing w:after="0" w:line="20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spacing w:after="0" w:line="20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Consolidated Balance Sheets).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Covenants for the 2028 Senior Secured Notes and 2030 Senior Notes and Credit Agreement</w:t>
      </w:r>
    </w:p>
    <w:p>
      <w:pPr>
        <w:spacing w:after="0" w:line="26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The indentures governing the 2028 Senior Secured Notes and 2030 Senior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18"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indentures also provide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2028 Senior Secured Notes to be declared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2023 Form 10-K | 80</w:t>
      </w:r>
    </w:p>
    <w:p>
      <w:pPr>
        <w:sectPr>
          <w:pgSz w:w="11900" w:h="16838" w:orient="portrait"/>
          <w:cols w:equalWidth="0" w:num="1">
            <w:col w:w="11240"/>
          </w:cols>
          <w:pgMar w:left="320" w:top="432" w:right="339" w:bottom="1440" w:gutter="0" w:footer="0" w:header="0"/>
        </w:sectPr>
      </w:pPr>
    </w:p>
    <w:bookmarkStart w:id="84" w:name="page85"/>
    <w:bookmarkEnd w:id="84"/>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scheduled debt maturities by year:</w:t>
      </w:r>
    </w:p>
    <w:p>
      <w:pPr>
        <w:spacing w:after="0" w:line="154"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2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40" w:type="dxa"/>
            <w:vAlign w:val="bottom"/>
          </w:tcPr>
          <w:p>
            <w:pPr>
              <w:spacing w:after="0"/>
              <w:rPr>
                <w:sz w:val="19"/>
                <w:szCs w:val="19"/>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1,601</w:t>
            </w:r>
          </w:p>
        </w:tc>
      </w:tr>
      <w:tr>
        <w:trPr>
          <w:trHeight w:val="223"/>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Maturities</w:t>
            </w:r>
          </w:p>
        </w:tc>
        <w:tc>
          <w:tcPr>
            <w:tcW w:w="2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1,901</w:t>
            </w:r>
          </w:p>
        </w:tc>
      </w:tr>
      <w:tr>
        <w:trPr>
          <w:trHeight w:val="22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Unamortized Debt Issuance and Discount</w:t>
            </w:r>
          </w:p>
        </w:tc>
        <w:tc>
          <w:tcPr>
            <w:tcW w:w="2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w:t>
            </w:r>
          </w:p>
        </w:tc>
      </w:tr>
      <w:tr>
        <w:trPr>
          <w:trHeight w:val="248"/>
        </w:trPr>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1,883</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Fair Value of Financial Instruments, Assets and Other Assets</w:t>
      </w:r>
    </w:p>
    <w:p>
      <w:pPr>
        <w:spacing w:after="0" w:line="283"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The fair values of our foreign currency forward contracts (see “Note 10 – Derivative Financial Instruments”), warrants (before their expiration, see “Note 14 – Shareholders’ Equity”), and plan assets of defined benefit pension plans (see “Note 11 – Employee Benefit Plans”) are all Level 2 valuations and the fair value of the credit default swap is a Level 3 valuation (see “Note 10 – Derivative Financial Instruments”).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other financial instruments include cash and cash equivalents, accounts receivable, accounts payable, short-term borrowings and long-term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these financial instruments (excluding long-term debt) approximate their fair value due to their short maturities.</w:t>
      </w:r>
    </w:p>
    <w:p>
      <w:pPr>
        <w:spacing w:after="0" w:line="279"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current market interest rate is greater than the interest rate at which the debt was originally issued. The fair value of our long-term debt (excluding Finance Leases) in the following table is classified as Level 2 in the fair value hierarchy and is established based on observable inputs in less active markets.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18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7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20" w:type="dxa"/>
            <w:vAlign w:val="bottom"/>
            <w:tcBorders>
              <w:bottom w:val="single" w:sz="8" w:color="auto"/>
            </w:tcBorders>
          </w:tcPr>
          <w:p>
            <w:pPr>
              <w:spacing w:after="0"/>
              <w:rPr>
                <w:sz w:val="20"/>
                <w:szCs w:val="20"/>
                <w:color w:val="auto"/>
              </w:rPr>
            </w:pPr>
          </w:p>
        </w:tc>
      </w:tr>
      <w:tr>
        <w:trPr>
          <w:trHeight w:val="223"/>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7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11.00% Exit Notes due 2024</w:t>
            </w:r>
          </w:p>
        </w:tc>
        <w:tc>
          <w:tcPr>
            <w:tcW w:w="1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 Senior Secured Notes due 2028</w:t>
            </w: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243</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960" w:type="dxa"/>
            <w:vAlign w:val="bottom"/>
          </w:tcPr>
          <w:p>
            <w:pPr>
              <w:spacing w:after="0"/>
              <w:rPr>
                <w:sz w:val="19"/>
                <w:szCs w:val="19"/>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482</w:t>
            </w:r>
          </w:p>
        </w:tc>
        <w:tc>
          <w:tcPr>
            <w:tcW w:w="98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1,587</w:t>
            </w: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1,673</w:t>
            </w:r>
          </w:p>
        </w:tc>
        <w:tc>
          <w:tcPr>
            <w:tcW w:w="9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1,586</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1,544</w:t>
            </w:r>
          </w:p>
        </w:tc>
      </w:tr>
      <w:tr>
        <w:trPr>
          <w:trHeight w:val="223"/>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1,830</w:t>
            </w: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1,931</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2,193</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2,154</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81</w:t>
      </w:r>
    </w:p>
    <w:p>
      <w:pPr>
        <w:sectPr>
          <w:pgSz w:w="11900" w:h="16838" w:orient="portrait"/>
          <w:cols w:equalWidth="0" w:num="1">
            <w:col w:w="11240"/>
          </w:cols>
          <w:pgMar w:left="320" w:top="432" w:right="339" w:bottom="1440" w:gutter="0" w:footer="0" w:header="0"/>
        </w:sectPr>
      </w:pPr>
    </w:p>
    <w:bookmarkStart w:id="85" w:name="page86"/>
    <w:bookmarkEnd w:id="85"/>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Derivative Financial Instruments</w:t>
      </w:r>
    </w:p>
    <w:p>
      <w:pPr>
        <w:spacing w:after="0" w:line="295"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color w:val="auto"/>
        </w:rPr>
        <w:t xml:space="preserve">Both our foreign currency forward contracts and the credit default swap are undesignated hedging instruments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8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enter into foreign currency forward contracts to economically hedge our exposure to currency fluctuations in various foreign currencies. At December 31, 2023 and December 31, 2022, we had outstanding foreign currency forward contracts with notional amounts aggregating to $448 million and $147 million, respectively. The fair values of these derivatives were not material as of December 31, 2023 and December 31, 2022.</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Default Swap</w:t>
      </w:r>
    </w:p>
    <w:p>
      <w:pPr>
        <w:spacing w:after="0" w:line="28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During the fourth quarter of 2023, we entered into a credit default swap (“CDS”) with a third-party financial institution terminating in February of 2026 related to a secured loan between that third-party financial institution and our largest customer in Mexico. The secured loan was utilized by this customer to pay certain of our outstanding receivables and accordingly, in the fourth quarter of 2023 and January of 2024, we received $140 million and $142 million, respectively.</w:t>
      </w:r>
    </w:p>
    <w:p>
      <w:pPr>
        <w:spacing w:after="0" w:line="21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Under the CDS terms, within five business days upon notification of default, we could be required to pay the then outstanding notional balance net of recoveries. As of December 31, 2023, we had a notional balance of $130 million outstanding under the CDS, which increased to $260 million in January of 2024, following the receipt of the $142 million payment. Management expects the total notional balance under the CDS to decrease to $161 million, $54 million and nil by December 31, 2024, December 31, 2025 and March 31, 2026, respectively. The fair value of this derivative was not material as of December 31, 2023.</w:t>
      </w:r>
    </w:p>
    <w:p>
      <w:pPr>
        <w:spacing w:after="0" w:line="204"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As of the date of this report, we are not aware of any events of default under the loan agreement between that third-party financial institution and our largest customer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82</w:t>
      </w:r>
    </w:p>
    <w:p>
      <w:pPr>
        <w:sectPr>
          <w:pgSz w:w="11900" w:h="16838" w:orient="portrait"/>
          <w:cols w:equalWidth="0" w:num="1">
            <w:col w:w="11240"/>
          </w:cols>
          <w:pgMar w:left="320" w:top="432" w:right="339" w:bottom="1440" w:gutter="0" w:footer="0" w:header="0"/>
        </w:sectPr>
      </w:pPr>
    </w:p>
    <w:bookmarkStart w:id="86" w:name="page87"/>
    <w:bookmarkEnd w:id="86"/>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Employee Benefit Plans</w:t>
      </w:r>
    </w:p>
    <w:p>
      <w:pPr>
        <w:spacing w:after="0" w:line="29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have defined contribution plans covering certain employees. Contribution expenses related to these plans totaled $18 million, $18 million and $16 million for the years ended December 31, 2023, 2022 and 2021, respectively.</w:t>
      </w:r>
    </w:p>
    <w:p>
      <w:pPr>
        <w:spacing w:after="0" w:line="203"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8"/>
          <w:szCs w:val="18"/>
          <w:color w:val="auto"/>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$3 million, $4 million, and $4 million for the years ended December 31, 2023, 2022 and 2021, respectively. The projected benefit obligations on a consolidated basis were $130 million and $121 million as of December 31, 2023 and December 31, 2022, respectively. The increase year over year is due primarily to actuarial losses as a result of decreased discount rates. The fair values of plan assets on a consolidated basis were $106 million and $97 million as of December 31, 2023 and December 31, 2022, respectively. The increase year over year is due primarily to investment gains. As of December 31, 2023, the net underfunded obligation consisted of $18 million of funded obligations recorded to “Other Non-current Assets” and $42 million of underfunded obligations substantially all recorded to “Other Non-current Liabilities” on our Consolidated Balance Sheets. As of December 31, 2022, the net underfunded obligation consisted of $15 million of funded obligations recorded to “Other Non-current Assets” and $39 million of underfunded obligations substantially all recorded to “Other Non-current Liabilities” on our Consolidated Balance Sheets. Additionally, the consolidated pre-tax amount in accumulated other comprehensive income (loss) as of December 31, 2023 and December 31, 2022, that has not yet been recognized as a component of net periodic benefit cost was a net gain of $15 million and net gain of $19 million, respectively. As mentioned above, decreased discount rates were the primary driver of the overall loss in 2023.</w:t>
      </w:r>
    </w:p>
    <w:p>
      <w:pPr>
        <w:spacing w:after="0" w:line="200" w:lineRule="exact"/>
        <w:rPr>
          <w:sz w:val="20"/>
          <w:szCs w:val="20"/>
          <w:color w:val="auto"/>
        </w:rPr>
      </w:pP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weighted average assumption rates used for benefit obligations were as follows:</w:t>
            </w:r>
          </w:p>
        </w:tc>
        <w:tc>
          <w:tcPr>
            <w:tcW w:w="17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1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00" w:type="dxa"/>
            <w:vAlign w:val="bottom"/>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7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 Plans</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4.75% - 5.00%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- 5.00%</w:t>
            </w:r>
          </w:p>
        </w:tc>
      </w:tr>
      <w:tr>
        <w:trPr>
          <w:trHeight w:val="230"/>
        </w:trPr>
        <w:tc>
          <w:tcPr>
            <w:tcW w:w="40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 Plans</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 - 11.38%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- 13.62%</w:t>
            </w:r>
          </w:p>
        </w:tc>
      </w:tr>
      <w:tr>
        <w:trPr>
          <w:trHeight w:val="230"/>
        </w:trPr>
        <w:tc>
          <w:tcPr>
            <w:tcW w:w="40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 of Compensation Increase:</w:t>
            </w:r>
          </w:p>
        </w:tc>
        <w:tc>
          <w:tcPr>
            <w:tcW w:w="1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0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Plans</w:t>
            </w:r>
          </w:p>
        </w:tc>
        <w:tc>
          <w:tcPr>
            <w:tcW w:w="17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Plans</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 - 3.00%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- 7.22%</w:t>
            </w:r>
          </w:p>
        </w:tc>
      </w:tr>
    </w:tbl>
    <w:p>
      <w:pPr>
        <w:spacing w:after="0" w:line="333"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During each of the years ended December 31, 2023, 2022 and 2021, we made contributions and paid direct benefits of $5 million in connection with our defined benefit pension and other post-retirement benefit plans. In 2024, we expect to fund approximately $5 million related to those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83</w:t>
      </w:r>
    </w:p>
    <w:p>
      <w:pPr>
        <w:sectPr>
          <w:pgSz w:w="11900" w:h="16838" w:orient="portrait"/>
          <w:cols w:equalWidth="0" w:num="1">
            <w:col w:w="11240"/>
          </w:cols>
          <w:pgMar w:left="320" w:top="432" w:right="339" w:bottom="1440" w:gutter="0" w:footer="0" w:header="0"/>
        </w:sectPr>
      </w:pPr>
    </w:p>
    <w:bookmarkStart w:id="87" w:name="page88"/>
    <w:bookmarkEnd w:id="87"/>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Disputes, Litigation and Legal Contingencies</w:t>
      </w:r>
    </w:p>
    <w:p>
      <w:pPr>
        <w:spacing w:after="0" w:line="28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GAMCO Shareholder Litigation</w:t>
      </w:r>
    </w:p>
    <w:p>
      <w:pPr>
        <w:spacing w:after="0" w:line="297"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alleged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sought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14, 2023, the Fifth Circuit affirmed the decision from the trial court dismissing plaintiffs’ claims.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84</w:t>
      </w:r>
    </w:p>
    <w:p>
      <w:pPr>
        <w:sectPr>
          <w:pgSz w:w="11900" w:h="16838" w:orient="portrait"/>
          <w:cols w:equalWidth="0" w:num="1">
            <w:col w:w="11240"/>
          </w:cols>
          <w:pgMar w:left="320" w:top="432" w:right="339" w:bottom="1440" w:gutter="0" w:footer="0" w:header="0"/>
        </w:sectPr>
      </w:pPr>
    </w:p>
    <w:bookmarkStart w:id="88" w:name="page89"/>
    <w:bookmarkEnd w:id="88"/>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Share-Based Compensation</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Plan</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The Weatherford International plc Third Amended and Restated 2019 Equity Incentive Plan, (“2019 Equity Plan”) authorizes the issuance of 8.6 million shares of common stock by the Board of Directors in the form of options, share appreciation rights, restricted share awards, restricted share units (“RSUs”), performance-based restricted share units (“PSUs”), phantom restricted share units (“Phantom RSUs”) and other share-based and performance-based awards to any employee, consultant, or non-employee director (“Grantees”). The provisions of each award vary based on the type of award granted. Awards made under the 2019 Equity Plan vest and settle in shares of newly issued common stock or cash. As of December 31, 2023, there were 2.5 million shares available for future grants.</w:t>
      </w:r>
    </w:p>
    <w:p>
      <w:pPr>
        <w:spacing w:after="0" w:line="220"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We granted RSUs, PSUs, and Phantom RSUs under the 2019 Equity Plan. All awards generally require continued employment and generally vest over one to three years. The Grantees do not have the rights of a shareholder under these awards until such date as the shares are issued.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83"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Share-based compensation expense was $35 million for the year ended December 31, 2023, and $25 million each for the years ended December 31, 2022 and December 31, 2021. As of December 31, 2023, there was $44 million of unrecognized compensation cost, which is expected to be recognized over a weighted-average period of less than two years.</w:t>
      </w:r>
    </w:p>
    <w:p>
      <w:pPr>
        <w:spacing w:after="0" w:line="211"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Due to valuation allowances in the taxing jurisdictions of our Grantees, there was an immaterial related tax impact for the year ended December 31, 2023 and no related tax impact for the years ended December 31, 2022 and 2021.</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RSUs</w:t>
      </w:r>
    </w:p>
    <w:p>
      <w:pPr>
        <w:spacing w:after="0" w:line="29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RSUs vest based generally on continued employment. The fair value of RSUs are determined based on the closing price of our shares on the date of grant. The total fair value, less forfeitures, is expensed over the vesting period. The weighted-average grant date fair value per unit (“WAGD FV”) of RSUs granted during 2023, 2022 and 2021 was $54.85, $30.90 and $6.54, respectively. The fair value of RSUs vested during 2023, 2022 and 2021 was $33 million, $18 million and $2 million, respectively. Cash used to settle RSUs in 2023 and 2022 was less than $1 million and $2 million, respectively. Cash was not used to settle RSUs in 2021.</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PSUs</w:t>
      </w:r>
    </w:p>
    <w:p>
      <w:pPr>
        <w:spacing w:after="0" w:line="281"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PSUs vest based generally on continued employment and achievement of an established target. The fair value of PSUs depends on whether the established target is a performance condition defined solely by reference to our own operations or the market performance of our shares (“market condition”). The actual number of PSUs earned is subject to increase or decrease based on the performance goal multiplier and may range from 0% to 200%. The total fair value, less forfeitures, is expensed over the vesting period. The WAGD FV per unit of PSUs granted during 2023, 2022 and 2021 was $70.91, $23.14 and $12.62, respectively. The fair value of PSUs vested during 2023, 2022 and 2021, was $118 million, nil and $2 million respectively.</w:t>
      </w:r>
    </w:p>
    <w:p>
      <w:pPr>
        <w:spacing w:after="0" w:line="218"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The fair value of PSUs subject to performance conditions defined solely by reference to our own operations is determined based on the closing price of our shares on the date of grant. The units are adjusted periodically based on the metric’s expected performance goal multiplier.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85</w:t>
      </w:r>
    </w:p>
    <w:p>
      <w:pPr>
        <w:sectPr>
          <w:pgSz w:w="11900" w:h="16838" w:orient="portrait"/>
          <w:cols w:equalWidth="0" w:num="1">
            <w:col w:w="11240"/>
          </w:cols>
          <w:pgMar w:left="320" w:top="432" w:right="339" w:bottom="1440" w:gutter="0" w:footer="0" w:header="0"/>
        </w:sectPr>
      </w:pPr>
    </w:p>
    <w:bookmarkStart w:id="89" w:name="page90"/>
    <w:bookmarkEnd w:id="89"/>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color w:val="auto"/>
        </w:rPr>
        <w:t>The fair value of PSUs subject to market conditions is determined by utilizing an advanced option-pricing model. All compensation cost is recognized if the employment condition is fulfilled even if the market condition is never satisfied, as the likelihood of achieving the market condition is incorporated into the fair value of the award. The weighted average of assumptions used in the models were as follows:</w:t>
      </w:r>
    </w:p>
    <w:p>
      <w:pPr>
        <w:spacing w:after="0" w:line="2"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1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8"/>
        </w:trPr>
        <w:tc>
          <w:tcPr>
            <w:tcW w:w="2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33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The risk-free rate is obtained as of the grant date with terms matching the performance period. The dividend yield is based on historical dividend payments and expectations of management. For the year ended December 31, 2023, expected volatility incorporated our NASDAQ trading history along with the volatility of our constituents. For the years ended December 31, 2022 and 2021, the expected volatility was based on comparable companies’ volatility. The expected life in years is based on the performance measurement period.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Phantom RSUs</w:t>
      </w:r>
    </w:p>
    <w:p>
      <w:pPr>
        <w:spacing w:after="0" w:line="26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Phantom RSUs were exclusively granted in 2021. Due to achievement of the predetermined capped amounts in year one, the awards were cash-settled in 2022 for $14 million, and the remaining in 2023 for an immaterial amount.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Awards Activity</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activity for non-vested RSUs, PSUs, and Phantom RSUs outstanding and their respective WAGD FV during 2023 is presented below.</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WAGD</w:t>
            </w:r>
          </w:p>
        </w:tc>
        <w:tc>
          <w:tcPr>
            <w:tcW w:w="12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23"/>
                <w:szCs w:val="23"/>
                <w:b w:val="1"/>
                <w:bCs w:val="1"/>
                <w:color w:val="auto"/>
                <w:vertAlign w:val="superscript"/>
              </w:rPr>
              <w:t>(1)</w:t>
            </w: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WAGD</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Phantom</w:t>
            </w: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WAGD</w:t>
            </w:r>
          </w:p>
        </w:tc>
        <w:tc>
          <w:tcPr>
            <w:tcW w:w="0" w:type="dxa"/>
            <w:vAlign w:val="bottom"/>
          </w:tcPr>
          <w:p>
            <w:pPr>
              <w:spacing w:after="0"/>
              <w:rPr>
                <w:sz w:val="1"/>
                <w:szCs w:val="1"/>
                <w:color w:val="auto"/>
              </w:rPr>
            </w:pPr>
          </w:p>
        </w:tc>
      </w:tr>
      <w:tr>
        <w:trPr>
          <w:trHeight w:val="292"/>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(Units in thousands, except dollars)</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RSU</w:t>
            </w:r>
          </w:p>
        </w:tc>
        <w:tc>
          <w:tcPr>
            <w:tcW w:w="5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FV</w:t>
            </w:r>
          </w:p>
        </w:tc>
        <w:tc>
          <w:tcPr>
            <w:tcW w:w="1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FV</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RSU</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FV</w:t>
            </w:r>
          </w:p>
        </w:tc>
        <w:tc>
          <w:tcPr>
            <w:tcW w:w="0" w:type="dxa"/>
            <w:vAlign w:val="bottom"/>
          </w:tcPr>
          <w:p>
            <w:pPr>
              <w:spacing w:after="0"/>
              <w:rPr>
                <w:sz w:val="1"/>
                <w:szCs w:val="1"/>
                <w:color w:val="auto"/>
              </w:rPr>
            </w:pPr>
          </w:p>
        </w:tc>
      </w:tr>
      <w:tr>
        <w:trPr>
          <w:trHeight w:val="378"/>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21.05</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2,301</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14.98</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14.50</w:t>
            </w:r>
          </w:p>
        </w:tc>
        <w:tc>
          <w:tcPr>
            <w:tcW w:w="0" w:type="dxa"/>
            <w:vAlign w:val="bottom"/>
          </w:tcPr>
          <w:p>
            <w:pPr>
              <w:spacing w:after="0"/>
              <w:rPr>
                <w:sz w:val="1"/>
                <w:szCs w:val="1"/>
                <w:color w:val="auto"/>
              </w:rPr>
            </w:pPr>
          </w:p>
        </w:tc>
      </w:tr>
      <w:tr>
        <w:trPr>
          <w:trHeight w:val="378"/>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350</w:t>
            </w:r>
          </w:p>
        </w:tc>
        <w:tc>
          <w:tcPr>
            <w:tcW w:w="54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54.85</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w:t>
            </w:r>
          </w:p>
        </w:tc>
        <w:tc>
          <w:tcPr>
            <w:tcW w:w="56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70.91</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15.30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378"/>
        </w:trPr>
        <w:tc>
          <w:tcPr>
            <w:tcW w:w="3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Cancelled or 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35.00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343"/>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43.34</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1,671</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31.00</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firstLine="8"/>
        <w:spacing w:after="0" w:line="309" w:lineRule="auto"/>
        <w:tabs>
          <w:tab w:leader="none" w:pos="18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Vested PSUs during 2023 earned a 200% multiplier. Non-Vested PSUs at December 31, 2023 were comprised of 1,145 PSUs with an achieved 100% performance goal multiplier and 526 PSUs with the potential for up to a 200% performance goal multiplier.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86</w:t>
      </w:r>
    </w:p>
    <w:p>
      <w:pPr>
        <w:sectPr>
          <w:pgSz w:w="11900" w:h="16838" w:orient="portrait"/>
          <w:cols w:equalWidth="0" w:num="1">
            <w:col w:w="11240"/>
          </w:cols>
          <w:pgMar w:left="320" w:top="432" w:right="339" w:bottom="1440" w:gutter="0" w:footer="0" w:header="0"/>
        </w:sectPr>
      </w:pPr>
    </w:p>
    <w:bookmarkStart w:id="90" w:name="page91"/>
    <w:bookmarkEnd w:id="90"/>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Shareholders’ Equity</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Our ordinary shares outstanding for the years ended December 31, 2023, 2022 and 2021 primarily increased upon the vesting and settlement of awards made under the 2019 Equity Plan.</w:t>
      </w:r>
    </w:p>
    <w:p>
      <w:pPr>
        <w:spacing w:after="0" w:line="17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On December 13, 2019, the day we emerged from bankruptcy, we issued warrants allowing the holders to purchase up to an aggregate of 7,777,779 ordinary shares in the Company, par value $0.001, at an exercise price of $99.96 per ordinary share. The warrants were equity classified and, upon issuance, had a value of $31 million, which was recorded in “Capital in Excess of Par Value.” The warrant fair value was a Level 2 valuation and was estimated using the Black Scholes valuation model. Inputs to the model included Weatherford’s share price, volatility of our share price, and the risk-free interest rate.</w:t>
      </w:r>
    </w:p>
    <w:p>
      <w:pPr>
        <w:spacing w:after="0" w:line="218"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On December 13, 2023, the remaining 7,774,134 unexercised warrants expired, and the rights of the warrant holders to purchase ordinary shares were terminated. During 2023 and 2022, an immaterial number of warrants were exercised.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loss by component:</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7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vMerge w:val="continue"/>
          </w:tcPr>
          <w:p>
            <w:pPr>
              <w:spacing w:after="0"/>
              <w:rPr>
                <w:sz w:val="21"/>
                <w:szCs w:val="21"/>
                <w:color w:val="auto"/>
              </w:rPr>
            </w:pPr>
          </w:p>
        </w:tc>
        <w:tc>
          <w:tcPr>
            <w:tcW w:w="28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0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7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18</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87</w:t>
      </w:r>
    </w:p>
    <w:p>
      <w:pPr>
        <w:sectPr>
          <w:pgSz w:w="11900" w:h="16838" w:orient="portrait"/>
          <w:cols w:equalWidth="0" w:num="1">
            <w:col w:w="11240"/>
          </w:cols>
          <w:pgMar w:left="320" w:top="432" w:right="339" w:bottom="1440" w:gutter="0" w:footer="0" w:header="0"/>
        </w:sectPr>
      </w:pPr>
    </w:p>
    <w:bookmarkStart w:id="91" w:name="page92"/>
    <w:bookmarkEnd w:id="91"/>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Income (Loss) per Share</w:t>
      </w:r>
    </w:p>
    <w:p>
      <w:pPr>
        <w:spacing w:after="0" w:line="283" w:lineRule="exact"/>
        <w:rPr>
          <w:sz w:val="20"/>
          <w:szCs w:val="20"/>
          <w:color w:val="auto"/>
        </w:rPr>
      </w:pPr>
    </w:p>
    <w:p>
      <w:pPr>
        <w:ind w:right="160" w:firstLine="324"/>
        <w:spacing w:after="0" w:line="313" w:lineRule="auto"/>
        <w:rPr>
          <w:sz w:val="20"/>
          <w:szCs w:val="20"/>
          <w:color w:val="auto"/>
        </w:rPr>
      </w:pPr>
      <w:r>
        <w:rPr>
          <w:rFonts w:ascii="Times New Roman" w:cs="Times New Roman" w:eastAsia="Times New Roman" w:hAnsi="Times New Roman"/>
          <w:sz w:val="18"/>
          <w:szCs w:val="18"/>
          <w:color w:val="auto"/>
        </w:rPr>
        <w:t>A reconciliation of the number of weighted average shares used for the basic and diluted income (loss) per share calculation for the periods presented was as follows:</w:t>
      </w:r>
    </w:p>
    <w:p>
      <w:pPr>
        <w:spacing w:after="0" w:line="5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8"/>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(Shares in millions)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Weatherford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70"/>
        </w:trPr>
        <w:tc>
          <w:tcPr>
            <w:tcW w:w="57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Plans</w:t>
            </w: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7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 Attributable to Weatherford</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5.79</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0.37</w:t>
            </w: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 Attributable to Weatherford</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5.66</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0.36</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70"/>
        </w:trPr>
        <w:tc>
          <w:tcPr>
            <w:tcW w:w="57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r>
      <w:tr>
        <w:trPr>
          <w:trHeight w:val="229"/>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Awards</w:t>
            </w: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17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Our basic and dilutive weighted average shares outstanding for the period presented with a net loss are equivalent as the inclusion of potential dilutive securities is antidilutive. Antidilutive shares represent securities that could dilute income (loss) per share, which are excluded from the computation as their impact was antidilutive.</w:t>
      </w:r>
    </w:p>
    <w:p>
      <w:pPr>
        <w:spacing w:after="0" w:line="204"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As discussed in “Note 14 – Shareholders’ Equity”, warrants to purchase 7.8 million ordinary shares at $99.96 per share were issued on December 13, 2019 and expired on December 13, 2023. The warrants were excluded from the diluted weighted average shares outstanding as the exercise price of the warrants was greater than the average market price of the Company’s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88</w:t>
      </w:r>
    </w:p>
    <w:p>
      <w:pPr>
        <w:sectPr>
          <w:pgSz w:w="11900" w:h="16838" w:orient="portrait"/>
          <w:cols w:equalWidth="0" w:num="1">
            <w:col w:w="11240"/>
          </w:cols>
          <w:pgMar w:left="320" w:top="432" w:right="339" w:bottom="1440" w:gutter="0" w:footer="0" w:header="0"/>
        </w:sectPr>
      </w:pPr>
    </w:p>
    <w:bookmarkStart w:id="92" w:name="page93"/>
    <w:bookmarkEnd w:id="92"/>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 Income Taxes</w:t>
      </w:r>
    </w:p>
    <w:p>
      <w:pPr>
        <w:spacing w:after="0" w:line="283"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tax provision consisted of the following:</w:t>
      </w:r>
    </w:p>
    <w:p>
      <w:pPr>
        <w:spacing w:after="0" w:line="167"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r>
      <w:tr>
        <w:trPr>
          <w:trHeight w:val="22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1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7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86</w:t>
            </w:r>
          </w:p>
        </w:tc>
        <w:tc>
          <w:tcPr>
            <w:tcW w:w="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difference between the Irish income tax provision and the consolidated income tax provision is analyzed below:</w:t>
      </w:r>
    </w:p>
    <w:p>
      <w:pPr>
        <w:spacing w:after="0" w:line="154" w:lineRule="exact"/>
        <w:rPr>
          <w:sz w:val="20"/>
          <w:szCs w:val="20"/>
          <w:color w:val="auto"/>
        </w:rPr>
      </w:pPr>
    </w:p>
    <w:tbl>
      <w:tblPr>
        <w:tblLayout w:type="fixed"/>
        <w:tblInd w:w="74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8"/>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Irish Income Tax (Provision) Benefit Tax Rate of 25%</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r>
      <w:tr>
        <w:trPr>
          <w:trHeight w:val="184"/>
        </w:trPr>
        <w:tc>
          <w:tcPr>
            <w:tcW w:w="5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Tax Provision on Operating Earnings/Losses Subject to Rates</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Different than the Irish Income Tax Rate</w:t>
            </w:r>
          </w:p>
        </w:tc>
        <w:tc>
          <w:tcPr>
            <w:tcW w:w="680" w:type="dxa"/>
            <w:vAlign w:val="bottom"/>
          </w:tcPr>
          <w:p>
            <w:pPr>
              <w:spacing w:after="0"/>
              <w:rPr>
                <w:sz w:val="20"/>
                <w:szCs w:val="20"/>
                <w:color w:val="auto"/>
              </w:rPr>
            </w:pP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52</w:t>
            </w:r>
          </w:p>
        </w:tc>
        <w:tc>
          <w:tcPr>
            <w:tcW w:w="62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(155)</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184"/>
        </w:trPr>
        <w:tc>
          <w:tcPr>
            <w:tcW w:w="5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Tax (Provision) Benefit on Swiss Loss from internal liquidation of</w:t>
            </w: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3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subsidiary and internal restructuring</w:t>
            </w: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6"/>
              </w:rPr>
              <w:t>124</w:t>
            </w:r>
          </w:p>
        </w:tc>
      </w:tr>
      <w:tr>
        <w:trPr>
          <w:trHeight w:val="184"/>
        </w:trPr>
        <w:tc>
          <w:tcPr>
            <w:tcW w:w="5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Decrease (Increase) in Valuation Allowance attributed to Swiss</w:t>
            </w: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and internal restructuring</w:t>
            </w:r>
          </w:p>
        </w:tc>
        <w:tc>
          <w:tcPr>
            <w:tcW w:w="6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spacing w:after="0"/>
              <w:rPr>
                <w:sz w:val="20"/>
                <w:szCs w:val="20"/>
                <w:color w:val="auto"/>
              </w:rPr>
            </w:pPr>
          </w:p>
        </w:tc>
        <w:tc>
          <w:tcPr>
            <w:tcW w:w="8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6"/>
              </w:rPr>
              <w:t>141</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184"/>
        </w:trPr>
        <w:tc>
          <w:tcPr>
            <w:tcW w:w="5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Decrease (Increase) in Valuation Allowance on Operating</w:t>
            </w:r>
          </w:p>
        </w:tc>
        <w:tc>
          <w:tcPr>
            <w:tcW w:w="6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r>
      <w:tr>
        <w:trPr>
          <w:trHeight w:val="23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Earnings/Losses</w:t>
            </w:r>
          </w:p>
        </w:tc>
        <w:tc>
          <w:tcPr>
            <w:tcW w:w="6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6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Our income tax provisions generally do not correlate to our consolidated income (loss) before tax. Our income tax provisions are primarily driven by profits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w:t>
      </w:r>
    </w:p>
    <w:p>
      <w:pPr>
        <w:spacing w:after="0" w:line="205"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For the year ended December 31, 2023, income tax expense was lower by $93 million, due to the release of valuation allowances where deferred tax assets are now considered more likely than not to be realized in the future, and $22 million, due to the recognition of a benefit from previously uncertain tax positions throughout the year. Those benefits were offset by the establishment of valuation allowances of approximately $50 million against the loss on the sale of Blue Chip Swap securities and currency devaluation in Argentina (see Note 17 – Blue Chip Swap Securities - Argentina). During the year ended December 31, 2022, income tax expense was lower by $35 million, due to the release of valuation allowances and $27 million, due to the recognition of a benefit from previously uncertain tax positions.</w:t>
      </w:r>
    </w:p>
    <w:p>
      <w:pPr>
        <w:spacing w:after="0" w:line="208"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89</w:t>
      </w:r>
    </w:p>
    <w:p>
      <w:pPr>
        <w:sectPr>
          <w:pgSz w:w="11900" w:h="16838" w:orient="portrait"/>
          <w:cols w:equalWidth="0" w:num="1">
            <w:col w:w="11240"/>
          </w:cols>
          <w:pgMar w:left="320" w:top="432" w:right="339" w:bottom="1440" w:gutter="0" w:footer="0" w:header="0"/>
        </w:sectPr>
      </w:pPr>
    </w:p>
    <w:bookmarkStart w:id="93" w:name="page94"/>
    <w:bookmarkEnd w:id="93"/>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 were as follows:</w:t>
            </w: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56"/>
        </w:trPr>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0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Pr>
          <w:p>
            <w:pPr>
              <w:spacing w:after="0"/>
              <w:rPr>
                <w:sz w:val="20"/>
                <w:szCs w:val="20"/>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600" w:type="dxa"/>
            <w:vAlign w:val="bottom"/>
            <w:tcBorders>
              <w:bottom w:val="single" w:sz="8" w:color="auto"/>
            </w:tcBorders>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0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220" w:type="dxa"/>
            <w:vAlign w:val="bottom"/>
          </w:tcPr>
          <w:p>
            <w:pPr>
              <w:spacing w:after="0"/>
              <w:rPr>
                <w:sz w:val="19"/>
                <w:szCs w:val="19"/>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 Carryforwards</w:t>
            </w:r>
          </w:p>
        </w:tc>
        <w:tc>
          <w:tcPr>
            <w:tcW w:w="192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715</w:t>
            </w:r>
          </w:p>
        </w:tc>
        <w:tc>
          <w:tcPr>
            <w:tcW w:w="7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Unused Recognized Built in Losses</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2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9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191</w:t>
            </w:r>
          </w:p>
        </w:tc>
        <w:tc>
          <w:tcPr>
            <w:tcW w:w="74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19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20" w:type="dxa"/>
            <w:vAlign w:val="bottom"/>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145</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2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9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Interest Deferral</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2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Base Adjustment</w:t>
            </w:r>
          </w:p>
        </w:tc>
        <w:tc>
          <w:tcPr>
            <w:tcW w:w="19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Deferred</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2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Differences between Financial and Tax Basis</w:t>
            </w:r>
          </w:p>
        </w:tc>
        <w:tc>
          <w:tcPr>
            <w:tcW w:w="192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w:t>
            </w:r>
          </w:p>
        </w:tc>
        <w:tc>
          <w:tcPr>
            <w:tcW w:w="74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2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9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c>
          <w:tcPr>
            <w:tcW w:w="7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(1,300)</w:t>
            </w: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2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220" w:type="dxa"/>
            <w:vAlign w:val="bottom"/>
          </w:tcPr>
          <w:p>
            <w:pPr>
              <w:spacing w:after="0"/>
              <w:rPr>
                <w:sz w:val="19"/>
                <w:szCs w:val="19"/>
                <w:color w:val="auto"/>
              </w:rPr>
            </w:pPr>
          </w:p>
        </w:tc>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9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20" w:type="dxa"/>
            <w:vAlign w:val="bottom"/>
          </w:tcPr>
          <w:p>
            <w:pPr>
              <w:spacing w:after="0"/>
              <w:rPr>
                <w:sz w:val="19"/>
                <w:szCs w:val="19"/>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1920" w:type="dxa"/>
            <w:vAlign w:val="bottom"/>
            <w:tcBorders>
              <w:bottom w:val="single" w:sz="8" w:color="auto"/>
            </w:tcBorders>
          </w:tcPr>
          <w:p>
            <w:pPr>
              <w:jc w:val="center"/>
              <w:ind w:left="16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220" w:type="dxa"/>
            <w:vAlign w:val="bottom"/>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8" w:lineRule="auto"/>
        <w:rPr>
          <w:sz w:val="20"/>
          <w:szCs w:val="20"/>
          <w:color w:val="auto"/>
        </w:rPr>
      </w:pPr>
      <w:r>
        <w:rPr>
          <w:rFonts w:ascii="Times New Roman" w:cs="Times New Roman" w:eastAsia="Times New Roman" w:hAnsi="Times New Roman"/>
          <w:sz w:val="18"/>
          <w:szCs w:val="18"/>
          <w:color w:val="auto"/>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in the appropriate tax jurisdiction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with emphasis on our past operating results, the existence of cumulative losses in the most recent years and our forecast of near- 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w:t>
      </w:r>
    </w:p>
    <w:p>
      <w:pPr>
        <w:spacing w:after="0" w:line="213"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valuation allowance increased by $16 million in 2023. Approximately $11 million of the increase was recorded to tax expense and was primarily attributable to the Argentina items discussed above and the Switzerland items discussed below, offset by the release of valuation allowance and the utilization of net operating losses previously not expected to be realized against operating earnings of $20 million. The remaining $5 million of the increase in the valuation allowance was attributable to foreign currency translation.</w:t>
      </w:r>
    </w:p>
    <w:p>
      <w:pPr>
        <w:spacing w:after="0" w:line="20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2023, the pool of positive undistributed earnings of our non-Irish subsidiaries that are considered indefinitely reinvested and may be subject to tax, if distributed, amounts to approximately $1.4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90</w:t>
      </w:r>
    </w:p>
    <w:p>
      <w:pPr>
        <w:sectPr>
          <w:pgSz w:w="11900" w:h="16838" w:orient="portrait"/>
          <w:cols w:equalWidth="0" w:num="1">
            <w:col w:w="11240"/>
          </w:cols>
          <w:pgMar w:left="320" w:top="432" w:right="339" w:bottom="1440" w:gutter="0" w:footer="0" w:header="0"/>
        </w:sectPr>
      </w:pPr>
    </w:p>
    <w:bookmarkStart w:id="94" w:name="page95"/>
    <w:bookmarkEnd w:id="94"/>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At December 31, 2023, we had approximately $3.6 billion of net operating losses (“NOLs”) in various jurisdictions. Our non-indefinite loss carryforwards, if not utilized, will mostly expire for U.S. subsidiaries from 2030 through 2037 and at various dates from 2024 through 2043 for non-U.S. subsidiaries.</w:t>
      </w:r>
    </w:p>
    <w:p>
      <w:pPr>
        <w:spacing w:after="0" w:line="196"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Upon emergence from bankruptcy in December 2019, our U.S. subsidiaries experienced an ownership change as the Company’s emergence was considered an “ownership change” for purposes of Internal Revenue Code section 382. The Internal Revenue Code sections 382 and 383 impose limitations on the ability of a company to utilize tax attributes after experiencing an “ownership change.” As a result, we estimated our annual limitation is approximately $23 million against the utilization of our U.S. loss carryforwards and other tax attributes, including unused recognized built-in losses and U.S. interest deferral. Upon emergence, we estimated that the maximum U.S. NOLs available for utilization in the future was $713 million as of December 31, 2019.</w:t>
      </w:r>
    </w:p>
    <w:p>
      <w:pPr>
        <w:spacing w:after="0" w:line="208"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In 2021, we executed a liquidation transaction of one of our Swiss holding companies which resulted in the forfeiture of impairment losses of $1.3 billion generated in 2020. In addition, the liquidation transaction resulted in approximately $5.6 billion of tax losses (NOLs) in Switzerland of which $3.4 billion was deemed worthless and excluded from the deferred tax table, and $2.2 billion was recorded as an NOL and included in the table as management expects to utilize those NOLs on our future tax returns. However, in addition to recording a deferred tax asset of $303 million related to the $2.2 billion tax losses, we recorded a valuation allowance against the full $303 million because it will offset future income that is otherwise exempt from tax. In 2023, we recognized a deferred tax asset of $59 million relating to a final agreement with the taxing authorities in relation to an adjustment in tax base beginning of 2021, and we recorded a $57 million valuation allowance against the deferred tax asset as it is more likely than not that a majority of it will not be realized.</w:t>
      </w:r>
    </w:p>
    <w:p>
      <w:pPr>
        <w:spacing w:after="0" w:line="200" w:lineRule="exact"/>
        <w:rPr>
          <w:sz w:val="20"/>
          <w:szCs w:val="20"/>
          <w:color w:val="auto"/>
        </w:rPr>
      </w:pPr>
    </w:p>
    <w:p>
      <w:pPr>
        <w:spacing w:after="0" w:line="2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tabular reconciliation of the total amounts of uncertain tax positions at the beginning and end of the period is as follows:</w:t>
      </w:r>
    </w:p>
    <w:p>
      <w:pPr>
        <w:spacing w:after="0" w:line="5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96"/>
              </w:rPr>
              <w:t>191</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96"/>
              </w:rPr>
              <w:t>235</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222</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as a Result of Tax Positions Taken During a Prior Period</w:t>
            </w:r>
          </w:p>
        </w:tc>
        <w:tc>
          <w:tcPr>
            <w:tcW w:w="1240" w:type="dxa"/>
            <w:vAlign w:val="bottom"/>
          </w:tcPr>
          <w:p>
            <w:pPr>
              <w:spacing w:after="0"/>
              <w:rPr>
                <w:sz w:val="19"/>
                <w:szCs w:val="19"/>
                <w:color w:val="auto"/>
              </w:rPr>
            </w:pP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Pr>
          <w:p>
            <w:pPr>
              <w:spacing w:after="0"/>
              <w:rPr>
                <w:sz w:val="19"/>
                <w:szCs w:val="19"/>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as a Result of Tax Positions Taken During a Prior Period</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as a Result of Tax Positions Taken During the Current Period</w:t>
            </w:r>
          </w:p>
        </w:tc>
        <w:tc>
          <w:tcPr>
            <w:tcW w:w="1240" w:type="dxa"/>
            <w:vAlign w:val="bottom"/>
          </w:tcPr>
          <w:p>
            <w:pPr>
              <w:spacing w:after="0"/>
              <w:rPr>
                <w:sz w:val="19"/>
                <w:szCs w:val="19"/>
                <w:color w:val="auto"/>
              </w:rPr>
            </w:pP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tcPr>
          <w:p>
            <w:pPr>
              <w:spacing w:after="0"/>
              <w:rPr>
                <w:sz w:val="19"/>
                <w:szCs w:val="19"/>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9"/>
                <w:szCs w:val="19"/>
                <w:color w:val="auto"/>
              </w:rPr>
            </w:pP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Relating to Settlements with Taxing Authorities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as a Result of a Lapse of the Applicable Statute of Limitations</w:t>
            </w:r>
          </w:p>
        </w:tc>
        <w:tc>
          <w:tcPr>
            <w:tcW w:w="124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Effects</w:t>
            </w: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6"/>
              </w:rPr>
              <w:t>203</w:t>
            </w: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6"/>
              </w:rPr>
              <w:t>191</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6"/>
              </w:rPr>
              <w:t>235</w:t>
            </w: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Substantially all of the uncertain tax positions, if released in future periods, would impact our effective tax rate. Within the total balance is $37 million and $38 million as of December 31, 2023, and 2022, respectively, that would be offset by net operating losses and other tax attributes if settled. Our income tax provision includes penalties and interest expense (benefit) on uncertain tax positions of $12 million, $(2) million and $17 million for years ended December 31, 2023, 2022, and 2021, respectively. The expense of $12 million in 2023 includes $(11) million of interest and penalty release related to benefit from previously uncertain tax positions. The amounts in the table above exclude cumulative accrued interest and penalties of $115 million and $98 million at December 31, 2023 and 2022 respectively, which are included in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91</w:t>
      </w:r>
    </w:p>
    <w:p>
      <w:pPr>
        <w:sectPr>
          <w:pgSz w:w="11900" w:h="16838" w:orient="portrait"/>
          <w:cols w:equalWidth="0" w:num="1">
            <w:col w:w="11240"/>
          </w:cols>
          <w:pgMar w:left="320" w:top="432" w:right="339" w:bottom="1440" w:gutter="0" w:footer="0" w:header="0"/>
        </w:sectPr>
      </w:pPr>
    </w:p>
    <w:bookmarkStart w:id="95" w:name="page96"/>
    <w:bookmarkEnd w:id="95"/>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are subject to income tax in many of the approximately 75 countries where we operate. As of December 31, 2023, the following table summarizes the tax years that remain subject to examination for the major jurisdictions in which we operate: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Tax Jurisdiction</w:t>
            </w:r>
          </w:p>
        </w:tc>
        <w:tc>
          <w:tcPr>
            <w:tcW w:w="5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Tax Years under Examination</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2013 - 2023</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2015 - 2023</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2013 - 2023</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5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2020 - 2023</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2019 - 2023</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5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2019 - 2023</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(Federal)</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2020 - 2023</w:t>
            </w:r>
          </w:p>
        </w:tc>
      </w:tr>
    </w:tbl>
    <w:p>
      <w:pPr>
        <w:spacing w:after="0" w:line="314"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are continuously under tax examination in various jurisdictions and cannot predict the timing or outcome regarding the resolutions or if they will have a material impact on our financial statements. As of December 31, 2023, we anticipate that it is reasonably possible that the amount of uncertain tax positions may decrease by up to $13 million in the next twelve months due to expiration of statutes of limitations, settlements and/or conclusions of tax examinations.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 Blue Chip Swap Securities - Argentina</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w:t>
      </w:r>
    </w:p>
    <w:p>
      <w:pPr>
        <w:spacing w:after="0" w:line="210"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An indirect foreign exchange mechanism known as a Blue Chip Swap (“BCS”) allows entities to remit U.S. dollars from Argentina through the purchase and sale of BCS securities. During the second quarter of 2023, we completed a series of BCS transactions at implied exchange rates (“BCS rates”) that were approximately 106% higher than the official exchange rate resulting in a loss of $57 million. We continue to use the official exchange rate for remeasurement of our Argentine peso-denominated net monetary assets under U.S. GAAP as the BCS rates do not meet the criteria for remeasurement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92</w:t>
      </w:r>
    </w:p>
    <w:p>
      <w:pPr>
        <w:sectPr>
          <w:pgSz w:w="11900" w:h="16838" w:orient="portrait"/>
          <w:cols w:equalWidth="0" w:num="1">
            <w:col w:w="11240"/>
          </w:cols>
          <w:pgMar w:left="320" w:top="432" w:right="339" w:bottom="1440" w:gutter="0" w:footer="0" w:header="0"/>
        </w:sectPr>
      </w:pPr>
    </w:p>
    <w:bookmarkStart w:id="96" w:name="page97"/>
    <w:bookmarkEnd w:id="96"/>
    <w:p>
      <w:pPr>
        <w:ind w:left="180"/>
        <w:spacing w:after="0"/>
        <w:rPr>
          <w:sz w:val="20"/>
          <w:szCs w:val="20"/>
          <w:color w:val="auto"/>
        </w:rPr>
      </w:pPr>
      <w:r>
        <w:rPr>
          <w:rFonts w:ascii="Times New Roman" w:cs="Times New Roman" w:eastAsia="Times New Roman" w:hAnsi="Times New Roman"/>
          <w:sz w:val="18"/>
          <w:szCs w:val="18"/>
          <w:color w:val="auto"/>
        </w:rPr>
        <w:t>Item 8 | Notes to the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 Subsequent Event</w:t>
      </w:r>
    </w:p>
    <w:p>
      <w:pPr>
        <w:spacing w:after="0" w:line="297" w:lineRule="exact"/>
        <w:rPr>
          <w:sz w:val="20"/>
          <w:szCs w:val="20"/>
          <w:color w:val="auto"/>
        </w:rPr>
      </w:pPr>
    </w:p>
    <w:p>
      <w:pPr>
        <w:jc w:val="both"/>
        <w:ind w:firstLine="324"/>
        <w:spacing w:after="0" w:line="285" w:lineRule="auto"/>
        <w:rPr>
          <w:sz w:val="20"/>
          <w:szCs w:val="20"/>
          <w:color w:val="auto"/>
        </w:rPr>
      </w:pPr>
      <w:r>
        <w:rPr>
          <w:rFonts w:ascii="Times New Roman" w:cs="Times New Roman" w:eastAsia="Times New Roman" w:hAnsi="Times New Roman"/>
          <w:sz w:val="18"/>
          <w:szCs w:val="18"/>
          <w:color w:val="auto"/>
        </w:rPr>
        <w:t>On February 1, 2024, we entered into merger agreements to acquire ISI Holding Company, LLC and Probe Technologies Holdings, Inc., which will strengthen our existing wireline business within our DRE segment. The purchase price was $6 million in cash and 844,702 of our ordinary shares, subject to customary adjustments. In addition, subject to the achievement of certain earnout targets, we agreed to an additional consideration of (a) up to another 30,298 of our ordinary shares and (b) up to $12 million in cash or ordinary shares using the volume-weighted average price of our shares over five consecutive trading days from June 24 to June 28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w:t>
      </w:r>
    </w:p>
    <w:p>
      <w:pPr>
        <w:sectPr>
          <w:pgSz w:w="11900" w:h="16838" w:orient="portrait"/>
          <w:cols w:equalWidth="0" w:num="1">
            <w:col w:w="11240"/>
          </w:cols>
          <w:pgMar w:left="320" w:top="432" w:right="339" w:bottom="1440" w:gutter="0" w:footer="0" w:header="0"/>
        </w:sectPr>
      </w:pPr>
    </w:p>
    <w:bookmarkStart w:id="97" w:name="page98"/>
    <w:bookmarkEnd w:id="97"/>
    <w:p>
      <w:pPr>
        <w:ind w:left="180"/>
        <w:spacing w:after="0"/>
        <w:rPr>
          <w:sz w:val="20"/>
          <w:szCs w:val="20"/>
          <w:color w:val="auto"/>
        </w:rPr>
      </w:pPr>
      <w:r>
        <w:rPr>
          <w:rFonts w:ascii="Times New Roman" w:cs="Times New Roman" w:eastAsia="Times New Roman" w:hAnsi="Times New Roman"/>
          <w:sz w:val="18"/>
          <w:szCs w:val="18"/>
          <w:color w:val="auto"/>
        </w:rPr>
        <w:t>Item 9 | Changes in and Disagreement with Accountants on Accounting and Financial Disclosure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94</w:t>
      </w:r>
    </w:p>
    <w:p>
      <w:pPr>
        <w:sectPr>
          <w:pgSz w:w="11900" w:h="16838" w:orient="portrait"/>
          <w:cols w:equalWidth="0" w:num="1">
            <w:col w:w="11240"/>
          </w:cols>
          <w:pgMar w:left="320" w:top="48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97"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2023. Based on that evaluation, our CEO and CFO concluded that our disclosure controls and procedures were effective as of December 31,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83"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89" w:lineRule="exact"/>
        <w:rPr>
          <w:sz w:val="20"/>
          <w:szCs w:val="20"/>
          <w:color w:val="auto"/>
        </w:rPr>
      </w:pPr>
    </w:p>
    <w:p>
      <w:pPr>
        <w:jc w:val="both"/>
        <w:ind w:firstLine="324"/>
        <w:spacing w:after="0" w:line="29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22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2023, using the criteria set forth by the Committee of Sponsoring Organizations of the Treadway Commission in Internal Control – An Integrated Framework (2013). As a result of this assessment, management concluded that as of December 31, 2023, our internal control over financial reporting was effective based on these criteria.</w:t>
      </w:r>
    </w:p>
    <w:p>
      <w:pPr>
        <w:spacing w:after="0" w:line="196"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auto"/>
        </w:rPr>
        <w:t>KPMG LLP has issued an attestation report dated February 7, 2024, on our internal control over financial reporting, which is contained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83"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ended December 31, 2023, that has materially affected, or is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97" w:lineRule="exact"/>
        <w:rPr>
          <w:sz w:val="20"/>
          <w:szCs w:val="20"/>
          <w:color w:val="auto"/>
        </w:rPr>
      </w:pPr>
    </w:p>
    <w:p>
      <w:pPr>
        <w:ind w:right="360" w:firstLine="324"/>
        <w:spacing w:after="0" w:line="297"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executive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2023 Form 10-K | 95</w:t>
      </w:r>
    </w:p>
    <w:p>
      <w:pPr>
        <w:sectPr>
          <w:pgSz w:w="11900" w:h="16838" w:orient="portrait"/>
          <w:cols w:equalWidth="0" w:num="1">
            <w:col w:w="11240"/>
          </w:cols>
          <w:pgMar w:left="320" w:top="432" w:right="339" w:bottom="1440" w:gutter="0" w:footer="0" w:header="0"/>
        </w:sectPr>
      </w:pPr>
    </w:p>
    <w:bookmarkStart w:id="99" w:name="page100"/>
    <w:bookmarkEnd w:id="99"/>
    <w:p>
      <w:pPr>
        <w:ind w:left="540"/>
        <w:spacing w:after="0"/>
        <w:rPr>
          <w:sz w:val="20"/>
          <w:szCs w:val="20"/>
          <w:color w:val="auto"/>
        </w:rPr>
      </w:pPr>
      <w:r>
        <w:rPr>
          <w:rFonts w:ascii="Times New Roman" w:cs="Times New Roman" w:eastAsia="Times New Roman" w:hAnsi="Times New Roman"/>
          <w:sz w:val="18"/>
          <w:szCs w:val="18"/>
          <w:color w:val="auto"/>
        </w:rPr>
        <w:t>Item 10 | Directors, Executive Officers and Corporate Governance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96</w:t>
      </w:r>
    </w:p>
    <w:p>
      <w:pPr>
        <w:sectPr>
          <w:pgSz w:w="11900" w:h="16838" w:orient="portrait"/>
          <w:cols w:equalWidth="0" w:num="1">
            <w:col w:w="11240"/>
          </w:cols>
          <w:pgMar w:left="320" w:top="378" w:right="339" w:bottom="1440" w:gutter="0" w:footer="0" w:header="0"/>
        </w:sectPr>
      </w:pPr>
    </w:p>
    <w:bookmarkStart w:id="100" w:name="page101"/>
    <w:bookmarkEnd w:id="100"/>
    <w:p>
      <w:pPr>
        <w:ind w:left="540"/>
        <w:spacing w:after="0"/>
        <w:rPr>
          <w:sz w:val="20"/>
          <w:szCs w:val="20"/>
          <w:color w:val="auto"/>
        </w:rPr>
      </w:pPr>
      <w:r>
        <w:rPr>
          <w:rFonts w:ascii="Times New Roman" w:cs="Times New Roman" w:eastAsia="Times New Roman" w:hAnsi="Times New Roman"/>
          <w:sz w:val="18"/>
          <w:szCs w:val="18"/>
          <w:color w:val="auto"/>
        </w:rPr>
        <w:t>Item 10 | Directors, Executive Officers and Corporate Governance</w:t>
      </w:r>
    </w:p>
    <w:p>
      <w:pPr>
        <w:spacing w:after="0" w:line="200" w:lineRule="exact"/>
        <w:rPr>
          <w:sz w:val="20"/>
          <w:szCs w:val="20"/>
          <w:color w:val="auto"/>
        </w:rPr>
      </w:pPr>
    </w:p>
    <w:p>
      <w:pPr>
        <w:spacing w:after="0" w:line="29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2024 Annual General Meeting of Shareholders. See also “Item 1. Business.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of Weatherford” of this report.</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have adopted a code of ethics entitled “Weatherford Code of Business Conduct English,” which applies to all our employees, officers and directors.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these codes can also be found at www.weatherford.com.</w:t>
      </w:r>
    </w:p>
    <w:p>
      <w:pPr>
        <w:spacing w:after="0" w:line="293"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We intend to satisfy the requirement under Item 5.05 of Form 8-K to disclose any amendments to our Weatherford Code of Business Conduct and any waiver from any provision to it by posting such information on our website at www.weatherford.com.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2024 Annual General Meeting of Shareholders.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2024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97</w:t>
      </w:r>
    </w:p>
    <w:p>
      <w:pPr>
        <w:sectPr>
          <w:pgSz w:w="11900" w:h="16838" w:orient="portrait"/>
          <w:cols w:equalWidth="0" w:num="1">
            <w:col w:w="11240"/>
          </w:cols>
          <w:pgMar w:left="320" w:top="378" w:right="339" w:bottom="1440" w:gutter="0" w:footer="0" w:header="0"/>
        </w:sectPr>
      </w:pPr>
    </w:p>
    <w:bookmarkStart w:id="101" w:name="page102"/>
    <w:bookmarkEnd w:id="101"/>
    <w:p>
      <w:pPr>
        <w:ind w:left="180"/>
        <w:spacing w:after="0"/>
        <w:rPr>
          <w:sz w:val="20"/>
          <w:szCs w:val="20"/>
          <w:color w:val="auto"/>
        </w:rPr>
      </w:pPr>
      <w:r>
        <w:rPr>
          <w:rFonts w:ascii="Times New Roman" w:cs="Times New Roman" w:eastAsia="Times New Roman" w:hAnsi="Times New Roman"/>
          <w:sz w:val="18"/>
          <w:szCs w:val="18"/>
          <w:color w:val="auto"/>
        </w:rPr>
        <w:t>Item 15 | Exhibits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2024 Annual General Meeting of Shareholders.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incorporated by reference from our Proxy Statement for the 2024 Annual General Meeting of Shareholders.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0" w:lineRule="exact"/>
        <w:rPr>
          <w:sz w:val="20"/>
          <w:szCs w:val="20"/>
          <w:color w:val="auto"/>
        </w:rPr>
      </w:pPr>
    </w:p>
    <w:p>
      <w:pPr>
        <w:spacing w:after="0" w:line="218"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documents are filed as part of this report or incorporated by reference:</w:t>
      </w:r>
    </w:p>
    <w:p>
      <w:pPr>
        <w:spacing w:after="0" w:line="90"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listed on page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of this report.</w:t>
      </w:r>
    </w:p>
    <w:p>
      <w:pPr>
        <w:spacing w:after="0" w:line="36"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listed in Rule 5-04 of Regulation S-X (17 CFR 210.5-04) have been omitted because they are not applicable or the required information is shown in the consolidated financial statements or notes thereto.</w:t>
      </w:r>
    </w:p>
    <w:p>
      <w:pPr>
        <w:spacing w:after="0" w:line="26" w:lineRule="exact"/>
        <w:rPr>
          <w:rFonts w:ascii="Times New Roman" w:cs="Times New Roman" w:eastAsia="Times New Roman" w:hAnsi="Times New Roman"/>
          <w:sz w:val="18"/>
          <w:szCs w:val="18"/>
          <w:color w:val="auto"/>
        </w:rPr>
      </w:pPr>
    </w:p>
    <w:p>
      <w:pPr>
        <w:ind w:left="340" w:right="500" w:hanging="332"/>
        <w:spacing w:after="0" w:line="313"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of the Company listed below under Item 15(b); all exhibits are incorporated herein by reference to a prior filing as indicated, unless designated by a dagger (†) or double dagger (††).</w:t>
      </w:r>
    </w:p>
    <w:p>
      <w:pPr>
        <w:spacing w:after="0" w:line="203"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160" w:type="dxa"/>
            <w:vAlign w:val="bottom"/>
            <w:vMerge w:val="restart"/>
          </w:tcPr>
          <w:p>
            <w:pPr>
              <w:ind w:left="2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Original Filed Exhibit</w:t>
            </w:r>
          </w:p>
        </w:tc>
        <w:tc>
          <w:tcPr>
            <w:tcW w:w="18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0" w:type="dxa"/>
            <w:vAlign w:val="bottom"/>
          </w:tcPr>
          <w:p>
            <w:pPr>
              <w:spacing w:after="0"/>
              <w:rPr>
                <w:sz w:val="1"/>
                <w:szCs w:val="1"/>
                <w:color w:val="auto"/>
              </w:rPr>
            </w:pPr>
          </w:p>
        </w:tc>
      </w:tr>
      <w:tr>
        <w:trPr>
          <w:trHeight w:val="238"/>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160" w:type="dxa"/>
            <w:vAlign w:val="bottom"/>
            <w:tcBorders>
              <w:bottom w:val="single" w:sz="8" w:color="auto"/>
            </w:tcBorders>
            <w:vMerge w:val="continue"/>
          </w:tcPr>
          <w:p>
            <w:pPr>
              <w:spacing w:after="0"/>
              <w:rPr>
                <w:sz w:val="20"/>
                <w:szCs w:val="20"/>
                <w:color w:val="auto"/>
              </w:rPr>
            </w:pPr>
          </w:p>
        </w:tc>
        <w:tc>
          <w:tcPr>
            <w:tcW w:w="2700" w:type="dxa"/>
            <w:vAlign w:val="bottom"/>
            <w:tcBorders>
              <w:bottom w:val="single" w:sz="8" w:color="auto"/>
            </w:tcBorders>
            <w:vMerge w:val="continue"/>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160" w:type="dxa"/>
            <w:vAlign w:val="bottom"/>
            <w:shd w:val="clear" w:color="auto" w:fill="CCEEFF"/>
          </w:tcPr>
          <w:p>
            <w:pPr>
              <w:spacing w:after="0"/>
              <w:rPr>
                <w:sz w:val="19"/>
                <w:szCs w:val="19"/>
                <w:color w:val="auto"/>
              </w:rPr>
            </w:pPr>
          </w:p>
        </w:tc>
        <w:tc>
          <w:tcPr>
            <w:tcW w:w="2700" w:type="dxa"/>
            <w:vAlign w:val="bottom"/>
            <w:vMerge w:val="restart"/>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Exhibit 3.1 of the</w:t>
            </w:r>
          </w:p>
        </w:tc>
        <w:tc>
          <w:tcPr>
            <w:tcW w:w="1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44"/>
        </w:trPr>
        <w:tc>
          <w:tcPr>
            <w:tcW w:w="1200" w:type="dxa"/>
            <w:vAlign w:val="bottom"/>
            <w:shd w:val="clear" w:color="auto" w:fill="CCEEFF"/>
          </w:tcPr>
          <w:p>
            <w:pPr>
              <w:spacing w:after="0"/>
              <w:rPr>
                <w:sz w:val="3"/>
                <w:szCs w:val="3"/>
                <w:color w:val="auto"/>
              </w:rPr>
            </w:pPr>
          </w:p>
        </w:tc>
        <w:tc>
          <w:tcPr>
            <w:tcW w:w="5160" w:type="dxa"/>
            <w:vAlign w:val="bottom"/>
            <w:shd w:val="clear" w:color="auto" w:fill="CCEEFF"/>
          </w:tcPr>
          <w:p>
            <w:pPr>
              <w:spacing w:after="0"/>
              <w:rPr>
                <w:sz w:val="3"/>
                <w:szCs w:val="3"/>
                <w:color w:val="auto"/>
              </w:rPr>
            </w:pPr>
          </w:p>
        </w:tc>
        <w:tc>
          <w:tcPr>
            <w:tcW w:w="2700" w:type="dxa"/>
            <w:vAlign w:val="bottom"/>
            <w:vMerge w:val="continue"/>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Amended and Restated Memorandum and Articles of</w:t>
            </w:r>
          </w:p>
        </w:tc>
        <w:tc>
          <w:tcPr>
            <w:tcW w:w="27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Association of Weatherford International public limited</w:t>
            </w:r>
          </w:p>
        </w:tc>
        <w:tc>
          <w:tcPr>
            <w:tcW w:w="27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Report on Form 8-K</w:t>
            </w: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0" w:type="dxa"/>
            <w:vAlign w:val="bottom"/>
            <w:tcBorders>
              <w:bottom w:val="single" w:sz="8" w:color="CCEEFF"/>
            </w:tcBorders>
            <w:shd w:val="clear" w:color="auto" w:fill="CCEEFF"/>
          </w:tcPr>
          <w:p>
            <w:pPr>
              <w:spacing w:after="0"/>
              <w:rPr>
                <w:sz w:val="20"/>
                <w:szCs w:val="20"/>
                <w:color w:val="auto"/>
              </w:rPr>
            </w:pPr>
          </w:p>
        </w:tc>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company.</w:t>
            </w:r>
          </w:p>
        </w:tc>
        <w:tc>
          <w:tcPr>
            <w:tcW w:w="270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filed December 18, 2019</w:t>
            </w: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4.1</w:t>
            </w:r>
          </w:p>
        </w:tc>
        <w:tc>
          <w:tcPr>
            <w:tcW w:w="5160" w:type="dxa"/>
            <w:vAlign w:val="bottom"/>
          </w:tcPr>
          <w:p>
            <w:pPr>
              <w:spacing w:after="0"/>
              <w:rPr>
                <w:sz w:val="16"/>
                <w:szCs w:val="16"/>
                <w:color w:val="auto"/>
              </w:rPr>
            </w:pPr>
          </w:p>
        </w:tc>
        <w:tc>
          <w:tcPr>
            <w:tcW w:w="27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Exhibit 4.1 of the Company’s</w:t>
            </w:r>
          </w:p>
        </w:tc>
        <w:tc>
          <w:tcPr>
            <w:tcW w:w="186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5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Description of the Securities.</w:t>
            </w:r>
          </w:p>
        </w:tc>
        <w:tc>
          <w:tcPr>
            <w:tcW w:w="27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Annual Report on Form 10-K</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27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filed February 17, 2022</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5160" w:type="dxa"/>
            <w:vAlign w:val="bottom"/>
            <w:shd w:val="clear" w:color="auto" w:fill="CCEEFF"/>
          </w:tcPr>
          <w:p>
            <w:pPr>
              <w:spacing w:after="0"/>
              <w:rPr>
                <w:sz w:val="20"/>
                <w:szCs w:val="20"/>
                <w:color w:val="auto"/>
              </w:rPr>
            </w:pPr>
          </w:p>
        </w:tc>
        <w:tc>
          <w:tcPr>
            <w:tcW w:w="2700" w:type="dxa"/>
            <w:vAlign w:val="bottom"/>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Exhibit 4.1 of the Company’s</w:t>
            </w:r>
          </w:p>
        </w:tc>
        <w:tc>
          <w:tcPr>
            <w:tcW w:w="1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58"/>
        </w:trPr>
        <w:tc>
          <w:tcPr>
            <w:tcW w:w="1200" w:type="dxa"/>
            <w:vAlign w:val="bottom"/>
            <w:shd w:val="clear" w:color="auto" w:fill="CCEEFF"/>
          </w:tcPr>
          <w:p>
            <w:pPr>
              <w:spacing w:after="0"/>
              <w:rPr>
                <w:sz w:val="5"/>
                <w:szCs w:val="5"/>
                <w:color w:val="auto"/>
              </w:rPr>
            </w:pPr>
          </w:p>
        </w:tc>
        <w:tc>
          <w:tcPr>
            <w:tcW w:w="5160" w:type="dxa"/>
            <w:vAlign w:val="bottom"/>
            <w:shd w:val="clear" w:color="auto" w:fill="CCEEFF"/>
          </w:tcPr>
          <w:p>
            <w:pPr>
              <w:spacing w:after="0"/>
              <w:rPr>
                <w:sz w:val="5"/>
                <w:szCs w:val="5"/>
                <w:color w:val="auto"/>
              </w:rPr>
            </w:pPr>
          </w:p>
        </w:tc>
        <w:tc>
          <w:tcPr>
            <w:tcW w:w="2700" w:type="dxa"/>
            <w:vAlign w:val="bottom"/>
            <w:vMerge w:val="continue"/>
            <w:shd w:val="clear" w:color="auto" w:fill="CCEEFF"/>
          </w:tcPr>
          <w:p>
            <w:pPr>
              <w:spacing w:after="0"/>
              <w:rPr>
                <w:sz w:val="5"/>
                <w:szCs w:val="5"/>
                <w:color w:val="auto"/>
              </w:rPr>
            </w:pPr>
          </w:p>
        </w:tc>
        <w:tc>
          <w:tcPr>
            <w:tcW w:w="1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Indenture, dated December 13, 2019, by and among Weatherford</w:t>
            </w:r>
          </w:p>
        </w:tc>
        <w:tc>
          <w:tcPr>
            <w:tcW w:w="27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Current</w:t>
            </w: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International Ltd., as issuer, the guarantors thereto and Deutsche</w:t>
            </w:r>
          </w:p>
        </w:tc>
        <w:tc>
          <w:tcPr>
            <w:tcW w:w="27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Report on Form 8-K</w:t>
            </w: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0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Bank Trust Company Americas, as trustee.</w:t>
            </w:r>
          </w:p>
        </w:tc>
        <w:tc>
          <w:tcPr>
            <w:tcW w:w="270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filed December 18, 2019</w:t>
            </w:r>
          </w:p>
        </w:tc>
        <w:tc>
          <w:tcPr>
            <w:tcW w:w="1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5160" w:type="dxa"/>
            <w:vAlign w:val="bottom"/>
          </w:tcPr>
          <w:p>
            <w:pPr>
              <w:spacing w:after="0"/>
              <w:rPr>
                <w:sz w:val="20"/>
                <w:szCs w:val="20"/>
                <w:color w:val="auto"/>
              </w:rPr>
            </w:pPr>
          </w:p>
        </w:tc>
        <w:tc>
          <w:tcPr>
            <w:tcW w:w="2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Included in Exhibit 4.1 of the</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58"/>
        </w:trPr>
        <w:tc>
          <w:tcPr>
            <w:tcW w:w="1200" w:type="dxa"/>
            <w:vAlign w:val="bottom"/>
          </w:tcPr>
          <w:p>
            <w:pPr>
              <w:spacing w:after="0"/>
              <w:rPr>
                <w:sz w:val="5"/>
                <w:szCs w:val="5"/>
                <w:color w:val="auto"/>
              </w:rPr>
            </w:pPr>
          </w:p>
        </w:tc>
        <w:tc>
          <w:tcPr>
            <w:tcW w:w="516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Report on Form 8-K</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Senior Note (included in Exhibit 4.2).</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filed December 18, 2019</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51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Indenture, dated August 28, 2020, by and among Weatherford</w:t>
            </w:r>
          </w:p>
        </w:tc>
        <w:tc>
          <w:tcPr>
            <w:tcW w:w="2700" w:type="dxa"/>
            <w:vAlign w:val="bottom"/>
            <w:vMerge w:val="restart"/>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Exhibit 4.1 of the</w:t>
            </w:r>
          </w:p>
        </w:tc>
        <w:tc>
          <w:tcPr>
            <w:tcW w:w="18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90"/>
        </w:trPr>
        <w:tc>
          <w:tcPr>
            <w:tcW w:w="1200" w:type="dxa"/>
            <w:vAlign w:val="bottom"/>
            <w:shd w:val="clear" w:color="auto" w:fill="CCEEFF"/>
          </w:tcPr>
          <w:p>
            <w:pPr>
              <w:spacing w:after="0"/>
              <w:rPr>
                <w:sz w:val="7"/>
                <w:szCs w:val="7"/>
                <w:color w:val="auto"/>
              </w:rPr>
            </w:pPr>
          </w:p>
        </w:tc>
        <w:tc>
          <w:tcPr>
            <w:tcW w:w="5160" w:type="dxa"/>
            <w:vAlign w:val="bottom"/>
            <w:vMerge w:val="continue"/>
            <w:shd w:val="clear" w:color="auto" w:fill="CCEEFF"/>
          </w:tcPr>
          <w:p>
            <w:pPr>
              <w:spacing w:after="0"/>
              <w:rPr>
                <w:sz w:val="7"/>
                <w:szCs w:val="7"/>
                <w:color w:val="auto"/>
              </w:rPr>
            </w:pPr>
          </w:p>
        </w:tc>
        <w:tc>
          <w:tcPr>
            <w:tcW w:w="2700" w:type="dxa"/>
            <w:vAlign w:val="bottom"/>
            <w:vMerge w:val="continue"/>
            <w:shd w:val="clear" w:color="auto" w:fill="CCEEFF"/>
          </w:tcPr>
          <w:p>
            <w:pPr>
              <w:spacing w:after="0"/>
              <w:rPr>
                <w:sz w:val="7"/>
                <w:szCs w:val="7"/>
                <w:color w:val="auto"/>
              </w:rPr>
            </w:pPr>
          </w:p>
        </w:tc>
        <w:tc>
          <w:tcPr>
            <w:tcW w:w="1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200" w:type="dxa"/>
            <w:vAlign w:val="bottom"/>
            <w:shd w:val="clear" w:color="auto" w:fill="CCEEFF"/>
          </w:tcPr>
          <w:p>
            <w:pPr>
              <w:spacing w:after="0"/>
              <w:rPr>
                <w:sz w:val="5"/>
                <w:szCs w:val="5"/>
                <w:color w:val="auto"/>
              </w:rPr>
            </w:pPr>
          </w:p>
        </w:tc>
        <w:tc>
          <w:tcPr>
            <w:tcW w:w="5160" w:type="dxa"/>
            <w:vAlign w:val="bottom"/>
            <w:vMerge w:val="continue"/>
            <w:shd w:val="clear" w:color="auto" w:fill="CCEEFF"/>
          </w:tcPr>
          <w:p>
            <w:pPr>
              <w:spacing w:after="0"/>
              <w:rPr>
                <w:sz w:val="5"/>
                <w:szCs w:val="5"/>
                <w:color w:val="auto"/>
              </w:rPr>
            </w:pPr>
          </w:p>
        </w:tc>
        <w:tc>
          <w:tcPr>
            <w:tcW w:w="2700" w:type="dxa"/>
            <w:vAlign w:val="bottom"/>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spacing w:after="0"/>
              <w:rPr>
                <w:sz w:val="16"/>
                <w:szCs w:val="16"/>
                <w:color w:val="auto"/>
              </w:rPr>
            </w:pPr>
          </w:p>
        </w:tc>
        <w:tc>
          <w:tcPr>
            <w:tcW w:w="516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International Ltd., as issuer, the guarantors party thereto and</w:t>
            </w:r>
          </w:p>
        </w:tc>
        <w:tc>
          <w:tcPr>
            <w:tcW w:w="2700" w:type="dxa"/>
            <w:vAlign w:val="bottom"/>
            <w:vMerge w:val="continue"/>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5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Wilmington Trust, National Association, as trustee and collateral</w:t>
            </w:r>
          </w:p>
        </w:tc>
        <w:tc>
          <w:tcPr>
            <w:tcW w:w="27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Report on Form 8-K</w:t>
            </w: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200" w:type="dxa"/>
            <w:vAlign w:val="bottom"/>
            <w:tcBorders>
              <w:bottom w:val="single" w:sz="8" w:color="CCEEFF"/>
            </w:tcBorders>
            <w:shd w:val="clear" w:color="auto" w:fill="CCEEFF"/>
          </w:tcPr>
          <w:p>
            <w:pPr>
              <w:spacing w:after="0"/>
              <w:rPr>
                <w:sz w:val="24"/>
                <w:szCs w:val="24"/>
                <w:color w:val="auto"/>
              </w:rPr>
            </w:pPr>
          </w:p>
        </w:tc>
        <w:tc>
          <w:tcPr>
            <w:tcW w:w="5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agent.</w:t>
            </w:r>
          </w:p>
        </w:tc>
        <w:tc>
          <w:tcPr>
            <w:tcW w:w="270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filed August 28, 2020</w:t>
            </w:r>
          </w:p>
        </w:tc>
        <w:tc>
          <w:tcPr>
            <w:tcW w:w="1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5160" w:type="dxa"/>
            <w:vAlign w:val="bottom"/>
          </w:tcPr>
          <w:p>
            <w:pPr>
              <w:spacing w:after="0"/>
              <w:rPr>
                <w:sz w:val="20"/>
                <w:szCs w:val="20"/>
                <w:color w:val="auto"/>
              </w:rPr>
            </w:pPr>
          </w:p>
        </w:tc>
        <w:tc>
          <w:tcPr>
            <w:tcW w:w="2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Included in Exhibit 4.1 of</w:t>
            </w: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File No. 1-36504</w:t>
            </w:r>
          </w:p>
        </w:tc>
        <w:tc>
          <w:tcPr>
            <w:tcW w:w="0" w:type="dxa"/>
            <w:vAlign w:val="bottom"/>
          </w:tcPr>
          <w:p>
            <w:pPr>
              <w:spacing w:after="0"/>
              <w:rPr>
                <w:sz w:val="1"/>
                <w:szCs w:val="1"/>
                <w:color w:val="auto"/>
              </w:rPr>
            </w:pPr>
          </w:p>
        </w:tc>
      </w:tr>
      <w:tr>
        <w:trPr>
          <w:trHeight w:val="90"/>
        </w:trPr>
        <w:tc>
          <w:tcPr>
            <w:tcW w:w="1200" w:type="dxa"/>
            <w:vAlign w:val="bottom"/>
          </w:tcPr>
          <w:p>
            <w:pPr>
              <w:spacing w:after="0"/>
              <w:rPr>
                <w:sz w:val="7"/>
                <w:szCs w:val="7"/>
                <w:color w:val="auto"/>
              </w:rPr>
            </w:pPr>
          </w:p>
        </w:tc>
        <w:tc>
          <w:tcPr>
            <w:tcW w:w="516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the Company’s Current</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Report on Form 8-K</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200" w:type="dxa"/>
            <w:vAlign w:val="bottom"/>
          </w:tcPr>
          <w:p>
            <w:pPr>
              <w:spacing w:after="0"/>
              <w:rPr>
                <w:sz w:val="23"/>
                <w:szCs w:val="23"/>
                <w:color w:val="auto"/>
              </w:rPr>
            </w:pP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Senior Note (included in Exhibit 4.5).</w:t>
            </w:r>
          </w:p>
        </w:tc>
        <w:tc>
          <w:tcPr>
            <w:tcW w:w="27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filed August 28, 2020</w:t>
            </w: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Weatherford International plc – 2023 Form 10-K | 98</w:t>
      </w:r>
    </w:p>
    <w:p>
      <w:pPr>
        <w:sectPr>
          <w:pgSz w:w="11900" w:h="16838" w:orient="portrait"/>
          <w:cols w:equalWidth="0" w:num="1">
            <w:col w:w="11240"/>
          </w:cols>
          <w:pgMar w:left="320" w:top="378" w:right="339" w:bottom="1440" w:gutter="0" w:footer="0" w:header="0"/>
          <w:type w:val="continuous"/>
        </w:sectPr>
      </w:pPr>
    </w:p>
    <w:bookmarkStart w:id="102" w:name="page103"/>
    <w:bookmarkEnd w:id="102"/>
    <w:tbl>
      <w:tblPr>
        <w:tblLayout w:type="fixed"/>
        <w:tblInd w:w="460" w:type="dxa"/>
        <w:tblCellMar>
          <w:top w:w="0" w:type="dxa"/>
          <w:left w:w="0" w:type="dxa"/>
          <w:bottom w:w="0" w:type="dxa"/>
          <w:right w:w="0" w:type="dxa"/>
        </w:tblCellMar>
      </w:tblPr>
      <w:tr>
        <w:trPr>
          <w:trHeight w:val="234"/>
        </w:trPr>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4.6</w:t>
            </w:r>
          </w:p>
        </w:tc>
        <w:tc>
          <w:tcPr>
            <w:tcW w:w="49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Indenture, dated September 30, 2021, by and among</w:t>
            </w:r>
          </w:p>
        </w:tc>
        <w:tc>
          <w:tcPr>
            <w:tcW w:w="0" w:type="dxa"/>
            <w:vAlign w:val="bottom"/>
          </w:tcPr>
          <w:p>
            <w:pPr>
              <w:spacing w:after="0"/>
              <w:rPr>
                <w:sz w:val="1"/>
                <w:szCs w:val="1"/>
                <w:color w:val="auto"/>
              </w:rPr>
            </w:pPr>
          </w:p>
        </w:tc>
      </w:tr>
      <w:tr>
        <w:trPr>
          <w:trHeight w:val="63"/>
        </w:trPr>
        <w:tc>
          <w:tcPr>
            <w:tcW w:w="640" w:type="dxa"/>
            <w:vAlign w:val="bottom"/>
          </w:tcPr>
          <w:p>
            <w:pPr>
              <w:spacing w:after="0"/>
              <w:rPr>
                <w:sz w:val="5"/>
                <w:szCs w:val="5"/>
                <w:color w:val="auto"/>
              </w:rPr>
            </w:pPr>
          </w:p>
        </w:tc>
        <w:tc>
          <w:tcPr>
            <w:tcW w:w="4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Weatherford International Ltd., as issuer, the guarantors party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thereto and Wilmington Trust, National Association, as trustee</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collateral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6934835" cy="643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4835"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4.1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17" w:lineRule="auto"/>
        <w:rPr>
          <w:sz w:val="20"/>
          <w:szCs w:val="20"/>
          <w:color w:val="auto"/>
        </w:rPr>
      </w:pPr>
      <w:r>
        <w:rPr>
          <w:rFonts w:ascii="Times New Roman" w:cs="Times New Roman" w:eastAsia="Times New Roman" w:hAnsi="Times New Roman"/>
          <w:sz w:val="17"/>
          <w:szCs w:val="17"/>
          <w:color w:val="auto"/>
        </w:rPr>
        <w:t>Current Report on Form 8-K filed</w:t>
      </w:r>
    </w:p>
    <w:p>
      <w:pPr>
        <w:spacing w:after="0" w:line="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September 30, 2021</w:t>
      </w:r>
    </w:p>
    <w:p>
      <w:pPr>
        <w:spacing w:after="0" w:line="402" w:lineRule="exact"/>
        <w:rPr>
          <w:sz w:val="20"/>
          <w:szCs w:val="20"/>
          <w:color w:val="auto"/>
        </w:rPr>
      </w:pPr>
    </w:p>
    <w:p>
      <w:pPr>
        <w:sectPr>
          <w:pgSz w:w="11900" w:h="16838" w:orient="portrait"/>
          <w:cols w:equalWidth="0" w:num="2">
            <w:col w:w="6000" w:space="400"/>
            <w:col w:w="4840"/>
          </w:cols>
          <w:pgMar w:left="320" w:top="1053" w:right="339" w:bottom="1440" w:gutter="0" w:footer="0" w:header="0"/>
        </w:sectPr>
      </w:pP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3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4.9</w:t>
      </w:r>
    </w:p>
    <w:p>
      <w:pPr>
        <w:spacing w:after="0" w:line="3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 (included in Exhibit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6934835"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4835" cy="506095"/>
                    </a:xfrm>
                    <a:prstGeom prst="rect">
                      <a:avLst/>
                    </a:prstGeom>
                    <a:noFill/>
                  </pic:spPr>
                </pic:pic>
              </a:graphicData>
            </a:graphic>
          </wp:anchor>
        </w:drawing>
      </w:r>
    </w:p>
    <w:p>
      <w:pPr>
        <w:spacing w:after="0" w:line="13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Indenture, dated October 27, 2021, by and among Weatherford International Ltd., as issuer, the guarantors party thereto and Deutsche Bank Trust Company Americas, as trustee.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 (included in Exhibit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51435</wp:posOffset>
            </wp:positionV>
            <wp:extent cx="6934835" cy="779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4835" cy="779780"/>
                    </a:xfrm>
                    <a:prstGeom prst="rect">
                      <a:avLst/>
                    </a:prstGeom>
                    <a:noFill/>
                  </pic:spPr>
                </pic:pic>
              </a:graphicData>
            </a:graphic>
          </wp:anchor>
        </w:drawing>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Supplemental Indenture, dated as of December 1, 2022, by and among Weatherford International, LLC, Weatherford International plc, as parent guarantor, Weatherford International Ltd., as issuer, and Deutsche Bank Trust Company Americas, as trustee.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Included in Exhibit 4.1 of the</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8"/>
              </w:rPr>
              <w:t>Company’s Current Report on</w:t>
            </w:r>
          </w:p>
        </w:tc>
        <w:tc>
          <w:tcPr>
            <w:tcW w:w="1520" w:type="dxa"/>
            <w:vAlign w:val="bottom"/>
          </w:tcPr>
          <w:p>
            <w:pPr>
              <w:spacing w:after="0"/>
              <w:rPr>
                <w:sz w:val="15"/>
                <w:szCs w:val="15"/>
                <w:color w:val="auto"/>
              </w:rPr>
            </w:pPr>
          </w:p>
        </w:tc>
      </w:tr>
      <w:tr>
        <w:trPr>
          <w:trHeight w:val="176"/>
        </w:trPr>
        <w:tc>
          <w:tcPr>
            <w:tcW w:w="274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color w:val="auto"/>
                <w:w w:val="99"/>
              </w:rPr>
              <w:t>Form 8-K filed September 30,</w:t>
            </w:r>
          </w:p>
        </w:tc>
        <w:tc>
          <w:tcPr>
            <w:tcW w:w="1520" w:type="dxa"/>
            <w:vAlign w:val="bottom"/>
          </w:tcPr>
          <w:p>
            <w:pPr>
              <w:spacing w:after="0"/>
              <w:rPr>
                <w:sz w:val="15"/>
                <w:szCs w:val="15"/>
                <w:color w:val="auto"/>
              </w:rPr>
            </w:pPr>
          </w:p>
        </w:tc>
      </w:tr>
      <w:tr>
        <w:trPr>
          <w:trHeight w:val="225"/>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2021</w:t>
            </w:r>
          </w:p>
        </w:tc>
        <w:tc>
          <w:tcPr>
            <w:tcW w:w="1520" w:type="dxa"/>
            <w:vAlign w:val="bottom"/>
          </w:tcPr>
          <w:p>
            <w:pPr>
              <w:spacing w:after="0"/>
              <w:rPr>
                <w:sz w:val="19"/>
                <w:szCs w:val="19"/>
                <w:color w:val="auto"/>
              </w:rPr>
            </w:pPr>
          </w:p>
        </w:tc>
      </w:tr>
      <w:tr>
        <w:trPr>
          <w:trHeight w:val="189"/>
        </w:trPr>
        <w:tc>
          <w:tcPr>
            <w:tcW w:w="274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color w:val="auto"/>
                <w:w w:val="99"/>
              </w:rPr>
              <w:t>Exhibit 4.1 of the Company’s</w:t>
            </w:r>
          </w:p>
        </w:tc>
        <w:tc>
          <w:tcPr>
            <w:tcW w:w="152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October 27, 2021</w:t>
            </w:r>
          </w:p>
        </w:tc>
        <w:tc>
          <w:tcPr>
            <w:tcW w:w="1520" w:type="dxa"/>
            <w:vAlign w:val="bottom"/>
          </w:tcPr>
          <w:p>
            <w:pPr>
              <w:spacing w:after="0"/>
              <w:rPr>
                <w:sz w:val="20"/>
                <w:szCs w:val="20"/>
                <w:color w:val="auto"/>
              </w:rPr>
            </w:pPr>
          </w:p>
        </w:tc>
      </w:tr>
      <w:tr>
        <w:trPr>
          <w:trHeight w:val="382"/>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Included in Exhibit 4.1 of the</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8"/>
              </w:rPr>
              <w:t>Company’s Current Report on</w:t>
            </w:r>
          </w:p>
        </w:tc>
        <w:tc>
          <w:tcPr>
            <w:tcW w:w="1520" w:type="dxa"/>
            <w:vAlign w:val="bottom"/>
          </w:tcPr>
          <w:p>
            <w:pPr>
              <w:spacing w:after="0"/>
              <w:rPr>
                <w:sz w:val="15"/>
                <w:szCs w:val="15"/>
                <w:color w:val="auto"/>
              </w:rPr>
            </w:pPr>
          </w:p>
        </w:tc>
      </w:tr>
      <w:tr>
        <w:trPr>
          <w:trHeight w:val="225"/>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Form 8-K filed October 27, 2021</w:t>
            </w:r>
          </w:p>
        </w:tc>
        <w:tc>
          <w:tcPr>
            <w:tcW w:w="1520" w:type="dxa"/>
            <w:vAlign w:val="bottom"/>
          </w:tcPr>
          <w:p>
            <w:pPr>
              <w:spacing w:after="0"/>
              <w:rPr>
                <w:sz w:val="19"/>
                <w:szCs w:val="19"/>
                <w:color w:val="auto"/>
              </w:rPr>
            </w:pPr>
          </w:p>
        </w:tc>
      </w:tr>
      <w:tr>
        <w:trPr>
          <w:trHeight w:val="189"/>
        </w:trPr>
        <w:tc>
          <w:tcPr>
            <w:tcW w:w="274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color w:val="auto"/>
                <w:w w:val="99"/>
              </w:rPr>
              <w:t>Exhibit 4.2 of the Company’s</w:t>
            </w:r>
          </w:p>
        </w:tc>
        <w:tc>
          <w:tcPr>
            <w:tcW w:w="152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December 5, 2022</w:t>
            </w:r>
          </w:p>
        </w:tc>
        <w:tc>
          <w:tcPr>
            <w:tcW w:w="1520" w:type="dxa"/>
            <w:vAlign w:val="bottom"/>
          </w:tcPr>
          <w:p>
            <w:pPr>
              <w:spacing w:after="0"/>
              <w:rPr>
                <w:sz w:val="20"/>
                <w:szCs w:val="20"/>
                <w:color w:val="auto"/>
              </w:rPr>
            </w:pPr>
          </w:p>
        </w:tc>
      </w:tr>
    </w:tbl>
    <w:p>
      <w:pPr>
        <w:spacing w:after="0" w:line="624" w:lineRule="exact"/>
        <w:rPr>
          <w:sz w:val="20"/>
          <w:szCs w:val="20"/>
          <w:color w:val="auto"/>
        </w:rPr>
      </w:pPr>
    </w:p>
    <w:p>
      <w:pPr>
        <w:sectPr>
          <w:pgSz w:w="11900" w:h="16838" w:orient="portrait"/>
          <w:cols w:equalWidth="0" w:num="3">
            <w:col w:w="780" w:space="720"/>
            <w:col w:w="4620" w:space="280"/>
            <w:col w:w="4840"/>
          </w:cols>
          <w:pgMar w:left="320" w:top="1053" w:right="339" w:bottom="1440" w:gutter="0" w:footer="0" w:header="0"/>
          <w:type w:val="continuous"/>
        </w:sectPr>
      </w:pPr>
    </w:p>
    <w:tbl>
      <w:tblPr>
        <w:tblLayout w:type="fixed"/>
        <w:tblInd w:w="420" w:type="dxa"/>
        <w:tblCellMar>
          <w:top w:w="0" w:type="dxa"/>
          <w:left w:w="0" w:type="dxa"/>
          <w:bottom w:w="0" w:type="dxa"/>
          <w:right w:w="0" w:type="dxa"/>
        </w:tblCellMar>
      </w:tblPr>
      <w:tr>
        <w:trPr>
          <w:trHeight w:val="234"/>
        </w:trPr>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4.11</w:t>
            </w:r>
          </w:p>
        </w:tc>
        <w:tc>
          <w:tcPr>
            <w:tcW w:w="50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Second Supplemental Indenture, dated as of April 19, 2023, by</w:t>
            </w:r>
          </w:p>
        </w:tc>
        <w:tc>
          <w:tcPr>
            <w:tcW w:w="0" w:type="dxa"/>
            <w:vAlign w:val="bottom"/>
          </w:tcPr>
          <w:p>
            <w:pPr>
              <w:spacing w:after="0"/>
              <w:rPr>
                <w:sz w:val="1"/>
                <w:szCs w:val="1"/>
                <w:color w:val="auto"/>
              </w:rPr>
            </w:pPr>
          </w:p>
        </w:tc>
      </w:tr>
      <w:tr>
        <w:trPr>
          <w:trHeight w:val="63"/>
        </w:trPr>
        <w:tc>
          <w:tcPr>
            <w:tcW w:w="700" w:type="dxa"/>
            <w:vAlign w:val="bottom"/>
          </w:tcPr>
          <w:p>
            <w:pPr>
              <w:spacing w:after="0"/>
              <w:rPr>
                <w:sz w:val="5"/>
                <w:szCs w:val="5"/>
                <w:color w:val="auto"/>
              </w:rPr>
            </w:pPr>
          </w:p>
        </w:tc>
        <w:tc>
          <w:tcPr>
            <w:tcW w:w="5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among Weatherford International Ltd., Weatherford</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International plc, Weatherford International, LLC and</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Wilmington Trust, National Association, as trustee and collateral</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6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4.1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17" w:lineRule="auto"/>
        <w:rPr>
          <w:sz w:val="20"/>
          <w:szCs w:val="20"/>
          <w:color w:val="auto"/>
        </w:rPr>
      </w:pPr>
      <w:r>
        <w:rPr>
          <w:rFonts w:ascii="Times New Roman" w:cs="Times New Roman" w:eastAsia="Times New Roman" w:hAnsi="Times New Roman"/>
          <w:sz w:val="17"/>
          <w:szCs w:val="17"/>
          <w:color w:val="auto"/>
        </w:rPr>
        <w:t>Current Report on Form 8-K filed</w:t>
      </w:r>
    </w:p>
    <w:p>
      <w:pPr>
        <w:spacing w:after="0" w:line="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April 20, 2023</w:t>
      </w:r>
    </w:p>
    <w:p>
      <w:pPr>
        <w:spacing w:after="0" w:line="618" w:lineRule="exact"/>
        <w:rPr>
          <w:sz w:val="20"/>
          <w:szCs w:val="20"/>
          <w:color w:val="auto"/>
        </w:rPr>
      </w:pPr>
    </w:p>
    <w:p>
      <w:pPr>
        <w:sectPr>
          <w:pgSz w:w="11900" w:h="16838" w:orient="portrait"/>
          <w:cols w:equalWidth="0" w:num="2">
            <w:col w:w="6160" w:space="240"/>
            <w:col w:w="4840"/>
          </w:cols>
          <w:pgMar w:left="320" w:top="1053" w:right="339" w:bottom="1440" w:gutter="0" w:footer="0" w:header="0"/>
          <w:type w:val="continuous"/>
        </w:sectPr>
      </w:pP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w:t>
      </w:r>
    </w:p>
    <w:p>
      <w:pPr>
        <w:spacing w:after="0" w:line="200" w:lineRule="exact"/>
        <w:rPr>
          <w:sz w:val="20"/>
          <w:szCs w:val="20"/>
          <w:color w:val="auto"/>
        </w:rPr>
      </w:pPr>
    </w:p>
    <w:p>
      <w:pPr>
        <w:spacing w:after="0" w:line="3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8"/>
                <w:szCs w:val="18"/>
                <w:color w:val="auto"/>
              </w:rPr>
            </w:pPr>
          </w:p>
        </w:tc>
        <w:tc>
          <w:tcPr>
            <w:tcW w:w="2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Exhibit 10.6 of the Company’s</w:t>
            </w:r>
          </w:p>
        </w:tc>
        <w:tc>
          <w:tcPr>
            <w:tcW w:w="15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80"/>
        </w:trPr>
        <w:tc>
          <w:tcPr>
            <w:tcW w:w="4800" w:type="dxa"/>
            <w:vAlign w:val="bottom"/>
          </w:tcPr>
          <w:p>
            <w:pPr>
              <w:spacing w:after="0"/>
              <w:rPr>
                <w:sz w:val="15"/>
                <w:szCs w:val="15"/>
                <w:color w:val="auto"/>
              </w:rPr>
            </w:pPr>
          </w:p>
        </w:tc>
        <w:tc>
          <w:tcPr>
            <w:tcW w:w="28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Annual Report on Form 10-K for</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Offer letter to Arun Mitra, dated November 11, 2022.</w:t>
            </w:r>
          </w:p>
        </w:tc>
        <w:tc>
          <w:tcPr>
            <w:tcW w:w="28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the year ended December 31,</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00" w:type="dxa"/>
            <w:vAlign w:val="bottom"/>
            <w:vMerge w:val="continue"/>
          </w:tcPr>
          <w:p>
            <w:pPr>
              <w:spacing w:after="0"/>
              <w:rPr>
                <w:sz w:val="20"/>
                <w:szCs w:val="20"/>
                <w:color w:val="auto"/>
              </w:rPr>
            </w:pPr>
          </w:p>
        </w:tc>
        <w:tc>
          <w:tcPr>
            <w:tcW w:w="2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 filed February 8, 2023</w:t>
            </w:r>
          </w:p>
        </w:tc>
        <w:tc>
          <w:tcPr>
            <w:tcW w:w="15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225"/>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Form of Deed of Indemnity of Weatherford International plc</w:t>
            </w:r>
          </w:p>
        </w:tc>
        <w:tc>
          <w:tcPr>
            <w:tcW w:w="28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480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entered into by each director of Weatherford International plc</w:t>
            </w:r>
          </w:p>
        </w:tc>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and each of the following executive officers of Weatherford</w:t>
            </w:r>
          </w:p>
        </w:tc>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plc: Scott C. Weatherholt (July 23, 2020), Girish K.</w:t>
            </w:r>
          </w:p>
        </w:tc>
        <w:tc>
          <w:tcPr>
            <w:tcW w:w="2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Exhibit 10.11 of the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Saligram (October 12, 2020), Joseph H. Mongrain (September</w:t>
            </w:r>
          </w:p>
        </w:tc>
        <w:tc>
          <w:tcPr>
            <w:tcW w:w="2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28, 2021), Desmond J. Mills (November 2, 2022), and Arunava</w:t>
            </w:r>
          </w:p>
        </w:tc>
        <w:tc>
          <w:tcPr>
            <w:tcW w:w="2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Report on Form 8-K12B</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Mitra (January 13, 2023).</w:t>
            </w:r>
          </w:p>
        </w:tc>
        <w:tc>
          <w:tcPr>
            <w:tcW w:w="28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filed June 17, 2014</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-1508125</wp:posOffset>
            </wp:positionV>
            <wp:extent cx="6934835" cy="488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835" cy="48895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80" w:space="720"/>
            <w:col w:w="9740"/>
          </w:cols>
          <w:pgMar w:left="320" w:top="1053"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53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of Deed of Indemnity of Weatherford International Ltd</w:t>
            </w:r>
          </w:p>
        </w:tc>
        <w:tc>
          <w:tcPr>
            <w:tcW w:w="446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38"/>
        </w:trPr>
        <w:tc>
          <w:tcPr>
            <w:tcW w:w="1140" w:type="dxa"/>
            <w:vAlign w:val="bottom"/>
            <w:shd w:val="clear" w:color="auto" w:fill="CCEEFF"/>
          </w:tcPr>
          <w:p>
            <w:pPr>
              <w:spacing w:after="0"/>
              <w:rPr>
                <w:sz w:val="3"/>
                <w:szCs w:val="3"/>
                <w:color w:val="auto"/>
              </w:rPr>
            </w:pPr>
          </w:p>
        </w:tc>
        <w:tc>
          <w:tcPr>
            <w:tcW w:w="5320" w:type="dxa"/>
            <w:vAlign w:val="bottom"/>
            <w:vMerge w:val="continue"/>
            <w:shd w:val="clear" w:color="auto" w:fill="CCEEFF"/>
          </w:tcPr>
          <w:p>
            <w:pPr>
              <w:spacing w:after="0"/>
              <w:rPr>
                <w:sz w:val="3"/>
                <w:szCs w:val="3"/>
                <w:color w:val="auto"/>
              </w:rPr>
            </w:pPr>
          </w:p>
        </w:tc>
        <w:tc>
          <w:tcPr>
            <w:tcW w:w="4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entered into by each director of Weatherford International plc</w:t>
            </w:r>
          </w:p>
        </w:tc>
        <w:tc>
          <w:tcPr>
            <w:tcW w:w="4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each of the following executive officers of Weatherford</w:t>
            </w:r>
          </w:p>
        </w:tc>
        <w:tc>
          <w:tcPr>
            <w:tcW w:w="4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plc: Scott C. Weatherholt (July 23, 2020), Girish K.</w:t>
            </w:r>
          </w:p>
        </w:tc>
        <w:tc>
          <w:tcPr>
            <w:tcW w:w="446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w w:val="99"/>
              </w:rPr>
              <w:t>Exhibit 10.12 of the</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Saligram (October 12, 2020), Joseph H. Mongrain (September</w:t>
            </w:r>
          </w:p>
        </w:tc>
        <w:tc>
          <w:tcPr>
            <w:tcW w:w="446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 2021), Desmond J. Mills (November 2, 2022), and Arunava</w:t>
            </w:r>
          </w:p>
        </w:tc>
        <w:tc>
          <w:tcPr>
            <w:tcW w:w="446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w w:val="99"/>
              </w:rPr>
              <w:t>Report on Form 8-K12B</w:t>
            </w: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Mitra (January 13, 2023).</w:t>
            </w:r>
          </w:p>
        </w:tc>
        <w:tc>
          <w:tcPr>
            <w:tcW w:w="4460" w:type="dxa"/>
            <w:vAlign w:val="bottom"/>
            <w:shd w:val="clear" w:color="auto" w:fill="CCEEFF"/>
          </w:tcPr>
          <w:p>
            <w:pPr>
              <w:jc w:val="center"/>
              <w:ind w:right="2030"/>
              <w:spacing w:after="0"/>
              <w:rPr>
                <w:sz w:val="20"/>
                <w:szCs w:val="20"/>
                <w:color w:val="auto"/>
              </w:rPr>
            </w:pPr>
            <w:r>
              <w:rPr>
                <w:rFonts w:ascii="Times New Roman" w:cs="Times New Roman" w:eastAsia="Times New Roman" w:hAnsi="Times New Roman"/>
                <w:sz w:val="18"/>
                <w:szCs w:val="18"/>
                <w:color w:val="auto"/>
                <w:w w:val="99"/>
              </w:rPr>
              <w:t>filed June 17, 2014</w:t>
            </w:r>
          </w:p>
        </w:tc>
        <w:tc>
          <w:tcPr>
            <w:tcW w:w="0" w:type="dxa"/>
            <w:vAlign w:val="bottom"/>
          </w:tcPr>
          <w:p>
            <w:pPr>
              <w:spacing w:after="0"/>
              <w:rPr>
                <w:sz w:val="1"/>
                <w:szCs w:val="1"/>
                <w:color w:val="auto"/>
              </w:rPr>
            </w:pPr>
          </w:p>
        </w:tc>
      </w:tr>
      <w:tr>
        <w:trPr>
          <w:trHeight w:val="54"/>
        </w:trPr>
        <w:tc>
          <w:tcPr>
            <w:tcW w:w="1140" w:type="dxa"/>
            <w:vAlign w:val="bottom"/>
            <w:shd w:val="clear" w:color="auto" w:fill="CCEEFF"/>
          </w:tcPr>
          <w:p>
            <w:pPr>
              <w:spacing w:after="0"/>
              <w:rPr>
                <w:sz w:val="4"/>
                <w:szCs w:val="4"/>
                <w:color w:val="auto"/>
              </w:rPr>
            </w:pPr>
          </w:p>
        </w:tc>
        <w:tc>
          <w:tcPr>
            <w:tcW w:w="5320" w:type="dxa"/>
            <w:vAlign w:val="bottom"/>
            <w:shd w:val="clear" w:color="auto" w:fill="CCEEFF"/>
          </w:tcPr>
          <w:p>
            <w:pPr>
              <w:spacing w:after="0"/>
              <w:rPr>
                <w:sz w:val="4"/>
                <w:szCs w:val="4"/>
                <w:color w:val="auto"/>
              </w:rPr>
            </w:pPr>
          </w:p>
        </w:tc>
        <w:tc>
          <w:tcPr>
            <w:tcW w:w="44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99</w:t>
      </w:r>
    </w:p>
    <w:p>
      <w:pPr>
        <w:sectPr>
          <w:pgSz w:w="11900" w:h="16838" w:orient="portrait"/>
          <w:cols w:equalWidth="0" w:num="1">
            <w:col w:w="11240"/>
          </w:cols>
          <w:pgMar w:left="320" w:top="1053"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5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Third Amended and Restated Weatherford International PLC</w:t>
            </w:r>
          </w:p>
        </w:tc>
        <w:tc>
          <w:tcPr>
            <w:tcW w:w="2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10.1 of the Company’s</w:t>
            </w:r>
          </w:p>
        </w:tc>
        <w:tc>
          <w:tcPr>
            <w:tcW w:w="1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100" w:type="dxa"/>
            <w:vAlign w:val="bottom"/>
            <w:vMerge w:val="continue"/>
          </w:tcPr>
          <w:p>
            <w:pPr>
              <w:spacing w:after="0"/>
              <w:rPr>
                <w:sz w:val="10"/>
                <w:szCs w:val="10"/>
                <w:color w:val="auto"/>
              </w:rPr>
            </w:pPr>
          </w:p>
        </w:tc>
        <w:tc>
          <w:tcPr>
            <w:tcW w:w="2900" w:type="dxa"/>
            <w:vAlign w:val="bottom"/>
            <w:vMerge w:val="restart"/>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5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Change in Control Severance Plan.</w:t>
            </w:r>
          </w:p>
        </w:tc>
        <w:tc>
          <w:tcPr>
            <w:tcW w:w="29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00" w:type="dxa"/>
            <w:vAlign w:val="bottom"/>
            <w:vMerge w:val="continue"/>
          </w:tcPr>
          <w:p>
            <w:pPr>
              <w:spacing w:after="0"/>
              <w:rPr>
                <w:sz w:val="19"/>
                <w:szCs w:val="19"/>
                <w:color w:val="auto"/>
              </w:rPr>
            </w:pP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on January 23, 2023</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40" w:type="dxa"/>
            <w:vAlign w:val="bottom"/>
            <w:shd w:val="clear" w:color="auto" w:fill="CCEEFF"/>
          </w:tcPr>
          <w:p>
            <w:pPr>
              <w:jc w:val="right"/>
              <w:ind w:right="270"/>
              <w:spacing w:after="0" w:line="184" w:lineRule="exact"/>
              <w:rPr>
                <w:sz w:val="20"/>
                <w:szCs w:val="20"/>
                <w:color w:val="auto"/>
              </w:rPr>
            </w:pPr>
            <w:r>
              <w:rPr>
                <w:rFonts w:ascii="Times New Roman" w:cs="Times New Roman" w:eastAsia="Times New Roman" w:hAnsi="Times New Roman"/>
                <w:sz w:val="18"/>
                <w:szCs w:val="18"/>
                <w:color w:val="auto"/>
              </w:rPr>
              <w:t>*10.5</w:t>
            </w:r>
          </w:p>
        </w:tc>
        <w:tc>
          <w:tcPr>
            <w:tcW w:w="5100" w:type="dxa"/>
            <w:vAlign w:val="bottom"/>
            <w:shd w:val="clear" w:color="auto" w:fill="CCEEFF"/>
          </w:tcPr>
          <w:p>
            <w:pPr>
              <w:spacing w:after="0"/>
              <w:rPr>
                <w:sz w:val="16"/>
                <w:szCs w:val="16"/>
                <w:color w:val="auto"/>
              </w:rPr>
            </w:pPr>
          </w:p>
        </w:tc>
        <w:tc>
          <w:tcPr>
            <w:tcW w:w="2900" w:type="dxa"/>
            <w:vAlign w:val="bottom"/>
            <w:shd w:val="clear" w:color="auto" w:fill="CCEEFF"/>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9"/>
              </w:rPr>
              <w:t>Exhibit 10.10 of the Company’s</w:t>
            </w:r>
          </w:p>
        </w:tc>
        <w:tc>
          <w:tcPr>
            <w:tcW w:w="178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80"/>
        </w:trPr>
        <w:tc>
          <w:tcPr>
            <w:tcW w:w="1140" w:type="dxa"/>
            <w:vAlign w:val="bottom"/>
            <w:shd w:val="clear" w:color="auto" w:fill="CCEEFF"/>
          </w:tcPr>
          <w:p>
            <w:pPr>
              <w:spacing w:after="0"/>
              <w:rPr>
                <w:sz w:val="15"/>
                <w:szCs w:val="15"/>
                <w:color w:val="auto"/>
              </w:rPr>
            </w:pPr>
          </w:p>
        </w:tc>
        <w:tc>
          <w:tcPr>
            <w:tcW w:w="51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Amended and Restated Weatherford International plc Executive</w:t>
            </w:r>
          </w:p>
        </w:tc>
        <w:tc>
          <w:tcPr>
            <w:tcW w:w="2900" w:type="dxa"/>
            <w:vAlign w:val="bottom"/>
            <w:shd w:val="clear" w:color="auto" w:fill="CCEEFF"/>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rPr>
              <w:t>Annual Report on Form 10-K for</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shd w:val="clear" w:color="auto" w:fill="CCEEFF"/>
          </w:tcPr>
          <w:p>
            <w:pPr>
              <w:spacing w:after="0"/>
              <w:rPr>
                <w:sz w:val="10"/>
                <w:szCs w:val="10"/>
                <w:color w:val="auto"/>
              </w:rPr>
            </w:pPr>
          </w:p>
        </w:tc>
        <w:tc>
          <w:tcPr>
            <w:tcW w:w="5100" w:type="dxa"/>
            <w:vAlign w:val="bottom"/>
            <w:vMerge w:val="continue"/>
            <w:shd w:val="clear" w:color="auto" w:fill="CCEEFF"/>
          </w:tcPr>
          <w:p>
            <w:pPr>
              <w:spacing w:after="0"/>
              <w:rPr>
                <w:sz w:val="10"/>
                <w:szCs w:val="10"/>
                <w:color w:val="auto"/>
              </w:rPr>
            </w:pPr>
          </w:p>
        </w:tc>
        <w:tc>
          <w:tcPr>
            <w:tcW w:w="2900" w:type="dxa"/>
            <w:vAlign w:val="bottom"/>
            <w:vMerge w:val="restart"/>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the year ended December 31,</w:t>
            </w:r>
          </w:p>
        </w:tc>
        <w:tc>
          <w:tcPr>
            <w:tcW w:w="1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40" w:type="dxa"/>
            <w:vAlign w:val="bottom"/>
            <w:shd w:val="clear" w:color="auto" w:fill="CCEEFF"/>
          </w:tcPr>
          <w:p>
            <w:pPr>
              <w:spacing w:after="0"/>
              <w:rPr>
                <w:sz w:val="5"/>
                <w:szCs w:val="5"/>
                <w:color w:val="auto"/>
              </w:rPr>
            </w:pPr>
          </w:p>
        </w:tc>
        <w:tc>
          <w:tcPr>
            <w:tcW w:w="51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Severance Plan.</w:t>
            </w:r>
          </w:p>
        </w:tc>
        <w:tc>
          <w:tcPr>
            <w:tcW w:w="2900" w:type="dxa"/>
            <w:vAlign w:val="bottom"/>
            <w:vMerge w:val="continue"/>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spacing w:after="0"/>
              <w:rPr>
                <w:sz w:val="19"/>
                <w:szCs w:val="19"/>
                <w:color w:val="auto"/>
              </w:rPr>
            </w:pPr>
          </w:p>
        </w:tc>
        <w:tc>
          <w:tcPr>
            <w:tcW w:w="5100" w:type="dxa"/>
            <w:vAlign w:val="bottom"/>
            <w:vMerge w:val="continue"/>
            <w:shd w:val="clear" w:color="auto" w:fill="CCEEFF"/>
          </w:tcPr>
          <w:p>
            <w:pPr>
              <w:spacing w:after="0"/>
              <w:rPr>
                <w:sz w:val="19"/>
                <w:szCs w:val="19"/>
                <w:color w:val="auto"/>
              </w:rPr>
            </w:pPr>
          </w:p>
        </w:tc>
        <w:tc>
          <w:tcPr>
            <w:tcW w:w="29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2022, filed February 8, 2023</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35" w:right="339" w:bottom="1440" w:gutter="0" w:footer="0" w:header="0"/>
        </w:sectPr>
      </w:pPr>
    </w:p>
    <w:p>
      <w:pPr>
        <w:ind w:left="380"/>
        <w:spacing w:after="0"/>
        <w:rPr>
          <w:sz w:val="20"/>
          <w:szCs w:val="20"/>
          <w:color w:val="auto"/>
        </w:rPr>
      </w:pPr>
      <w:r>
        <w:rPr>
          <w:rFonts w:ascii="Times New Roman" w:cs="Times New Roman" w:eastAsia="Times New Roman" w:hAnsi="Times New Roman"/>
          <w:sz w:val="18"/>
          <w:szCs w:val="18"/>
          <w:color w:val="auto"/>
        </w:rPr>
        <w:t>*10.6</w:t>
      </w:r>
    </w:p>
    <w:p>
      <w:pPr>
        <w:spacing w:after="0" w:line="58" w:lineRule="exact"/>
        <w:rPr>
          <w:sz w:val="20"/>
          <w:szCs w:val="20"/>
          <w:color w:val="auto"/>
        </w:rPr>
      </w:pPr>
    </w:p>
    <w:p>
      <w:pPr>
        <w:ind w:left="1500" w:right="360"/>
        <w:spacing w:after="0" w:line="282" w:lineRule="auto"/>
        <w:rPr>
          <w:sz w:val="20"/>
          <w:szCs w:val="20"/>
          <w:color w:val="auto"/>
        </w:rPr>
      </w:pPr>
      <w:r>
        <w:rPr>
          <w:rFonts w:ascii="Times New Roman" w:cs="Times New Roman" w:eastAsia="Times New Roman" w:hAnsi="Times New Roman"/>
          <w:sz w:val="18"/>
          <w:szCs w:val="18"/>
          <w:color w:val="auto"/>
        </w:rPr>
        <w:t>Amended and Restated Weatherford International plc Nonqualified Deferred Compensation Plan</w:t>
      </w:r>
    </w:p>
    <w:p>
      <w:pPr>
        <w:spacing w:after="0" w:line="20" w:lineRule="exact"/>
        <w:rPr>
          <w:sz w:val="20"/>
          <w:szCs w:val="20"/>
          <w:color w:val="auto"/>
        </w:rPr>
      </w:pPr>
      <w:r>
        <w:rPr>
          <w:sz w:val="20"/>
          <w:szCs w:val="20"/>
          <w:color w:val="auto"/>
        </w:rPr>
        <w:br w:type="column"/>
      </w:r>
    </w:p>
    <w:p>
      <w:pPr>
        <w:ind w:left="60"/>
        <w:spacing w:after="0"/>
        <w:tabs>
          <w:tab w:leader="none" w:pos="3000" w:val="left"/>
        </w:tabs>
        <w:rPr>
          <w:sz w:val="20"/>
          <w:szCs w:val="20"/>
          <w:color w:val="auto"/>
        </w:rPr>
      </w:pPr>
      <w:r>
        <w:rPr>
          <w:rFonts w:ascii="Times New Roman" w:cs="Times New Roman" w:eastAsia="Times New Roman" w:hAnsi="Times New Roman"/>
          <w:sz w:val="18"/>
          <w:szCs w:val="18"/>
          <w:color w:val="auto"/>
        </w:rPr>
        <w:t>Exhibit 10.11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20"/>
        <w:spacing w:after="0" w:line="204" w:lineRule="auto"/>
        <w:rPr>
          <w:sz w:val="20"/>
          <w:szCs w:val="20"/>
          <w:color w:val="auto"/>
        </w:rPr>
      </w:pPr>
      <w:r>
        <w:rPr>
          <w:rFonts w:ascii="Times New Roman" w:cs="Times New Roman" w:eastAsia="Times New Roman" w:hAnsi="Times New Roman"/>
          <w:sz w:val="18"/>
          <w:szCs w:val="18"/>
          <w:color w:val="auto"/>
        </w:rPr>
        <w:t>Annual Report on Form 10-K for</w:t>
      </w:r>
    </w:p>
    <w:p>
      <w:pPr>
        <w:ind w:left="160"/>
        <w:spacing w:after="0" w:line="203" w:lineRule="auto"/>
        <w:rPr>
          <w:sz w:val="20"/>
          <w:szCs w:val="20"/>
          <w:color w:val="auto"/>
        </w:rPr>
      </w:pPr>
      <w:r>
        <w:rPr>
          <w:rFonts w:ascii="Times New Roman" w:cs="Times New Roman" w:eastAsia="Times New Roman" w:hAnsi="Times New Roman"/>
          <w:sz w:val="18"/>
          <w:szCs w:val="18"/>
          <w:color w:val="auto"/>
        </w:rPr>
        <w:t>the year ended December 31,</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2022, filed February 8, 2023</w:t>
      </w:r>
    </w:p>
    <w:p>
      <w:pPr>
        <w:spacing w:after="0" w:line="25" w:lineRule="exact"/>
        <w:rPr>
          <w:sz w:val="20"/>
          <w:szCs w:val="20"/>
          <w:color w:val="auto"/>
        </w:rPr>
      </w:pPr>
    </w:p>
    <w:p>
      <w:pPr>
        <w:sectPr>
          <w:pgSz w:w="11900" w:h="16838" w:orient="portrait"/>
          <w:cols w:equalWidth="0" w:num="2">
            <w:col w:w="5700" w:space="720"/>
            <w:col w:w="4820"/>
          </w:cols>
          <w:pgMar w:left="320" w:top="1035"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6280" w:type="dxa"/>
            <w:vAlign w:val="bottom"/>
            <w:shd w:val="clear" w:color="auto" w:fill="CCEEFF"/>
          </w:tcPr>
          <w:p>
            <w:pPr>
              <w:jc w:val="center"/>
              <w:ind w:right="5030"/>
              <w:spacing w:after="0"/>
              <w:rPr>
                <w:sz w:val="20"/>
                <w:szCs w:val="20"/>
                <w:color w:val="auto"/>
              </w:rPr>
            </w:pPr>
            <w:r>
              <w:rPr>
                <w:rFonts w:ascii="Times New Roman" w:cs="Times New Roman" w:eastAsia="Times New Roman" w:hAnsi="Times New Roman"/>
                <w:sz w:val="18"/>
                <w:szCs w:val="18"/>
                <w:color w:val="auto"/>
                <w:w w:val="98"/>
              </w:rPr>
              <w:t>*10.7</w:t>
            </w:r>
          </w:p>
        </w:tc>
        <w:tc>
          <w:tcPr>
            <w:tcW w:w="2860" w:type="dxa"/>
            <w:vAlign w:val="bottom"/>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Exhibit 10.2 of the</w:t>
            </w:r>
          </w:p>
        </w:tc>
        <w:tc>
          <w:tcPr>
            <w:tcW w:w="1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54"/>
        </w:trPr>
        <w:tc>
          <w:tcPr>
            <w:tcW w:w="6280" w:type="dxa"/>
            <w:vAlign w:val="bottom"/>
            <w:shd w:val="clear" w:color="auto" w:fill="CCEEFF"/>
          </w:tcPr>
          <w:p>
            <w:pPr>
              <w:spacing w:after="0"/>
              <w:rPr>
                <w:sz w:val="4"/>
                <w:szCs w:val="4"/>
                <w:color w:val="auto"/>
              </w:rPr>
            </w:pPr>
          </w:p>
        </w:tc>
        <w:tc>
          <w:tcPr>
            <w:tcW w:w="2860" w:type="dxa"/>
            <w:vAlign w:val="bottom"/>
            <w:vMerge w:val="continue"/>
            <w:shd w:val="clear" w:color="auto" w:fill="CCEEFF"/>
          </w:tcPr>
          <w:p>
            <w:pPr>
              <w:spacing w:after="0"/>
              <w:rPr>
                <w:sz w:val="4"/>
                <w:szCs w:val="4"/>
                <w:color w:val="auto"/>
              </w:rPr>
            </w:pPr>
          </w:p>
        </w:tc>
        <w:tc>
          <w:tcPr>
            <w:tcW w:w="1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spacing w:after="0"/>
              <w:rPr>
                <w:sz w:val="21"/>
                <w:szCs w:val="21"/>
                <w:color w:val="auto"/>
              </w:rPr>
            </w:pPr>
          </w:p>
        </w:tc>
        <w:tc>
          <w:tcPr>
            <w:tcW w:w="2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Executive Non-Equity Incentive Compensation Plan (as</w:t>
            </w:r>
          </w:p>
        </w:tc>
        <w:tc>
          <w:tcPr>
            <w:tcW w:w="2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Report on Form 8-K</w:t>
            </w: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28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Amended and Restated)</w:t>
            </w:r>
          </w:p>
        </w:tc>
        <w:tc>
          <w:tcPr>
            <w:tcW w:w="286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filed April 15, 2020</w:t>
            </w:r>
          </w:p>
        </w:tc>
        <w:tc>
          <w:tcPr>
            <w:tcW w:w="1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80" w:type="dxa"/>
            <w:vAlign w:val="bottom"/>
          </w:tcPr>
          <w:p>
            <w:pPr>
              <w:jc w:val="center"/>
              <w:ind w:right="5030"/>
              <w:spacing w:after="0"/>
              <w:rPr>
                <w:sz w:val="20"/>
                <w:szCs w:val="20"/>
                <w:color w:val="auto"/>
              </w:rPr>
            </w:pPr>
            <w:r>
              <w:rPr>
                <w:rFonts w:ascii="Times New Roman" w:cs="Times New Roman" w:eastAsia="Times New Roman" w:hAnsi="Times New Roman"/>
                <w:sz w:val="18"/>
                <w:szCs w:val="18"/>
                <w:color w:val="auto"/>
                <w:w w:val="98"/>
              </w:rPr>
              <w:t>*10.8</w:t>
            </w:r>
          </w:p>
        </w:tc>
        <w:tc>
          <w:tcPr>
            <w:tcW w:w="28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Exhibit 10.8 of the</w:t>
            </w:r>
          </w:p>
        </w:tc>
        <w:tc>
          <w:tcPr>
            <w:tcW w:w="1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0"/>
        </w:trPr>
        <w:tc>
          <w:tcPr>
            <w:tcW w:w="62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2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2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Report on Form 8-K</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Weatherford International plc 2019 Equity Incentive Plan.</w:t>
            </w:r>
          </w:p>
        </w:tc>
        <w:tc>
          <w:tcPr>
            <w:tcW w:w="2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filed December 18, 2019</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62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jc w:val="center"/>
              <w:ind w:right="5030"/>
              <w:spacing w:after="0"/>
              <w:rPr>
                <w:sz w:val="20"/>
                <w:szCs w:val="20"/>
                <w:color w:val="auto"/>
              </w:rPr>
            </w:pPr>
            <w:r>
              <w:rPr>
                <w:rFonts w:ascii="Times New Roman" w:cs="Times New Roman" w:eastAsia="Times New Roman" w:hAnsi="Times New Roman"/>
                <w:sz w:val="18"/>
                <w:szCs w:val="18"/>
                <w:color w:val="auto"/>
                <w:w w:val="98"/>
              </w:rPr>
              <w:t>*10.9</w:t>
            </w:r>
          </w:p>
        </w:tc>
        <w:tc>
          <w:tcPr>
            <w:tcW w:w="2860" w:type="dxa"/>
            <w:vAlign w:val="bottom"/>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Exhibit 10.1 of the</w:t>
            </w:r>
          </w:p>
        </w:tc>
        <w:tc>
          <w:tcPr>
            <w:tcW w:w="1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0"/>
        </w:trPr>
        <w:tc>
          <w:tcPr>
            <w:tcW w:w="6280" w:type="dxa"/>
            <w:vAlign w:val="bottom"/>
            <w:shd w:val="clear" w:color="auto" w:fill="CCEEFF"/>
          </w:tcPr>
          <w:p>
            <w:pPr>
              <w:spacing w:after="0"/>
              <w:rPr>
                <w:sz w:val="7"/>
                <w:szCs w:val="7"/>
                <w:color w:val="auto"/>
              </w:rPr>
            </w:pPr>
          </w:p>
        </w:tc>
        <w:tc>
          <w:tcPr>
            <w:tcW w:w="2860" w:type="dxa"/>
            <w:vAlign w:val="bottom"/>
            <w:vMerge w:val="continue"/>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spacing w:after="0"/>
              <w:rPr>
                <w:sz w:val="21"/>
                <w:szCs w:val="21"/>
                <w:color w:val="auto"/>
              </w:rPr>
            </w:pPr>
          </w:p>
        </w:tc>
        <w:tc>
          <w:tcPr>
            <w:tcW w:w="2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Company’s Quarterly</w:t>
            </w: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spacing w:after="0"/>
              <w:rPr>
                <w:sz w:val="20"/>
                <w:szCs w:val="20"/>
                <w:color w:val="auto"/>
              </w:rPr>
            </w:pPr>
          </w:p>
        </w:tc>
        <w:tc>
          <w:tcPr>
            <w:tcW w:w="2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Report on Form 10-Q</w:t>
            </w: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spacing w:after="0"/>
              <w:rPr>
                <w:sz w:val="20"/>
                <w:szCs w:val="20"/>
                <w:color w:val="auto"/>
              </w:rPr>
            </w:pPr>
          </w:p>
        </w:tc>
        <w:tc>
          <w:tcPr>
            <w:tcW w:w="2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for the period ending</w:t>
            </w: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Weatherford International plc Amended and Restated 2019</w:t>
            </w:r>
          </w:p>
        </w:tc>
        <w:tc>
          <w:tcPr>
            <w:tcW w:w="2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June 30, 2020 filed</w:t>
            </w: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28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Equity Incentive Plan.</w:t>
            </w:r>
          </w:p>
        </w:tc>
        <w:tc>
          <w:tcPr>
            <w:tcW w:w="286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August 14, 2020</w:t>
            </w:r>
          </w:p>
        </w:tc>
        <w:tc>
          <w:tcPr>
            <w:tcW w:w="1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280" w:type="dxa"/>
            <w:vAlign w:val="bottom"/>
          </w:tcPr>
          <w:p>
            <w:pPr>
              <w:jc w:val="center"/>
              <w:ind w:right="5050"/>
              <w:spacing w:after="0"/>
              <w:rPr>
                <w:sz w:val="20"/>
                <w:szCs w:val="20"/>
                <w:color w:val="auto"/>
              </w:rPr>
            </w:pPr>
            <w:r>
              <w:rPr>
                <w:rFonts w:ascii="Times New Roman" w:cs="Times New Roman" w:eastAsia="Times New Roman" w:hAnsi="Times New Roman"/>
                <w:sz w:val="18"/>
                <w:szCs w:val="18"/>
                <w:color w:val="auto"/>
              </w:rPr>
              <w:t>*10.10</w:t>
            </w:r>
          </w:p>
        </w:tc>
        <w:tc>
          <w:tcPr>
            <w:tcW w:w="28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Exhibit 10.6 of the</w:t>
            </w:r>
          </w:p>
        </w:tc>
        <w:tc>
          <w:tcPr>
            <w:tcW w:w="1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0"/>
        </w:trPr>
        <w:tc>
          <w:tcPr>
            <w:tcW w:w="6280" w:type="dxa"/>
            <w:vAlign w:val="bottom"/>
          </w:tcPr>
          <w:p>
            <w:pPr>
              <w:spacing w:after="0"/>
              <w:rPr>
                <w:sz w:val="7"/>
                <w:szCs w:val="7"/>
                <w:color w:val="auto"/>
              </w:rPr>
            </w:pPr>
          </w:p>
        </w:tc>
        <w:tc>
          <w:tcPr>
            <w:tcW w:w="28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1"/>
                <w:szCs w:val="21"/>
                <w:color w:val="auto"/>
              </w:rPr>
            </w:pPr>
          </w:p>
        </w:tc>
        <w:tc>
          <w:tcPr>
            <w:tcW w:w="2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Company’s Quarterly</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2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Report on Form 10-Q</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2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for the period ending</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Weatherford International plc Second Amended and Restated</w:t>
            </w:r>
          </w:p>
        </w:tc>
        <w:tc>
          <w:tcPr>
            <w:tcW w:w="2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September 30, 2020 filed</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2019 Equity Incentive Plan.</w:t>
            </w:r>
          </w:p>
        </w:tc>
        <w:tc>
          <w:tcPr>
            <w:tcW w:w="2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November 4, 2020</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2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jc w:val="center"/>
              <w:ind w:right="5030"/>
              <w:spacing w:after="0"/>
              <w:rPr>
                <w:sz w:val="20"/>
                <w:szCs w:val="20"/>
                <w:color w:val="auto"/>
              </w:rPr>
            </w:pPr>
            <w:r>
              <w:rPr>
                <w:rFonts w:ascii="Times New Roman" w:cs="Times New Roman" w:eastAsia="Times New Roman" w:hAnsi="Times New Roman"/>
                <w:sz w:val="18"/>
                <w:szCs w:val="18"/>
                <w:color w:val="auto"/>
                <w:w w:val="96"/>
              </w:rPr>
              <w:t>*10.11</w:t>
            </w:r>
          </w:p>
        </w:tc>
        <w:tc>
          <w:tcPr>
            <w:tcW w:w="2860" w:type="dxa"/>
            <w:vAlign w:val="bottom"/>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Exhibit 10.2 of the</w:t>
            </w:r>
          </w:p>
        </w:tc>
        <w:tc>
          <w:tcPr>
            <w:tcW w:w="1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0"/>
        </w:trPr>
        <w:tc>
          <w:tcPr>
            <w:tcW w:w="6280" w:type="dxa"/>
            <w:vAlign w:val="bottom"/>
            <w:shd w:val="clear" w:color="auto" w:fill="CCEEFF"/>
          </w:tcPr>
          <w:p>
            <w:pPr>
              <w:spacing w:after="0"/>
              <w:rPr>
                <w:sz w:val="7"/>
                <w:szCs w:val="7"/>
                <w:color w:val="auto"/>
              </w:rPr>
            </w:pPr>
          </w:p>
        </w:tc>
        <w:tc>
          <w:tcPr>
            <w:tcW w:w="2860" w:type="dxa"/>
            <w:vAlign w:val="bottom"/>
            <w:vMerge w:val="continue"/>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280" w:type="dxa"/>
            <w:vAlign w:val="bottom"/>
            <w:vMerge w:val="restart"/>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Weatherford International plc Third Amended and Restated 2019</w:t>
            </w:r>
          </w:p>
        </w:tc>
        <w:tc>
          <w:tcPr>
            <w:tcW w:w="2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280" w:type="dxa"/>
            <w:vAlign w:val="bottom"/>
            <w:vMerge w:val="continue"/>
            <w:shd w:val="clear" w:color="auto" w:fill="CCEEFF"/>
          </w:tcPr>
          <w:p>
            <w:pPr>
              <w:spacing w:after="0"/>
              <w:rPr>
                <w:sz w:val="19"/>
                <w:szCs w:val="19"/>
                <w:color w:val="auto"/>
              </w:rPr>
            </w:pPr>
          </w:p>
        </w:tc>
        <w:tc>
          <w:tcPr>
            <w:tcW w:w="28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Report on Form 8-K filed January</w:t>
            </w: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28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Equity Incentive Plan.</w:t>
            </w:r>
          </w:p>
        </w:tc>
        <w:tc>
          <w:tcPr>
            <w:tcW w:w="286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23, 2023</w:t>
            </w:r>
          </w:p>
        </w:tc>
        <w:tc>
          <w:tcPr>
            <w:tcW w:w="1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6280" w:type="dxa"/>
            <w:vAlign w:val="bottom"/>
          </w:tcPr>
          <w:p>
            <w:pPr>
              <w:jc w:val="center"/>
              <w:ind w:right="5050"/>
              <w:spacing w:after="0" w:line="184" w:lineRule="exact"/>
              <w:rPr>
                <w:sz w:val="20"/>
                <w:szCs w:val="20"/>
                <w:color w:val="auto"/>
              </w:rPr>
            </w:pPr>
            <w:r>
              <w:rPr>
                <w:rFonts w:ascii="Times New Roman" w:cs="Times New Roman" w:eastAsia="Times New Roman" w:hAnsi="Times New Roman"/>
                <w:sz w:val="18"/>
                <w:szCs w:val="18"/>
                <w:color w:val="auto"/>
              </w:rPr>
              <w:t>*10.12</w:t>
            </w:r>
          </w:p>
        </w:tc>
        <w:tc>
          <w:tcPr>
            <w:tcW w:w="28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8"/>
              </w:rPr>
              <w:t>Exhibit 10.8 of the Company’s</w:t>
            </w:r>
          </w:p>
        </w:tc>
        <w:tc>
          <w:tcPr>
            <w:tcW w:w="178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286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Quarterly Report on Form 10-Q</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8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color w:val="auto"/>
              </w:rPr>
              <w:t>Form of Performance Share Unit Award Agreement</w:t>
            </w:r>
          </w:p>
        </w:tc>
        <w:tc>
          <w:tcPr>
            <w:tcW w:w="28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for the period ending September</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80" w:type="dxa"/>
            <w:vAlign w:val="bottom"/>
            <w:vMerge w:val="continue"/>
          </w:tcPr>
          <w:p>
            <w:pPr>
              <w:spacing w:after="0"/>
              <w:rPr>
                <w:sz w:val="14"/>
                <w:szCs w:val="14"/>
                <w:color w:val="auto"/>
              </w:rPr>
            </w:pPr>
          </w:p>
        </w:tc>
        <w:tc>
          <w:tcPr>
            <w:tcW w:w="28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30. 2021 filed November 2, 2021</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62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100</w:t>
      </w:r>
    </w:p>
    <w:p>
      <w:pPr>
        <w:sectPr>
          <w:pgSz w:w="11900" w:h="16838" w:orient="portrait"/>
          <w:cols w:equalWidth="0" w:num="1">
            <w:col w:w="11240"/>
          </w:cols>
          <w:pgMar w:left="320" w:top="1035"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6120" w:type="dxa"/>
            <w:vAlign w:val="bottom"/>
            <w:shd w:val="clear" w:color="auto" w:fill="CCEEFF"/>
          </w:tcPr>
          <w:p>
            <w:pPr>
              <w:jc w:val="right"/>
              <w:ind w:right="5210"/>
              <w:spacing w:after="0"/>
              <w:rPr>
                <w:sz w:val="20"/>
                <w:szCs w:val="20"/>
                <w:color w:val="auto"/>
              </w:rPr>
            </w:pPr>
            <w:r>
              <w:rPr>
                <w:rFonts w:ascii="Times New Roman" w:cs="Times New Roman" w:eastAsia="Times New Roman" w:hAnsi="Times New Roman"/>
                <w:sz w:val="18"/>
                <w:szCs w:val="18"/>
                <w:color w:val="auto"/>
              </w:rPr>
              <w:t>*10.13</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Exhibit 10.26 of the Company’s</w:t>
            </w:r>
          </w:p>
        </w:tc>
        <w:tc>
          <w:tcPr>
            <w:tcW w:w="1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Amended and Restated Weatherford International plc Short-</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Annual Report on Form 10-K for</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6120" w:type="dxa"/>
            <w:vAlign w:val="bottom"/>
            <w:vMerge w:val="restart"/>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Term Incentive Plan</w:t>
            </w:r>
          </w:p>
        </w:tc>
        <w:tc>
          <w:tcPr>
            <w:tcW w:w="300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the year ended December 31,</w:t>
            </w:r>
          </w:p>
        </w:tc>
        <w:tc>
          <w:tcPr>
            <w:tcW w:w="1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120" w:type="dxa"/>
            <w:vAlign w:val="bottom"/>
            <w:vMerge w:val="continue"/>
            <w:shd w:val="clear" w:color="auto" w:fill="CCEEFF"/>
          </w:tcPr>
          <w:p>
            <w:pPr>
              <w:spacing w:after="0"/>
              <w:rPr>
                <w:sz w:val="19"/>
                <w:szCs w:val="19"/>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 filed February 8, 2023</w:t>
            </w: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35" w:right="339" w:bottom="1440" w:gutter="0" w:footer="0" w:header="0"/>
        </w:sectPr>
      </w:pPr>
    </w:p>
    <w:p>
      <w:pPr>
        <w:ind w:left="320"/>
        <w:spacing w:after="0"/>
        <w:rPr>
          <w:sz w:val="20"/>
          <w:szCs w:val="20"/>
          <w:color w:val="auto"/>
        </w:rPr>
      </w:pPr>
      <w:r>
        <w:rPr>
          <w:rFonts w:ascii="Times New Roman" w:cs="Times New Roman" w:eastAsia="Times New Roman" w:hAnsi="Times New Roman"/>
          <w:sz w:val="18"/>
          <w:szCs w:val="18"/>
          <w:color w:val="auto"/>
        </w:rPr>
        <w:t>*10.14</w:t>
      </w: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†*10.20</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8"/>
          <w:szCs w:val="18"/>
          <w:color w:val="auto"/>
        </w:rPr>
        <w:t>Form of Executive Officer Restricted Share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-5080</wp:posOffset>
            </wp:positionV>
            <wp:extent cx="693483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4835" cy="394335"/>
                    </a:xfrm>
                    <a:prstGeom prst="rect">
                      <a:avLst/>
                    </a:prstGeom>
                    <a:noFill/>
                  </pic:spPr>
                </pic:pic>
              </a:graphicData>
            </a:graphic>
          </wp:anchor>
        </w:drawing>
      </w:r>
    </w:p>
    <w:p>
      <w:pPr>
        <w:spacing w:after="0" w:line="61"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Form of Executive Officer Performance Share Unit Award Agreement</w:t>
      </w:r>
    </w:p>
    <w:p>
      <w:pPr>
        <w:spacing w:after="0" w:line="81"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Form of Non-Executive Director Restricted Share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-5080</wp:posOffset>
            </wp:positionV>
            <wp:extent cx="6934835"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4835" cy="394335"/>
                    </a:xfrm>
                    <a:prstGeom prst="rect">
                      <a:avLst/>
                    </a:prstGeom>
                    <a:noFill/>
                  </pic:spPr>
                </pic:pic>
              </a:graphicData>
            </a:graphic>
          </wp:anchor>
        </w:drawing>
      </w:r>
    </w:p>
    <w:p>
      <w:pPr>
        <w:spacing w:after="0" w:line="61"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8"/>
          <w:szCs w:val="18"/>
          <w:color w:val="auto"/>
        </w:rPr>
        <w:t>Form of Executive Officer Restricted Share Unit Award Agreement adopted January 18, 2023.</w:t>
      </w:r>
    </w:p>
    <w:p>
      <w:pPr>
        <w:spacing w:after="0" w:line="81"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Form of Executive Officer Performance Share Unit Award Agreement adopted January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-5080</wp:posOffset>
            </wp:positionV>
            <wp:extent cx="693483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4835" cy="394335"/>
                    </a:xfrm>
                    <a:prstGeom prst="rect">
                      <a:avLst/>
                    </a:prstGeom>
                    <a:noFill/>
                  </pic:spPr>
                </pic:pic>
              </a:graphicData>
            </a:graphic>
          </wp:anchor>
        </w:drawing>
      </w:r>
    </w:p>
    <w:p>
      <w:pPr>
        <w:spacing w:after="0" w:line="6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Form of Non- Executive Director Restricted Share Unit Award Agreement adopted January 18, 2023.</w:t>
      </w:r>
    </w:p>
    <w:p>
      <w:pPr>
        <w:spacing w:after="0" w:line="81" w:lineRule="exact"/>
        <w:rPr>
          <w:sz w:val="20"/>
          <w:szCs w:val="20"/>
          <w:color w:val="auto"/>
        </w:rPr>
      </w:pPr>
    </w:p>
    <w:p>
      <w:pPr>
        <w:ind w:right="500"/>
        <w:spacing w:after="0" w:line="308" w:lineRule="auto"/>
        <w:rPr>
          <w:sz w:val="20"/>
          <w:szCs w:val="20"/>
          <w:color w:val="auto"/>
        </w:rPr>
      </w:pPr>
      <w:r>
        <w:rPr>
          <w:rFonts w:ascii="Times New Roman" w:cs="Times New Roman" w:eastAsia="Times New Roman" w:hAnsi="Times New Roman"/>
          <w:sz w:val="18"/>
          <w:szCs w:val="18"/>
          <w:color w:val="auto"/>
        </w:rPr>
        <w:t>Form of Executive Officer Restricted Share Unit Award Agreement adopted January 18,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color w:val="auto"/>
                <w:w w:val="98"/>
              </w:rPr>
              <w:t>Exhibit 10.1 of the Company’s</w:t>
            </w:r>
          </w:p>
        </w:tc>
        <w:tc>
          <w:tcPr>
            <w:tcW w:w="152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January 20, 2022</w:t>
            </w:r>
          </w:p>
        </w:tc>
        <w:tc>
          <w:tcPr>
            <w:tcW w:w="1520" w:type="dxa"/>
            <w:vAlign w:val="bottom"/>
          </w:tcPr>
          <w:p>
            <w:pPr>
              <w:spacing w:after="0"/>
              <w:rPr>
                <w:sz w:val="20"/>
                <w:szCs w:val="20"/>
                <w:color w:val="auto"/>
              </w:rPr>
            </w:pPr>
          </w:p>
        </w:tc>
      </w:tr>
      <w:tr>
        <w:trPr>
          <w:trHeight w:val="206"/>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Exhibit 10.2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January 20, 2022</w:t>
            </w:r>
          </w:p>
        </w:tc>
        <w:tc>
          <w:tcPr>
            <w:tcW w:w="1520" w:type="dxa"/>
            <w:vAlign w:val="bottom"/>
          </w:tcPr>
          <w:p>
            <w:pPr>
              <w:spacing w:after="0"/>
              <w:rPr>
                <w:sz w:val="20"/>
                <w:szCs w:val="20"/>
                <w:color w:val="auto"/>
              </w:rPr>
            </w:pPr>
          </w:p>
        </w:tc>
      </w:tr>
      <w:tr>
        <w:trPr>
          <w:trHeight w:val="206"/>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Exhibit 10.3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January 20, 2022</w:t>
            </w:r>
          </w:p>
        </w:tc>
        <w:tc>
          <w:tcPr>
            <w:tcW w:w="1520" w:type="dxa"/>
            <w:vAlign w:val="bottom"/>
          </w:tcPr>
          <w:p>
            <w:pPr>
              <w:spacing w:after="0"/>
              <w:rPr>
                <w:sz w:val="20"/>
                <w:szCs w:val="20"/>
                <w:color w:val="auto"/>
              </w:rPr>
            </w:pPr>
          </w:p>
        </w:tc>
      </w:tr>
      <w:tr>
        <w:trPr>
          <w:trHeight w:val="206"/>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Exhibit 10.3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January 23, 2023</w:t>
            </w:r>
          </w:p>
        </w:tc>
        <w:tc>
          <w:tcPr>
            <w:tcW w:w="1520" w:type="dxa"/>
            <w:vAlign w:val="bottom"/>
          </w:tcPr>
          <w:p>
            <w:pPr>
              <w:spacing w:after="0"/>
              <w:rPr>
                <w:sz w:val="20"/>
                <w:szCs w:val="20"/>
                <w:color w:val="auto"/>
              </w:rPr>
            </w:pPr>
          </w:p>
        </w:tc>
      </w:tr>
      <w:tr>
        <w:trPr>
          <w:trHeight w:val="206"/>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Exhibit 10.4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January 23, 2023</w:t>
            </w:r>
          </w:p>
        </w:tc>
        <w:tc>
          <w:tcPr>
            <w:tcW w:w="1520" w:type="dxa"/>
            <w:vAlign w:val="bottom"/>
          </w:tcPr>
          <w:p>
            <w:pPr>
              <w:spacing w:after="0"/>
              <w:rPr>
                <w:sz w:val="20"/>
                <w:szCs w:val="20"/>
                <w:color w:val="auto"/>
              </w:rPr>
            </w:pPr>
          </w:p>
        </w:tc>
      </w:tr>
      <w:tr>
        <w:trPr>
          <w:trHeight w:val="206"/>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Exhibit 10.5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r>
      <w:tr>
        <w:trPr>
          <w:trHeight w:val="180"/>
        </w:trPr>
        <w:tc>
          <w:tcPr>
            <w:tcW w:w="274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5"/>
                <w:szCs w:val="15"/>
                <w:color w:val="auto"/>
              </w:rPr>
            </w:pPr>
          </w:p>
        </w:tc>
      </w:tr>
      <w:tr>
        <w:trPr>
          <w:trHeight w:val="234"/>
        </w:trPr>
        <w:tc>
          <w:tcPr>
            <w:tcW w:w="27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January 23, 2023</w:t>
            </w:r>
          </w:p>
        </w:tc>
        <w:tc>
          <w:tcPr>
            <w:tcW w:w="1520" w:type="dxa"/>
            <w:vAlign w:val="bottom"/>
          </w:tcPr>
          <w:p>
            <w:pPr>
              <w:spacing w:after="0"/>
              <w:rPr>
                <w:sz w:val="20"/>
                <w:szCs w:val="20"/>
                <w:color w:val="auto"/>
              </w:rPr>
            </w:pPr>
          </w:p>
        </w:tc>
      </w:tr>
    </w:tbl>
    <w:p>
      <w:pPr>
        <w:spacing w:after="0" w:line="644" w:lineRule="exact"/>
        <w:rPr>
          <w:sz w:val="20"/>
          <w:szCs w:val="20"/>
          <w:color w:val="auto"/>
        </w:rPr>
      </w:pPr>
    </w:p>
    <w:p>
      <w:pPr>
        <w:sectPr>
          <w:pgSz w:w="11900" w:h="16838" w:orient="portrait"/>
          <w:cols w:equalWidth="0" w:num="3">
            <w:col w:w="860" w:space="640"/>
            <w:col w:w="4520" w:space="380"/>
            <w:col w:w="4840"/>
          </w:cols>
          <w:pgMar w:left="320" w:top="1035"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1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†*10.21</w:t>
            </w:r>
          </w:p>
        </w:tc>
        <w:tc>
          <w:tcPr>
            <w:tcW w:w="974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Form of Executive Officer Performance Share Unit Award</w:t>
            </w:r>
          </w:p>
        </w:tc>
        <w:tc>
          <w:tcPr>
            <w:tcW w:w="0" w:type="dxa"/>
            <w:vAlign w:val="bottom"/>
          </w:tcPr>
          <w:p>
            <w:pPr>
              <w:spacing w:after="0"/>
              <w:rPr>
                <w:sz w:val="1"/>
                <w:szCs w:val="1"/>
                <w:color w:val="auto"/>
              </w:rPr>
            </w:pPr>
          </w:p>
        </w:tc>
      </w:tr>
      <w:tr>
        <w:trPr>
          <w:trHeight w:val="70"/>
        </w:trPr>
        <w:tc>
          <w:tcPr>
            <w:tcW w:w="1180" w:type="dxa"/>
            <w:vAlign w:val="bottom"/>
            <w:shd w:val="clear" w:color="auto" w:fill="CCEEFF"/>
          </w:tcPr>
          <w:p>
            <w:pPr>
              <w:spacing w:after="0"/>
              <w:rPr>
                <w:sz w:val="6"/>
                <w:szCs w:val="6"/>
                <w:color w:val="auto"/>
              </w:rPr>
            </w:pPr>
          </w:p>
        </w:tc>
        <w:tc>
          <w:tcPr>
            <w:tcW w:w="9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180" w:type="dxa"/>
            <w:vAlign w:val="bottom"/>
            <w:tcBorders>
              <w:bottom w:val="single" w:sz="8" w:color="CCEEFF"/>
            </w:tcBorders>
            <w:shd w:val="clear" w:color="auto" w:fill="CCEEFF"/>
          </w:tcPr>
          <w:p>
            <w:pPr>
              <w:spacing w:after="0"/>
              <w:rPr>
                <w:sz w:val="24"/>
                <w:szCs w:val="24"/>
                <w:color w:val="auto"/>
              </w:rPr>
            </w:pPr>
          </w:p>
        </w:tc>
        <w:tc>
          <w:tcPr>
            <w:tcW w:w="9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Agreement adopted January 18, 2024.</w:t>
            </w:r>
          </w:p>
        </w:tc>
        <w:tc>
          <w:tcPr>
            <w:tcW w:w="0" w:type="dxa"/>
            <w:vAlign w:val="bottom"/>
          </w:tcPr>
          <w:p>
            <w:pPr>
              <w:spacing w:after="0"/>
              <w:rPr>
                <w:sz w:val="1"/>
                <w:szCs w:val="1"/>
                <w:color w:val="auto"/>
              </w:rPr>
            </w:pPr>
          </w:p>
        </w:tc>
      </w:tr>
      <w:tr>
        <w:trPr>
          <w:trHeight w:val="234"/>
        </w:trPr>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†*10.22</w:t>
            </w:r>
          </w:p>
        </w:tc>
        <w:tc>
          <w:tcPr>
            <w:tcW w:w="9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Form of Non-Executive Director Restricted Share Unit Award</w:t>
            </w:r>
          </w:p>
        </w:tc>
        <w:tc>
          <w:tcPr>
            <w:tcW w:w="0" w:type="dxa"/>
            <w:vAlign w:val="bottom"/>
          </w:tcPr>
          <w:p>
            <w:pPr>
              <w:spacing w:after="0"/>
              <w:rPr>
                <w:sz w:val="1"/>
                <w:szCs w:val="1"/>
                <w:color w:val="auto"/>
              </w:rPr>
            </w:pPr>
          </w:p>
        </w:tc>
      </w:tr>
      <w:tr>
        <w:trPr>
          <w:trHeight w:val="90"/>
        </w:trPr>
        <w:tc>
          <w:tcPr>
            <w:tcW w:w="1180" w:type="dxa"/>
            <w:vAlign w:val="bottom"/>
          </w:tcPr>
          <w:p>
            <w:pPr>
              <w:spacing w:after="0"/>
              <w:rPr>
                <w:sz w:val="7"/>
                <w:szCs w:val="7"/>
                <w:color w:val="auto"/>
              </w:rPr>
            </w:pPr>
          </w:p>
        </w:tc>
        <w:tc>
          <w:tcPr>
            <w:tcW w:w="9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9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adopted January 18,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101</w:t>
      </w:r>
    </w:p>
    <w:p>
      <w:pPr>
        <w:sectPr>
          <w:pgSz w:w="11900" w:h="16838" w:orient="portrait"/>
          <w:cols w:equalWidth="0" w:num="1">
            <w:col w:w="11240"/>
          </w:cols>
          <w:pgMar w:left="320" w:top="1035"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54"/>
        </w:trPr>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10.23</w:t>
            </w:r>
          </w:p>
        </w:tc>
        <w:tc>
          <w:tcPr>
            <w:tcW w:w="532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LC Credit Agreement, dated December 13, 2019 (as amended by</w:t>
            </w:r>
          </w:p>
        </w:tc>
        <w:tc>
          <w:tcPr>
            <w:tcW w:w="446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38"/>
        </w:trPr>
        <w:tc>
          <w:tcPr>
            <w:tcW w:w="1140" w:type="dxa"/>
            <w:vAlign w:val="bottom"/>
            <w:shd w:val="clear" w:color="auto" w:fill="CCEEFF"/>
          </w:tcPr>
          <w:p>
            <w:pPr>
              <w:spacing w:after="0"/>
              <w:rPr>
                <w:sz w:val="3"/>
                <w:szCs w:val="3"/>
                <w:color w:val="auto"/>
              </w:rPr>
            </w:pPr>
          </w:p>
        </w:tc>
        <w:tc>
          <w:tcPr>
            <w:tcW w:w="5320" w:type="dxa"/>
            <w:vAlign w:val="bottom"/>
            <w:vMerge w:val="continue"/>
            <w:shd w:val="clear" w:color="auto" w:fill="CCEEFF"/>
          </w:tcPr>
          <w:p>
            <w:pPr>
              <w:spacing w:after="0"/>
              <w:rPr>
                <w:sz w:val="3"/>
                <w:szCs w:val="3"/>
                <w:color w:val="auto"/>
              </w:rPr>
            </w:pPr>
          </w:p>
        </w:tc>
        <w:tc>
          <w:tcPr>
            <w:tcW w:w="4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Amendment No.1, dated August 28, 2020, included in Exhibit</w:t>
            </w:r>
          </w:p>
        </w:tc>
        <w:tc>
          <w:tcPr>
            <w:tcW w:w="4460" w:type="dxa"/>
            <w:vAlign w:val="bottom"/>
            <w:vMerge w:val="restart"/>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rPr>
              <w:t>Exhibit 10.2 of the</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16"/>
                <w:szCs w:val="16"/>
                <w:color w:val="auto"/>
              </w:rPr>
            </w:pPr>
          </w:p>
        </w:tc>
        <w:tc>
          <w:tcPr>
            <w:tcW w:w="5320" w:type="dxa"/>
            <w:vAlign w:val="bottom"/>
            <w:shd w:val="clear" w:color="auto" w:fill="CCEEFF"/>
          </w:tcPr>
          <w:p>
            <w:pPr>
              <w:ind w:left="360"/>
              <w:spacing w:after="0" w:line="189" w:lineRule="exact"/>
              <w:rPr>
                <w:sz w:val="20"/>
                <w:szCs w:val="20"/>
                <w:color w:val="auto"/>
              </w:rPr>
            </w:pPr>
            <w:r>
              <w:rPr>
                <w:rFonts w:ascii="Times New Roman" w:cs="Times New Roman" w:eastAsia="Times New Roman" w:hAnsi="Times New Roman"/>
                <w:sz w:val="18"/>
                <w:szCs w:val="18"/>
                <w:color w:val="auto"/>
              </w:rPr>
              <w:t>10.38 below), by and among Weatherford International Ltd.,</w:t>
            </w:r>
          </w:p>
        </w:tc>
        <w:tc>
          <w:tcPr>
            <w:tcW w:w="4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Weatherford International plc, Weatherford International LLC,</w:t>
            </w:r>
          </w:p>
        </w:tc>
        <w:tc>
          <w:tcPr>
            <w:tcW w:w="446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Deutsche Bank Trust Company Americas and the lenders party</w:t>
            </w:r>
          </w:p>
        </w:tc>
        <w:tc>
          <w:tcPr>
            <w:tcW w:w="446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rPr>
              <w:t>Report on Form 8-K</w:t>
            </w:r>
          </w:p>
        </w:tc>
        <w:tc>
          <w:tcPr>
            <w:tcW w:w="0" w:type="dxa"/>
            <w:vAlign w:val="bottom"/>
          </w:tcPr>
          <w:p>
            <w:pPr>
              <w:spacing w:after="0"/>
              <w:rPr>
                <w:sz w:val="1"/>
                <w:szCs w:val="1"/>
                <w:color w:val="auto"/>
              </w:rPr>
            </w:pPr>
          </w:p>
        </w:tc>
      </w:tr>
      <w:tr>
        <w:trPr>
          <w:trHeight w:val="261"/>
        </w:trPr>
        <w:tc>
          <w:tcPr>
            <w:tcW w:w="1140" w:type="dxa"/>
            <w:vAlign w:val="bottom"/>
            <w:shd w:val="clear" w:color="auto" w:fill="CCEEFF"/>
          </w:tcPr>
          <w:p>
            <w:pPr>
              <w:spacing w:after="0"/>
              <w:rPr>
                <w:sz w:val="22"/>
                <w:szCs w:val="22"/>
                <w:color w:val="auto"/>
              </w:rPr>
            </w:pPr>
          </w:p>
        </w:tc>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thereto from time to time.</w:t>
            </w:r>
          </w:p>
        </w:tc>
        <w:tc>
          <w:tcPr>
            <w:tcW w:w="4460" w:type="dxa"/>
            <w:vAlign w:val="bottom"/>
            <w:shd w:val="clear" w:color="auto" w:fill="CCEEFF"/>
          </w:tcPr>
          <w:p>
            <w:pPr>
              <w:jc w:val="center"/>
              <w:ind w:right="2050"/>
              <w:spacing w:after="0"/>
              <w:rPr>
                <w:sz w:val="20"/>
                <w:szCs w:val="20"/>
                <w:color w:val="auto"/>
              </w:rPr>
            </w:pPr>
            <w:r>
              <w:rPr>
                <w:rFonts w:ascii="Times New Roman" w:cs="Times New Roman" w:eastAsia="Times New Roman" w:hAnsi="Times New Roman"/>
                <w:sz w:val="18"/>
                <w:szCs w:val="18"/>
                <w:color w:val="auto"/>
              </w:rPr>
              <w:t>filed December 18, 2019</w:t>
            </w: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57" w:right="339" w:bottom="1440" w:gutter="0" w:footer="0" w:header="0"/>
        </w:sectPr>
      </w:pPr>
    </w:p>
    <w:p>
      <w:pPr>
        <w:ind w:left="380"/>
        <w:spacing w:after="0"/>
        <w:rPr>
          <w:sz w:val="20"/>
          <w:szCs w:val="20"/>
          <w:color w:val="auto"/>
        </w:rPr>
      </w:pPr>
      <w:r>
        <w:rPr>
          <w:rFonts w:ascii="Times New Roman" w:cs="Times New Roman" w:eastAsia="Times New Roman" w:hAnsi="Times New Roman"/>
          <w:sz w:val="17"/>
          <w:szCs w:val="17"/>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10.25</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Amendment No. 1 to LC Credit Agreement and Amendment No.</w:t>
      </w:r>
    </w:p>
    <w:p>
      <w:pPr>
        <w:spacing w:after="0" w:line="36" w:lineRule="exact"/>
        <w:rPr>
          <w:sz w:val="20"/>
          <w:szCs w:val="20"/>
          <w:color w:val="auto"/>
        </w:rPr>
      </w:pPr>
    </w:p>
    <w:p>
      <w:pPr>
        <w:ind w:left="3" w:right="20" w:hanging="3"/>
        <w:spacing w:after="0" w:line="306" w:lineRule="auto"/>
        <w:tabs>
          <w:tab w:leader="none" w:pos="18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 Security Agreement, dated August 28, 2020, by and among Weatherford International Ltd., Weatherford International plc, Weatherford International LLC, the other guarantors of the LC Credit Agreement, Deutsche Bank Trust Company Americas and the lenders under the LC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635</wp:posOffset>
            </wp:positionV>
            <wp:extent cx="6934835" cy="1002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4835" cy="1002665"/>
                    </a:xfrm>
                    <a:prstGeom prst="rect">
                      <a:avLst/>
                    </a:prstGeom>
                    <a:noFill/>
                  </pic:spPr>
                </pic:pic>
              </a:graphicData>
            </a:graphic>
          </wp:anchor>
        </w:drawing>
      </w:r>
    </w:p>
    <w:p>
      <w:pPr>
        <w:spacing w:after="0" w:line="70" w:lineRule="exact"/>
        <w:rPr>
          <w:sz w:val="20"/>
          <w:szCs w:val="20"/>
          <w:color w:val="auto"/>
        </w:rPr>
      </w:pPr>
    </w:p>
    <w:p>
      <w:pPr>
        <w:ind w:left="3"/>
        <w:spacing w:after="0" w:line="284" w:lineRule="auto"/>
        <w:rPr>
          <w:sz w:val="20"/>
          <w:szCs w:val="20"/>
          <w:color w:val="auto"/>
        </w:rPr>
      </w:pPr>
      <w:r>
        <w:rPr>
          <w:rFonts w:ascii="Times New Roman" w:cs="Times New Roman" w:eastAsia="Times New Roman" w:hAnsi="Times New Roman"/>
          <w:sz w:val="18"/>
          <w:szCs w:val="18"/>
          <w:color w:val="auto"/>
        </w:rPr>
        <w:t>Amendment No. 2 to LC Credit Agreement dated September 20, 2021, by and among Weatherford International Ltd., Weatherford International plc, Weatherford International LLC, the other guarantors party thereto, Deutsche Bank Trust Company Americas, BTA Institutional Services Australia Limited and the lenders under the LC Credit Agreement.</w:t>
      </w:r>
    </w:p>
    <w:p>
      <w:pPr>
        <w:spacing w:after="0" w:line="20" w:lineRule="exact"/>
        <w:rPr>
          <w:sz w:val="20"/>
          <w:szCs w:val="20"/>
          <w:color w:val="auto"/>
        </w:rPr>
      </w:pPr>
      <w:r>
        <w:rPr>
          <w:sz w:val="20"/>
          <w:szCs w:val="20"/>
          <w:color w:val="auto"/>
        </w:rPr>
        <w:br w:type="column"/>
      </w:r>
    </w:p>
    <w:p>
      <w:pPr>
        <w:jc w:val="right"/>
        <w:ind w:right="580"/>
        <w:spacing w:after="0"/>
        <w:rPr>
          <w:sz w:val="20"/>
          <w:szCs w:val="20"/>
          <w:color w:val="auto"/>
        </w:rPr>
      </w:pPr>
      <w:r>
        <w:rPr>
          <w:rFonts w:ascii="Times New Roman" w:cs="Times New Roman" w:eastAsia="Times New Roman" w:hAnsi="Times New Roman"/>
          <w:sz w:val="18"/>
          <w:szCs w:val="18"/>
          <w:color w:val="auto"/>
        </w:rPr>
        <w:t>File No. 1-36504</w:t>
      </w:r>
    </w:p>
    <w:p>
      <w:pPr>
        <w:spacing w:after="0" w:line="200" w:lineRule="exact"/>
        <w:rPr>
          <w:sz w:val="20"/>
          <w:szCs w:val="20"/>
          <w:color w:val="auto"/>
        </w:rPr>
      </w:pPr>
    </w:p>
    <w:p>
      <w:pPr>
        <w:spacing w:after="0" w:line="2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10.1 of the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Company’s Current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Report on Form 8-K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filed August 28, 2020</w:t>
      </w:r>
    </w:p>
    <w:p>
      <w:pPr>
        <w:spacing w:after="0" w:line="58" w:lineRule="exact"/>
        <w:rPr>
          <w:sz w:val="20"/>
          <w:szCs w:val="20"/>
          <w:color w:val="auto"/>
        </w:rPr>
      </w:pPr>
    </w:p>
    <w:p>
      <w:pPr>
        <w:ind w:left="12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17" w:lineRule="auto"/>
        <w:rPr>
          <w:sz w:val="20"/>
          <w:szCs w:val="20"/>
          <w:color w:val="auto"/>
        </w:rPr>
      </w:pPr>
      <w:r>
        <w:rPr>
          <w:rFonts w:ascii="Times New Roman" w:cs="Times New Roman" w:eastAsia="Times New Roman" w:hAnsi="Times New Roman"/>
          <w:sz w:val="17"/>
          <w:szCs w:val="17"/>
          <w:color w:val="auto"/>
        </w:rPr>
        <w:t>Current Report on Form 8-K filed</w:t>
      </w:r>
    </w:p>
    <w:p>
      <w:pPr>
        <w:spacing w:after="0" w:line="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on September 20, 2021</w:t>
      </w:r>
    </w:p>
    <w:p>
      <w:pPr>
        <w:spacing w:after="0" w:line="987" w:lineRule="exact"/>
        <w:rPr>
          <w:sz w:val="20"/>
          <w:szCs w:val="20"/>
          <w:color w:val="auto"/>
        </w:rPr>
      </w:pPr>
    </w:p>
    <w:p>
      <w:pPr>
        <w:sectPr>
          <w:pgSz w:w="11900" w:h="16838" w:orient="portrait"/>
          <w:cols w:equalWidth="0" w:num="3">
            <w:col w:w="780" w:space="717"/>
            <w:col w:w="4703" w:space="200"/>
            <w:col w:w="4840"/>
          </w:cols>
          <w:pgMar w:left="320" w:top="1057" w:right="339" w:bottom="1440" w:gutter="0" w:footer="0" w:header="0"/>
          <w:type w:val="continuous"/>
        </w:sectPr>
      </w:pPr>
    </w:p>
    <w:tbl>
      <w:tblPr>
        <w:tblLayout w:type="fixed"/>
        <w:tblInd w:w="380" w:type="dxa"/>
        <w:tblCellMar>
          <w:top w:w="0" w:type="dxa"/>
          <w:left w:w="0" w:type="dxa"/>
          <w:bottom w:w="0" w:type="dxa"/>
          <w:right w:w="0" w:type="dxa"/>
        </w:tblCellMar>
      </w:tblPr>
      <w:tr>
        <w:trPr>
          <w:trHeight w:val="234"/>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10.26</w:t>
            </w:r>
          </w:p>
        </w:tc>
        <w:tc>
          <w:tcPr>
            <w:tcW w:w="5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Amended and Restated Credit Agreement, dated October 17,</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5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2022, by and among Weatherford International Ltd., Weatherford</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LLC, Weatherford International plc, Wells Fargo</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National Association, as administrative agent, and the</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lenders party thereto from time to time.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2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17" w:lineRule="auto"/>
        <w:rPr>
          <w:sz w:val="20"/>
          <w:szCs w:val="20"/>
          <w:color w:val="auto"/>
        </w:rPr>
      </w:pPr>
      <w:r>
        <w:rPr>
          <w:rFonts w:ascii="Times New Roman" w:cs="Times New Roman" w:eastAsia="Times New Roman" w:hAnsi="Times New Roman"/>
          <w:sz w:val="17"/>
          <w:szCs w:val="17"/>
          <w:color w:val="auto"/>
        </w:rPr>
        <w:t>Current Report on Form 8-K filed</w:t>
      </w:r>
    </w:p>
    <w:p>
      <w:pPr>
        <w:spacing w:after="0" w:line="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on October 18, 2022</w:t>
      </w:r>
    </w:p>
    <w:p>
      <w:pPr>
        <w:spacing w:after="0" w:line="740" w:lineRule="exact"/>
        <w:rPr>
          <w:sz w:val="20"/>
          <w:szCs w:val="20"/>
          <w:color w:val="auto"/>
        </w:rPr>
      </w:pPr>
    </w:p>
    <w:p>
      <w:pPr>
        <w:sectPr>
          <w:pgSz w:w="11900" w:h="16838" w:orient="portrait"/>
          <w:cols w:equalWidth="0" w:num="2">
            <w:col w:w="6200" w:space="200"/>
            <w:col w:w="4840"/>
          </w:cols>
          <w:pgMar w:left="320" w:top="1057" w:right="33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10.27</w:t>
            </w:r>
          </w:p>
        </w:tc>
        <w:tc>
          <w:tcPr>
            <w:tcW w:w="5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First Amendment to Amended and Restated Credit Agreement,</w:t>
            </w:r>
          </w:p>
        </w:tc>
        <w:tc>
          <w:tcPr>
            <w:tcW w:w="2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Exhibit 10.1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5080" w:type="dxa"/>
            <w:vAlign w:val="bottom"/>
            <w:vMerge w:val="continue"/>
          </w:tcPr>
          <w:p>
            <w:pPr>
              <w:spacing w:after="0"/>
              <w:rPr>
                <w:sz w:val="12"/>
                <w:szCs w:val="12"/>
                <w:color w:val="auto"/>
              </w:rPr>
            </w:pPr>
          </w:p>
        </w:tc>
        <w:tc>
          <w:tcPr>
            <w:tcW w:w="2920" w:type="dxa"/>
            <w:vAlign w:val="bottom"/>
            <w:vMerge w:val="restart"/>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5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dated as of November 22, 2022, by and among Weatherford</w:t>
            </w:r>
          </w:p>
        </w:tc>
        <w:tc>
          <w:tcPr>
            <w:tcW w:w="2920" w:type="dxa"/>
            <w:vAlign w:val="bottom"/>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5080" w:type="dxa"/>
            <w:vAlign w:val="bottom"/>
            <w:vMerge w:val="continue"/>
          </w:tcPr>
          <w:p>
            <w:pPr>
              <w:spacing w:after="0"/>
              <w:rPr>
                <w:sz w:val="20"/>
                <w:szCs w:val="20"/>
                <w:color w:val="auto"/>
              </w:rPr>
            </w:pPr>
          </w:p>
        </w:tc>
        <w:tc>
          <w:tcPr>
            <w:tcW w:w="2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on November 28, 2022</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6934835" cy="857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835" cy="85725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International Ltd., Weatherford International, LLC, Weatherford</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Canada Ltd., Weatherford International plc and Wells Fargo</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p>
      <w:pPr>
        <w:sectPr>
          <w:pgSz w:w="11900" w:h="16838" w:orient="portrait"/>
          <w:cols w:equalWidth="0" w:num="1">
            <w:col w:w="11240"/>
          </w:cols>
          <w:pgMar w:left="320" w:top="1057" w:right="339" w:bottom="1440" w:gutter="0" w:footer="0" w:header="0"/>
          <w:type w:val="continuous"/>
        </w:sectPr>
      </w:pP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10.28</w:t>
            </w:r>
          </w:p>
        </w:tc>
        <w:tc>
          <w:tcPr>
            <w:tcW w:w="4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99"/>
              </w:rPr>
              <w:t>Additional Lender Supplement, dated as of November 22, 2022,</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4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and among Weatherford International Ltd., Weatherford</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LLC, Weatherford International plc, ATB</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and Wells Fargo Bank, National Association, as</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2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10.2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17" w:lineRule="auto"/>
        <w:rPr>
          <w:sz w:val="20"/>
          <w:szCs w:val="20"/>
          <w:color w:val="auto"/>
        </w:rPr>
      </w:pPr>
      <w:r>
        <w:rPr>
          <w:rFonts w:ascii="Times New Roman" w:cs="Times New Roman" w:eastAsia="Times New Roman" w:hAnsi="Times New Roman"/>
          <w:sz w:val="17"/>
          <w:szCs w:val="17"/>
          <w:color w:val="auto"/>
        </w:rPr>
        <w:t>Current Report on Form 8-K filed</w:t>
      </w:r>
    </w:p>
    <w:p>
      <w:pPr>
        <w:spacing w:after="0" w:line="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on November 28, 2022</w:t>
      </w:r>
    </w:p>
    <w:p>
      <w:pPr>
        <w:spacing w:after="0" w:line="713" w:lineRule="exact"/>
        <w:rPr>
          <w:sz w:val="20"/>
          <w:szCs w:val="20"/>
          <w:color w:val="auto"/>
        </w:rPr>
      </w:pPr>
    </w:p>
    <w:p>
      <w:pPr>
        <w:sectPr>
          <w:pgSz w:w="11900" w:h="16838" w:orient="portrait"/>
          <w:cols w:equalWidth="0" w:num="2">
            <w:col w:w="6120" w:space="280"/>
            <w:col w:w="4840"/>
          </w:cols>
          <w:pgMar w:left="320" w:top="1057" w:right="339" w:bottom="1440" w:gutter="0" w:footer="0" w:header="0"/>
          <w:type w:val="continuous"/>
        </w:sectPr>
      </w:pPr>
    </w:p>
    <w:tbl>
      <w:tblPr>
        <w:tblLayout w:type="fixed"/>
        <w:tblInd w:w="380" w:type="dxa"/>
        <w:tblCellMar>
          <w:top w:w="0" w:type="dxa"/>
          <w:left w:w="0" w:type="dxa"/>
          <w:bottom w:w="0" w:type="dxa"/>
          <w:right w:w="0" w:type="dxa"/>
        </w:tblCellMar>
      </w:tblPr>
      <w:tr>
        <w:trPr>
          <w:trHeight w:val="207"/>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10.29</w:t>
            </w:r>
          </w:p>
        </w:tc>
        <w:tc>
          <w:tcPr>
            <w:tcW w:w="5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Canadian Borrower Joinder, dated as of November 22, 2022, by</w:t>
            </w:r>
          </w:p>
        </w:tc>
        <w:tc>
          <w:tcPr>
            <w:tcW w:w="2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10.3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5100" w:type="dxa"/>
            <w:vAlign w:val="bottom"/>
            <w:vMerge w:val="continue"/>
          </w:tcPr>
          <w:p>
            <w:pPr>
              <w:spacing w:after="0"/>
              <w:rPr>
                <w:sz w:val="12"/>
                <w:szCs w:val="12"/>
                <w:color w:val="auto"/>
              </w:rPr>
            </w:pPr>
          </w:p>
        </w:tc>
        <w:tc>
          <w:tcPr>
            <w:tcW w:w="2900" w:type="dxa"/>
            <w:vAlign w:val="bottom"/>
            <w:vMerge w:val="restart"/>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5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Weatherford Canada Ltd. and delivered to Wells Fargo Bank,</w:t>
            </w:r>
          </w:p>
        </w:tc>
        <w:tc>
          <w:tcPr>
            <w:tcW w:w="2900" w:type="dxa"/>
            <w:vAlign w:val="bottom"/>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5100" w:type="dxa"/>
            <w:vAlign w:val="bottom"/>
            <w:vMerge w:val="continue"/>
          </w:tcPr>
          <w:p>
            <w:pPr>
              <w:spacing w:after="0"/>
              <w:rPr>
                <w:sz w:val="20"/>
                <w:szCs w:val="20"/>
                <w:color w:val="auto"/>
              </w:rPr>
            </w:pP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on November 28, 2022</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6934835"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4835" cy="54864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National Association, as administrative agent.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102</w:t>
      </w:r>
    </w:p>
    <w:p>
      <w:pPr>
        <w:sectPr>
          <w:pgSz w:w="11900" w:h="16838" w:orient="portrait"/>
          <w:cols w:equalWidth="0" w:num="1">
            <w:col w:w="11240"/>
          </w:cols>
          <w:pgMar w:left="320" w:top="1057" w:right="339" w:bottom="1440" w:gutter="0" w:footer="0" w:header="0"/>
          <w:type w:val="continuous"/>
        </w:sectPr>
      </w:pPr>
    </w:p>
    <w:bookmarkStart w:id="106" w:name="page107"/>
    <w:bookmarkEnd w:id="106"/>
    <w:tbl>
      <w:tblPr>
        <w:tblLayout w:type="fixed"/>
        <w:tblInd w:w="380" w:type="dxa"/>
        <w:tblCellMar>
          <w:top w:w="0" w:type="dxa"/>
          <w:left w:w="0" w:type="dxa"/>
          <w:bottom w:w="0" w:type="dxa"/>
          <w:right w:w="0" w:type="dxa"/>
        </w:tblCellMar>
      </w:tblPr>
      <w:tr>
        <w:trPr>
          <w:trHeight w:val="234"/>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10.30</w:t>
            </w:r>
          </w:p>
        </w:tc>
        <w:tc>
          <w:tcPr>
            <w:tcW w:w="49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Second Amendment to Amended and Restated Credit</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4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 dated as of January 6, 2023 by and among</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Weatherford International Ltd., Weatherford International, LLC,</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Weatherford Canada Ltd., and Wells Fargo Bank, National</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Association, as 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60"/>
        <w:spacing w:after="0"/>
        <w:tabs>
          <w:tab w:leader="none" w:pos="3000" w:val="left"/>
        </w:tabs>
        <w:rPr>
          <w:sz w:val="20"/>
          <w:szCs w:val="20"/>
          <w:color w:val="auto"/>
        </w:rPr>
      </w:pPr>
      <w:r>
        <w:rPr>
          <w:rFonts w:ascii="Times New Roman" w:cs="Times New Roman" w:eastAsia="Times New Roman" w:hAnsi="Times New Roman"/>
          <w:sz w:val="18"/>
          <w:szCs w:val="18"/>
          <w:color w:val="auto"/>
        </w:rPr>
        <w:t>Exhibit 10.44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20"/>
        <w:spacing w:after="0" w:line="205" w:lineRule="auto"/>
        <w:rPr>
          <w:sz w:val="20"/>
          <w:szCs w:val="20"/>
          <w:color w:val="auto"/>
        </w:rPr>
      </w:pPr>
      <w:r>
        <w:rPr>
          <w:rFonts w:ascii="Times New Roman" w:cs="Times New Roman" w:eastAsia="Times New Roman" w:hAnsi="Times New Roman"/>
          <w:sz w:val="18"/>
          <w:szCs w:val="18"/>
          <w:color w:val="auto"/>
        </w:rPr>
        <w:t>Annual Report on Form 10-K for</w:t>
      </w:r>
    </w:p>
    <w:p>
      <w:pPr>
        <w:ind w:left="160"/>
        <w:spacing w:after="0" w:line="204" w:lineRule="auto"/>
        <w:rPr>
          <w:sz w:val="20"/>
          <w:szCs w:val="20"/>
          <w:color w:val="auto"/>
        </w:rPr>
      </w:pPr>
      <w:r>
        <w:rPr>
          <w:rFonts w:ascii="Times New Roman" w:cs="Times New Roman" w:eastAsia="Times New Roman" w:hAnsi="Times New Roman"/>
          <w:sz w:val="18"/>
          <w:szCs w:val="18"/>
          <w:color w:val="auto"/>
        </w:rPr>
        <w:t>the year ended December 31,</w:t>
      </w:r>
    </w:p>
    <w:p>
      <w:pPr>
        <w:ind w:left="180"/>
        <w:spacing w:after="0"/>
        <w:rPr>
          <w:sz w:val="20"/>
          <w:szCs w:val="20"/>
          <w:color w:val="auto"/>
        </w:rPr>
      </w:pPr>
      <w:r>
        <w:rPr>
          <w:rFonts w:ascii="Times New Roman" w:cs="Times New Roman" w:eastAsia="Times New Roman" w:hAnsi="Times New Roman"/>
          <w:sz w:val="18"/>
          <w:szCs w:val="18"/>
          <w:color w:val="auto"/>
        </w:rPr>
        <w:t>2022, filed February 8, 2023</w:t>
      </w:r>
    </w:p>
    <w:p>
      <w:pPr>
        <w:spacing w:after="0" w:line="565" w:lineRule="exact"/>
        <w:rPr>
          <w:sz w:val="20"/>
          <w:szCs w:val="20"/>
          <w:color w:val="auto"/>
        </w:rPr>
      </w:pPr>
    </w:p>
    <w:p>
      <w:pPr>
        <w:sectPr>
          <w:pgSz w:w="11900" w:h="16838" w:orient="portrait"/>
          <w:cols w:equalWidth="0" w:num="2">
            <w:col w:w="6120" w:space="300"/>
            <w:col w:w="4820"/>
          </w:cols>
          <w:pgMar w:left="320" w:top="1053" w:right="339" w:bottom="1440" w:gutter="0" w:footer="0" w:header="0"/>
        </w:sectPr>
      </w:pPr>
    </w:p>
    <w:tbl>
      <w:tblPr>
        <w:tblLayout w:type="fixed"/>
        <w:tblInd w:w="380" w:type="dxa"/>
        <w:tblCellMar>
          <w:top w:w="0" w:type="dxa"/>
          <w:left w:w="0" w:type="dxa"/>
          <w:bottom w:w="0" w:type="dxa"/>
          <w:right w:w="0" w:type="dxa"/>
        </w:tblCellMar>
      </w:tblPr>
      <w:tr>
        <w:trPr>
          <w:trHeight w:val="207"/>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10.31</w:t>
            </w:r>
          </w:p>
        </w:tc>
        <w:tc>
          <w:tcPr>
            <w:tcW w:w="51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Third Amendment to Amended and Restated Credit Agreement,</w:t>
            </w:r>
          </w:p>
        </w:tc>
        <w:tc>
          <w:tcPr>
            <w:tcW w:w="2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Exhibit 10.1 of the Company’s</w:t>
            </w: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File No. 1-36504</w:t>
            </w: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2880" w:type="dxa"/>
            <w:vAlign w:val="bottom"/>
            <w:vMerge w:val="restart"/>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Current Report on Form 8-K filed</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51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dated as of March 24, 2023, by and among Weatherford</w:t>
            </w:r>
          </w:p>
        </w:tc>
        <w:tc>
          <w:tcPr>
            <w:tcW w:w="2880" w:type="dxa"/>
            <w:vAlign w:val="bottom"/>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60" w:type="dxa"/>
            <w:vAlign w:val="bottom"/>
          </w:tcPr>
          <w:p>
            <w:pPr>
              <w:spacing w:after="0"/>
              <w:rPr>
                <w:sz w:val="20"/>
                <w:szCs w:val="20"/>
                <w:color w:val="auto"/>
              </w:rPr>
            </w:pPr>
          </w:p>
        </w:tc>
        <w:tc>
          <w:tcPr>
            <w:tcW w:w="5120" w:type="dxa"/>
            <w:vAlign w:val="bottom"/>
            <w:vMerge w:val="continue"/>
          </w:tcPr>
          <w:p>
            <w:pPr>
              <w:spacing w:after="0"/>
              <w:rPr>
                <w:sz w:val="20"/>
                <w:szCs w:val="20"/>
                <w:color w:val="auto"/>
              </w:rPr>
            </w:pPr>
          </w:p>
        </w:tc>
        <w:tc>
          <w:tcPr>
            <w:tcW w:w="2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March 24, 2023</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6934835" cy="857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4835" cy="85725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International Ltd., Weatherford International, LLC, Weatherford</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Canada Ltd., Weatherford International plc and Wells Fargo</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p>
      <w:pPr>
        <w:sectPr>
          <w:pgSz w:w="11900" w:h="16838" w:orient="portrait"/>
          <w:cols w:equalWidth="0" w:num="1">
            <w:col w:w="11240"/>
          </w:cols>
          <w:pgMar w:left="320" w:top="1053" w:right="339" w:bottom="1440" w:gutter="0" w:footer="0" w:header="0"/>
          <w:type w:val="continuous"/>
        </w:sectPr>
      </w:pP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10.32</w:t>
            </w:r>
          </w:p>
        </w:tc>
        <w:tc>
          <w:tcPr>
            <w:tcW w:w="50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99"/>
              </w:rPr>
              <w:t>Fourth Amendment to Amended and Restated Credit Agreement,</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5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dated as of October 24, 2023, by and among Weatherford</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Ltd., Weatherford International, LLC, Weatherford</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 Ltd. WOFS International Finance GmbH, Weatherford</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plc, the lenders party thereto and Wells Fargo</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20"/>
        <w:spacing w:after="0"/>
        <w:tabs>
          <w:tab w:leader="none" w:pos="3020" w:val="left"/>
        </w:tabs>
        <w:rPr>
          <w:sz w:val="20"/>
          <w:szCs w:val="20"/>
          <w:color w:val="auto"/>
        </w:rPr>
      </w:pPr>
      <w:r>
        <w:rPr>
          <w:rFonts w:ascii="Times New Roman" w:cs="Times New Roman" w:eastAsia="Times New Roman" w:hAnsi="Times New Roman"/>
          <w:sz w:val="18"/>
          <w:szCs w:val="18"/>
          <w:color w:val="auto"/>
        </w:rPr>
        <w:t>Exhibit 10.1 of the Company’s</w:t>
      </w:r>
      <w:r>
        <w:rPr>
          <w:sz w:val="20"/>
          <w:szCs w:val="20"/>
          <w:color w:val="auto"/>
        </w:rPr>
        <w:tab/>
      </w:r>
      <w:r>
        <w:rPr>
          <w:rFonts w:ascii="Times New Roman" w:cs="Times New Roman" w:eastAsia="Times New Roman" w:hAnsi="Times New Roman"/>
          <w:sz w:val="17"/>
          <w:szCs w:val="17"/>
          <w:color w:val="auto"/>
        </w:rPr>
        <w:t>File No. 1-36504</w:t>
      </w:r>
    </w:p>
    <w:p>
      <w:pPr>
        <w:jc w:val="center"/>
        <w:ind w:right="2400"/>
        <w:spacing w:after="0" w:line="217" w:lineRule="auto"/>
        <w:rPr>
          <w:sz w:val="20"/>
          <w:szCs w:val="20"/>
          <w:color w:val="auto"/>
        </w:rPr>
      </w:pPr>
      <w:r>
        <w:rPr>
          <w:rFonts w:ascii="Times New Roman" w:cs="Times New Roman" w:eastAsia="Times New Roman" w:hAnsi="Times New Roman"/>
          <w:sz w:val="17"/>
          <w:szCs w:val="17"/>
          <w:color w:val="auto"/>
        </w:rPr>
        <w:t>Current Report on Form 8-K filed</w:t>
      </w:r>
    </w:p>
    <w:p>
      <w:pPr>
        <w:spacing w:after="0" w:line="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October 24, 2023</w:t>
      </w:r>
    </w:p>
    <w:p>
      <w:pPr>
        <w:spacing w:after="0" w:line="965" w:lineRule="exact"/>
        <w:rPr>
          <w:sz w:val="20"/>
          <w:szCs w:val="20"/>
          <w:color w:val="auto"/>
        </w:rPr>
      </w:pPr>
    </w:p>
    <w:p>
      <w:pPr>
        <w:sectPr>
          <w:pgSz w:w="11900" w:h="16838" w:orient="portrait"/>
          <w:cols w:equalWidth="0" w:num="2">
            <w:col w:w="6200" w:space="200"/>
            <w:col w:w="4840"/>
          </w:cols>
          <w:pgMar w:left="320" w:top="1053"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52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Fifth Amendment to Amended and Restated Credit Agreement,</w:t>
            </w:r>
          </w:p>
        </w:tc>
        <w:tc>
          <w:tcPr>
            <w:tcW w:w="256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1160" w:type="dxa"/>
            <w:vAlign w:val="bottom"/>
            <w:shd w:val="clear" w:color="auto" w:fill="CCEEFF"/>
          </w:tcPr>
          <w:p>
            <w:pPr>
              <w:spacing w:after="0"/>
              <w:rPr>
                <w:sz w:val="6"/>
                <w:szCs w:val="6"/>
                <w:color w:val="auto"/>
              </w:rPr>
            </w:pPr>
          </w:p>
        </w:tc>
        <w:tc>
          <w:tcPr>
            <w:tcW w:w="5260" w:type="dxa"/>
            <w:vAlign w:val="bottom"/>
            <w:vMerge w:val="continue"/>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spacing w:after="0"/>
              <w:rPr>
                <w:sz w:val="21"/>
                <w:szCs w:val="21"/>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dated as of December 20, 2023, by and among Weatherford</w:t>
            </w:r>
          </w:p>
        </w:tc>
        <w:tc>
          <w:tcPr>
            <w:tcW w:w="25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rPr>
                <w:sz w:val="20"/>
                <w:szCs w:val="20"/>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Ltd., Weatherford International, LLC, Weatherford</w:t>
            </w:r>
          </w:p>
        </w:tc>
        <w:tc>
          <w:tcPr>
            <w:tcW w:w="25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spacing w:after="0"/>
              <w:rPr>
                <w:sz w:val="20"/>
                <w:szCs w:val="20"/>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Canada Ltd. WOFS International Finance GmbH, Weatherford</w:t>
            </w:r>
          </w:p>
        </w:tc>
        <w:tc>
          <w:tcPr>
            <w:tcW w:w="25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spacing w:after="0"/>
              <w:rPr>
                <w:sz w:val="21"/>
                <w:szCs w:val="21"/>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plc, the lenders party thereto and Wells Fargo</w:t>
            </w:r>
          </w:p>
        </w:tc>
        <w:tc>
          <w:tcPr>
            <w:tcW w:w="25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160" w:type="dxa"/>
            <w:vAlign w:val="bottom"/>
            <w:tcBorders>
              <w:bottom w:val="single" w:sz="8" w:color="CCEEFF"/>
            </w:tcBorders>
            <w:shd w:val="clear" w:color="auto" w:fill="CCEEFF"/>
          </w:tcPr>
          <w:p>
            <w:pPr>
              <w:spacing w:after="0"/>
              <w:rPr>
                <w:sz w:val="24"/>
                <w:szCs w:val="24"/>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National Association, as administrative agent.</w:t>
            </w:r>
          </w:p>
        </w:tc>
        <w:tc>
          <w:tcPr>
            <w:tcW w:w="256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52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Intercreditor Agreement by and between Wells Fargo Bank,</w:t>
            </w:r>
          </w:p>
        </w:tc>
        <w:tc>
          <w:tcPr>
            <w:tcW w:w="25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Exhibit 10.3 of the</w:t>
            </w:r>
          </w:p>
        </w:tc>
        <w:tc>
          <w:tcPr>
            <w:tcW w:w="1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5260" w:type="dxa"/>
            <w:vAlign w:val="bottom"/>
            <w:vMerge w:val="continue"/>
          </w:tcPr>
          <w:p>
            <w:pPr>
              <w:spacing w:after="0"/>
              <w:rPr>
                <w:sz w:val="7"/>
                <w:szCs w:val="7"/>
                <w:color w:val="auto"/>
              </w:rPr>
            </w:pPr>
          </w:p>
        </w:tc>
        <w:tc>
          <w:tcPr>
            <w:tcW w:w="256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 Deutsche Bank Trust Company Americas, Weatherford</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International plc and the grantors party there to from time to</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Report on Form 8-K</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 dated December 13, 2019.</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filed December 18, 2019</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52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52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Intercreditor Agreement, dated August 28, 2020, by and among</w:t>
            </w:r>
          </w:p>
        </w:tc>
        <w:tc>
          <w:tcPr>
            <w:tcW w:w="2560" w:type="dxa"/>
            <w:vAlign w:val="bottom"/>
            <w:shd w:val="clear" w:color="auto" w:fill="CCEEFF"/>
          </w:tcPr>
          <w:p>
            <w:pPr>
              <w:spacing w:after="0"/>
              <w:rPr>
                <w:sz w:val="20"/>
                <w:szCs w:val="20"/>
                <w:color w:val="auto"/>
              </w:rPr>
            </w:pPr>
          </w:p>
        </w:tc>
        <w:tc>
          <w:tcPr>
            <w:tcW w:w="1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0"/>
        </w:trPr>
        <w:tc>
          <w:tcPr>
            <w:tcW w:w="1160" w:type="dxa"/>
            <w:vAlign w:val="bottom"/>
            <w:shd w:val="clear" w:color="auto" w:fill="CCEEFF"/>
          </w:tcPr>
          <w:p>
            <w:pPr>
              <w:spacing w:after="0"/>
              <w:rPr>
                <w:sz w:val="7"/>
                <w:szCs w:val="7"/>
                <w:color w:val="auto"/>
              </w:rPr>
            </w:pPr>
          </w:p>
        </w:tc>
        <w:tc>
          <w:tcPr>
            <w:tcW w:w="5260" w:type="dxa"/>
            <w:vAlign w:val="bottom"/>
            <w:vMerge w:val="continue"/>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spacing w:after="0"/>
              <w:rPr>
                <w:sz w:val="21"/>
                <w:szCs w:val="21"/>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Deutsche Bank Trust Company Americas, Wilmington Trust</w:t>
            </w:r>
          </w:p>
        </w:tc>
        <w:tc>
          <w:tcPr>
            <w:tcW w:w="25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Exhibit 10.3 of the</w:t>
            </w: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60" w:type="dxa"/>
            <w:vAlign w:val="bottom"/>
            <w:shd w:val="clear" w:color="auto" w:fill="CCEEFF"/>
          </w:tcPr>
          <w:p>
            <w:pPr>
              <w:spacing w:after="0"/>
              <w:rPr>
                <w:sz w:val="20"/>
                <w:szCs w:val="20"/>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National Association, BTA Institutional Services Australia</w:t>
            </w:r>
          </w:p>
        </w:tc>
        <w:tc>
          <w:tcPr>
            <w:tcW w:w="25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shd w:val="clear" w:color="auto" w:fill="CCEEFF"/>
          </w:tcPr>
          <w:p>
            <w:pPr>
              <w:spacing w:after="0"/>
              <w:rPr>
                <w:sz w:val="21"/>
                <w:szCs w:val="21"/>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Limited, Weatherford International plc and the other grantors</w:t>
            </w:r>
          </w:p>
        </w:tc>
        <w:tc>
          <w:tcPr>
            <w:tcW w:w="25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Report on Form 8-K</w:t>
            </w: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spacing w:after="0"/>
              <w:rPr>
                <w:sz w:val="20"/>
                <w:szCs w:val="20"/>
                <w:color w:val="auto"/>
              </w:rPr>
            </w:pPr>
          </w:p>
        </w:tc>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parties there to from time to time.</w:t>
            </w:r>
          </w:p>
        </w:tc>
        <w:tc>
          <w:tcPr>
            <w:tcW w:w="25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filed August 28, 2020</w:t>
            </w: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160" w:type="dxa"/>
            <w:vAlign w:val="bottom"/>
            <w:shd w:val="clear" w:color="auto" w:fill="CCEEFF"/>
          </w:tcPr>
          <w:p>
            <w:pPr>
              <w:spacing w:after="0"/>
              <w:rPr>
                <w:sz w:val="5"/>
                <w:szCs w:val="5"/>
                <w:color w:val="auto"/>
              </w:rPr>
            </w:pPr>
          </w:p>
        </w:tc>
        <w:tc>
          <w:tcPr>
            <w:tcW w:w="526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53" w:right="339" w:bottom="1440" w:gutter="0" w:footer="0" w:header="0"/>
          <w:type w:val="continuous"/>
        </w:sectPr>
      </w:pPr>
    </w:p>
    <w:tbl>
      <w:tblPr>
        <w:tblLayout w:type="fixed"/>
        <w:tblInd w:w="380" w:type="dxa"/>
        <w:tblCellMar>
          <w:top w:w="0" w:type="dxa"/>
          <w:left w:w="0" w:type="dxa"/>
          <w:bottom w:w="0" w:type="dxa"/>
          <w:right w:w="0" w:type="dxa"/>
        </w:tblCellMar>
      </w:tblPr>
      <w:tr>
        <w:trPr>
          <w:trHeight w:val="234"/>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10.36</w:t>
            </w:r>
          </w:p>
        </w:tc>
        <w:tc>
          <w:tcPr>
            <w:tcW w:w="48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99"/>
              </w:rPr>
              <w:t>Purchase Agreement dated September 21, 2021, by and among</w:t>
            </w:r>
          </w:p>
        </w:tc>
        <w:tc>
          <w:tcPr>
            <w:tcW w:w="0" w:type="dxa"/>
            <w:vAlign w:val="bottom"/>
          </w:tcPr>
          <w:p>
            <w:pPr>
              <w:spacing w:after="0"/>
              <w:rPr>
                <w:sz w:val="1"/>
                <w:szCs w:val="1"/>
                <w:color w:val="auto"/>
              </w:rPr>
            </w:pPr>
          </w:p>
        </w:tc>
      </w:tr>
      <w:tr>
        <w:trPr>
          <w:trHeight w:val="90"/>
        </w:trPr>
        <w:tc>
          <w:tcPr>
            <w:tcW w:w="76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Weatherford International Ltd., as issuer, the guarantors party</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thereto, the initial purchasers party thereto and Deutsche Bank</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Inc., as representative of the initial purchasers.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00"/>
        <w:spacing w:after="0"/>
        <w:tabs>
          <w:tab w:leader="none" w:pos="3000" w:val="left"/>
        </w:tabs>
        <w:rPr>
          <w:sz w:val="20"/>
          <w:szCs w:val="20"/>
          <w:color w:val="auto"/>
        </w:rPr>
      </w:pPr>
      <w:r>
        <w:rPr>
          <w:rFonts w:ascii="Times New Roman" w:cs="Times New Roman" w:eastAsia="Times New Roman" w:hAnsi="Times New Roman"/>
          <w:sz w:val="18"/>
          <w:szCs w:val="18"/>
          <w:color w:val="auto"/>
        </w:rPr>
        <w:t>Exhibit 10.2 of the Company’s</w:t>
      </w:r>
      <w:r>
        <w:rPr>
          <w:sz w:val="20"/>
          <w:szCs w:val="20"/>
          <w:color w:val="auto"/>
        </w:rPr>
        <w:tab/>
      </w:r>
      <w:r>
        <w:rPr>
          <w:rFonts w:ascii="Times New Roman" w:cs="Times New Roman" w:eastAsia="Times New Roman" w:hAnsi="Times New Roman"/>
          <w:sz w:val="17"/>
          <w:szCs w:val="17"/>
          <w:color w:val="auto"/>
        </w:rPr>
        <w:t>File No. 1-36504</w:t>
      </w:r>
    </w:p>
    <w:p>
      <w:pPr>
        <w:ind w:left="60"/>
        <w:spacing w:after="0" w:line="204" w:lineRule="auto"/>
        <w:rPr>
          <w:sz w:val="20"/>
          <w:szCs w:val="20"/>
          <w:color w:val="auto"/>
        </w:rPr>
      </w:pPr>
      <w:r>
        <w:rPr>
          <w:rFonts w:ascii="Times New Roman" w:cs="Times New Roman" w:eastAsia="Times New Roman" w:hAnsi="Times New Roman"/>
          <w:sz w:val="18"/>
          <w:szCs w:val="18"/>
          <w:color w:val="auto"/>
        </w:rPr>
        <w:t>Quarterly Report on Form 10-Q</w:t>
      </w:r>
    </w:p>
    <w:p>
      <w:pPr>
        <w:ind w:left="40"/>
        <w:spacing w:after="0" w:line="203" w:lineRule="auto"/>
        <w:rPr>
          <w:sz w:val="20"/>
          <w:szCs w:val="20"/>
          <w:color w:val="auto"/>
        </w:rPr>
      </w:pPr>
      <w:r>
        <w:rPr>
          <w:rFonts w:ascii="Times New Roman" w:cs="Times New Roman" w:eastAsia="Times New Roman" w:hAnsi="Times New Roman"/>
          <w:sz w:val="18"/>
          <w:szCs w:val="18"/>
          <w:color w:val="auto"/>
        </w:rPr>
        <w:t>for the period ending September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2021 filed November 2, 2021</w:t>
      </w:r>
    </w:p>
    <w:p>
      <w:pPr>
        <w:spacing w:after="0" w:line="477" w:lineRule="exact"/>
        <w:rPr>
          <w:sz w:val="20"/>
          <w:szCs w:val="20"/>
          <w:color w:val="auto"/>
        </w:rPr>
      </w:pPr>
    </w:p>
    <w:p>
      <w:pPr>
        <w:sectPr>
          <w:pgSz w:w="11900" w:h="16838" w:orient="portrait"/>
          <w:cols w:equalWidth="0" w:num="2">
            <w:col w:w="6020" w:space="400"/>
            <w:col w:w="4820"/>
          </w:cols>
          <w:pgMar w:left="320" w:top="10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color w:val="auto"/>
        </w:rPr>
        <w:t>Weatherford International plc – 2023 Form 10-K | 103</w:t>
      </w:r>
    </w:p>
    <w:p>
      <w:pPr>
        <w:sectPr>
          <w:pgSz w:w="11900" w:h="16838" w:orient="portrait"/>
          <w:cols w:equalWidth="0" w:num="1">
            <w:col w:w="11240"/>
          </w:cols>
          <w:pgMar w:left="320" w:top="1053" w:right="3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50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Backstop Agreement dated September 20, 2021, by and among</w:t>
            </w:r>
          </w:p>
        </w:tc>
        <w:tc>
          <w:tcPr>
            <w:tcW w:w="28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Exhibit 10.3 of the Company’s</w:t>
            </w:r>
          </w:p>
        </w:tc>
        <w:tc>
          <w:tcPr>
            <w:tcW w:w="1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40"/>
        </w:trPr>
        <w:tc>
          <w:tcPr>
            <w:tcW w:w="1240" w:type="dxa"/>
            <w:vAlign w:val="bottom"/>
            <w:shd w:val="clear" w:color="auto" w:fill="CCEEFF"/>
          </w:tcPr>
          <w:p>
            <w:pPr>
              <w:spacing w:after="0"/>
              <w:rPr>
                <w:sz w:val="12"/>
                <w:szCs w:val="12"/>
                <w:color w:val="auto"/>
              </w:rPr>
            </w:pPr>
          </w:p>
        </w:tc>
        <w:tc>
          <w:tcPr>
            <w:tcW w:w="5080" w:type="dxa"/>
            <w:vAlign w:val="bottom"/>
            <w:vMerge w:val="continue"/>
            <w:shd w:val="clear" w:color="auto" w:fill="CCEEFF"/>
          </w:tcPr>
          <w:p>
            <w:pPr>
              <w:spacing w:after="0"/>
              <w:rPr>
                <w:sz w:val="12"/>
                <w:szCs w:val="12"/>
                <w:color w:val="auto"/>
              </w:rPr>
            </w:pPr>
          </w:p>
        </w:tc>
        <w:tc>
          <w:tcPr>
            <w:tcW w:w="2800" w:type="dxa"/>
            <w:vAlign w:val="bottom"/>
            <w:vMerge w:val="restart"/>
            <w:shd w:val="clear" w:color="auto" w:fill="CCEEFF"/>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Quarterly Report on Form 10-Q</w:t>
            </w: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240" w:type="dxa"/>
            <w:vAlign w:val="bottom"/>
            <w:shd w:val="clear" w:color="auto" w:fill="CCEEFF"/>
          </w:tcPr>
          <w:p>
            <w:pPr>
              <w:spacing w:after="0"/>
              <w:rPr>
                <w:sz w:val="3"/>
                <w:szCs w:val="3"/>
                <w:color w:val="auto"/>
              </w:rPr>
            </w:pPr>
          </w:p>
        </w:tc>
        <w:tc>
          <w:tcPr>
            <w:tcW w:w="50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Weatherford International Ltd., as issuer, the guarantors party</w:t>
            </w:r>
          </w:p>
        </w:tc>
        <w:tc>
          <w:tcPr>
            <w:tcW w:w="2800" w:type="dxa"/>
            <w:vAlign w:val="bottom"/>
            <w:vMerge w:val="continue"/>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5080" w:type="dxa"/>
            <w:vAlign w:val="bottom"/>
            <w:vMerge w:val="continue"/>
            <w:shd w:val="clear" w:color="auto" w:fill="CCEEFF"/>
          </w:tcPr>
          <w:p>
            <w:pPr>
              <w:spacing w:after="0"/>
              <w:rPr>
                <w:sz w:val="15"/>
                <w:szCs w:val="15"/>
                <w:color w:val="auto"/>
              </w:rPr>
            </w:pPr>
          </w:p>
        </w:tc>
        <w:tc>
          <w:tcPr>
            <w:tcW w:w="280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for the period ending September</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40" w:type="dxa"/>
            <w:vAlign w:val="bottom"/>
            <w:shd w:val="clear" w:color="auto" w:fill="CCEEFF"/>
          </w:tcPr>
          <w:p>
            <w:pPr>
              <w:spacing w:after="0"/>
              <w:rPr>
                <w:sz w:val="23"/>
                <w:szCs w:val="23"/>
                <w:color w:val="auto"/>
              </w:rPr>
            </w:pPr>
          </w:p>
        </w:tc>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thereto and certain funds managed by Franklin Advisers, Inc., as</w:t>
            </w:r>
          </w:p>
        </w:tc>
        <w:tc>
          <w:tcPr>
            <w:tcW w:w="28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30. 2021 filed November 2, 2021</w:t>
            </w: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spacing w:after="0"/>
              <w:rPr>
                <w:sz w:val="20"/>
                <w:szCs w:val="20"/>
                <w:color w:val="auto"/>
              </w:rPr>
            </w:pPr>
          </w:p>
        </w:tc>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commitment parties thereto.</w:t>
            </w:r>
          </w:p>
        </w:tc>
        <w:tc>
          <w:tcPr>
            <w:tcW w:w="28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240" w:type="dxa"/>
            <w:vAlign w:val="bottom"/>
            <w:shd w:val="clear" w:color="auto" w:fill="CCEEFF"/>
          </w:tcPr>
          <w:p>
            <w:pPr>
              <w:spacing w:after="0"/>
              <w:rPr>
                <w:sz w:val="5"/>
                <w:szCs w:val="5"/>
                <w:color w:val="auto"/>
              </w:rPr>
            </w:pPr>
          </w:p>
        </w:tc>
        <w:tc>
          <w:tcPr>
            <w:tcW w:w="5080" w:type="dxa"/>
            <w:vAlign w:val="bottom"/>
            <w:shd w:val="clear" w:color="auto" w:fill="CCEEFF"/>
          </w:tcPr>
          <w:p>
            <w:pPr>
              <w:spacing w:after="0"/>
              <w:rPr>
                <w:sz w:val="5"/>
                <w:szCs w:val="5"/>
                <w:color w:val="auto"/>
              </w:rPr>
            </w:pPr>
          </w:p>
        </w:tc>
        <w:tc>
          <w:tcPr>
            <w:tcW w:w="28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5080" w:type="dxa"/>
            <w:vAlign w:val="bottom"/>
          </w:tcPr>
          <w:p>
            <w:pPr>
              <w:spacing w:after="0"/>
              <w:rPr>
                <w:sz w:val="20"/>
                <w:szCs w:val="20"/>
                <w:color w:val="auto"/>
              </w:rPr>
            </w:pPr>
          </w:p>
        </w:tc>
        <w:tc>
          <w:tcPr>
            <w:tcW w:w="28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Exhibit 10.5 of the</w:t>
            </w:r>
          </w:p>
        </w:tc>
        <w:tc>
          <w:tcPr>
            <w:tcW w:w="1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508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Rights Agreement by and among Weatherford</w:t>
            </w:r>
          </w:p>
        </w:tc>
        <w:tc>
          <w:tcPr>
            <w:tcW w:w="2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Company’s Current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plc and certain stockholders thereto, dated</w:t>
            </w:r>
          </w:p>
        </w:tc>
        <w:tc>
          <w:tcPr>
            <w:tcW w:w="2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Report on Form 8-K</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40" w:type="dxa"/>
            <w:vAlign w:val="bottom"/>
          </w:tcPr>
          <w:p>
            <w:pPr>
              <w:spacing w:after="0"/>
              <w:rPr>
                <w:sz w:val="21"/>
                <w:szCs w:val="21"/>
                <w:color w:val="auto"/>
              </w:rPr>
            </w:pPr>
          </w:p>
        </w:tc>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13, 2019.*</w:t>
            </w:r>
          </w:p>
        </w:tc>
        <w:tc>
          <w:tcPr>
            <w:tcW w:w="2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filed December 18, 2019</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50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Confidentiality and Restricted Covenant Agreement</w:t>
            </w:r>
          </w:p>
        </w:tc>
        <w:tc>
          <w:tcPr>
            <w:tcW w:w="28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shd w:val="clear" w:color="auto" w:fill="CCEEFF"/>
          </w:tcPr>
          <w:p>
            <w:pPr>
              <w:spacing w:after="0"/>
              <w:rPr>
                <w:sz w:val="9"/>
                <w:szCs w:val="9"/>
                <w:color w:val="auto"/>
              </w:rPr>
            </w:pPr>
          </w:p>
        </w:tc>
        <w:tc>
          <w:tcPr>
            <w:tcW w:w="5080" w:type="dxa"/>
            <w:vAlign w:val="bottom"/>
            <w:tcBorders>
              <w:bottom w:val="single" w:sz="8" w:color="CCEEFF"/>
            </w:tcBorders>
            <w:vMerge w:val="continue"/>
            <w:shd w:val="clear" w:color="auto" w:fill="CCEEFF"/>
          </w:tcPr>
          <w:p>
            <w:pPr>
              <w:spacing w:after="0"/>
              <w:rPr>
                <w:sz w:val="9"/>
                <w:szCs w:val="9"/>
                <w:color w:val="auto"/>
              </w:rPr>
            </w:pPr>
          </w:p>
        </w:tc>
        <w:tc>
          <w:tcPr>
            <w:tcW w:w="2800" w:type="dxa"/>
            <w:vAlign w:val="bottom"/>
            <w:tcBorders>
              <w:bottom w:val="single" w:sz="8" w:color="CCEEFF"/>
            </w:tcBorders>
            <w:shd w:val="clear" w:color="auto" w:fill="CCEEFF"/>
          </w:tcPr>
          <w:p>
            <w:pPr>
              <w:spacing w:after="0"/>
              <w:rPr>
                <w:sz w:val="9"/>
                <w:szCs w:val="9"/>
                <w:color w:val="auto"/>
              </w:rPr>
            </w:pPr>
          </w:p>
        </w:tc>
        <w:tc>
          <w:tcPr>
            <w:tcW w:w="18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5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Weatherford International plc Insider Trading Policy</w:t>
            </w:r>
          </w:p>
        </w:tc>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1240" w:type="dxa"/>
            <w:vAlign w:val="bottom"/>
          </w:tcPr>
          <w:p>
            <w:pPr>
              <w:spacing w:after="0"/>
              <w:rPr>
                <w:sz w:val="6"/>
                <w:szCs w:val="6"/>
                <w:color w:val="auto"/>
              </w:rPr>
            </w:pPr>
          </w:p>
        </w:tc>
        <w:tc>
          <w:tcPr>
            <w:tcW w:w="5080" w:type="dxa"/>
            <w:vAlign w:val="bottom"/>
            <w:vMerge w:val="continue"/>
          </w:tcPr>
          <w:p>
            <w:pPr>
              <w:spacing w:after="0"/>
              <w:rPr>
                <w:sz w:val="6"/>
                <w:szCs w:val="6"/>
                <w:color w:val="auto"/>
              </w:rPr>
            </w:pPr>
          </w:p>
        </w:tc>
        <w:tc>
          <w:tcPr>
            <w:tcW w:w="28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w:t>
            </w:r>
          </w:p>
        </w:tc>
        <w:tc>
          <w:tcPr>
            <w:tcW w:w="50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Subsidiaries of Weatherford International plc</w:t>
            </w:r>
          </w:p>
        </w:tc>
        <w:tc>
          <w:tcPr>
            <w:tcW w:w="28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shd w:val="clear" w:color="auto" w:fill="CCEEFF"/>
          </w:tcPr>
          <w:p>
            <w:pPr>
              <w:spacing w:after="0"/>
              <w:rPr>
                <w:sz w:val="9"/>
                <w:szCs w:val="9"/>
                <w:color w:val="auto"/>
              </w:rPr>
            </w:pPr>
          </w:p>
        </w:tc>
        <w:tc>
          <w:tcPr>
            <w:tcW w:w="5080" w:type="dxa"/>
            <w:vAlign w:val="bottom"/>
            <w:tcBorders>
              <w:bottom w:val="single" w:sz="8" w:color="CCEEFF"/>
            </w:tcBorders>
            <w:vMerge w:val="continue"/>
            <w:shd w:val="clear" w:color="auto" w:fill="CCEEFF"/>
          </w:tcPr>
          <w:p>
            <w:pPr>
              <w:spacing w:after="0"/>
              <w:rPr>
                <w:sz w:val="9"/>
                <w:szCs w:val="9"/>
                <w:color w:val="auto"/>
              </w:rPr>
            </w:pPr>
          </w:p>
        </w:tc>
        <w:tc>
          <w:tcPr>
            <w:tcW w:w="2800" w:type="dxa"/>
            <w:vAlign w:val="bottom"/>
            <w:tcBorders>
              <w:bottom w:val="single" w:sz="8" w:color="CCEEFF"/>
            </w:tcBorders>
            <w:shd w:val="clear" w:color="auto" w:fill="CCEEFF"/>
          </w:tcPr>
          <w:p>
            <w:pPr>
              <w:spacing w:after="0"/>
              <w:rPr>
                <w:sz w:val="9"/>
                <w:szCs w:val="9"/>
                <w:color w:val="auto"/>
              </w:rPr>
            </w:pPr>
          </w:p>
        </w:tc>
        <w:tc>
          <w:tcPr>
            <w:tcW w:w="18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5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Consent of KPMG LLP</w:t>
            </w:r>
          </w:p>
        </w:tc>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1240" w:type="dxa"/>
            <w:vAlign w:val="bottom"/>
          </w:tcPr>
          <w:p>
            <w:pPr>
              <w:spacing w:after="0"/>
              <w:rPr>
                <w:sz w:val="6"/>
                <w:szCs w:val="6"/>
                <w:color w:val="auto"/>
              </w:rPr>
            </w:pPr>
          </w:p>
        </w:tc>
        <w:tc>
          <w:tcPr>
            <w:tcW w:w="5080" w:type="dxa"/>
            <w:vAlign w:val="bottom"/>
            <w:vMerge w:val="continue"/>
          </w:tcPr>
          <w:p>
            <w:pPr>
              <w:spacing w:after="0"/>
              <w:rPr>
                <w:sz w:val="6"/>
                <w:szCs w:val="6"/>
                <w:color w:val="auto"/>
              </w:rPr>
            </w:pPr>
          </w:p>
        </w:tc>
        <w:tc>
          <w:tcPr>
            <w:tcW w:w="28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78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shd w:val="clear" w:color="auto" w:fill="CCEEFF"/>
          </w:tcPr>
          <w:p>
            <w:pPr>
              <w:spacing w:after="0"/>
              <w:rPr>
                <w:sz w:val="9"/>
                <w:szCs w:val="9"/>
                <w:color w:val="auto"/>
              </w:rPr>
            </w:pPr>
          </w:p>
        </w:tc>
        <w:tc>
          <w:tcPr>
            <w:tcW w:w="7880" w:type="dxa"/>
            <w:vAlign w:val="bottom"/>
            <w:tcBorders>
              <w:bottom w:val="single" w:sz="8" w:color="CCEEFF"/>
            </w:tcBorders>
            <w:gridSpan w:val="2"/>
            <w:vMerge w:val="continue"/>
            <w:shd w:val="clear" w:color="auto" w:fill="CCEEFF"/>
          </w:tcPr>
          <w:p>
            <w:pPr>
              <w:spacing w:after="0"/>
              <w:rPr>
                <w:sz w:val="9"/>
                <w:szCs w:val="9"/>
                <w:color w:val="auto"/>
              </w:rPr>
            </w:pPr>
          </w:p>
        </w:tc>
        <w:tc>
          <w:tcPr>
            <w:tcW w:w="18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78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1240" w:type="dxa"/>
            <w:vAlign w:val="bottom"/>
          </w:tcPr>
          <w:p>
            <w:pPr>
              <w:spacing w:after="0"/>
              <w:rPr>
                <w:sz w:val="6"/>
                <w:szCs w:val="6"/>
                <w:color w:val="auto"/>
              </w:rPr>
            </w:pPr>
          </w:p>
        </w:tc>
        <w:tc>
          <w:tcPr>
            <w:tcW w:w="7880" w:type="dxa"/>
            <w:vAlign w:val="bottom"/>
            <w:gridSpan w:val="2"/>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78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shd w:val="clear" w:color="auto" w:fill="CCEEFF"/>
          </w:tcPr>
          <w:p>
            <w:pPr>
              <w:spacing w:after="0"/>
              <w:rPr>
                <w:sz w:val="9"/>
                <w:szCs w:val="9"/>
                <w:color w:val="auto"/>
              </w:rPr>
            </w:pPr>
          </w:p>
        </w:tc>
        <w:tc>
          <w:tcPr>
            <w:tcW w:w="7880" w:type="dxa"/>
            <w:vAlign w:val="bottom"/>
            <w:tcBorders>
              <w:bottom w:val="single" w:sz="8" w:color="CCEEFF"/>
            </w:tcBorders>
            <w:gridSpan w:val="2"/>
            <w:vMerge w:val="continue"/>
            <w:shd w:val="clear" w:color="auto" w:fill="CCEEFF"/>
          </w:tcPr>
          <w:p>
            <w:pPr>
              <w:spacing w:after="0"/>
              <w:rPr>
                <w:sz w:val="9"/>
                <w:szCs w:val="9"/>
                <w:color w:val="auto"/>
              </w:rPr>
            </w:pPr>
          </w:p>
        </w:tc>
        <w:tc>
          <w:tcPr>
            <w:tcW w:w="18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78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1240" w:type="dxa"/>
            <w:vAlign w:val="bottom"/>
          </w:tcPr>
          <w:p>
            <w:pPr>
              <w:spacing w:after="0"/>
              <w:rPr>
                <w:sz w:val="6"/>
                <w:szCs w:val="6"/>
                <w:color w:val="auto"/>
              </w:rPr>
            </w:pPr>
          </w:p>
        </w:tc>
        <w:tc>
          <w:tcPr>
            <w:tcW w:w="7880" w:type="dxa"/>
            <w:vAlign w:val="bottom"/>
            <w:gridSpan w:val="2"/>
            <w:vMerge w:val="continue"/>
          </w:tcPr>
          <w:p>
            <w:pPr>
              <w:spacing w:after="0"/>
              <w:rPr>
                <w:sz w:val="6"/>
                <w:szCs w:val="6"/>
                <w:color w:val="auto"/>
              </w:rPr>
            </w:pP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†97</w:t>
            </w:r>
          </w:p>
        </w:tc>
        <w:tc>
          <w:tcPr>
            <w:tcW w:w="50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Weatherford International plc Executive Officer Clawback Policy</w:t>
            </w:r>
          </w:p>
        </w:tc>
        <w:tc>
          <w:tcPr>
            <w:tcW w:w="28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CCEEFF"/>
            </w:tcBorders>
            <w:shd w:val="clear" w:color="auto" w:fill="CCEEFF"/>
          </w:tcPr>
          <w:p>
            <w:pPr>
              <w:spacing w:after="0"/>
              <w:rPr>
                <w:sz w:val="9"/>
                <w:szCs w:val="9"/>
                <w:color w:val="auto"/>
              </w:rPr>
            </w:pPr>
          </w:p>
        </w:tc>
        <w:tc>
          <w:tcPr>
            <w:tcW w:w="5080" w:type="dxa"/>
            <w:vAlign w:val="bottom"/>
            <w:tcBorders>
              <w:bottom w:val="single" w:sz="8" w:color="CCEEFF"/>
            </w:tcBorders>
            <w:vMerge w:val="continue"/>
            <w:shd w:val="clear" w:color="auto" w:fill="CCEEFF"/>
          </w:tcPr>
          <w:p>
            <w:pPr>
              <w:spacing w:after="0"/>
              <w:rPr>
                <w:sz w:val="9"/>
                <w:szCs w:val="9"/>
                <w:color w:val="auto"/>
              </w:rPr>
            </w:pPr>
          </w:p>
        </w:tc>
        <w:tc>
          <w:tcPr>
            <w:tcW w:w="2800" w:type="dxa"/>
            <w:vAlign w:val="bottom"/>
            <w:tcBorders>
              <w:bottom w:val="single" w:sz="8" w:color="CCEEFF"/>
            </w:tcBorders>
            <w:shd w:val="clear" w:color="auto" w:fill="CCEEFF"/>
          </w:tcPr>
          <w:p>
            <w:pPr>
              <w:spacing w:after="0"/>
              <w:rPr>
                <w:sz w:val="9"/>
                <w:szCs w:val="9"/>
                <w:color w:val="auto"/>
              </w:rPr>
            </w:pPr>
          </w:p>
        </w:tc>
        <w:tc>
          <w:tcPr>
            <w:tcW w:w="180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†101.INS</w:t>
            </w:r>
          </w:p>
        </w:tc>
        <w:tc>
          <w:tcPr>
            <w:tcW w:w="9680" w:type="dxa"/>
            <w:vAlign w:val="bottom"/>
            <w:gridSpan w:val="3"/>
          </w:tcPr>
          <w:p>
            <w:pPr>
              <w:ind w:left="280"/>
              <w:spacing w:after="0" w:line="184"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5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5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340" w:right="3200" w:firstLine="107"/>
        <w:spacing w:after="0" w:line="357" w:lineRule="auto"/>
        <w:tabs>
          <w:tab w:leader="none" w:pos="151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ind w:left="34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33"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104</w:t>
      </w:r>
    </w:p>
    <w:p>
      <w:pPr>
        <w:sectPr>
          <w:pgSz w:w="11900" w:h="16838" w:orient="portrait"/>
          <w:cols w:equalWidth="0" w:num="1">
            <w:col w:w="11240"/>
          </w:cols>
          <w:pgMar w:left="320" w:top="103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Weatherford International plc – 2023 Form 10-K | 105</w:t>
      </w:r>
    </w:p>
    <w:p>
      <w:pPr>
        <w:sectPr>
          <w:pgSz w:w="11900" w:h="16838" w:orient="portrait"/>
          <w:cols w:equalWidth="0" w:num="1">
            <w:col w:w="11240"/>
          </w:cols>
          <w:pgMar w:left="320" w:top="1022"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firstLine="324"/>
        <w:spacing w:after="0" w:line="29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Girishchandra K. Saligram and Arunava Mitra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77"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Girishchandra K. Saligram</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Date: February 7, 2024</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40"/>
          </w:cols>
          <w:pgMar w:left="320" w:top="94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41"/>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Signatures</w:t>
            </w:r>
          </w:p>
        </w:tc>
        <w:tc>
          <w:tcPr>
            <w:tcW w:w="36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Title</w:t>
            </w:r>
          </w:p>
        </w:tc>
        <w:tc>
          <w:tcPr>
            <w:tcW w:w="31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65"/>
        </w:trPr>
        <w:tc>
          <w:tcPr>
            <w:tcW w:w="3520" w:type="dxa"/>
            <w:vAlign w:val="bottom"/>
          </w:tcPr>
          <w:p>
            <w:pPr>
              <w:spacing w:after="0"/>
              <w:rPr>
                <w:sz w:val="23"/>
                <w:szCs w:val="23"/>
                <w:color w:val="auto"/>
              </w:rPr>
            </w:pPr>
          </w:p>
        </w:tc>
        <w:tc>
          <w:tcPr>
            <w:tcW w:w="36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3100" w:type="dxa"/>
            <w:vAlign w:val="bottom"/>
          </w:tcPr>
          <w:p>
            <w:pPr>
              <w:spacing w:after="0"/>
              <w:rPr>
                <w:sz w:val="23"/>
                <w:szCs w:val="23"/>
                <w:color w:val="auto"/>
              </w:rPr>
            </w:pPr>
          </w:p>
        </w:tc>
      </w:tr>
      <w:tr>
        <w:trPr>
          <w:trHeight w:val="261"/>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Girishchandra K. Saligram</w:t>
            </w:r>
          </w:p>
        </w:tc>
        <w:tc>
          <w:tcPr>
            <w:tcW w:w="3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and Director</w:t>
            </w:r>
          </w:p>
        </w:tc>
        <w:tc>
          <w:tcPr>
            <w:tcW w:w="31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Girishchandra K. Saligram</w:t>
            </w:r>
          </w:p>
        </w:tc>
        <w:tc>
          <w:tcPr>
            <w:tcW w:w="36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00" w:type="dxa"/>
            <w:vAlign w:val="bottom"/>
          </w:tcPr>
          <w:p>
            <w:pPr>
              <w:spacing w:after="0"/>
              <w:rPr>
                <w:sz w:val="19"/>
                <w:szCs w:val="19"/>
                <w:color w:val="auto"/>
              </w:rPr>
            </w:pPr>
          </w:p>
        </w:tc>
      </w:tr>
      <w:tr>
        <w:trPr>
          <w:trHeight w:val="481"/>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Arunava Mitra</w:t>
            </w:r>
          </w:p>
        </w:tc>
        <w:tc>
          <w:tcPr>
            <w:tcW w:w="36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Executive Vice President and</w:t>
            </w:r>
          </w:p>
        </w:tc>
        <w:tc>
          <w:tcPr>
            <w:tcW w:w="31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1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Arunava Mitra</w:t>
            </w:r>
          </w:p>
        </w:tc>
        <w:tc>
          <w:tcPr>
            <w:tcW w:w="36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10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36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100" w:type="dxa"/>
            <w:vAlign w:val="bottom"/>
          </w:tcPr>
          <w:p>
            <w:pPr>
              <w:spacing w:after="0"/>
              <w:rPr>
                <w:sz w:val="20"/>
                <w:szCs w:val="20"/>
                <w:color w:val="auto"/>
              </w:rPr>
            </w:pPr>
          </w:p>
        </w:tc>
      </w:tr>
      <w:tr>
        <w:trPr>
          <w:trHeight w:val="338"/>
        </w:trPr>
        <w:tc>
          <w:tcPr>
            <w:tcW w:w="3520" w:type="dxa"/>
            <w:vAlign w:val="bottom"/>
          </w:tcPr>
          <w:p>
            <w:pPr>
              <w:spacing w:after="0"/>
              <w:rPr>
                <w:sz w:val="24"/>
                <w:szCs w:val="24"/>
                <w:color w:val="auto"/>
              </w:rPr>
            </w:pPr>
          </w:p>
        </w:tc>
        <w:tc>
          <w:tcPr>
            <w:tcW w:w="3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Senior Vice President and Chief</w:t>
            </w:r>
          </w:p>
        </w:tc>
        <w:tc>
          <w:tcPr>
            <w:tcW w:w="3100" w:type="dxa"/>
            <w:vAlign w:val="bottom"/>
          </w:tcPr>
          <w:p>
            <w:pPr>
              <w:spacing w:after="0"/>
              <w:rPr>
                <w:sz w:val="24"/>
                <w:szCs w:val="24"/>
                <w:color w:val="auto"/>
              </w:rPr>
            </w:pPr>
          </w:p>
        </w:tc>
      </w:tr>
      <w:tr>
        <w:trPr>
          <w:trHeight w:val="243"/>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Desmond J. Mills</w:t>
            </w:r>
          </w:p>
        </w:tc>
        <w:tc>
          <w:tcPr>
            <w:tcW w:w="36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1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Desmond J. Mills</w:t>
            </w:r>
          </w:p>
        </w:tc>
        <w:tc>
          <w:tcPr>
            <w:tcW w:w="36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100" w:type="dxa"/>
            <w:vAlign w:val="bottom"/>
          </w:tcPr>
          <w:p>
            <w:pPr>
              <w:spacing w:after="0"/>
              <w:rPr>
                <w:sz w:val="19"/>
                <w:szCs w:val="19"/>
                <w:color w:val="auto"/>
              </w:rPr>
            </w:pPr>
          </w:p>
        </w:tc>
      </w:tr>
      <w:tr>
        <w:trPr>
          <w:trHeight w:val="643"/>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M. Sledge</w:t>
            </w:r>
          </w:p>
        </w:tc>
        <w:tc>
          <w:tcPr>
            <w:tcW w:w="36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31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M. Sledge</w:t>
            </w:r>
          </w:p>
        </w:tc>
        <w:tc>
          <w:tcPr>
            <w:tcW w:w="36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87"/>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Benjamin C. Duster IV</w:t>
            </w:r>
          </w:p>
        </w:tc>
        <w:tc>
          <w:tcPr>
            <w:tcW w:w="36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Benjamin C. Duster IV</w:t>
            </w:r>
          </w:p>
        </w:tc>
        <w:tc>
          <w:tcPr>
            <w:tcW w:w="36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87"/>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Neal P. Goldman</w:t>
            </w:r>
          </w:p>
        </w:tc>
        <w:tc>
          <w:tcPr>
            <w:tcW w:w="36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Neal P. Goldman</w:t>
            </w:r>
          </w:p>
        </w:tc>
        <w:tc>
          <w:tcPr>
            <w:tcW w:w="36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87"/>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Jacqueline Mutschler</w:t>
            </w:r>
          </w:p>
        </w:tc>
        <w:tc>
          <w:tcPr>
            <w:tcW w:w="36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Director</w:t>
            </w:r>
          </w:p>
        </w:tc>
        <w:tc>
          <w:tcPr>
            <w:tcW w:w="31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February 7, 2024</w:t>
            </w:r>
          </w:p>
        </w:tc>
      </w:tr>
      <w:tr>
        <w:trPr>
          <w:trHeight w:val="22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Jacqueline Mutschler</w:t>
            </w:r>
          </w:p>
        </w:tc>
        <w:tc>
          <w:tcPr>
            <w:tcW w:w="3640" w:type="dxa"/>
            <w:vAlign w:val="bottom"/>
          </w:tcPr>
          <w:p>
            <w:pPr>
              <w:spacing w:after="0"/>
              <w:rPr>
                <w:sz w:val="19"/>
                <w:szCs w:val="19"/>
                <w:color w:val="auto"/>
              </w:rPr>
            </w:pPr>
          </w:p>
        </w:tc>
        <w:tc>
          <w:tcPr>
            <w:tcW w:w="3100" w:type="dxa"/>
            <w:vAlign w:val="bottom"/>
          </w:tcPr>
          <w:p>
            <w:pPr>
              <w:spacing w:after="0"/>
              <w:rPr>
                <w:sz w:val="19"/>
                <w:szCs w:val="19"/>
                <w:color w:val="auto"/>
              </w:rPr>
            </w:pPr>
          </w:p>
        </w:tc>
      </w:tr>
    </w:tbl>
    <w:p>
      <w:pPr>
        <w:sectPr>
          <w:pgSz w:w="11900" w:h="16838" w:orient="portrait"/>
          <w:cols w:equalWidth="0" w:num="1">
            <w:col w:w="10260"/>
          </w:cols>
          <w:pgMar w:left="620" w:top="972" w:right="1019" w:bottom="1440" w:gutter="0" w:footer="0" w:header="0"/>
        </w:sectPr>
      </w:pPr>
    </w:p>
    <w:bookmarkStart w:id="111" w:name="page112"/>
    <w:bookmarkEnd w:id="1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603250</wp:posOffset>
            </wp:positionV>
            <wp:extent cx="5854700" cy="7578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78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279"/>
    </w:lvl>
  </w:abstractNum>
  <w:abstractNum w:abstractNumId="16">
    <w:nsid w:val="54E49EB4"/>
    <w:multiLevelType w:val="hybridMultilevel"/>
    <w:lvl w:ilvl="0">
      <w:lvlJc w:val="left"/>
      <w:lvlText w:val="%1"/>
      <w:numFmt w:val="decimal"/>
      <w:start w:val="77"/>
    </w:lvl>
  </w:abstractNum>
  <w:abstractNum w:abstractNumId="17">
    <w:nsid w:val="71F32454"/>
    <w:multiLevelType w:val="hybridMultilevel"/>
    <w:lvl w:ilvl="0">
      <w:lvlJc w:val="left"/>
      <w:lvlText w:val="%1"/>
      <w:numFmt w:val="decimal"/>
      <w:start w:val="240"/>
    </w:lvl>
  </w:abstractNum>
  <w:abstractNum w:abstractNumId="18">
    <w:nsid w:val="2CA88611"/>
    <w:multiLevelType w:val="hybridMultilevel"/>
    <w:lvl w:ilvl="0">
      <w:lvlJc w:val="left"/>
      <w:lvlText w:val="%1"/>
      <w:numFmt w:val="decimal"/>
      <w:start w:val="804"/>
    </w:lvl>
  </w:abstractNum>
  <w:abstractNum w:abstractNumId="19">
    <w:nsid w:val="836C40E"/>
    <w:multiLevelType w:val="hybridMultilevel"/>
    <w:lvl w:ilvl="0">
      <w:lvlJc w:val="left"/>
      <w:lvlText w:val="%1"/>
      <w:numFmt w:val="decimal"/>
      <w:start w:val="168"/>
    </w:lvl>
    <w:lvl w:ilvl="1">
      <w:lvlJc w:val="left"/>
      <w:lvlText w:val="%2"/>
      <w:numFmt w:val="decimal"/>
      <w:start w:val="1"/>
    </w:lvl>
  </w:abstractNum>
  <w:abstractNum w:abstractNumId="20">
    <w:nsid w:val="2901D82"/>
    <w:multiLevelType w:val="hybridMultilevel"/>
    <w:lvl w:ilvl="0">
      <w:lvlJc w:val="left"/>
      <w:lvlText w:val="%1"/>
      <w:numFmt w:val="decimal"/>
      <w:start w:val="268"/>
    </w:lvl>
    <w:lvl w:ilvl="1">
      <w:lvlJc w:val="left"/>
      <w:lvlText w:val="(%2)"/>
      <w:numFmt w:val="decimal"/>
      <w:start w:val="12"/>
    </w:lvl>
  </w:abstractNum>
  <w:abstractNum w:abstractNumId="21">
    <w:nsid w:val="3A95F874"/>
    <w:multiLevelType w:val="hybridMultilevel"/>
    <w:lvl w:ilvl="0">
      <w:lvlJc w:val="left"/>
      <w:lvlText w:val="%1"/>
      <w:numFmt w:val="decimal"/>
      <w:start w:val="686"/>
    </w:lvl>
    <w:lvl w:ilvl="1">
      <w:lvlJc w:val="left"/>
      <w:lvlText w:val="%2"/>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endash "/>
      <w:numFmt w:val="bullet"/>
      <w:start w:val="1"/>
    </w:lvl>
  </w:abstractNum>
  <w:abstractNum w:abstractNumId="24">
    <w:nsid w:val="7C3DBD3D"/>
    <w:multiLevelType w:val="hybridMultilevel"/>
    <w:lvl w:ilvl="0">
      <w:lvlJc w:val="left"/>
      <w:lvlText w:val="(%1)"/>
      <w:numFmt w:val="lowerRoman"/>
      <w:start w:val="4"/>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Roman"/>
      <w:start w:val="4"/>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lowerLetter"/>
      <w:start w:val="2"/>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2024-04-25T21:18:45Z</dcterms:created>
  <dcterms:modified xsi:type="dcterms:W3CDTF">2024-04-25T21:18:45Z</dcterms:modified>
</cp:coreProperties>
</file>