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April 22, 2025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Weatherford International plc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702" w:type="dxa"/>
        <w:jc w:val="center"/>
        <w:tblInd w:w="0" w:type="dxa"/>
        <w:tblLayout w:type="fixed"/>
        <w:tblCellMar>
          <w:top w:w="28" w:type="dxa"/>
          <w:left w:w="28" w:type="dxa"/>
          <w:bottom w:w="28" w:type="dxa"/>
          <w:right w:w="28" w:type="dxa"/>
        </w:tblCellMar>
      </w:tblPr>
      <w:tblGrid>
        <w:gridCol w:w="683"/>
        <w:gridCol w:w="600"/>
        <w:gridCol w:w="606"/>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4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20"/>
        </w:rPr>
        <w:t xml:space="preserve">Registrant’s telephone number, including area code: 713.836.4000 </w:t>
      </w:r>
    </w:p>
    <w:tbl>
      <w:tblPr>
        <w:tblW w:w="6006" w:type="dxa"/>
        <w:jc w:val="center"/>
        <w:tblInd w:w="0" w:type="dxa"/>
        <w:tblLayout w:type="fixed"/>
        <w:tblCellMar>
          <w:top w:w="28" w:type="dxa"/>
          <w:left w:w="28" w:type="dxa"/>
          <w:bottom w:w="28" w:type="dxa"/>
          <w:right w:w="28" w:type="dxa"/>
        </w:tblCellMar>
      </w:tblPr>
      <w:tblGrid>
        <w:gridCol w:w="124"/>
        <w:gridCol w:w="109"/>
        <w:gridCol w:w="109"/>
        <w:gridCol w:w="588"/>
        <w:gridCol w:w="588"/>
        <w:gridCol w:w="588"/>
        <w:gridCol w:w="588"/>
        <w:gridCol w:w="588"/>
        <w:gridCol w:w="588"/>
        <w:gridCol w:w="588"/>
        <w:gridCol w:w="588"/>
        <w:gridCol w:w="58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29" w:type="dxa"/>
        <w:jc w:val="center"/>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before="0" w:after="0"/>
        <w:jc w:val="left"/>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2025, Weatherford International plc (“Weatherford” and together with its subsidiaries, “we” or the “Company”) issued a news release announcing results for the first quarter ended March 31, 2025. A copy of the news release is furnished as Exhibit 99.1 and incorporated into this Item 2.02.</w:t>
      </w:r>
    </w:p>
    <w:p>
      <w:pPr>
        <w:pStyle w:val="TextBody"/>
        <w:bidi w:val="0"/>
        <w:spacing w:before="0" w:after="4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Weatherford will host a conference call on Thursday, April 23, 2025, to discuss the Company’s results for the first quarter ended March 31, 2025. The conference call will begin at 8:30 a.m. Eastern Time (7:30 a.m. Central Time).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Listeners are encouraged to download the accompanying presentation slides which will be available in the investor relations section of the Company’s website.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telephonic replay of the conference call will be available until May 7, 2025, at 5:00 p.m. Eastern Time. To access the replay, please dial +1 877-344-7529 (within the U.S.) or +1 412-317-0088 (outside of the U.S.) and reference conference number 6907941. A replay and transcript of the earnings call will also be available in the investor relations section of the Company’s website. </w:t>
      </w:r>
    </w:p>
    <w:p>
      <w:pPr>
        <w:pStyle w:val="TextBody"/>
        <w:bidi w:val="0"/>
        <w:spacing w:before="0" w:after="0"/>
        <w:ind w:left="0" w:right="0" w:firstLine="540"/>
        <w:jc w:val="left"/>
        <w:rPr/>
      </w:pPr>
      <w:r>
        <w:rPr/>
      </w:r>
    </w:p>
    <w:tbl>
      <w:tblPr>
        <w:tblW w:w="2683" w:type="dxa"/>
        <w:jc w:val="left"/>
        <w:tblInd w:w="0" w:type="dxa"/>
        <w:tblLayout w:type="fixed"/>
        <w:tblCellMar>
          <w:top w:w="28" w:type="dxa"/>
          <w:left w:w="28" w:type="dxa"/>
          <w:bottom w:w="28" w:type="dxa"/>
          <w:right w:w="28" w:type="dxa"/>
        </w:tblCellMar>
      </w:tblPr>
      <w:tblGrid>
        <w:gridCol w:w="331"/>
        <w:gridCol w:w="290"/>
        <w:gridCol w:w="293"/>
        <w:gridCol w:w="517"/>
        <w:gridCol w:w="517"/>
        <w:gridCol w:w="73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8.01</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r>
    </w:tbl>
    <w:p>
      <w:pPr>
        <w:pStyle w:val="TextBody"/>
        <w:bidi w:val="0"/>
        <w:spacing w:before="0" w:after="0"/>
        <w:ind w:left="0" w:right="0" w:firstLine="180"/>
        <w:jc w:val="center"/>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17, 2025, Weatherford announced that its Board of Directors (the “Board”) has declared a cash dividend of $0.25 per share on the Company’s ordinary shares, par value $0.001 per share, payable on June 5, 2025 to shareholders of record as of May 6, 2025. The declaration of any future dividends is subject to the Board’s discretion.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copy of the press release announcing the dividend is attached as Exhibit 99.1 to this Form 8-K and the portions related to the dividend are incorporated herein by reference.</w:t>
      </w:r>
    </w:p>
    <w:p>
      <w:pPr>
        <w:pStyle w:val="TextBody"/>
        <w:bidi w:val="0"/>
        <w:spacing w:before="0" w:after="0"/>
        <w:ind w:left="0" w:right="0" w:firstLine="540"/>
        <w:jc w:val="both"/>
        <w:rPr/>
      </w:pPr>
      <w:r>
        <w:rPr/>
      </w:r>
    </w:p>
    <w:p>
      <w:pPr>
        <w:pStyle w:val="TextBody"/>
        <w:bidi w:val="0"/>
        <w:spacing w:before="0" w:after="0"/>
        <w:ind w:left="0" w:right="0" w:firstLine="720"/>
        <w:jc w:val="left"/>
        <w:rPr/>
      </w:pPr>
      <w:r>
        <w:rPr/>
      </w:r>
    </w:p>
    <w:tbl>
      <w:tblPr>
        <w:tblW w:w="4316"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tbl>
      <w:tblPr>
        <w:tblW w:w="10205" w:type="dxa"/>
        <w:jc w:val="center"/>
        <w:tblInd w:w="0" w:type="dxa"/>
        <w:tblLayout w:type="fixed"/>
        <w:tblCellMar>
          <w:top w:w="28" w:type="dxa"/>
          <w:left w:w="28" w:type="dxa"/>
          <w:bottom w:w="28" w:type="dxa"/>
          <w:right w:w="28" w:type="dxa"/>
        </w:tblCellMar>
      </w:tblPr>
      <w:tblGrid>
        <w:gridCol w:w="518"/>
        <w:gridCol w:w="454"/>
        <w:gridCol w:w="456"/>
        <w:gridCol w:w="109"/>
        <w:gridCol w:w="109"/>
        <w:gridCol w:w="109"/>
        <w:gridCol w:w="2468"/>
        <w:gridCol w:w="2468"/>
        <w:gridCol w:w="3514"/>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5-q1ex991earningsrelea.htm">
              <w:r>
                <w:rPr>
                  <w:rStyle w:val="InternetLink"/>
                  <w:rFonts w:ascii="Times New Roman;sans-serif" w:hAnsi="Times New Roman;sans-serif"/>
                  <w:b w:val="false"/>
                  <w:color w:val="000080"/>
                  <w:sz w:val="20"/>
                  <w:u w:val="single"/>
                </w:rPr>
                <w:t xml:space="preserve">News Release dated </w:t>
              </w:r>
            </w:hyperlink>
            <w:hyperlink w:anchor="a2025-q1ex991earningsrelea.htm">
              <w:r>
                <w:rPr>
                  <w:rStyle w:val="InternetLink"/>
                  <w:rFonts w:ascii="Times New Roman;sans-serif" w:hAnsi="Times New Roman;sans-serif"/>
                  <w:b w:val="false"/>
                  <w:color w:val="000080"/>
                  <w:sz w:val="20"/>
                  <w:u w:val="single"/>
                </w:rPr>
                <w:t>April</w:t>
              </w:r>
            </w:hyperlink>
            <w:hyperlink w:anchor="a2025-q1ex991earningsrelea.htm">
              <w:r>
                <w:rPr>
                  <w:rStyle w:val="InternetLink"/>
                  <w:rFonts w:ascii="Times New Roman;sans-serif" w:hAnsi="Times New Roman;sans-serif"/>
                  <w:b w:val="false"/>
                  <w:color w:val="000080"/>
                  <w:sz w:val="20"/>
                  <w:u w:val="single"/>
                </w:rPr>
                <w:t xml:space="preserve"> </w:t>
              </w:r>
            </w:hyperlink>
            <w:hyperlink w:anchor="a2025-q1ex991earningsrelea.htm">
              <w:r>
                <w:rPr>
                  <w:rStyle w:val="InternetLink"/>
                  <w:rFonts w:ascii="Times New Roman;sans-serif" w:hAnsi="Times New Roman;sans-serif"/>
                  <w:b w:val="false"/>
                  <w:color w:val="000080"/>
                  <w:sz w:val="20"/>
                  <w:u w:val="single"/>
                </w:rPr>
                <w:t>22</w:t>
              </w:r>
            </w:hyperlink>
            <w:hyperlink w:anchor="a2025-q1ex991earningsrelea.htm">
              <w:r>
                <w:rPr>
                  <w:rStyle w:val="InternetLink"/>
                  <w:rFonts w:ascii="Times New Roman;sans-serif" w:hAnsi="Times New Roman;sans-serif"/>
                  <w:b w:val="false"/>
                  <w:color w:val="000080"/>
                  <w:sz w:val="20"/>
                  <w:u w:val="single"/>
                </w:rPr>
                <w:t>, 2025 announcing results for the f</w:t>
              </w:r>
            </w:hyperlink>
            <w:hyperlink w:anchor="a2025-q1ex991earningsrelea.htm">
              <w:r>
                <w:rPr>
                  <w:rStyle w:val="InternetLink"/>
                  <w:rFonts w:ascii="Times New Roman;sans-serif" w:hAnsi="Times New Roman;sans-serif"/>
                  <w:b w:val="false"/>
                  <w:color w:val="000080"/>
                  <w:sz w:val="20"/>
                  <w:u w:val="single"/>
                </w:rPr>
                <w:t>irst</w:t>
              </w:r>
            </w:hyperlink>
            <w:hyperlink w:anchor="a2025-q1ex991earningsrelea.htm">
              <w:r>
                <w:rPr>
                  <w:rStyle w:val="InternetLink"/>
                  <w:rFonts w:ascii="Times New Roman;sans-serif" w:hAnsi="Times New Roman;sans-serif"/>
                  <w:b w:val="false"/>
                  <w:color w:val="000080"/>
                  <w:sz w:val="20"/>
                  <w:u w:val="single"/>
                </w:rPr>
                <w:t xml:space="preserve"> quarter ended </w:t>
              </w:r>
            </w:hyperlink>
            <w:hyperlink w:anchor="a2025-q1ex991earningsrelea.htm">
              <w:r>
                <w:rPr>
                  <w:rStyle w:val="InternetLink"/>
                  <w:rFonts w:ascii="Times New Roman;sans-serif" w:hAnsi="Times New Roman;sans-serif"/>
                  <w:b w:val="false"/>
                  <w:color w:val="000080"/>
                  <w:sz w:val="20"/>
                  <w:u w:val="single"/>
                </w:rPr>
                <w:t>March</w:t>
              </w:r>
            </w:hyperlink>
            <w:hyperlink w:anchor="a2025-q1ex991earningsrelea.htm">
              <w:r>
                <w:rPr>
                  <w:rStyle w:val="InternetLink"/>
                  <w:rFonts w:ascii="Times New Roman;sans-serif" w:hAnsi="Times New Roman;sans-serif"/>
                  <w:b w:val="false"/>
                  <w:color w:val="000080"/>
                  <w:sz w:val="20"/>
                  <w:u w:val="single"/>
                </w:rPr>
                <w:t xml:space="preserve"> 31, 202</w:t>
              </w:r>
            </w:hyperlink>
            <w:hyperlink w:anchor="a2025-q1ex991earningsrelea.htm">
              <w:r>
                <w:rPr>
                  <w:rStyle w:val="InternetLink"/>
                  <w:rFonts w:ascii="Times New Roman;sans-serif" w:hAnsi="Times New Roman;sans-serif"/>
                  <w:b w:val="false"/>
                  <w:color w:val="000080"/>
                  <w:sz w:val="20"/>
                  <w:u w:val="single"/>
                </w:rPr>
                <w:t>5</w:t>
              </w:r>
            </w:hyperlink>
            <w:hyperlink w:anchor="a2025-q1ex991earningsrelea.htm">
              <w:r>
                <w:rPr>
                  <w:rStyle w:val="InternetLink"/>
                  <w:rFonts w:ascii="Times New Roman;sans-serif" w:hAnsi="Times New Roman;sans-serif"/>
                  <w:b w:val="false"/>
                  <w:color w:val="000080"/>
                  <w:sz w:val="20"/>
                  <w:u w:val="single"/>
                </w:rPr>
                <w:t>.</w:t>
              </w:r>
            </w:hyperlink>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5"/>
        <w:jc w:val="left"/>
        <w:rPr/>
      </w:pPr>
      <w:r>
        <w:rPr/>
      </w:r>
    </w:p>
    <w:tbl>
      <w:tblPr>
        <w:tblW w:w="6223" w:type="dxa"/>
        <w:jc w:val="left"/>
        <w:tblInd w:w="0" w:type="dxa"/>
        <w:tblLayout w:type="fixed"/>
        <w:tblCellMar>
          <w:top w:w="28" w:type="dxa"/>
          <w:left w:w="28" w:type="dxa"/>
          <w:bottom w:w="28" w:type="dxa"/>
          <w:right w:w="28" w:type="dxa"/>
        </w:tblCellMar>
      </w:tblPr>
      <w:tblGrid>
        <w:gridCol w:w="645"/>
        <w:gridCol w:w="568"/>
        <w:gridCol w:w="571"/>
        <w:gridCol w:w="1297"/>
        <w:gridCol w:w="1297"/>
        <w:gridCol w:w="184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22, 2025</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Anuj Dhruv</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Anuj Dhruv</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tbl>
      <w:tblPr>
        <w:tblW w:w="4705" w:type="dxa"/>
        <w:jc w:val="center"/>
        <w:tblInd w:w="0" w:type="dxa"/>
        <w:tblLayout w:type="fixed"/>
        <w:tblCellMar>
          <w:top w:w="28" w:type="dxa"/>
          <w:left w:w="28" w:type="dxa"/>
          <w:bottom w:w="28" w:type="dxa"/>
          <w:right w:w="28" w:type="dxa"/>
        </w:tblCellMar>
      </w:tblPr>
      <w:tblGrid>
        <w:gridCol w:w="1243"/>
        <w:gridCol w:w="1093"/>
        <w:gridCol w:w="1095"/>
        <w:gridCol w:w="373"/>
        <w:gridCol w:w="373"/>
        <w:gridCol w:w="528"/>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14550" cy="876300"/>
                          </a:xfrm>
                          <a:prstGeom prst="rect">
                            <a:avLst/>
                          </a:prstGeom>
                        </pic:spPr>
                      </pic:pic>
                    </a:graphicData>
                  </a:graphic>
                </wp:inline>
              </w:drawing>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News Release</w:t>
            </w:r>
          </w:p>
        </w:tc>
      </w:tr>
    </w:tbl>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 xml:space="preserve">Weatherford Announces First Quarter 2025 Results </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 xml:space="preserve">First quarter revenue of $1,193 million decreased 12% year-over-year </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First quarter operating income of $142 million decreased 39% year-over-year</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First quarter net income of $76 million, a 6.4% margin, decreased 32% year-over-year</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First quarter adjusted EBITDA* of $253 million, a 21.2% margin, decreased 25%, or 354 basis points, year-over-year</w:t>
      </w:r>
    </w:p>
    <w:p>
      <w:pPr>
        <w:pStyle w:val="TextBody"/>
        <w:bidi w:val="0"/>
        <w:spacing w:lineRule="auto" w:line="417" w:before="0" w:after="0"/>
        <w:ind w:left="0" w:right="0" w:hanging="360"/>
        <w:jc w:val="both"/>
        <w:rPr/>
      </w:pPr>
      <w:r>
        <w:rPr>
          <w:color w:val="000000"/>
          <w:shd w:fill="FFFFFF" w:val="clear"/>
        </w:rPr>
        <w:t>•</w:t>
      </w:r>
      <w:r>
        <w:rPr>
          <w:rFonts w:ascii="Times New Roman;sans-serif" w:hAnsi="Times New Roman;sans-serif"/>
          <w:b w:val="false"/>
          <w:color w:val="000000"/>
          <w:sz w:val="22"/>
        </w:rPr>
        <w:t>First</w:t>
      </w:r>
      <w:r>
        <w:rPr>
          <w:color w:val="000000"/>
          <w:shd w:fill="FFFFFF" w:val="clear"/>
        </w:rPr>
        <w:t xml:space="preserve"> </w:t>
      </w:r>
      <w:r>
        <w:rPr>
          <w:rFonts w:ascii="Times New Roman;sans-serif" w:hAnsi="Times New Roman;sans-serif"/>
          <w:b w:val="false"/>
          <w:color w:val="000000"/>
          <w:sz w:val="22"/>
          <w:shd w:fill="FFFFFF" w:val="clear"/>
        </w:rPr>
        <w:t>quarter cash provided by operating activities of $142 million and adjusted free cash flow* of $66 million</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Repurchased $34 million of 8.625% Senior Notes due 2030 in the first quarter of 2025</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Shareholder return of $71 million for the quarter, which included dividend payments of $18 million and share repurchases of $53 million</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Board approved quarterly cash dividend of $0.25 per share, payable on June 5, 2025, to shareholders of record as of May 6, 2025</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As part of its portfolio optimization strategy, Weatherford completed the sale of its Pressure Pumping business in Argentina on April 1, 2025</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Signed a strategic agreement with Abu Dhabi-based AIQ to bring transformative efficiency to energy production, leveraging advanced automation, data-driven insights, and the power of AI technology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 refer to the section titled Non-GAAP Financial Measures Defined and GAAP to Non-GAAP Financial Measures Reconciled </w:t>
      </w:r>
    </w:p>
    <w:p>
      <w:pPr>
        <w:pStyle w:val="TextBody"/>
        <w:bidi w:val="0"/>
        <w:spacing w:before="0" w:after="12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80"/>
        <w:jc w:val="left"/>
        <w:rPr/>
      </w:pPr>
      <w:r>
        <w:rPr>
          <w:rFonts w:ascii="Times New Roman;sans-serif" w:hAnsi="Times New Roman;sans-serif"/>
          <w:b/>
          <w:color w:val="000000"/>
          <w:sz w:val="22"/>
        </w:rPr>
        <w:t>Houston, April 22, 2025 –</w:t>
      </w:r>
      <w:r>
        <w:rPr>
          <w:color w:val="000000"/>
        </w:rPr>
        <w:t xml:space="preserve"> </w:t>
      </w:r>
      <w:r>
        <w:rPr>
          <w:rFonts w:ascii="Times New Roman;sans-serif" w:hAnsi="Times New Roman;sans-serif"/>
          <w:b w:val="false"/>
          <w:color w:val="000000"/>
          <w:sz w:val="22"/>
        </w:rPr>
        <w:t xml:space="preserve">Weatherford International plc (NASDAQ: WFRD) (“Weatherford” or the “Company”) announced today its results for the first quarter of 2025. </w:t>
      </w:r>
    </w:p>
    <w:p>
      <w:pPr>
        <w:pStyle w:val="TextBody"/>
        <w:bidi w:val="0"/>
        <w:spacing w:lineRule="auto" w:line="417" w:before="0" w:after="180"/>
        <w:jc w:val="both"/>
        <w:rPr/>
      </w:pPr>
      <w:r>
        <w:rPr>
          <w:rFonts w:ascii="Times New Roman;sans-serif" w:hAnsi="Times New Roman;sans-serif"/>
          <w:b w:val="false"/>
          <w:color w:val="000000"/>
          <w:sz w:val="22"/>
        </w:rPr>
        <w:t>Revenues for the first quarter of 2025 were $1,193 million, a decrease of 12% year-over-year and 11%</w:t>
      </w:r>
      <w:r>
        <w:rPr>
          <w:color w:val="000000"/>
        </w:rPr>
        <w:t xml:space="preserve"> </w:t>
      </w:r>
      <w:r>
        <w:rPr>
          <w:rFonts w:ascii="Times New Roman;sans-serif" w:hAnsi="Times New Roman;sans-serif"/>
          <w:b w:val="false"/>
          <w:color w:val="000000"/>
          <w:sz w:val="22"/>
        </w:rPr>
        <w:t>sequentially. Operating income was $142 million in the first quarter of 2025, compared to $233 million in the first quarter of 2024 and $198 million in the fourth quarter of 2024. Net income in the first quarter of 2025 was $76 million, with a 6.4% margin, a decrease of 32%, or 188 basis points year-over-year and 32%, or 198 basis points, sequentially. Adjusted EBITDA* was $253 million, a 21.2% margin, a decrease of 25%, or 354 basis points, year-over-year and 22%, or 310 basis points, sequentially. Basic income per share in the first quarter of 2025 was $1.04, compared to $1.54 in the first quarter of 2024 and $1.54 in the fourth quarter of 2024. Diluted income per share in the first quarter of 2025 was $1.03, compared to $1.50 in the first quarter of 2024, and $1.50 in the fourth quarter of 2024.</w:t>
      </w:r>
    </w:p>
    <w:p>
      <w:pPr>
        <w:pStyle w:val="TextBody"/>
        <w:bidi w:val="0"/>
        <w:spacing w:lineRule="auto" w:line="417"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First quarter 2025 cash flows provided by operating activities were $142 million, compared to $131 million in the first quarter of 2024, and $249 million in the fourth quarter of 2024. Adjusted free cash flow* was $66 million, a decrease of $16 million year-over-year and $96 million sequentially. Capital expenditures were $77 million in the first quarter of 2025, compared to $59 million in the first quarter of 2024, and $100 million in the fourth quarter of 2024.</w:t>
      </w:r>
    </w:p>
    <w:p>
      <w:pPr>
        <w:pStyle w:val="TextBody"/>
        <w:bidi w:val="0"/>
        <w:spacing w:lineRule="auto" w:line="417"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Girish Saligram, President and Chief Executive Officer, commented, “The first quarter was marked by significant market softening across key geographies, especially Mexico, the United Kingdom and North America. This created headwinds for activity levels but the One Weatherford team continued to focus on the controllable elements of the business, driving execution to deliver results inline with expectations. </w:t>
      </w:r>
    </w:p>
    <w:p>
      <w:pPr>
        <w:pStyle w:val="TextBody"/>
        <w:bidi w:val="0"/>
        <w:spacing w:lineRule="auto" w:line="417"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Over the past few weeks, the market conditions have skewed more negatively, as we continue to navigate uncertainty on customer activity levels stemming from macroeconomic factors, global trade and geopolitical tensions. However, our actions remain focused on our North Star of driving adjusted free cash flow and we are further accelerating efficiency and optimization programs to ensure that we are well positioned for any scenario that might unfold in the latter part of the year. We believe it to be prudent to scale back our expectations on activity levels through the rest of the year and are focused on minimizing decrementals and improving working capital efficiencies. Nonetheless, even at a significantly reduced level of customer activity, we remain confident in increasing our adjusted free cash flow conversion for the full year 2025, allowing progress on our capital allocation priorities. </w:t>
      </w:r>
    </w:p>
    <w:p>
      <w:pPr>
        <w:pStyle w:val="TextBody"/>
        <w:bidi w:val="0"/>
        <w:spacing w:lineRule="auto" w:line="417"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sale of our Pressure Pumping business in Argentina marks another key milestone in our portfolio optimization strategy to a more capital-efficient model and further builds liquidity to position us well for the upcoming period.”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140"/>
        <w:jc w:val="both"/>
        <w:rPr>
          <w:rFonts w:ascii="Times New Roman;sans-serif" w:hAnsi="Times New Roman;sans-serif"/>
          <w:b w:val="false"/>
          <w:color w:val="000000"/>
          <w:sz w:val="18"/>
        </w:rPr>
      </w:pPr>
      <w:r>
        <w:rPr>
          <w:rFonts w:ascii="Times New Roman;sans-serif" w:hAnsi="Times New Roman;sans-serif"/>
          <w:b w:val="false"/>
          <w:color w:val="000000"/>
          <w:sz w:val="18"/>
        </w:rPr>
        <w:t>*Non-GAAP - refer to the section titled Non-GAAP Financial Measures Defined and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417" w:before="300" w:after="283"/>
        <w:jc w:val="both"/>
        <w:rPr>
          <w:rFonts w:ascii="Times New Roman;sans-serif" w:hAnsi="Times New Roman;sans-serif"/>
          <w:b/>
          <w:color w:val="000000"/>
          <w:sz w:val="28"/>
          <w:u w:val="single"/>
        </w:rPr>
      </w:pPr>
      <w:r>
        <w:rPr>
          <w:rFonts w:ascii="Times New Roman;sans-serif" w:hAnsi="Times New Roman;sans-serif"/>
          <w:b/>
          <w:color w:val="000000"/>
          <w:sz w:val="28"/>
          <w:u w:val="single"/>
        </w:rPr>
        <w:t>Operational &amp; Commercial Highlights</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An International Oil Company (IOC) awarded Weatherford an eight-year contract extension to provide a comprehensive suite of services, including Intervention Services &amp; Drilling Tools, Pipe Inspection, Managed Pressure Drilling (MPD), Tubular Running Services (TRS), Well Services, and Pipe Recovery in Kazakhstan.</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PDO Oman awarded Weatherford a five-year Integrated Completions contract consisting of Completions, Liner Hangers and Cementation Products.</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ADNOC Onshore awarded Weatherford a three-year contract for Well Services Production enhancement systems in the United Arab Emirates.</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Eni Oman awarded Weatherford an open contract for onshore MPD services.</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Petrobras awarded Weatherford a five-year contract for Liner Hangers systems and services in deepwater Brazil and amended its TRS contract, adding two Vero Mechanized Systems.</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Sierracol Energy Andina LLC awarded Weatherford a six-month contract for Artificial Lift Systems in Colombia.</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GeoPark Colombia S.A.S. awarded Weatherford a three-year contract for Wireline Open &amp; Cased Hole Services.</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Jadestone Energy (Malaysia) PTE LTD awarded Weatherford a contract for the Autonomous Inflow Control Device Screens and associated lower Completions equipment and services for the PM323 East Belumut Phase 9 Infill Drilling campaign.</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Dragon Oil awarded Weatherford a three-year contract for Completions Equipment and Services in offshore Turkmenistan.</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An IOC awarded Weatherford a one-year contract for Artificial Lift Equipment and Centro</w:t>
      </w:r>
      <w:r>
        <w:rPr>
          <w:rFonts w:ascii="Times New Roman;sans-serif" w:hAnsi="Times New Roman;sans-serif"/>
          <w:b w:val="false"/>
          <w:color w:val="000000"/>
          <w:sz w:val="14"/>
        </w:rPr>
        <w:t xml:space="preserve">® </w:t>
      </w:r>
      <w:r>
        <w:rPr>
          <w:rFonts w:ascii="Times New Roman;sans-serif" w:hAnsi="Times New Roman;sans-serif"/>
          <w:b w:val="false"/>
          <w:color w:val="000000"/>
          <w:sz w:val="22"/>
        </w:rPr>
        <w:t>Well Construction Optimization Platform in Argentina.</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An IOC in Turkey awarded Weatherford a five-year contract for Open Hole Wireline Tools.</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 xml:space="preserve">An IOC awarded Weatherford a three-year contract for Artificial Lift Equipment in Australia. </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A major integrated energy company awarded Weatherford a three-year, multi-rig contract for Vero</w:t>
      </w:r>
      <w:r>
        <w:rPr>
          <w:rFonts w:ascii="Times New Roman;sans-serif" w:hAnsi="Times New Roman;sans-serif"/>
          <w:b w:val="false"/>
          <w:color w:val="000000"/>
          <w:sz w:val="14"/>
        </w:rPr>
        <w:t xml:space="preserve">® </w:t>
      </w:r>
      <w:r>
        <w:rPr>
          <w:rFonts w:ascii="Times New Roman;sans-serif" w:hAnsi="Times New Roman;sans-serif"/>
          <w:b w:val="false"/>
          <w:color w:val="000000"/>
          <w:sz w:val="22"/>
        </w:rPr>
        <w:t>Mechanized Systems in deepwater Gulf of America.</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A National Oil Company (NOC) awarded Weatherford a two-year contract for Stage Tool Cementing Equipment in the Middle East.</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An IOC awarded Weatherford a one-year contract for the SCADA Digital Platform in offshore United Arab Emirates.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420" w:before="0" w:after="0"/>
        <w:jc w:val="both"/>
        <w:rPr>
          <w:rFonts w:ascii="Times New Roman;sans-serif" w:hAnsi="Times New Roman;sans-serif"/>
          <w:b/>
          <w:color w:val="000000"/>
          <w:sz w:val="28"/>
          <w:u w:val="single"/>
        </w:rPr>
      </w:pPr>
      <w:r>
        <w:rPr>
          <w:rFonts w:ascii="Times New Roman;sans-serif" w:hAnsi="Times New Roman;sans-serif"/>
          <w:b/>
          <w:color w:val="000000"/>
          <w:sz w:val="28"/>
          <w:u w:val="single"/>
        </w:rPr>
        <w:t xml:space="preserve">Technology Highlights </w: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Drilling &amp; Evaluation (“DRE”)</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 xml:space="preserve">In the UK, Weatherford successfully delivered Logging While Drilling and Formation Pressure Services for Shell on a high-pressure, high temperature well. The well was drilled at 175°c and reached a total depth of 21,000 feet. </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In the Middle East, Weatherford successfully deployed GuideWave</w:t>
      </w:r>
      <w:r>
        <w:rPr>
          <w:rFonts w:ascii="Times New Roman;sans-serif" w:hAnsi="Times New Roman;sans-serif"/>
          <w:b w:val="false"/>
          <w:color w:val="000000"/>
          <w:sz w:val="14"/>
        </w:rPr>
        <w:t xml:space="preserve">® </w:t>
      </w:r>
      <w:r>
        <w:rPr>
          <w:rFonts w:ascii="Times New Roman;sans-serif" w:hAnsi="Times New Roman;sans-serif"/>
          <w:b w:val="false"/>
          <w:color w:val="000000"/>
          <w:sz w:val="22"/>
        </w:rPr>
        <w:t>CLEAR in three wells for an NOC, enabling improved formation evaluation and more precise geo-steering.</w: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Well Construction and Completions (“WCC”)</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In deepwater Brazil, Weatherford successfully installed the first OptiROSS</w:t>
      </w:r>
      <w:r>
        <w:rPr>
          <w:rFonts w:ascii="Times New Roman;sans-serif" w:hAnsi="Times New Roman;sans-serif"/>
          <w:b w:val="false"/>
          <w:color w:val="000000"/>
          <w:sz w:val="14"/>
        </w:rPr>
        <w:t xml:space="preserve">® </w:t>
      </w:r>
      <w:r>
        <w:rPr>
          <w:rFonts w:ascii="Times New Roman;sans-serif" w:hAnsi="Times New Roman;sans-serif"/>
          <w:b w:val="false"/>
          <w:color w:val="000000"/>
          <w:sz w:val="22"/>
        </w:rPr>
        <w:t xml:space="preserve">RFID Multi-Cycle Sliding Sleeve Valve for Petrobras. This system enhances acid stimulation efficiency, improving production and boosting the reservoir’s oil recovery factor. </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 xml:space="preserve">In North America, Weatherford successfully completed 17 field trials of its SecureTrac™ technology with one of the largest multinational oil and gas companies. The tool’s more compact design enables a shorter shoe track, maximizing reservoir exposure and enhancing production potential. </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In the Middle East, Weatherford successfully deployed the first WidePak™ straddle solution for Gupco in Egypt. The well had been shut for 15 years due to a sustained tubing leak. Following Weatherford’s intervention, the well is now back online and delivering significant production.</w:t>
      </w:r>
    </w:p>
    <w:p>
      <w:pPr>
        <w:pStyle w:val="TextBody"/>
        <w:bidi w:val="0"/>
        <w:spacing w:lineRule="auto" w:line="420" w:before="0" w:after="60"/>
        <w:ind w:left="0" w:right="0" w:hanging="360"/>
        <w:jc w:val="both"/>
        <w:rPr/>
      </w:pPr>
      <w:r>
        <w:rPr>
          <w:color w:val="000000"/>
        </w:rPr>
        <w:t>•</w:t>
      </w:r>
      <w:r>
        <w:rPr>
          <w:rFonts w:ascii="Times New Roman;sans-serif" w:hAnsi="Times New Roman;sans-serif"/>
          <w:b w:val="false"/>
          <w:color w:val="000000"/>
          <w:sz w:val="22"/>
        </w:rPr>
        <w:t xml:space="preserve">Production and Intervention (“PRI”) </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2"/>
        </w:rPr>
        <w:t>In North America, Weatherford successfully deployed the ForeSite</w:t>
      </w:r>
      <w:r>
        <w:rPr>
          <w:rFonts w:ascii="Times New Roman;sans-serif" w:hAnsi="Times New Roman;sans-serif"/>
          <w:b w:val="false"/>
          <w:color w:val="000000"/>
          <w:sz w:val="14"/>
        </w:rPr>
        <w:t xml:space="preserve">® </w:t>
      </w:r>
      <w:r>
        <w:rPr>
          <w:rFonts w:ascii="Times New Roman;sans-serif" w:hAnsi="Times New Roman;sans-serif"/>
          <w:b w:val="false"/>
          <w:color w:val="000000"/>
          <w:sz w:val="22"/>
        </w:rPr>
        <w:t>Regenerative Power for KODA, following a two-month pilot. The deployment delivered significant power savings, demonstrating the technology’s efficiency and value in the field.</w:t>
      </w:r>
    </w:p>
    <w:p>
      <w:pPr>
        <w:pStyle w:val="TextBody"/>
        <w:bidi w:val="0"/>
        <w:spacing w:lineRule="auto" w:line="420"/>
        <w:ind w:left="0" w:right="0" w:hanging="360"/>
        <w:jc w:val="both"/>
        <w:rPr/>
      </w:pPr>
      <w:r>
        <w:rPr>
          <w:color w:val="000000"/>
        </w:rPr>
        <w:t>◦</w:t>
      </w:r>
      <w:r>
        <w:rPr>
          <w:rFonts w:ascii="Times New Roman;sans-serif" w:hAnsi="Times New Roman;sans-serif"/>
          <w:b w:val="false"/>
          <w:color w:val="000000"/>
          <w:sz w:val="22"/>
        </w:rPr>
        <w:t>In North America, Weatherford deployed the ForeSite</w:t>
      </w:r>
      <w:r>
        <w:rPr>
          <w:rFonts w:ascii="Times New Roman;sans-serif" w:hAnsi="Times New Roman;sans-serif"/>
          <w:b w:val="false"/>
          <w:color w:val="000000"/>
          <w:sz w:val="14"/>
        </w:rPr>
        <w:t xml:space="preserve">® </w:t>
      </w:r>
      <w:r>
        <w:rPr>
          <w:rFonts w:ascii="Times New Roman;sans-serif" w:hAnsi="Times New Roman;sans-serif"/>
          <w:b w:val="false"/>
          <w:color w:val="000000"/>
          <w:sz w:val="22"/>
        </w:rPr>
        <w:t xml:space="preserve">Power Regenerative variable-speed drive across key customers, following multiple successful pilots. The implementation delivered significant power savings and reduced carbon emissions. Due to its unique ability to recycle, store, and optimize power, this innovative solution helps control operating expenses for customers. </w:t>
      </w:r>
    </w:p>
    <w:p>
      <w:pPr>
        <w:pStyle w:val="TextBody"/>
        <w:bidi w:val="0"/>
        <w:spacing w:before="0" w:after="1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420" w:before="0" w:after="80"/>
        <w:jc w:val="both"/>
        <w:rPr>
          <w:rFonts w:ascii="Times New Roman;sans-serif" w:hAnsi="Times New Roman;sans-serif"/>
          <w:b/>
          <w:color w:val="000000"/>
          <w:sz w:val="28"/>
          <w:u w:val="single"/>
        </w:rPr>
      </w:pPr>
      <w:r>
        <w:rPr>
          <w:rFonts w:ascii="Times New Roman;sans-serif" w:hAnsi="Times New Roman;sans-serif"/>
          <w:b/>
          <w:color w:val="000000"/>
          <w:sz w:val="28"/>
          <w:u w:val="single"/>
        </w:rPr>
        <w:t xml:space="preserve">Shareholder Return </w:t>
      </w:r>
    </w:p>
    <w:p>
      <w:pPr>
        <w:pStyle w:val="TextBody"/>
        <w:bidi w:val="0"/>
        <w:spacing w:lineRule="auto" w:line="42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first quarter of 2025, Weatherford paid dividends of $18 million and repurchased shares for approximately $53 million, resulting in a total shareholder return of $71 million. </w:t>
      </w:r>
    </w:p>
    <w:p>
      <w:pPr>
        <w:pStyle w:val="TextBody"/>
        <w:bidi w:val="0"/>
        <w:spacing w:lineRule="auto" w:line="42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17, 2025, our Board declared a cash dividend of $0.25 per share of the Company’s ordinary shares, payable on June 5, 2025, to shareholders of record as of May 6,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100"/>
        <w:jc w:val="both"/>
        <w:rPr>
          <w:rFonts w:ascii="Times New Roman;sans-serif" w:hAnsi="Times New Roman;sans-serif"/>
          <w:b/>
          <w:color w:val="000000"/>
          <w:sz w:val="28"/>
          <w:u w:val="single"/>
        </w:rPr>
      </w:pPr>
      <w:r>
        <w:rPr>
          <w:rFonts w:ascii="Times New Roman;sans-serif" w:hAnsi="Times New Roman;sans-serif"/>
          <w:b/>
          <w:color w:val="000000"/>
          <w:sz w:val="28"/>
          <w:u w:val="single"/>
        </w:rPr>
        <w:t>Results by Reportable Segment</w:t>
      </w:r>
    </w:p>
    <w:p>
      <w:pPr>
        <w:pStyle w:val="TextBody"/>
        <w:bidi w:val="0"/>
        <w:spacing w:lineRule="auto" w:line="417" w:before="0" w:after="4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Drilling and Evaluation (“DRE”)</w:t>
      </w:r>
    </w:p>
    <w:tbl>
      <w:tblPr>
        <w:tblW w:w="10205" w:type="dxa"/>
        <w:jc w:val="left"/>
        <w:tblInd w:w="0" w:type="dxa"/>
        <w:tblLayout w:type="fixed"/>
        <w:tblCellMar>
          <w:top w:w="28" w:type="dxa"/>
          <w:left w:w="28" w:type="dxa"/>
          <w:bottom w:w="28" w:type="dxa"/>
          <w:right w:w="28" w:type="dxa"/>
        </w:tblCellMar>
      </w:tblPr>
      <w:tblGrid>
        <w:gridCol w:w="728"/>
        <w:gridCol w:w="625"/>
        <w:gridCol w:w="628"/>
        <w:gridCol w:w="109"/>
        <w:gridCol w:w="109"/>
        <w:gridCol w:w="109"/>
        <w:gridCol w:w="282"/>
        <w:gridCol w:w="625"/>
        <w:gridCol w:w="363"/>
        <w:gridCol w:w="109"/>
        <w:gridCol w:w="109"/>
        <w:gridCol w:w="109"/>
        <w:gridCol w:w="324"/>
        <w:gridCol w:w="719"/>
        <w:gridCol w:w="420"/>
        <w:gridCol w:w="109"/>
        <w:gridCol w:w="109"/>
        <w:gridCol w:w="109"/>
        <w:gridCol w:w="282"/>
        <w:gridCol w:w="625"/>
        <w:gridCol w:w="363"/>
        <w:gridCol w:w="109"/>
        <w:gridCol w:w="109"/>
        <w:gridCol w:w="109"/>
        <w:gridCol w:w="259"/>
        <w:gridCol w:w="260"/>
        <w:gridCol w:w="391"/>
        <w:gridCol w:w="109"/>
        <w:gridCol w:w="109"/>
        <w:gridCol w:w="109"/>
        <w:gridCol w:w="259"/>
        <w:gridCol w:w="260"/>
        <w:gridCol w:w="451"/>
        <w:gridCol w:w="109"/>
        <w:gridCol w:w="109"/>
        <w:gridCol w:w="109"/>
        <w:gridCol w:w="109"/>
        <w:gridCol w:w="109"/>
        <w:gridCol w:w="161"/>
      </w:tblGrid>
      <w:tr>
        <w:trPr/>
        <w:tc>
          <w:tcPr>
            <w:tcW w:w="72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140"/>
        <w:jc w:val="both"/>
        <w:rPr/>
      </w:pPr>
      <w:r>
        <w:rPr>
          <w:rFonts w:ascii="Times New Roman;sans-serif" w:hAnsi="Times New Roman;sans-serif"/>
          <w:b w:val="false"/>
          <w:color w:val="000000"/>
          <w:sz w:val="22"/>
          <w:shd w:fill="FFFFFF" w:val="clear"/>
        </w:rPr>
        <w:t xml:space="preserve">First quarter 2025 DRE revenue of $350 million decreased by $72 million, or </w:t>
      </w:r>
      <w:r>
        <w:rPr>
          <w:rFonts w:ascii="Times New Roman;sans-serif" w:hAnsi="Times New Roman;sans-serif"/>
          <w:b w:val="false"/>
          <w:color w:val="000000"/>
          <w:sz w:val="22"/>
        </w:rPr>
        <w:t>17% year-over-year, primarily from lower Drilling-related services activity in Latin America, Europe/Sub-Sahara Africa/Russia and North America, partly offset by higher Drilling Services activity in Middle East/North Africa/Asia. Sequentially, DRE revenue</w:t>
      </w:r>
      <w:r>
        <w:rPr>
          <w:color w:val="000000"/>
          <w:shd w:fill="FFFFFF" w:val="clear"/>
        </w:rPr>
        <w:t xml:space="preserve"> </w:t>
      </w:r>
      <w:r>
        <w:rPr>
          <w:rFonts w:ascii="Times New Roman;sans-serif" w:hAnsi="Times New Roman;sans-serif"/>
          <w:b w:val="false"/>
          <w:color w:val="000000"/>
          <w:sz w:val="22"/>
          <w:shd w:fill="FFFFFF" w:val="clear"/>
        </w:rPr>
        <w:t>decreased by $48 million, or 12%,</w:t>
      </w:r>
      <w:r>
        <w:rPr>
          <w:color w:val="000000"/>
        </w:rPr>
        <w:t xml:space="preserve"> </w:t>
      </w:r>
      <w:r>
        <w:rPr>
          <w:rFonts w:ascii="Times New Roman;sans-serif" w:hAnsi="Times New Roman;sans-serif"/>
          <w:b w:val="false"/>
          <w:color w:val="000000"/>
          <w:sz w:val="22"/>
        </w:rPr>
        <w:t>primarily from lower international activity, especially in Latin America, partly offset by higher Wireline activity in North America.</w:t>
      </w:r>
    </w:p>
    <w:p>
      <w:pPr>
        <w:pStyle w:val="TextBody"/>
        <w:bidi w:val="0"/>
        <w:spacing w:lineRule="auto" w:line="417" w:before="0" w:after="1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First quarter 2025 DRE segment adjusted EBITDA of $74 million decreased by $56 million, or 43% year-over-year, primarily from lower activity, partly offset by higher Drilling Services activity in Middle East/North Africa/Asia. Sequentially, DRE segment adjusted EBITDA decreased by $22 million, or 23%, primarily from lower international activity, especially in Latin America, partly offset by higher Wireline activity in North America.</w:t>
      </w:r>
    </w:p>
    <w:p>
      <w:pPr>
        <w:pStyle w:val="TextBody"/>
        <w:bidi w:val="0"/>
        <w:spacing w:lineRule="auto" w:line="417" w:before="0" w:after="6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Well Construction and Completions (“WCC”)</w:t>
      </w:r>
    </w:p>
    <w:tbl>
      <w:tblPr>
        <w:tblW w:w="10205" w:type="dxa"/>
        <w:jc w:val="left"/>
        <w:tblInd w:w="0" w:type="dxa"/>
        <w:tblLayout w:type="fixed"/>
        <w:tblCellMar>
          <w:top w:w="28" w:type="dxa"/>
          <w:left w:w="28" w:type="dxa"/>
          <w:bottom w:w="28" w:type="dxa"/>
          <w:right w:w="28" w:type="dxa"/>
        </w:tblCellMar>
      </w:tblPr>
      <w:tblGrid>
        <w:gridCol w:w="755"/>
        <w:gridCol w:w="650"/>
        <w:gridCol w:w="653"/>
        <w:gridCol w:w="109"/>
        <w:gridCol w:w="109"/>
        <w:gridCol w:w="109"/>
        <w:gridCol w:w="287"/>
        <w:gridCol w:w="636"/>
        <w:gridCol w:w="369"/>
        <w:gridCol w:w="109"/>
        <w:gridCol w:w="109"/>
        <w:gridCol w:w="109"/>
        <w:gridCol w:w="332"/>
        <w:gridCol w:w="736"/>
        <w:gridCol w:w="430"/>
        <w:gridCol w:w="109"/>
        <w:gridCol w:w="109"/>
        <w:gridCol w:w="109"/>
        <w:gridCol w:w="287"/>
        <w:gridCol w:w="636"/>
        <w:gridCol w:w="369"/>
        <w:gridCol w:w="109"/>
        <w:gridCol w:w="109"/>
        <w:gridCol w:w="109"/>
        <w:gridCol w:w="209"/>
        <w:gridCol w:w="209"/>
        <w:gridCol w:w="451"/>
        <w:gridCol w:w="109"/>
        <w:gridCol w:w="109"/>
        <w:gridCol w:w="109"/>
        <w:gridCol w:w="232"/>
        <w:gridCol w:w="234"/>
        <w:gridCol w:w="391"/>
        <w:gridCol w:w="109"/>
        <w:gridCol w:w="109"/>
        <w:gridCol w:w="109"/>
        <w:gridCol w:w="109"/>
        <w:gridCol w:w="109"/>
        <w:gridCol w:w="159"/>
      </w:tblGrid>
      <w:tr>
        <w:trPr/>
        <w:tc>
          <w:tcPr>
            <w:tcW w:w="7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pPr>
      <w:r>
        <w:rPr>
          <w:rFonts w:ascii="Times New Roman;sans-serif" w:hAnsi="Times New Roman;sans-serif"/>
          <w:b w:val="false"/>
          <w:color w:val="000000"/>
          <w:sz w:val="22"/>
          <w:shd w:fill="FFFFFF" w:val="clear"/>
        </w:rPr>
        <w:t>First quarter 2025 WCC revenue of $441 million</w:t>
      </w:r>
      <w:r>
        <w:rPr>
          <w:color w:val="000000"/>
        </w:rPr>
        <w:t xml:space="preserve"> </w:t>
      </w:r>
      <w:r>
        <w:rPr>
          <w:rFonts w:ascii="Times New Roman;sans-serif" w:hAnsi="Times New Roman;sans-serif"/>
          <w:b w:val="false"/>
          <w:color w:val="000000"/>
          <w:sz w:val="22"/>
        </w:rPr>
        <w:t>decreased by $17 million, or 4% year-over-year, primarily from lower activity in North America, Latin America and Europe/Sub-Sahara Africa/Russia, partly offset by higher activity in Middle East/North Africa/Asia. Sequentially, WCC revenues decreased by $64 million, or 13%, primarily from lower activity across all geographies.</w:t>
      </w:r>
    </w:p>
    <w:p>
      <w:pPr>
        <w:pStyle w:val="TextBody"/>
        <w:bidi w:val="0"/>
        <w:spacing w:lineRule="auto" w:line="417" w:before="100" w:after="18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First quarter 2025 WCC segment adjusted EBITDA of $128 million increased by $8 million, or 7% year-over-year, primarily from higher activity and fall through in Middle East/North Africa/Asia, partly offset by lower activity in </w:t>
      </w:r>
    </w:p>
    <w:p>
      <w:pPr>
        <w:pStyle w:val="TextBody"/>
        <w:bidi w:val="0"/>
        <w:spacing w:before="0" w:after="1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417" w:before="100" w:after="18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North America, Latin America and Europe/Sub-Sahara Africa/Russia. Sequentially, WCC segment adjusted EBITDA decreased by $20 million, or 14%, primarily from lower activity across all geographies.</w:t>
      </w:r>
    </w:p>
    <w:p>
      <w:pPr>
        <w:pStyle w:val="TextBody"/>
        <w:bidi w:val="0"/>
        <w:spacing w:lineRule="auto" w:line="417" w:before="100" w:after="18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Production and Intervention (“PRI”)</w:t>
      </w:r>
    </w:p>
    <w:tbl>
      <w:tblPr>
        <w:tblW w:w="10205" w:type="dxa"/>
        <w:jc w:val="left"/>
        <w:tblInd w:w="0" w:type="dxa"/>
        <w:tblLayout w:type="fixed"/>
        <w:tblCellMar>
          <w:top w:w="28" w:type="dxa"/>
          <w:left w:w="28" w:type="dxa"/>
          <w:bottom w:w="28" w:type="dxa"/>
          <w:right w:w="28" w:type="dxa"/>
        </w:tblCellMar>
      </w:tblPr>
      <w:tblGrid>
        <w:gridCol w:w="728"/>
        <w:gridCol w:w="625"/>
        <w:gridCol w:w="628"/>
        <w:gridCol w:w="109"/>
        <w:gridCol w:w="109"/>
        <w:gridCol w:w="109"/>
        <w:gridCol w:w="282"/>
        <w:gridCol w:w="625"/>
        <w:gridCol w:w="363"/>
        <w:gridCol w:w="109"/>
        <w:gridCol w:w="109"/>
        <w:gridCol w:w="109"/>
        <w:gridCol w:w="324"/>
        <w:gridCol w:w="719"/>
        <w:gridCol w:w="420"/>
        <w:gridCol w:w="109"/>
        <w:gridCol w:w="109"/>
        <w:gridCol w:w="109"/>
        <w:gridCol w:w="282"/>
        <w:gridCol w:w="625"/>
        <w:gridCol w:w="363"/>
        <w:gridCol w:w="109"/>
        <w:gridCol w:w="109"/>
        <w:gridCol w:w="109"/>
        <w:gridCol w:w="258"/>
        <w:gridCol w:w="261"/>
        <w:gridCol w:w="451"/>
        <w:gridCol w:w="109"/>
        <w:gridCol w:w="109"/>
        <w:gridCol w:w="109"/>
        <w:gridCol w:w="258"/>
        <w:gridCol w:w="261"/>
        <w:gridCol w:w="391"/>
        <w:gridCol w:w="109"/>
        <w:gridCol w:w="109"/>
        <w:gridCol w:w="109"/>
        <w:gridCol w:w="109"/>
        <w:gridCol w:w="109"/>
        <w:gridCol w:w="161"/>
      </w:tblGrid>
      <w:tr>
        <w:trPr/>
        <w:tc>
          <w:tcPr>
            <w:tcW w:w="72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pPr>
      <w:r>
        <w:rPr>
          <w:rFonts w:ascii="Times New Roman;sans-serif" w:hAnsi="Times New Roman;sans-serif"/>
          <w:b w:val="false"/>
          <w:color w:val="000000"/>
          <w:sz w:val="22"/>
          <w:shd w:fill="FFFFFF" w:val="clear"/>
        </w:rPr>
        <w:t>First quarter 2025 PRI rev</w:t>
      </w:r>
      <w:r>
        <w:rPr>
          <w:rFonts w:ascii="Times New Roman;sans-serif" w:hAnsi="Times New Roman;sans-serif"/>
          <w:b w:val="false"/>
          <w:color w:val="000000"/>
          <w:sz w:val="22"/>
        </w:rPr>
        <w:t>enue of $334 million decreased by $14 million, or 4% year-over-year, as lower international activity was partly offset by higher activity in North America. Sequentially,</w:t>
      </w:r>
      <w:r>
        <w:rPr>
          <w:color w:val="000000"/>
          <w:shd w:fill="FFFFFF" w:val="clear"/>
        </w:rPr>
        <w:t xml:space="preserve"> </w:t>
      </w:r>
      <w:r>
        <w:rPr>
          <w:rFonts w:ascii="Times New Roman;sans-serif" w:hAnsi="Times New Roman;sans-serif"/>
          <w:b w:val="false"/>
          <w:color w:val="000000"/>
          <w:sz w:val="22"/>
          <w:shd w:fill="FFFFFF" w:val="clear"/>
        </w:rPr>
        <w:t>PRI</w:t>
      </w:r>
      <w:r>
        <w:rPr>
          <w:color w:val="000000"/>
        </w:rPr>
        <w:t xml:space="preserve"> </w:t>
      </w:r>
      <w:r>
        <w:rPr>
          <w:rFonts w:ascii="Times New Roman;sans-serif" w:hAnsi="Times New Roman;sans-serif"/>
          <w:b w:val="false"/>
          <w:color w:val="000000"/>
          <w:sz w:val="22"/>
        </w:rPr>
        <w:t>revenue decreased by $30 million, or 8%, primarily from lower Artificial Lift activity.</w:t>
      </w:r>
    </w:p>
    <w:p>
      <w:pPr>
        <w:pStyle w:val="TextBody"/>
        <w:bidi w:val="0"/>
        <w:spacing w:lineRule="auto" w:line="417" w:before="100" w:after="180"/>
        <w:jc w:val="both"/>
        <w:rPr/>
      </w:pPr>
      <w:r>
        <w:rPr>
          <w:rFonts w:ascii="Times New Roman;sans-serif" w:hAnsi="Times New Roman;sans-serif"/>
          <w:b w:val="false"/>
          <w:color w:val="000000"/>
          <w:sz w:val="22"/>
          <w:shd w:fill="FFFFFF" w:val="clear"/>
        </w:rPr>
        <w:t xml:space="preserve">First quarter 2025 PRI segment adjusted EBITDA of $62 million </w:t>
      </w:r>
      <w:r>
        <w:rPr>
          <w:rFonts w:ascii="Times New Roman;sans-serif" w:hAnsi="Times New Roman;sans-serif"/>
          <w:b w:val="false"/>
          <w:color w:val="000000"/>
          <w:sz w:val="22"/>
        </w:rPr>
        <w:t xml:space="preserve">decreased by $11 million, or 15% year-over-year, </w:t>
      </w:r>
      <w:r>
        <w:rPr>
          <w:rFonts w:ascii="Times New Roman;sans-serif" w:hAnsi="Times New Roman;sans-serif"/>
          <w:b w:val="false"/>
          <w:color w:val="000000"/>
          <w:sz w:val="22"/>
          <w:shd w:fill="FFFFFF" w:val="clear"/>
        </w:rPr>
        <w:t xml:space="preserve">primarily from lower international activity, partly offset by higher fall through in North America. </w:t>
      </w:r>
      <w:r>
        <w:rPr>
          <w:rFonts w:ascii="Times New Roman;sans-serif" w:hAnsi="Times New Roman;sans-serif"/>
          <w:b w:val="false"/>
          <w:color w:val="000000"/>
          <w:sz w:val="22"/>
        </w:rPr>
        <w:t xml:space="preserve">Sequentially, PRI segment adjusted EBITDA </w:t>
      </w:r>
      <w:r>
        <w:rPr>
          <w:rFonts w:ascii="Times New Roman;sans-serif" w:hAnsi="Times New Roman;sans-serif"/>
          <w:b w:val="false"/>
          <w:color w:val="000000"/>
          <w:sz w:val="22"/>
          <w:shd w:fill="FFFFFF" w:val="clear"/>
        </w:rPr>
        <w:t>decreased by $16 million, or 21%, primarily from lower Artificial Lift activity, partly offset by higher fall through from Digital Solutions in North America.</w:t>
      </w:r>
    </w:p>
    <w:p>
      <w:pPr>
        <w:pStyle w:val="TextBody"/>
        <w:bidi w:val="0"/>
        <w:spacing w:lineRule="auto" w:line="417" w:before="100" w:after="180"/>
        <w:jc w:val="both"/>
        <w:rPr>
          <w:rFonts w:ascii="Times New Roman;sans-serif" w:hAnsi="Times New Roman;sans-serif"/>
          <w:b/>
          <w:color w:val="000000"/>
          <w:sz w:val="28"/>
          <w:u w:val="single"/>
        </w:rPr>
      </w:pPr>
      <w:r>
        <w:rPr>
          <w:rFonts w:ascii="Times New Roman;sans-serif" w:hAnsi="Times New Roman;sans-serif"/>
          <w:b/>
          <w:color w:val="000000"/>
          <w:sz w:val="28"/>
          <w:u w:val="single"/>
        </w:rPr>
        <w:t xml:space="preserve">Revenue by Geography </w:t>
      </w:r>
    </w:p>
    <w:tbl>
      <w:tblPr>
        <w:tblW w:w="10205" w:type="dxa"/>
        <w:jc w:val="left"/>
        <w:tblInd w:w="0" w:type="dxa"/>
        <w:tblLayout w:type="fixed"/>
        <w:tblCellMar>
          <w:top w:w="28" w:type="dxa"/>
          <w:left w:w="28" w:type="dxa"/>
          <w:bottom w:w="28" w:type="dxa"/>
          <w:right w:w="28" w:type="dxa"/>
        </w:tblCellMar>
      </w:tblPr>
      <w:tblGrid>
        <w:gridCol w:w="897"/>
        <w:gridCol w:w="788"/>
        <w:gridCol w:w="751"/>
        <w:gridCol w:w="109"/>
        <w:gridCol w:w="109"/>
        <w:gridCol w:w="109"/>
        <w:gridCol w:w="289"/>
        <w:gridCol w:w="845"/>
        <w:gridCol w:w="149"/>
        <w:gridCol w:w="109"/>
        <w:gridCol w:w="109"/>
        <w:gridCol w:w="109"/>
        <w:gridCol w:w="334"/>
        <w:gridCol w:w="980"/>
        <w:gridCol w:w="174"/>
        <w:gridCol w:w="109"/>
        <w:gridCol w:w="109"/>
        <w:gridCol w:w="109"/>
        <w:gridCol w:w="289"/>
        <w:gridCol w:w="845"/>
        <w:gridCol w:w="149"/>
        <w:gridCol w:w="109"/>
        <w:gridCol w:w="109"/>
        <w:gridCol w:w="109"/>
        <w:gridCol w:w="207"/>
        <w:gridCol w:w="209"/>
        <w:gridCol w:w="271"/>
        <w:gridCol w:w="109"/>
        <w:gridCol w:w="109"/>
        <w:gridCol w:w="109"/>
        <w:gridCol w:w="207"/>
        <w:gridCol w:w="209"/>
        <w:gridCol w:w="271"/>
        <w:gridCol w:w="109"/>
        <w:gridCol w:w="109"/>
        <w:gridCol w:w="109"/>
        <w:gridCol w:w="109"/>
        <w:gridCol w:w="109"/>
        <w:gridCol w:w="161"/>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Latin America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4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North America</w:t>
      </w:r>
    </w:p>
    <w:p>
      <w:pPr>
        <w:pStyle w:val="TextBody"/>
        <w:bidi w:val="0"/>
        <w:spacing w:lineRule="auto" w:line="417" w:before="100" w:after="180"/>
        <w:jc w:val="both"/>
        <w:rPr/>
      </w:pPr>
      <w:r>
        <w:rPr>
          <w:rFonts w:ascii="Times New Roman;sans-serif" w:hAnsi="Times New Roman;sans-serif"/>
          <w:b w:val="false"/>
          <w:color w:val="000000"/>
          <w:sz w:val="22"/>
          <w:shd w:fill="FFFFFF" w:val="clear"/>
        </w:rPr>
        <w:t>First quarter 2025 North A</w:t>
      </w:r>
      <w:r>
        <w:rPr>
          <w:rFonts w:ascii="Times New Roman;sans-serif" w:hAnsi="Times New Roman;sans-serif"/>
          <w:b w:val="false"/>
          <w:color w:val="000000"/>
          <w:sz w:val="22"/>
        </w:rPr>
        <w:t xml:space="preserve">merica revenue of $250 million decreased by </w:t>
      </w:r>
      <w:r>
        <w:rPr>
          <w:rFonts w:ascii="Times New Roman;sans-serif" w:hAnsi="Times New Roman;sans-serif"/>
          <w:b w:val="false"/>
          <w:color w:val="000000"/>
          <w:sz w:val="22"/>
          <w:shd w:fill="FFFFFF" w:val="clear"/>
        </w:rPr>
        <w:t>$17 million, or 6% year-over-year</w:t>
      </w:r>
      <w:r>
        <w:rPr>
          <w:rFonts w:ascii="Times New Roman;sans-serif" w:hAnsi="Times New Roman;sans-serif"/>
          <w:b w:val="false"/>
          <w:color w:val="000000"/>
          <w:sz w:val="22"/>
        </w:rPr>
        <w:t>, primarily from lower activity in DRE and WCC segments, partly offset by higher activity in PRI segment led by Pressure Pumping and Digital Solutions. Sequentially, North America decreased by $11 million, or 4%, primarily from lower US land and US offshore activity, partly offset by higher Wireline activity.</w:t>
      </w:r>
    </w:p>
    <w:p>
      <w:pPr>
        <w:pStyle w:val="TextBody"/>
        <w:bidi w:val="0"/>
        <w:spacing w:before="0" w:after="12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417" w:before="0" w:after="40"/>
        <w:jc w:val="both"/>
        <w:rPr>
          <w:rFonts w:ascii="Times New Roman;sans-serif" w:hAnsi="Times New Roman;sans-serif"/>
          <w:b/>
          <w:i/>
          <w:color w:val="000000"/>
          <w:sz w:val="24"/>
          <w:u w:val="single"/>
          <w:shd w:fill="FFFFFF" w:val="clear"/>
        </w:rPr>
      </w:pPr>
      <w:r>
        <w:rPr>
          <w:rFonts w:ascii="Times New Roman;sans-serif" w:hAnsi="Times New Roman;sans-serif"/>
          <w:b/>
          <w:i/>
          <w:color w:val="000000"/>
          <w:sz w:val="24"/>
          <w:u w:val="single"/>
          <w:shd w:fill="FFFFFF" w:val="clear"/>
        </w:rPr>
        <w:t>International</w:t>
      </w:r>
    </w:p>
    <w:p>
      <w:pPr>
        <w:pStyle w:val="TextBody"/>
        <w:bidi w:val="0"/>
        <w:spacing w:lineRule="auto" w:line="417" w:before="100" w:after="180"/>
        <w:jc w:val="both"/>
        <w:rPr/>
      </w:pPr>
      <w:r>
        <w:rPr>
          <w:rFonts w:ascii="Times New Roman;sans-serif" w:hAnsi="Times New Roman;sans-serif"/>
          <w:b w:val="false"/>
          <w:color w:val="000000"/>
          <w:sz w:val="22"/>
          <w:shd w:fill="FFFFFF" w:val="clear"/>
        </w:rPr>
        <w:t>First quarter 2025 international revenue of $943 million decreased 14% year-over-year and decreased 13% sequentially</w:t>
      </w:r>
      <w:r>
        <w:rPr>
          <w:rFonts w:ascii="Times New Roman;sans-serif" w:hAnsi="Times New Roman;sans-serif"/>
          <w:b w:val="false"/>
          <w:color w:val="000000"/>
          <w:sz w:val="22"/>
        </w:rPr>
        <w:t>.</w:t>
      </w:r>
    </w:p>
    <w:p>
      <w:pPr>
        <w:pStyle w:val="TextBody"/>
        <w:bidi w:val="0"/>
        <w:spacing w:lineRule="auto" w:line="417" w:before="100" w:after="180"/>
        <w:jc w:val="both"/>
        <w:rPr/>
      </w:pPr>
      <w:r>
        <w:rPr>
          <w:rFonts w:ascii="Times New Roman;sans-serif" w:hAnsi="Times New Roman;sans-serif"/>
          <w:b w:val="false"/>
          <w:color w:val="000000"/>
          <w:sz w:val="22"/>
          <w:shd w:fill="FFFFFF" w:val="clear"/>
        </w:rPr>
        <w:t>First quarter 2025 Latin America revenue of</w:t>
      </w:r>
      <w:r>
        <w:rPr>
          <w:color w:val="000000"/>
        </w:rPr>
        <w:t xml:space="preserve"> </w:t>
      </w:r>
      <w:r>
        <w:rPr>
          <w:rFonts w:ascii="Times New Roman;sans-serif" w:hAnsi="Times New Roman;sans-serif"/>
          <w:b w:val="false"/>
          <w:color w:val="000000"/>
          <w:sz w:val="22"/>
        </w:rPr>
        <w:t xml:space="preserve">$241 million decreased by $129 million, or 35% year-over-year, primarily from lower activity in Mexico, partly offset by MPD and Pressure Pumping activity. Sequentially, Latin America revenue decreased by $71 million, or 23%, primarily from lower activity in Mexico, partly offset by higher MPD and Completions activity. </w:t>
      </w:r>
    </w:p>
    <w:p>
      <w:pPr>
        <w:pStyle w:val="TextBody"/>
        <w:bidi w:val="0"/>
        <w:spacing w:lineRule="auto" w:line="417" w:before="100" w:after="180"/>
        <w:jc w:val="both"/>
        <w:rPr/>
      </w:pPr>
      <w:r>
        <w:rPr>
          <w:rFonts w:ascii="Times New Roman;sans-serif" w:hAnsi="Times New Roman;sans-serif"/>
          <w:b w:val="false"/>
          <w:color w:val="000000"/>
          <w:sz w:val="22"/>
          <w:shd w:fill="FFFFFF" w:val="clear"/>
        </w:rPr>
        <w:t>First quarter 2025 Middle East</w:t>
      </w:r>
      <w:r>
        <w:rPr>
          <w:rFonts w:ascii="Times New Roman;sans-serif" w:hAnsi="Times New Roman;sans-serif"/>
          <w:b w:val="false"/>
          <w:color w:val="000000"/>
          <w:sz w:val="22"/>
        </w:rPr>
        <w:t>/North Africa/Asia</w:t>
      </w:r>
      <w:r>
        <w:rPr>
          <w:color w:val="000000"/>
          <w:shd w:fill="FFFFFF" w:val="clear"/>
        </w:rPr>
        <w:t xml:space="preserve"> </w:t>
      </w:r>
      <w:r>
        <w:rPr>
          <w:rFonts w:ascii="Times New Roman;sans-serif" w:hAnsi="Times New Roman;sans-serif"/>
          <w:b w:val="false"/>
          <w:color w:val="000000"/>
          <w:sz w:val="22"/>
        </w:rPr>
        <w:t xml:space="preserve">revenue of $503 million </w:t>
      </w:r>
      <w:r>
        <w:rPr>
          <w:rFonts w:ascii="Times New Roman;sans-serif" w:hAnsi="Times New Roman;sans-serif"/>
          <w:b w:val="false"/>
          <w:color w:val="000000"/>
          <w:sz w:val="22"/>
          <w:shd w:fill="FFFFFF" w:val="clear"/>
        </w:rPr>
        <w:t>increased by $6 million, or 1% year-over-year</w:t>
      </w:r>
      <w:r>
        <w:rPr>
          <w:rFonts w:ascii="Times New Roman;sans-serif" w:hAnsi="Times New Roman;sans-serif"/>
          <w:b w:val="false"/>
          <w:color w:val="000000"/>
          <w:sz w:val="22"/>
        </w:rPr>
        <w:t>, a</w:t>
      </w:r>
      <w:r>
        <w:rPr>
          <w:rFonts w:ascii="Times New Roman;sans-serif" w:hAnsi="Times New Roman;sans-serif"/>
          <w:b w:val="false"/>
          <w:color w:val="000000"/>
          <w:sz w:val="22"/>
          <w:shd w:fill="FFFFFF" w:val="clear"/>
        </w:rPr>
        <w:t xml:space="preserve">s higher activity from Completions and Drilling Services were partly offset by lower MPD and Integrated Services &amp; Projects activity. Sequentially, the Middle East/North Africa/Asia revenue </w:t>
      </w:r>
      <w:r>
        <w:rPr>
          <w:rFonts w:ascii="Times New Roman;sans-serif" w:hAnsi="Times New Roman;sans-serif"/>
          <w:b w:val="false"/>
          <w:color w:val="000000"/>
          <w:sz w:val="22"/>
        </w:rPr>
        <w:t>decreased by $39 million, or 7%</w:t>
      </w:r>
      <w:r>
        <w:rPr>
          <w:rFonts w:ascii="Times New Roman;sans-serif" w:hAnsi="Times New Roman;sans-serif"/>
          <w:b w:val="false"/>
          <w:color w:val="000000"/>
          <w:sz w:val="22"/>
          <w:shd w:fill="FFFFFF" w:val="clear"/>
        </w:rPr>
        <w:t>, primarily from lower activity in all the segments, partly offset by higher Integrated Services &amp; Projects and MPD activity.</w:t>
      </w:r>
    </w:p>
    <w:p>
      <w:pPr>
        <w:pStyle w:val="TextBody"/>
        <w:bidi w:val="0"/>
        <w:spacing w:lineRule="auto" w:line="417" w:before="100" w:after="180"/>
        <w:jc w:val="both"/>
        <w:rPr/>
      </w:pPr>
      <w:r>
        <w:rPr>
          <w:rFonts w:ascii="Times New Roman;sans-serif" w:hAnsi="Times New Roman;sans-serif"/>
          <w:b w:val="false"/>
          <w:color w:val="000000"/>
          <w:sz w:val="22"/>
          <w:shd w:fill="FFFFFF" w:val="clear"/>
        </w:rPr>
        <w:t>First quarter 2025 Europe/Sub-Sahara Africa/Russia revenue of $199 million decreased by $25 million, or 11% year-over-year,</w:t>
      </w:r>
      <w:r>
        <w:rPr>
          <w:color w:val="000000"/>
        </w:rPr>
        <w:t xml:space="preserve"> </w:t>
      </w:r>
      <w:r>
        <w:rPr>
          <w:rFonts w:ascii="Times New Roman;sans-serif" w:hAnsi="Times New Roman;sans-serif"/>
          <w:b w:val="false"/>
          <w:color w:val="000000"/>
          <w:sz w:val="22"/>
        </w:rPr>
        <w:t>primarily from lower activity across all the segments, partly offset by higher Well Services and MPD activity.</w:t>
      </w:r>
      <w:r>
        <w:rPr>
          <w:color w:val="000000"/>
          <w:shd w:fill="FFFFFF" w:val="clear"/>
        </w:rPr>
        <w:t xml:space="preserve"> </w:t>
      </w:r>
      <w:r>
        <w:rPr>
          <w:rFonts w:ascii="Times New Roman;sans-serif" w:hAnsi="Times New Roman;sans-serif"/>
          <w:b w:val="false"/>
          <w:color w:val="000000"/>
          <w:sz w:val="22"/>
          <w:shd w:fill="FFFFFF" w:val="clear"/>
        </w:rPr>
        <w:t>Sequentially, Europe/Sub-Sahara Africa/Russia revenue decreased by $27 million, or 12%, primarily from lower activity across all the segments, partly offset by higher activity in Drilling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417" w:before="0" w:after="0"/>
        <w:jc w:val="both"/>
        <w:rPr>
          <w:rFonts w:ascii="Times New Roman;sans-serif" w:hAnsi="Times New Roman;sans-serif"/>
          <w:b/>
          <w:color w:val="000000"/>
          <w:sz w:val="28"/>
          <w:u w:val="single"/>
        </w:rPr>
      </w:pPr>
      <w:r>
        <w:rPr>
          <w:rFonts w:ascii="Times New Roman;sans-serif" w:hAnsi="Times New Roman;sans-serif"/>
          <w:b/>
          <w:color w:val="000000"/>
          <w:sz w:val="28"/>
          <w:u w:val="single"/>
        </w:rPr>
        <w:t>About Weatherford</w:t>
      </w:r>
    </w:p>
    <w:p>
      <w:pPr>
        <w:pStyle w:val="TextBody"/>
        <w:bidi w:val="0"/>
        <w:spacing w:lineRule="auto" w:line="417" w:before="0" w:after="140"/>
        <w:jc w:val="both"/>
        <w:rPr/>
      </w:pPr>
      <w:r>
        <w:rPr>
          <w:rFonts w:ascii="Times New Roman;sans-serif" w:hAnsi="Times New Roman;sans-serif"/>
          <w:b w:val="false"/>
          <w:color w:val="000000"/>
          <w:sz w:val="22"/>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18,000 team members representing more than 110 nationalities and 320 operating locations. Visit </w:t>
      </w:r>
      <w:r>
        <w:rPr>
          <w:rFonts w:ascii="Times New Roman;sans-serif" w:hAnsi="Times New Roman;sans-serif"/>
          <w:b w:val="false"/>
          <w:color w:val="3051F2"/>
          <w:sz w:val="22"/>
          <w:u w:val="single"/>
        </w:rPr>
        <w:t>weatherford.com</w:t>
      </w:r>
      <w:r>
        <w:rPr>
          <w:color w:val="000000"/>
        </w:rPr>
        <w:t xml:space="preserve"> </w:t>
      </w:r>
      <w:r>
        <w:rPr>
          <w:rFonts w:ascii="Times New Roman;sans-serif" w:hAnsi="Times New Roman;sans-serif"/>
          <w:b w:val="false"/>
          <w:color w:val="000000"/>
          <w:sz w:val="22"/>
        </w:rPr>
        <w:t>for more information and connect with us on social media.</w:t>
      </w:r>
    </w:p>
    <w:p>
      <w:pPr>
        <w:pStyle w:val="TextBody"/>
        <w:bidi w:val="0"/>
        <w:spacing w:lineRule="auto" w:line="417" w:before="300" w:after="180"/>
        <w:jc w:val="both"/>
        <w:rPr>
          <w:rFonts w:ascii="Times New Roman;sans-serif" w:hAnsi="Times New Roman;sans-serif"/>
          <w:b/>
          <w:color w:val="000000"/>
          <w:sz w:val="28"/>
          <w:u w:val="single"/>
        </w:rPr>
      </w:pPr>
      <w:r>
        <w:rPr>
          <w:rFonts w:ascii="Times New Roman;sans-serif" w:hAnsi="Times New Roman;sans-serif"/>
          <w:b/>
          <w:color w:val="000000"/>
          <w:sz w:val="28"/>
          <w:u w:val="single"/>
        </w:rPr>
        <w:t>Conference Call Details</w:t>
      </w:r>
    </w:p>
    <w:p>
      <w:pPr>
        <w:pStyle w:val="TextBody"/>
        <w:bidi w:val="0"/>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Weatherford will host a conference call on Wednesday, April 23, 2025, to discuss the Company’s results for the first quarter ended March 31, 2025. The conference call will begin at 8:30 a.m. Eastern Time (7:30 a.m. Central Time).</w:t>
      </w:r>
    </w:p>
    <w:p>
      <w:pPr>
        <w:pStyle w:val="TextBody"/>
        <w:bidi w:val="0"/>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Listeners are encouraged to download the accompanying presentation slides which will be available in the investor relations section of the Company’s website.</w:t>
      </w:r>
    </w:p>
    <w:p>
      <w:pPr>
        <w:pStyle w:val="TextBody"/>
        <w:bidi w:val="0"/>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telephonic replay of the conference call will be available until May 7, 2025, at 5:00 p.m. Eastern Time. To access the replay, please dial +1 877-344-7529 (within the U.S.) or +1 412-317-0088 (outside of the U.S.) and reference conference number 6907941. A replay and transcript of the earnings call will also be available in the investor relations section of the Company’s website. </w:t>
      </w:r>
    </w:p>
    <w:p>
      <w:pPr>
        <w:pStyle w:val="TextBody"/>
        <w:bidi w:val="0"/>
        <w:spacing w:before="200" w:after="120"/>
        <w:jc w:val="both"/>
        <w:rPr/>
      </w:pPr>
      <w:r>
        <w:rPr/>
      </w:r>
    </w:p>
    <w:p>
      <w:pPr>
        <w:pStyle w:val="TextBody"/>
        <w:bidi w:val="0"/>
        <w:spacing w:lineRule="auto" w:line="288" w:before="80" w:after="80"/>
        <w:jc w:val="both"/>
        <w:rPr>
          <w:rFonts w:ascii="Times New Roman;sans-serif" w:hAnsi="Times New Roman;sans-serif"/>
          <w:b/>
          <w:color w:val="000000"/>
          <w:sz w:val="28"/>
          <w:u w:val="single"/>
        </w:rPr>
      </w:pPr>
      <w:r>
        <w:rPr>
          <w:rFonts w:ascii="Times New Roman;sans-serif" w:hAnsi="Times New Roman;sans-serif"/>
          <w:b/>
          <w:color w:val="000000"/>
          <w:sz w:val="28"/>
          <w:u w:val="single"/>
        </w:rPr>
        <w:t>Contacts</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For Investors: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Luke Lemoine</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Senior Vice President, Corporate Development &amp; Investor Relations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+1 713-836-7777</w:t>
      </w:r>
    </w:p>
    <w:p>
      <w:pPr>
        <w:pStyle w:val="TextBody"/>
        <w:bidi w:val="0"/>
        <w:spacing w:lineRule="auto" w:line="288" w:before="0" w:after="6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investor.relations@weatherford.com</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For Media:</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Kelley Hughes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Senior Director, Communications &amp; Employee Engagement</w:t>
      </w:r>
    </w:p>
    <w:p>
      <w:pPr>
        <w:pStyle w:val="TextBody"/>
        <w:bidi w:val="0"/>
        <w:spacing w:lineRule="auto" w:line="288" w:before="0" w:after="6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media@weatherford.com</w:t>
      </w:r>
    </w:p>
    <w:p>
      <w:pPr>
        <w:pStyle w:val="TextBody"/>
        <w:bidi w:val="0"/>
        <w:spacing w:before="0" w:after="6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80" w:after="80"/>
        <w:jc w:val="both"/>
        <w:rPr>
          <w:rFonts w:ascii="Times New Roman;sans-serif" w:hAnsi="Times New Roman;sans-serif"/>
          <w:b/>
          <w:color w:val="000000"/>
          <w:sz w:val="28"/>
          <w:u w:val="single"/>
        </w:rPr>
      </w:pPr>
      <w:r>
        <w:rPr>
          <w:rFonts w:ascii="Times New Roman;sans-serif" w:hAnsi="Times New Roman;sans-serif"/>
          <w:b/>
          <w:color w:val="000000"/>
          <w:sz w:val="28"/>
          <w:u w:val="single"/>
        </w:rPr>
        <w:t>Forward-Looking Statements</w:t>
      </w:r>
    </w:p>
    <w:p>
      <w:pPr>
        <w:pStyle w:val="TextBody"/>
        <w:bidi w:val="0"/>
        <w:spacing w:lineRule="auto" w:line="384" w:before="300" w:after="1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news release contains projections and forward-looking statements concerning, among other things, the Company’s quarterly adjusted EBITDA*, adjusted EBITDA margin*, adjusted free cash flow*, net leverage*, shareholder return program,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global political, economic and market conditions, political disturbances, war or other global conflicts, terrorist attacks, changes in global trade policies, tariffs and sanctions, weak local economic conditions and international currency fluctuations; general global economic repercussions related to U.S. and global inflationary pressures and potential recessionary concerns; various effects from conflicts in the Middle East and the Russia Ukraine conflicts, including, but not limited to, nationalization of assets, extended business interruptions, sanctions, treaties and regulations (including changes in the regulatory environment)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our ability to effectively execute our capital allocation framework; our ability to return capital to shareholders, including those related to the timing and amounts (including any plans or commitments in respect thereof) of any dividends and share repurchases; and the realization of additional cost savings and operational efficiencies. </w:t>
      </w:r>
    </w:p>
    <w:p>
      <w:pPr>
        <w:pStyle w:val="TextBody"/>
        <w:bidi w:val="0"/>
        <w:spacing w:lineRule="auto" w:line="38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These risks and uncertainties are more fully described in Weatherford’s reports and registration statements filed with the Securities and Exchange Commission,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 refer to the section titled Non-GAAP Financial Measures Defined and GAAP to Non-GAAP Financial Measures Reconciled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659"/>
        <w:gridCol w:w="1382"/>
        <w:gridCol w:w="1393"/>
        <w:gridCol w:w="113"/>
        <w:gridCol w:w="113"/>
        <w:gridCol w:w="113"/>
        <w:gridCol w:w="339"/>
        <w:gridCol w:w="822"/>
        <w:gridCol w:w="174"/>
        <w:gridCol w:w="113"/>
        <w:gridCol w:w="113"/>
        <w:gridCol w:w="113"/>
        <w:gridCol w:w="405"/>
        <w:gridCol w:w="979"/>
        <w:gridCol w:w="210"/>
        <w:gridCol w:w="113"/>
        <w:gridCol w:w="113"/>
        <w:gridCol w:w="113"/>
        <w:gridCol w:w="339"/>
        <w:gridCol w:w="822"/>
        <w:gridCol w:w="174"/>
        <w:gridCol w:w="109"/>
        <w:gridCol w:w="109"/>
        <w:gridCol w:w="109"/>
        <w:gridCol w:w="163"/>
      </w:tblGrid>
      <w:tr>
        <w:trPr/>
        <w:tc>
          <w:tcPr>
            <w:tcW w:w="165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Selected Statements of Operations (Unaudited)</w:t>
            </w:r>
          </w:p>
        </w:tc>
        <w:tc>
          <w:tcPr>
            <w:tcW w:w="490" w:type="dxa"/>
            <w:gridSpan w:val="4"/>
            <w:tcBorders/>
          </w:tcPr>
          <w:p>
            <w:pPr>
              <w:pStyle w:val="TableContents"/>
              <w:bidi w:val="0"/>
              <w:spacing w:before="0" w:after="283"/>
              <w:jc w:val="left"/>
              <w:rPr>
                <w:sz w:val="4"/>
                <w:szCs w:val="4"/>
              </w:rPr>
            </w:pPr>
            <w:r>
              <w:rPr>
                <w:sz w:val="4"/>
                <w:szCs w:val="4"/>
              </w:rPr>
            </w:r>
          </w:p>
        </w:tc>
      </w:tr>
      <w:tr>
        <w:trPr/>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 in Millions, Except Per Share Amounts)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Other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DRE Segment Adjusted EBITDA</w:t>
            </w:r>
            <w:r>
              <w:rPr>
                <w:rFonts w:ascii="Times New Roman;sans-serif" w:hAnsi="Times New Roman;sans-serif"/>
                <w:b w:val="false"/>
                <w:color w:val="000000"/>
                <w:sz w:val="13"/>
              </w:rPr>
              <w:t>[1]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WCC Segment Adjusted EBITDA</w:t>
            </w:r>
            <w:r>
              <w:rPr>
                <w:rFonts w:ascii="Times New Roman;sans-serif" w:hAnsi="Times New Roman;sans-serif"/>
                <w:b w:val="false"/>
                <w:color w:val="000000"/>
                <w:sz w:val="13"/>
              </w:rPr>
              <w:t>[1]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 Segment Adjusted EBITDA</w:t>
            </w:r>
            <w:r>
              <w:rPr>
                <w:rFonts w:ascii="Times New Roman;sans-serif" w:hAnsi="Times New Roman;sans-serif"/>
                <w:b w:val="false"/>
                <w:color w:val="000000"/>
                <w:sz w:val="13"/>
              </w:rPr>
              <w:t>[1]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All Other</w:t>
            </w:r>
            <w:r>
              <w:rPr>
                <w:rFonts w:ascii="Times New Roman;sans-serif" w:hAnsi="Times New Roman;sans-serif"/>
                <w:b w:val="false"/>
                <w:color w:val="000000"/>
                <w:sz w:val="13"/>
              </w:rPr>
              <w:t>[2]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Net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 of $11, $12, and $14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Weatherford</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Share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Per Share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270"/>
        <w:jc w:val="left"/>
        <w:rPr/>
      </w:pPr>
      <w:r>
        <w:rPr>
          <w:rFonts w:ascii="sans-serif" w:hAnsi="sans-serif"/>
          <w:b w:val="false"/>
          <w:color w:val="000000"/>
          <w:sz w:val="10"/>
        </w:rPr>
        <w:t>[1]</w:t>
      </w:r>
      <w:r>
        <w:rPr>
          <w:rFonts w:ascii="Times New Roman;sans-serif" w:hAnsi="Times New Roman;sans-serif"/>
          <w:b w:val="false"/>
          <w:color w:val="000000"/>
          <w:sz w:val="16"/>
        </w:rPr>
        <w:t>Segment adjusted EBITDA is our primary measure of segment profitability under U.S. GAAP ASC 280 “Segment Reporting” and represents segment earnings before interest, taxes, depreciation, amortization, share-based compensation, restructuring charges and other adjustments. Research and development expenses are included in segment adjusted EBITDA.</w:t>
      </w:r>
    </w:p>
    <w:p>
      <w:pPr>
        <w:pStyle w:val="TextBody"/>
        <w:bidi w:val="0"/>
        <w:spacing w:lineRule="auto" w:line="288" w:before="0" w:after="0"/>
        <w:ind w:left="0" w:right="0" w:hanging="270"/>
        <w:jc w:val="left"/>
        <w:rPr/>
      </w:pPr>
      <w:r>
        <w:rPr>
          <w:rFonts w:ascii="sans-serif" w:hAnsi="sans-serif"/>
          <w:b w:val="false"/>
          <w:color w:val="000000"/>
          <w:sz w:val="10"/>
        </w:rPr>
        <w:t>[2]</w:t>
      </w:r>
      <w:r>
        <w:rPr>
          <w:rFonts w:ascii="Times New Roman;sans-serif" w:hAnsi="Times New Roman;sans-serif"/>
          <w:b w:val="false"/>
          <w:color w:val="000000"/>
          <w:sz w:val="16"/>
        </w:rPr>
        <w:t>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pStyle w:val="TextBody"/>
        <w:bidi w:val="0"/>
        <w:spacing w:before="0" w:after="0"/>
        <w:ind w:left="0" w:right="0" w:firstLine="90"/>
        <w:jc w:val="both"/>
        <w:rPr/>
      </w:pPr>
      <w:r>
        <w:rPr/>
      </w:r>
    </w:p>
    <w:p>
      <w:pPr>
        <w:pStyle w:val="TextBody"/>
        <w:bidi w:val="0"/>
        <w:spacing w:before="0" w:after="0"/>
        <w:ind w:left="0" w:right="0" w:firstLine="9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6702" w:type="dxa"/>
        <w:jc w:val="center"/>
        <w:tblInd w:w="0" w:type="dxa"/>
        <w:tblLayout w:type="fixed"/>
        <w:tblCellMar>
          <w:top w:w="28" w:type="dxa"/>
          <w:left w:w="28" w:type="dxa"/>
          <w:bottom w:w="28" w:type="dxa"/>
          <w:right w:w="28" w:type="dxa"/>
        </w:tblCellMar>
      </w:tblPr>
      <w:tblGrid>
        <w:gridCol w:w="1080"/>
        <w:gridCol w:w="950"/>
        <w:gridCol w:w="954"/>
        <w:gridCol w:w="386"/>
        <w:gridCol w:w="854"/>
        <w:gridCol w:w="199"/>
        <w:gridCol w:w="170"/>
        <w:gridCol w:w="170"/>
        <w:gridCol w:w="170"/>
        <w:gridCol w:w="449"/>
        <w:gridCol w:w="994"/>
        <w:gridCol w:w="326"/>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670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670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Selected Balance Sheet Data (Unaudited)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85"/>
        <w:gridCol w:w="1413"/>
        <w:gridCol w:w="1420"/>
        <w:gridCol w:w="109"/>
        <w:gridCol w:w="109"/>
        <w:gridCol w:w="109"/>
        <w:gridCol w:w="282"/>
        <w:gridCol w:w="694"/>
        <w:gridCol w:w="145"/>
        <w:gridCol w:w="109"/>
        <w:gridCol w:w="109"/>
        <w:gridCol w:w="109"/>
        <w:gridCol w:w="353"/>
        <w:gridCol w:w="807"/>
        <w:gridCol w:w="183"/>
        <w:gridCol w:w="109"/>
        <w:gridCol w:w="109"/>
        <w:gridCol w:w="109"/>
        <w:gridCol w:w="282"/>
        <w:gridCol w:w="694"/>
        <w:gridCol w:w="145"/>
        <w:gridCol w:w="109"/>
        <w:gridCol w:w="109"/>
        <w:gridCol w:w="109"/>
        <w:gridCol w:w="109"/>
        <w:gridCol w:w="109"/>
        <w:gridCol w:w="109"/>
        <w:gridCol w:w="109"/>
        <w:gridCol w:w="158"/>
      </w:tblGrid>
      <w:tr>
        <w:trPr/>
        <w:tc>
          <w:tcPr>
            <w:tcW w:w="188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2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921" w:type="dxa"/>
            <w:gridSpan w:val="8"/>
            <w:tcBorders/>
          </w:tcPr>
          <w:p>
            <w:pPr>
              <w:pStyle w:val="TableContents"/>
              <w:bidi w:val="0"/>
              <w:spacing w:before="0" w:after="283"/>
              <w:jc w:val="left"/>
              <w:rPr>
                <w:sz w:val="4"/>
                <w:szCs w:val="4"/>
              </w:rPr>
            </w:pPr>
            <w:r>
              <w:rPr>
                <w:sz w:val="4"/>
                <w:szCs w:val="4"/>
              </w:rPr>
            </w:r>
          </w:p>
        </w:tc>
      </w:tr>
      <w:tr>
        <w:trPr/>
        <w:tc>
          <w:tcPr>
            <w:tcW w:w="92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Selected Cash Flows Information (Unaudited)</w:t>
            </w:r>
          </w:p>
        </w:tc>
        <w:tc>
          <w:tcPr>
            <w:tcW w:w="921" w:type="dxa"/>
            <w:gridSpan w:val="8"/>
            <w:tcBorders/>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Accounts Receivable, Inventory, Accounts Payable and Accrued 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Cash Used In Investing Activities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Remittance on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Cash Used In Financing Activities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both"/>
        <w:rPr/>
      </w:pPr>
      <w:r>
        <w:rPr/>
      </w:r>
    </w:p>
    <w:tbl>
      <w:tblPr>
        <w:tblW w:w="4978" w:type="dxa"/>
        <w:jc w:val="left"/>
        <w:tblInd w:w="0" w:type="dxa"/>
        <w:tblLayout w:type="fixed"/>
        <w:tblCellMar>
          <w:top w:w="28" w:type="dxa"/>
          <w:left w:w="28" w:type="dxa"/>
          <w:bottom w:w="28" w:type="dxa"/>
          <w:right w:w="28" w:type="dxa"/>
        </w:tblCellMar>
      </w:tblPr>
      <w:tblGrid>
        <w:gridCol w:w="281"/>
        <w:gridCol w:w="248"/>
        <w:gridCol w:w="248"/>
        <w:gridCol w:w="248"/>
        <w:gridCol w:w="248"/>
        <w:gridCol w:w="248"/>
        <w:gridCol w:w="248"/>
        <w:gridCol w:w="248"/>
        <w:gridCol w:w="248"/>
        <w:gridCol w:w="248"/>
        <w:gridCol w:w="248"/>
        <w:gridCol w:w="248"/>
        <w:gridCol w:w="248"/>
        <w:gridCol w:w="248"/>
        <w:gridCol w:w="248"/>
        <w:gridCol w:w="248"/>
        <w:gridCol w:w="248"/>
        <w:gridCol w:w="248"/>
        <w:gridCol w:w="109"/>
        <w:gridCol w:w="109"/>
        <w:gridCol w:w="109"/>
        <w:gridCol w:w="154"/>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481" w:type="dxa"/>
            <w:gridSpan w:val="4"/>
            <w:tcBorders/>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 Financial Measures Defined (Unaudited)</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Debt* - Net Debt* is a non-GAAP measure that is calculated taking short and long-term debt less cash and cash equivalents and restricted cash. Management believes the net debt* is useful to assess the level of debt in excess of cash and cash and equivalents as we monitor our ability to repay and service our debt. Net debt* should be considered in addition to, but not as a substitute for overall debt and total cash and should be viewed in addition to the Company’s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Leverage* - Net Leverage* is a non-GAAP measure which is calculated by dividing by taking net debt* divided by adjusted EBITDA* for the trailing 12 months. Management believes the net leverage* is useful to understand our ability to repay and service our debt. Net leverage* should be considered in addition to, but not as a substitute for the individual components of above defined net debt* divided by consolidated net income attributable to Weatherford and should be viewed in addition to the Company’s reported results prepared in accordance with GAAP.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60"/>
        <w:jc w:val="both"/>
        <w:rPr/>
      </w:pPr>
      <w:r>
        <w:rPr/>
      </w:r>
    </w:p>
    <w:p>
      <w:pPr>
        <w:pStyle w:val="TextBody"/>
        <w:bidi w:val="0"/>
        <w:spacing w:lineRule="auto" w:line="417"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*Non-GAAP - as defined above and reconciled to the GAAP measures in the section titled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81"/>
        <w:gridCol w:w="1233"/>
        <w:gridCol w:w="1240"/>
        <w:gridCol w:w="124"/>
        <w:gridCol w:w="124"/>
        <w:gridCol w:w="124"/>
        <w:gridCol w:w="257"/>
        <w:gridCol w:w="750"/>
        <w:gridCol w:w="329"/>
        <w:gridCol w:w="124"/>
        <w:gridCol w:w="124"/>
        <w:gridCol w:w="124"/>
        <w:gridCol w:w="295"/>
        <w:gridCol w:w="862"/>
        <w:gridCol w:w="378"/>
        <w:gridCol w:w="124"/>
        <w:gridCol w:w="124"/>
        <w:gridCol w:w="124"/>
        <w:gridCol w:w="257"/>
        <w:gridCol w:w="750"/>
        <w:gridCol w:w="329"/>
        <w:gridCol w:w="109"/>
        <w:gridCol w:w="109"/>
        <w:gridCol w:w="109"/>
        <w:gridCol w:w="109"/>
        <w:gridCol w:w="109"/>
        <w:gridCol w:w="109"/>
        <w:gridCol w:w="109"/>
        <w:gridCol w:w="165"/>
      </w:tblGrid>
      <w:tr>
        <w:trPr/>
        <w:tc>
          <w:tcPr>
            <w:tcW w:w="148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2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92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 to Non-GAAP Financial Measures Reconciled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927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8"/>
            <w:tcBorders/>
          </w:tcPr>
          <w:p>
            <w:pPr>
              <w:pStyle w:val="TableContents"/>
              <w:bidi w:val="0"/>
              <w:spacing w:before="0" w:after="283"/>
              <w:jc w:val="left"/>
              <w:rPr>
                <w:sz w:val="4"/>
                <w:szCs w:val="4"/>
              </w:rPr>
            </w:pPr>
            <w:r>
              <w:rPr>
                <w:sz w:val="4"/>
                <w:szCs w:val="4"/>
              </w:rPr>
            </w:r>
          </w:p>
        </w:tc>
      </w:tr>
      <w:tr>
        <w:trPr/>
        <w:tc>
          <w:tcPr>
            <w:tcW w:w="3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3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 Except Margin in Percentages)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Weatherford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Margin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Attributable to Weatherford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Noncontrolling Interests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 of $11, $12, and $14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Charges, Net</w:t>
            </w:r>
            <w:r>
              <w:rPr>
                <w:rFonts w:ascii="Times New Roman;sans-serif" w:hAnsi="Times New Roman;sans-serif"/>
                <w:b w:val="false"/>
                <w:color w:val="000000"/>
                <w:sz w:val="13"/>
              </w:rPr>
              <w:t>[1]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Property, Plant and Equipment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Assets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Free Cash Flow*</w:t>
            </w:r>
          </w:p>
        </w:tc>
        <w:tc>
          <w:tcPr>
            <w:tcW w:w="37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270"/>
        <w:jc w:val="both"/>
        <w:rPr/>
      </w:pPr>
      <w:r>
        <w:rPr>
          <w:rFonts w:ascii="sans-serif" w:hAnsi="sans-serif"/>
          <w:b w:val="false"/>
          <w:color w:val="000000"/>
          <w:sz w:val="14"/>
        </w:rPr>
        <w:t>[1]</w:t>
      </w:r>
      <w:r>
        <w:rPr>
          <w:rFonts w:ascii="Times New Roman;sans-serif" w:hAnsi="Times New Roman;sans-serif"/>
          <w:b w:val="false"/>
          <w:color w:val="000000"/>
          <w:sz w:val="16"/>
        </w:rPr>
        <w:t>Other Charges, Net in the three months ended March 31, 2025 primarily includes fees to third-party financial institutions related to collections of certain receivables from our largest customer in Mexico.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*Non-GAAP - as reconciled to the GAAP measures above and defined in the section titled Non-GAAP Financial Measures Defined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85"/>
        <w:gridCol w:w="1063"/>
        <w:gridCol w:w="1067"/>
        <w:gridCol w:w="147"/>
        <w:gridCol w:w="147"/>
        <w:gridCol w:w="147"/>
        <w:gridCol w:w="299"/>
        <w:gridCol w:w="875"/>
        <w:gridCol w:w="154"/>
        <w:gridCol w:w="147"/>
        <w:gridCol w:w="147"/>
        <w:gridCol w:w="147"/>
        <w:gridCol w:w="355"/>
        <w:gridCol w:w="1021"/>
        <w:gridCol w:w="179"/>
        <w:gridCol w:w="147"/>
        <w:gridCol w:w="147"/>
        <w:gridCol w:w="147"/>
        <w:gridCol w:w="299"/>
        <w:gridCol w:w="875"/>
        <w:gridCol w:w="154"/>
        <w:gridCol w:w="147"/>
        <w:gridCol w:w="147"/>
        <w:gridCol w:w="147"/>
        <w:gridCol w:w="109"/>
        <w:gridCol w:w="109"/>
        <w:gridCol w:w="109"/>
        <w:gridCol w:w="109"/>
        <w:gridCol w:w="109"/>
        <w:gridCol w:w="109"/>
        <w:gridCol w:w="161"/>
      </w:tblGrid>
      <w:tr>
        <w:trPr/>
        <w:tc>
          <w:tcPr>
            <w:tcW w:w="128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39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939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 to Non-GAAP Financial Measures Reconciled Continued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9390"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7"/>
            <w:tcBorders/>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Net Debt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Restricted Cash</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Debt*</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for trailing 12 months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for trailing 12 months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Leverage* (Net Debt*/Adjusted EBITDA*)</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ans-serif" w:hAnsi="Times New Roman;sans-serif"/>
          <w:b w:val="false"/>
          <w:color w:val="000000"/>
          <w:sz w:val="18"/>
        </w:rPr>
      </w:pPr>
      <w:r>
        <w:rPr>
          <w:rFonts w:ascii="Times New Roman;sans-serif" w:hAnsi="Times New Roman;sans-serif"/>
          <w:b w:val="false"/>
          <w:color w:val="000000"/>
          <w:sz w:val="18"/>
        </w:rPr>
        <w:t>*Non-GAAP - as reconciled to the GAAP measures above and defined in the section titled Non-GAAP Financial Measures Defined</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5382</Words>
  <Characters>30118</Characters>
  <CharactersWithSpaces>35010</CharactersWithSpaces>
  <Paragraphs>857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