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17, 2022</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Weatherford International plc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72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40"/>
          </w:cols>
          <w:pgMar w:left="320" w:top="727" w:right="339" w:bottom="1440" w:gutter="0" w:footer="0" w:header="0"/>
          <w:type w:val="continuous"/>
        </w:sectPr>
      </w:pPr>
    </w:p>
    <w:p>
      <w:pPr>
        <w:spacing w:after="0" w:line="230"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2000 St. James Place, Houston, Texas</w:t>
      </w:r>
    </w:p>
    <w:p>
      <w:pPr>
        <w:spacing w:after="0" w:line="4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77056</w:t>
      </w:r>
    </w:p>
    <w:p>
      <w:pPr>
        <w:spacing w:after="0" w:line="31"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6940" w:space="720"/>
            <w:col w:w="358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34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17, 2022 (the “Effective Date”), Weatherford International Ltd. (“WIL-Bermuda”) and Weatherford International, LLC (together with WIL-Bermuda, the “Borrowers”), as borrowers, and Weatherford International plc (the “Company”), as parent, entered into an amended and restated credit agreement (the “Amended and Restated Credit Agreement”) with the lenders party thereto and Wells Fargo Bank, National Association, as administrative agent. The Amended and Restated Credit Agreement amends and restates the Company’s existing secured LC credit agreement (as previously amended, supplemented and modified), dated as of December 13, 2019, with Deutsche Bank Trust Company, as the original administrative agent, which agency role was assigned from Deutsche Bank Trust Company to Wells Fargo Bank, National Association on the Effective Date immediately prior to such amendment and restatement. Capitalized terms not defined herein shall have the meanings set forth in the Amended and Restated Credit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Amended and Restated Credit Agreement provides for a $370 million revolving credit facility, comprised, as of the Effective Date, of (i) $280 million for the issuance of bid and performance letters of credit for the Borrowers and certain subsidiaries (“Tranche A”) and (ii) $90 million for revolving loans and the issuance of bid, performance and financial letters of credit for the Borrowers and certain subsidiaries (“Tranche B”). Tranche B currently provides up to $45 million for revolving loans. The Amended and Restated Credit Agreement gives the Borrowers, upon the satisfaction of certain conditions, the ability to (i) move up to $100 million of the existing commitments from Tranche A to Tranche B and (ii) request incremental increases of Tranche A by up to $225 million and Tranche B by up to $12.5 million; provided, that the aggregate commitments for the facility may not exceed $600 million. As of the Effective Date, there were approximately $163.25 million of outstanding letters of credit under Tranche A and no outstanding loans or letters of credit under Tranche B.</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maturity date under the Amended and Restated Credit Agreement is October 17, 2026; provided, that the maturity date shall be August 30, 2024 if more than $50 million of WIL-Bermuda’s 11.00% senior notes due 2024 are outstanding on such date. The outstanding amount of each letter of credit and each loan will bear interest at (i) Adjusted Term SOFR (which includes an adjustment of 10 basis points per annum), Adjusted Eurocurrency Rate or Daily Simple RFR, as applicable, plus (ii) an applicable margin of (A) 225-375 basis points per annum (depending on the applicable credit rating) in the case of Tranche A and (B) 350 basis points per annum in the case of Tranche B, as applicable. The Amended and Restated Credit Agreement includes (i) a 12.5 basis point per annum fronting fee on the outstanding amount of each such letter of credit and (ii) an unused commitment fee in respect of the unutilized commitments at a rate of 50 basis point per annum on the average daily unused commitments under the Amended and Restated Credit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Amended and Restated Credit Agreement has (i) a minimum liquidity covenant of $250 million, (ii) a minimum interest coverage ratio of 2.00 to 1.00 for the testing period ended September 30, 2022 and 2.50 to 1.00 for each testing period thereafter and (iii) a maximum ratio of funded debt (net of unrestricted cash in excess of $400 million) to consolidated adjusted EBITDA of 4.00 to 1.00 for each testing period ending prior to June 30, 2023 and 3.50 to 1.00 for each testing period thereafter. The obligations under the Amended and Restated Credit Agreement are guaranteed by the Company and certain of its subsidiaries and secured by substantially all of the personal property of the Company and certain of its subsidiaries (including a first lien on the priority collateral for the Amended and Restated Credit Agreement and a second lien on the priority collateral for WIL-Bermuda’s 6.500% senior secured first lien notes due 2028, in each case, subject to permitted liens) as well as certain real property of certain subsidiaries.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full text of the Amended and Restated Credit Agreement, which is attached hereto as Exhibit 10.1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18, 2022, the Company issued press releases announcing the entry into the Amended and Restated Credit Agreement and the intention to redeem $125 million principal amount of its 11% senior notes due December 1, 2024. Copies of the press releases are furnished as Exhibit 99.1 and Exhibit 99.2 to this report and incorporated by reference herein. The information provided pursuant to this Item 7.01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 The filing of this Item 7.01 of this Current Report on Form 8-K (including the exhibit hereto or any information included herein or therein) shall not be deemed an admission as to the materiality of any information herein that is required to be disclosed solely by reason of Regulation FD.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8"/>
        </w:trPr>
        <w:tc>
          <w:tcPr>
            <w:tcW w:w="8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3"/>
          </w:tcPr>
          <w:p>
            <w:pPr>
              <w:ind w:left="4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42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bottom w:val="single" w:sz="8" w:color="0000EE"/>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Credit Agreement, dated October 17, 2022, by and among Weatherford International Ltd., Weatherford International,</w:t>
            </w: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LLC, Weatherford International plc, Wells Fargo Bank, National Association, as administrative agent, and the lenders party thereto from time</w:t>
            </w: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to time.</w:t>
            </w:r>
          </w:p>
        </w:tc>
        <w:tc>
          <w:tcPr>
            <w:tcW w:w="9660" w:type="dxa"/>
            <w:vAlign w:val="bottom"/>
            <w:gridSpan w:val="3"/>
          </w:tcPr>
          <w:p>
            <w:pPr>
              <w:spacing w:after="0"/>
              <w:rPr>
                <w:sz w:val="17"/>
                <w:szCs w:val="17"/>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Weatherford International plc regarding Amended and Restated Credit Agreement, dated October 18, 2022.</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Weatherford International plc regarding redemption of 11% senior notes, dated October 18, 2022.</w:t>
            </w:r>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20" w:type="dxa"/>
            <w:vAlign w:val="bottom"/>
            <w:gridSpan w:val="2"/>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pacing w:after="0" w:line="198" w:lineRule="exact"/>
        <w:rPr>
          <w:sz w:val="20"/>
          <w:szCs w:val="20"/>
          <w:color w:val="auto"/>
        </w:rPr>
      </w:pPr>
    </w:p>
    <w:p>
      <w:pPr>
        <w:ind w:left="1020" w:hanging="1012"/>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Regulation S-K Item 601(a)(5). The Company agrees to furnish a supplemental copy of any omitted schedule or attachment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18, 2022</w:t>
      </w: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By: /s/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Desmond J. Mills</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Interim Chief Financial Officer, Senior Vice President and Chief</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CUSIP Numbers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Deal</w:t>
      </w:r>
      <w:r>
        <w:rPr>
          <w:rFonts w:ascii="Times New Roman" w:cs="Times New Roman" w:eastAsia="Times New Roman" w:hAnsi="Times New Roman"/>
          <w:sz w:val="18"/>
          <w:szCs w:val="18"/>
          <w:color w:val="auto"/>
        </w:rPr>
        <w:t>: 94707NAT5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(Tranche A)</w:t>
      </w:r>
      <w:r>
        <w:rPr>
          <w:rFonts w:ascii="Times New Roman" w:cs="Times New Roman" w:eastAsia="Times New Roman" w:hAnsi="Times New Roman"/>
          <w:sz w:val="18"/>
          <w:szCs w:val="18"/>
          <w:color w:val="auto"/>
        </w:rPr>
        <w:t>: 94707NAU2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(Tranche B)</w:t>
      </w:r>
      <w:r>
        <w:rPr>
          <w:rFonts w:ascii="Times New Roman" w:cs="Times New Roman" w:eastAsia="Times New Roman" w:hAnsi="Times New Roman"/>
          <w:sz w:val="18"/>
          <w:szCs w:val="18"/>
          <w:color w:val="auto"/>
        </w:rPr>
        <w:t>: 94707NAV0</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CREDIT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October 17,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 Bermuda exempted company</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Parent,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Issuing Banks Named Herein,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0" w:lineRule="exact"/>
        <w:rPr>
          <w:sz w:val="20"/>
          <w:szCs w:val="20"/>
          <w:color w:val="auto"/>
        </w:rPr>
      </w:pPr>
    </w:p>
    <w:p>
      <w:pPr>
        <w:spacing w:after="0" w:line="21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82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12"/>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34"/>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9"/>
              </w:rPr>
              <w:t>ARTICLE I</w:t>
            </w:r>
          </w:p>
        </w:tc>
        <w:tc>
          <w:tcPr>
            <w:tcW w:w="13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2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DEFINITIONS; ACCOUNTING TERMS; INTERPRETATION</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Accounting Terms; Changes in GAAP</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LLC Divisions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Luxembourg Terms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Dutch Terms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Centre of Main Interest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Quebec Terms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Rates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14"/>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gridSpan w:val="2"/>
          </w:tcPr>
          <w:p>
            <w:pPr>
              <w:jc w:val="center"/>
              <w:ind w:right="3000"/>
              <w:spacing w:after="0"/>
              <w:rPr>
                <w:sz w:val="20"/>
                <w:szCs w:val="20"/>
                <w:color w:val="auto"/>
              </w:rPr>
            </w:pPr>
            <w:r>
              <w:rPr>
                <w:rFonts w:ascii="Times New Roman" w:cs="Times New Roman" w:eastAsia="Times New Roman" w:hAnsi="Times New Roman"/>
                <w:sz w:val="18"/>
                <w:szCs w:val="18"/>
                <w:color w:val="auto"/>
                <w:w w:val="99"/>
              </w:rPr>
              <w:t>ARTICLE II</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20" w:type="dxa"/>
            <w:vAlign w:val="bottom"/>
            <w:gridSpan w:val="2"/>
          </w:tcPr>
          <w:p>
            <w:pPr>
              <w:jc w:val="center"/>
              <w:ind w:right="3000"/>
              <w:spacing w:after="0"/>
              <w:rPr>
                <w:sz w:val="20"/>
                <w:szCs w:val="20"/>
                <w:color w:val="auto"/>
              </w:rPr>
            </w:pPr>
            <w:r>
              <w:rPr>
                <w:rFonts w:ascii="Times New Roman" w:cs="Times New Roman" w:eastAsia="Times New Roman" w:hAnsi="Times New Roman"/>
                <w:sz w:val="18"/>
                <w:szCs w:val="18"/>
                <w:color w:val="auto"/>
                <w:w w:val="99"/>
              </w:rPr>
              <w:t>REVOLVING LOANS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General</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Procedure for Advances of Loans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Optional Prepayments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Notice and Manner of Conversion or Continuation of Loans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414"/>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9"/>
              </w:rPr>
              <w:t>ARTICLE III</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9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9"/>
              </w:rPr>
              <w:t>LETTERS OF CREDIT</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Letters of Credit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Increase in Performance LC Commitments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Activity Reports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414"/>
        </w:trPr>
        <w:tc>
          <w:tcPr>
            <w:tcW w:w="13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920" w:type="dxa"/>
            <w:vAlign w:val="bottom"/>
            <w:gridSpan w:val="2"/>
          </w:tcPr>
          <w:p>
            <w:pPr>
              <w:jc w:val="center"/>
              <w:ind w:right="2980"/>
              <w:spacing w:after="0"/>
              <w:rPr>
                <w:sz w:val="20"/>
                <w:szCs w:val="20"/>
                <w:color w:val="auto"/>
              </w:rPr>
            </w:pPr>
            <w:r>
              <w:rPr>
                <w:rFonts w:ascii="Times New Roman" w:cs="Times New Roman" w:eastAsia="Times New Roman" w:hAnsi="Times New Roman"/>
                <w:sz w:val="18"/>
                <w:szCs w:val="18"/>
                <w:color w:val="auto"/>
                <w:w w:val="98"/>
              </w:rPr>
              <w:t>ARTICLE IV</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828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GENERAL CREDIT PROVISIONS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Repayment of Obligations; Evidence of Debt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Mandatory Prepayment of Obligations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Changed Circumstances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Indemnity</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Determination of Exchange Rates; Cash Collateralization as a Result of Currency Fluctuations</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2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Several Liability; Agreement to Defer Exercise of Right of Contribution, Etc.</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Retranching of Revolving Credit Commitments and Performance LC Commitments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Specific Incremental Commitments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300" w:type="dxa"/>
            <w:vAlign w:val="bottom"/>
          </w:tcPr>
          <w:p>
            <w:pPr>
              <w:spacing w:after="0"/>
              <w:rPr>
                <w:sz w:val="24"/>
                <w:szCs w:val="24"/>
                <w:color w:val="auto"/>
              </w:rPr>
            </w:pPr>
          </w:p>
        </w:tc>
        <w:tc>
          <w:tcPr>
            <w:tcW w:w="7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ARTICLE V</w:t>
            </w:r>
          </w:p>
        </w:tc>
        <w:tc>
          <w:tcPr>
            <w:tcW w:w="20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6"/>
              </w:rPr>
              <w:t>PAYMENTS; PRO RATA TREATMENT; TAXES</w:t>
            </w:r>
          </w:p>
        </w:tc>
        <w:tc>
          <w:tcPr>
            <w:tcW w:w="200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Generally; Pro Rata Treatment; Sharing of Set-offs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Taxes/Additional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Assistance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UK Limitation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Irish Limitation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14"/>
        </w:trPr>
        <w:tc>
          <w:tcPr>
            <w:tcW w:w="1300" w:type="dxa"/>
            <w:vAlign w:val="bottom"/>
          </w:tcPr>
          <w:p>
            <w:pPr>
              <w:spacing w:after="0"/>
              <w:rPr>
                <w:sz w:val="24"/>
                <w:szCs w:val="24"/>
                <w:color w:val="auto"/>
              </w:rPr>
            </w:pPr>
          </w:p>
        </w:tc>
        <w:tc>
          <w:tcPr>
            <w:tcW w:w="79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ARTICLE VI</w:t>
            </w:r>
          </w:p>
        </w:tc>
        <w:tc>
          <w:tcPr>
            <w:tcW w:w="20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94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00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the Effective Date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Precedent to All Credit Events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414"/>
        </w:trPr>
        <w:tc>
          <w:tcPr>
            <w:tcW w:w="1300" w:type="dxa"/>
            <w:vAlign w:val="bottom"/>
          </w:tcPr>
          <w:p>
            <w:pPr>
              <w:spacing w:after="0"/>
              <w:rPr>
                <w:sz w:val="24"/>
                <w:szCs w:val="24"/>
                <w:color w:val="auto"/>
              </w:rPr>
            </w:pPr>
          </w:p>
        </w:tc>
        <w:tc>
          <w:tcPr>
            <w:tcW w:w="7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ARTICLE VII</w:t>
            </w:r>
          </w:p>
        </w:tc>
        <w:tc>
          <w:tcPr>
            <w:tcW w:w="2000" w:type="dxa"/>
            <w:vAlign w:val="bottom"/>
          </w:tcPr>
          <w:p>
            <w:pPr>
              <w:spacing w:after="0"/>
              <w:rPr>
                <w:sz w:val="24"/>
                <w:szCs w:val="24"/>
                <w:color w:val="auto"/>
              </w:rPr>
            </w:pPr>
          </w:p>
        </w:tc>
      </w:tr>
      <w:tr>
        <w:trPr>
          <w:trHeight w:val="234"/>
        </w:trPr>
        <w:tc>
          <w:tcPr>
            <w:tcW w:w="1300" w:type="dxa"/>
            <w:vAlign w:val="bottom"/>
          </w:tcPr>
          <w:p>
            <w:pPr>
              <w:spacing w:after="0"/>
              <w:rPr>
                <w:sz w:val="20"/>
                <w:szCs w:val="20"/>
                <w:color w:val="auto"/>
              </w:rPr>
            </w:pPr>
          </w:p>
        </w:tc>
        <w:tc>
          <w:tcPr>
            <w:tcW w:w="7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000" w:type="dxa"/>
            <w:vAlign w:val="bottom"/>
          </w:tcPr>
          <w:p>
            <w:pPr>
              <w:spacing w:after="0"/>
              <w:rPr>
                <w:sz w:val="20"/>
                <w:szCs w:val="20"/>
                <w:color w:val="auto"/>
              </w:rPr>
            </w:pPr>
          </w:p>
        </w:tc>
      </w:tr>
      <w:tr>
        <w:trPr>
          <w:trHeight w:val="41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Validity,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Consents,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Breach or Violation of Law or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Information; No Material Adverse Change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Act; Margin Regulations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 Canadian Defined Benefit Plans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Returns and Payments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Requirements of Law</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Anti-Corruption Laws and Sanctions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Restrictive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7.17</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Rank of Obligations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Liens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7.19</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7.20</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Stock</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7.21</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Affected Financial Institutions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7.22</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the Swiss Non-Bank Rules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7.23</w:t>
            </w:r>
          </w:p>
        </w:tc>
        <w:tc>
          <w:tcPr>
            <w:tcW w:w="7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Dutch Fiscal Unity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7.24</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Residency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7.25</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Status as a Holding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14"/>
        </w:trPr>
        <w:tc>
          <w:tcPr>
            <w:tcW w:w="1340" w:type="dxa"/>
            <w:vAlign w:val="bottom"/>
          </w:tcPr>
          <w:p>
            <w:pPr>
              <w:spacing w:after="0"/>
              <w:rPr>
                <w:sz w:val="24"/>
                <w:szCs w:val="24"/>
                <w:color w:val="auto"/>
              </w:rPr>
            </w:pPr>
          </w:p>
        </w:tc>
        <w:tc>
          <w:tcPr>
            <w:tcW w:w="8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ARTICLE VIII</w:t>
            </w:r>
          </w:p>
        </w:tc>
        <w:tc>
          <w:tcPr>
            <w:tcW w:w="10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8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1020" w:type="dxa"/>
            <w:vAlign w:val="bottom"/>
          </w:tcPr>
          <w:p>
            <w:pPr>
              <w:spacing w:after="0"/>
              <w:rPr>
                <w:sz w:val="20"/>
                <w:szCs w:val="20"/>
                <w:color w:val="auto"/>
              </w:rPr>
            </w:pP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Covenants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Books, Records and Inspections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Taxes and other Claims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ERISA Compliance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8.08</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Guarantors; Additional Specified Jurisdictions; Additional Cash Collateral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8.09</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Designation of Unrestricted Subsidiaries; Redesignation of Unrestricted Subsidiaries as Restricted Subsidiaries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the Swiss Non-Bank Rules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Grant and Perfection Requirements Matters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Status as a Holding Company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Lender Meeting</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8.14</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414"/>
        </w:trPr>
        <w:tc>
          <w:tcPr>
            <w:tcW w:w="1340" w:type="dxa"/>
            <w:vAlign w:val="bottom"/>
          </w:tcPr>
          <w:p>
            <w:pPr>
              <w:spacing w:after="0"/>
              <w:rPr>
                <w:sz w:val="24"/>
                <w:szCs w:val="24"/>
                <w:color w:val="auto"/>
              </w:rPr>
            </w:pPr>
          </w:p>
        </w:tc>
        <w:tc>
          <w:tcPr>
            <w:tcW w:w="8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ARTICLE IX</w:t>
            </w:r>
          </w:p>
        </w:tc>
        <w:tc>
          <w:tcPr>
            <w:tcW w:w="10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8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1020" w:type="dxa"/>
            <w:vAlign w:val="bottom"/>
          </w:tcPr>
          <w:p>
            <w:pPr>
              <w:spacing w:after="0"/>
              <w:rPr>
                <w:sz w:val="20"/>
                <w:szCs w:val="20"/>
                <w:color w:val="auto"/>
              </w:rPr>
            </w:pP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Indebtedness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Change in Business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Liens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Dispositions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Swap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Payments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Covenants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Transactions with Affiliates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Restrictive Agreements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9.13</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to Fiscal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9.14</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to Documents Governing Certain Indebtedness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9.15</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Equity Issuances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9.16</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Book Value of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414"/>
        </w:trPr>
        <w:tc>
          <w:tcPr>
            <w:tcW w:w="1340" w:type="dxa"/>
            <w:vAlign w:val="bottom"/>
          </w:tcPr>
          <w:p>
            <w:pPr>
              <w:spacing w:after="0"/>
              <w:rPr>
                <w:sz w:val="24"/>
                <w:szCs w:val="24"/>
                <w:color w:val="auto"/>
              </w:rPr>
            </w:pPr>
          </w:p>
        </w:tc>
        <w:tc>
          <w:tcPr>
            <w:tcW w:w="88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8"/>
              </w:rPr>
              <w:t>ARTICLE X</w:t>
            </w:r>
          </w:p>
        </w:tc>
        <w:tc>
          <w:tcPr>
            <w:tcW w:w="102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888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1020" w:type="dxa"/>
            <w:vAlign w:val="bottom"/>
          </w:tcPr>
          <w:p>
            <w:pPr>
              <w:spacing w:after="0"/>
              <w:rPr>
                <w:sz w:val="20"/>
                <w:szCs w:val="20"/>
                <w:color w:val="auto"/>
              </w:rPr>
            </w:pPr>
          </w:p>
        </w:tc>
      </w:tr>
      <w:tr>
        <w:trPr>
          <w:trHeight w:val="432"/>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Remedies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Application of Moneys During Continuation of Event of Default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414"/>
        </w:trPr>
        <w:tc>
          <w:tcPr>
            <w:tcW w:w="1340" w:type="dxa"/>
            <w:vAlign w:val="bottom"/>
          </w:tcPr>
          <w:p>
            <w:pPr>
              <w:spacing w:after="0"/>
              <w:rPr>
                <w:sz w:val="24"/>
                <w:szCs w:val="24"/>
                <w:color w:val="auto"/>
              </w:rPr>
            </w:pPr>
          </w:p>
        </w:tc>
        <w:tc>
          <w:tcPr>
            <w:tcW w:w="76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ARTICLE XI</w:t>
            </w:r>
          </w:p>
        </w:tc>
        <w:tc>
          <w:tcPr>
            <w:tcW w:w="226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76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2260" w:type="dxa"/>
            <w:vAlign w:val="bottom"/>
          </w:tcPr>
          <w:p>
            <w:pPr>
              <w:spacing w:after="0"/>
              <w:rPr>
                <w:sz w:val="20"/>
                <w:szCs w:val="20"/>
                <w:color w:val="auto"/>
              </w:rPr>
            </w:pPr>
          </w:p>
        </w:tc>
      </w:tr>
      <w:tr>
        <w:trPr>
          <w:trHeight w:val="414"/>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Authorization and Action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of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Reliance by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11.04   Delegation of Duties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 Agents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Decision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Joint Venture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Secured Party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11.10   Administrative Agent May File Proofs of Claim</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Collateral Matters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Bid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11.13   Certain ERISA Matters; Lender Representations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Intercreditor Agreement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Filings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Risk of Funds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11.18</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Discretion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11.19   Special, Consequential and Indirect Damages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11.20   No Environmental Liability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11.21</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Erroneous Payments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414"/>
        </w:trPr>
        <w:tc>
          <w:tcPr>
            <w:tcW w:w="1340" w:type="dxa"/>
            <w:vAlign w:val="bottom"/>
          </w:tcPr>
          <w:p>
            <w:pPr>
              <w:spacing w:after="0"/>
              <w:rPr>
                <w:sz w:val="24"/>
                <w:szCs w:val="24"/>
                <w:color w:val="auto"/>
              </w:rPr>
            </w:pPr>
          </w:p>
        </w:tc>
        <w:tc>
          <w:tcPr>
            <w:tcW w:w="76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ARTICLE XII</w:t>
            </w:r>
          </w:p>
        </w:tc>
        <w:tc>
          <w:tcPr>
            <w:tcW w:w="2260" w:type="dxa"/>
            <w:vAlign w:val="bottom"/>
          </w:tcPr>
          <w:p>
            <w:pPr>
              <w:spacing w:after="0"/>
              <w:rPr>
                <w:sz w:val="24"/>
                <w:szCs w:val="24"/>
                <w:color w:val="auto"/>
              </w:rPr>
            </w:pPr>
          </w:p>
        </w:tc>
      </w:tr>
      <w:tr>
        <w:trPr>
          <w:trHeight w:val="234"/>
        </w:trPr>
        <w:tc>
          <w:tcPr>
            <w:tcW w:w="1340" w:type="dxa"/>
            <w:vAlign w:val="bottom"/>
          </w:tcPr>
          <w:p>
            <w:pPr>
              <w:spacing w:after="0"/>
              <w:rPr>
                <w:sz w:val="20"/>
                <w:szCs w:val="20"/>
                <w:color w:val="auto"/>
              </w:rPr>
            </w:pPr>
          </w:p>
        </w:tc>
        <w:tc>
          <w:tcPr>
            <w:tcW w:w="76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MISCELLANEOUS</w:t>
            </w:r>
          </w:p>
        </w:tc>
        <w:tc>
          <w:tcPr>
            <w:tcW w:w="2260" w:type="dxa"/>
            <w:vAlign w:val="bottom"/>
          </w:tcPr>
          <w:p>
            <w:pPr>
              <w:spacing w:after="0"/>
              <w:rPr>
                <w:sz w:val="20"/>
                <w:szCs w:val="20"/>
                <w:color w:val="auto"/>
              </w:rPr>
            </w:pPr>
          </w:p>
        </w:tc>
      </w:tr>
      <w:tr>
        <w:trPr>
          <w:trHeight w:val="41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Amendments; Joinder; Release of Guarantors; Release of Collateral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Indemnity and Limitation of Liability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12.09</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Independence of Covenants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12.10</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12.11</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12.12</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 Between This Agreement and the Other Loan Documents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12.13</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12.14</w:t>
            </w:r>
          </w:p>
        </w:tc>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of Interest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12.15   Submission to Jurisdiction; Consent to Service of Process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12.16</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12.17</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12.18   No Fiduciary Duty, etc.</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12.19</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USA Patriot Act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12.20   Appointment for Perfection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12.21</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Set Aside</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12.22</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Fiduciary Duty</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12.23   Release of Guarantors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12.24   Acknowledgement and Consent to Bail-In of Affected Financial Institutions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12.25   Confirmation of Lender’s Status as a Swiss Qualifying Lender</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12.26   Joint Lead Arrangers and Joint Book Runners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12.27   Acknowledgement Regarding Any Supported QFCs</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12.28</w:t>
            </w:r>
          </w:p>
        </w:tc>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12.29   Amendment and Restatement; No Novation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bl>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3640" w:type="dxa"/>
            <w:vAlign w:val="bottom"/>
          </w:tcPr>
          <w:p>
            <w:pPr>
              <w:spacing w:after="0"/>
              <w:rPr>
                <w:sz w:val="17"/>
                <w:szCs w:val="17"/>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4"/>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Notice of Account Designation</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Notice of Prepayment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Notice of Conversion/Continuation</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Assignee Certificate</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Increasing Lender Supplement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Additional Lender Supplement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K</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Forms of IP Short Forms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L</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Form of Intercompany Subordination Agreement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Participant Certificate</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Activity Report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Note</w:t>
            </w:r>
          </w:p>
        </w:tc>
      </w:tr>
      <w:tr>
        <w:trPr>
          <w:trHeight w:val="234"/>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Canadian Borrower Joinder</w:t>
            </w:r>
          </w:p>
        </w:tc>
      </w:tr>
      <w:tr>
        <w:trPr>
          <w:trHeight w:val="391"/>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3640" w:type="dxa"/>
            <w:vAlign w:val="bottom"/>
          </w:tcPr>
          <w:p>
            <w:pPr>
              <w:spacing w:after="0"/>
              <w:rPr>
                <w:sz w:val="24"/>
                <w:szCs w:val="24"/>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434"/>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Excluded Jurisdictions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Guarantors on the Effective Date</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Date Security Agreements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1.01D</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Date Real Property</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Letters of Credit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7.05</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Disclosed Litigation</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Sanctions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7.20(a)</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 of Parent</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7.20(b)</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Capitalization of Subsidiaries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8.11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Post-Closing Grant and Perfection Requirements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9.04</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9.06</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9.11</w:t>
            </w:r>
          </w:p>
        </w:tc>
        <w:tc>
          <w:tcPr>
            <w:tcW w:w="3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Existing Restrictive Agreements</w:t>
            </w:r>
          </w:p>
        </w:tc>
      </w:tr>
    </w:tbl>
    <w:p>
      <w:pPr>
        <w:spacing w:after="0" w:line="200" w:lineRule="exact"/>
        <w:rPr>
          <w:sz w:val="20"/>
          <w:szCs w:val="20"/>
          <w:color w:val="auto"/>
        </w:rPr>
      </w:pPr>
    </w:p>
    <w:p>
      <w:pPr>
        <w:spacing w:after="0" w:line="214"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18"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AMENDED AND RESTATED CREDIT AGREEMENT, dated as of October 17, 2022, is among WEATHERFORD INTERNATIONAL LTD., a Bermuda exempted company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WEATHERFORD INTERNATIONAL, LLC, a Delaware limited liability company, (“</w:t>
      </w:r>
      <w:r>
        <w:rPr>
          <w:rFonts w:ascii="Times New Roman" w:cs="Times New Roman" w:eastAsia="Times New Roman" w:hAnsi="Times New Roman"/>
          <w:sz w:val="18"/>
          <w:szCs w:val="18"/>
          <w:u w:val="single" w:color="auto"/>
          <w:color w:val="auto"/>
        </w:rPr>
        <w:t>WIL</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u w:val="single" w:color="auto"/>
          <w:color w:val="auto"/>
        </w:rPr>
        <w:t>Delaware</w:t>
      </w:r>
      <w:r>
        <w:rPr>
          <w:rFonts w:ascii="Times New Roman" w:cs="Times New Roman" w:eastAsia="Times New Roman" w:hAnsi="Times New Roman"/>
          <w:sz w:val="18"/>
          <w:szCs w:val="18"/>
          <w:color w:val="auto"/>
        </w:rPr>
        <w:t>” and together with WIL-Bermuda and, if applicable, the relevant party to the Canadian Borrower Joinder,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WEATHERFORD INTERNATIONAL PLC, as Parent, the Lenders from time to time party hereto, WELLS FARGO BANK, NATIONAL ASSOCIATION, as administrative agent for the Lenders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and the Issuing Banks from time to time party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Borrowers, the Administrative Agent and certain of the Lenders are party to that certain LC Credit Agreement, dated as of December 13, 2019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desire to (a) amend and restate the Existing Credit Agreement in its entirety, (b) extend the applicable maturity date for the Lenders under the Existing Credit Agreement, (c) re-evidence the “Obligations” under, and as defined in, the Existing Credit Agreement, which shall be repayable in accordance with the terms of this Agreement, and (d) set forth the terms and conditions under which the Lenders and/or Issuing Banks will, from time to time, make loans, issue letters of credit and extend other financial accommodations, as applicable, to or for the benefit of the Borrowers and, as provided herein, the Restricted Subsidiaries.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agreements contained in this Agreement, and for other good and valuable consideration, the receipt and sufficiency of which are hereby acknowledged, the parties hereto hereby agree to amend and restate the Existing Credit Agreement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 ACCOUNTING TERMS; INTERPRETATION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As used in this Agreement, the following terms shall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Added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 Supplement</w:t>
      </w:r>
      <w:r>
        <w:rPr>
          <w:rFonts w:ascii="Times New Roman" w:cs="Times New Roman" w:eastAsia="Times New Roman" w:hAnsi="Times New Roman"/>
          <w:sz w:val="18"/>
          <w:szCs w:val="18"/>
          <w:color w:val="auto"/>
        </w:rPr>
        <w:t xml:space="preserve">” means an additional lender supplement entered into by the Borrowers and any Additional Lender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any other form reasonably acceptable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Aggregate Commitments</w:t>
      </w:r>
      <w:r>
        <w:rPr>
          <w:rFonts w:ascii="Times New Roman" w:cs="Times New Roman" w:eastAsia="Times New Roman" w:hAnsi="Times New Roman"/>
          <w:sz w:val="18"/>
          <w:szCs w:val="18"/>
          <w:color w:val="auto"/>
        </w:rPr>
        <w:t>” means, at any time, the Aggregate Commitments minus the aggregate principal amount of outstanding Loans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Eurocurrency Rate</w:t>
      </w:r>
      <w:r>
        <w:rPr>
          <w:rFonts w:ascii="Times New Roman" w:cs="Times New Roman" w:eastAsia="Times New Roman" w:hAnsi="Times New Roman"/>
          <w:sz w:val="18"/>
          <w:szCs w:val="18"/>
          <w:color w:val="auto"/>
        </w:rPr>
        <w:t>” means, as to any Loan denominated in any applicable Currency not bearing interest based on an RFR (which, as of the date hereof, shall mean each of the Currencies identified in clause (a) of the definition of “Alternative Currency”, other than Sterling and Swiss Francs) for any Interest Period, a rate per annum determined by the Administrative Agent pursuant to the following formula:</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Adjusted Eurocurrency Rate =</w:t>
            </w:r>
          </w:p>
        </w:tc>
        <w:tc>
          <w:tcPr>
            <w:tcW w:w="5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Eurocurrency Rate for such Currency for such Interest Period</w:t>
            </w:r>
          </w:p>
        </w:tc>
      </w:tr>
      <w:tr>
        <w:trPr>
          <w:trHeight w:val="228"/>
        </w:trPr>
        <w:tc>
          <w:tcPr>
            <w:tcW w:w="2940" w:type="dxa"/>
            <w:vAlign w:val="bottom"/>
          </w:tcPr>
          <w:p>
            <w:pPr>
              <w:spacing w:after="0"/>
              <w:rPr>
                <w:sz w:val="19"/>
                <w:szCs w:val="19"/>
                <w:color w:val="auto"/>
              </w:rPr>
            </w:pPr>
          </w:p>
        </w:tc>
        <w:tc>
          <w:tcPr>
            <w:tcW w:w="5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1.00-Eurocurrency Reserve Percentage</w:t>
            </w:r>
          </w:p>
        </w:tc>
      </w:tr>
    </w:tbl>
    <w:p>
      <w:pPr>
        <w:spacing w:after="0" w:line="3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plus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Wells Fargo in its capacity as administrative agent for the Lenders and any successor in such capacity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Guaranty</w:t>
      </w:r>
      <w:r>
        <w:rPr>
          <w:rFonts w:ascii="Times New Roman" w:cs="Times New Roman" w:eastAsia="Times New Roman" w:hAnsi="Times New Roman"/>
          <w:sz w:val="18"/>
          <w:szCs w:val="18"/>
          <w:color w:val="auto"/>
        </w:rPr>
        <w:t>” means that certain Amended and Restated Affiliate Guaranty, dated as of the Effective Date, by and among the Guarantors party thereto in favor of the Administrative Agent, for the benefit of itself and the other holders of the Secured Obligations.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 and Liens Assignment Agreement</w:t>
      </w:r>
      <w:r>
        <w:rPr>
          <w:rFonts w:ascii="Times New Roman" w:cs="Times New Roman" w:eastAsia="Times New Roman" w:hAnsi="Times New Roman"/>
          <w:sz w:val="18"/>
          <w:szCs w:val="18"/>
          <w:color w:val="auto"/>
        </w:rPr>
        <w:t>” means that certain Successor Agent and Assignment Agreement, dated as of the date hereof, by and among, Wells Fargo, in the capacities described therein, DBTCA, in the capacities described therein, the Borrowers, the Guarantors party thereto and the Lenders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means, at any time, the sum of the Commitments of all Lenders at such time. The amount of the Aggregate Commitments as of the Effective Date is $400,000,000.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Liquidity</w:t>
      </w:r>
      <w:r>
        <w:rPr>
          <w:rFonts w:ascii="Times New Roman" w:cs="Times New Roman" w:eastAsia="Times New Roman" w:hAnsi="Times New Roman"/>
          <w:sz w:val="18"/>
          <w:szCs w:val="18"/>
          <w:color w:val="auto"/>
        </w:rPr>
        <w:t xml:space="preserve">” means, as of any date of determination, all available, undrawn and unutilized Revolving Credit Commitments at such date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aggregate amount of Unrestricted Cash and Cash Equivalents of the Obligors at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(a) any currency of a Specified State and (b) any Alternative Currency.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Amended and Restated Credit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each of (a) Euros, Sterling, Swiss Francs, Yen and Australian Dollars, and (b) one or more alternate currencies as requested by any Borrower and (i) to the extent relating to any Loan, agreed to by each of the Lenders, and (ii) to the extent related to any Letter of Credit, agreed to by the applicable Issuing Bank, in each case of clause (i) and (ii), with prior written consent of the Administrative Agent (such approvals and consents under this clause (b)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no such rate is available, the “Alternative Currency Equivalent” shall be determined by the Administrative Agent or the applicable Issuing Bank (in either case, in consultation with the Borrowers), as the case may be, using any reasonable method of determination it deems appropriate in its reasonable discretion (and such determination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written request of any Borrower, the Administrative Agent or the Applicable Issuing Bank shall notify such Borrower of the sources used to make such determination.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applicable Issuing Bank (with notice thereof to the Administrative Agent), as the case may be, in its sole discretion by reference to the most recent Spot Rate (as determined in respect of the most recent Revaluation Date) for the purchase of such Alternative Currency with Dollars.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Angolan Bond Investment</w:t>
      </w:r>
      <w:r>
        <w:rPr>
          <w:rFonts w:ascii="Times New Roman" w:cs="Times New Roman" w:eastAsia="Times New Roman" w:hAnsi="Times New Roman"/>
          <w:sz w:val="18"/>
          <w:szCs w:val="18"/>
          <w:color w:val="auto"/>
        </w:rPr>
        <w:t>” means the purchase of Dollar-linked or inflation-protected or other similar Angolan government sovereign or local corporate bonds or similar instruments having a similar purpose by Parent or a Restricted Subsidiary.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Parent or any of its Subsidiaries from time to time concerning or relating to bribery, corruption or money laundering, including the FCPA, the U.K. Bribery Act of 2010, as amended, and the Canadian Anti-Money Laundering &amp; Anti-Terrorism Legislation and the Corruption of Foreign Public Officials Act (Canada).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for any day, (a) with respect to any Loan or for purposes of calculating the LC Participation Fee Rate in respect of Letters of Credit constituting (i) Financial Standby Letters of Credit or (ii) Revolving Performance Letters of Credit, 3.50%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LC Participation Fee Rate is being calculated with reference to the Base Rate, 2.50% per annum; and (b) for purposes of calculating the LC Participation Fee Rate in respect of any Performance Letters of Credit (excluding, for the avoidance of doubt, any Revolving Performance Letters of Credit), the applicable margin per annum set forth below under the caption “Eurocurrency Rate Extensions of Credit”, “RFR Extensions of Credit” or “Base Rate Extensions of Credit”, as the case may be, based upon the public corporate family rating and public corporate credit rating (each, a “</w:t>
      </w:r>
      <w:r>
        <w:rPr>
          <w:rFonts w:ascii="Times New Roman" w:cs="Times New Roman" w:eastAsia="Times New Roman" w:hAnsi="Times New Roman"/>
          <w:sz w:val="18"/>
          <w:szCs w:val="18"/>
          <w:u w:val="single" w:color="auto"/>
          <w:color w:val="auto"/>
        </w:rPr>
        <w:t>Corporate Rating</w:t>
      </w:r>
      <w:r>
        <w:rPr>
          <w:rFonts w:ascii="Times New Roman" w:cs="Times New Roman" w:eastAsia="Times New Roman" w:hAnsi="Times New Roman"/>
          <w:sz w:val="18"/>
          <w:szCs w:val="18"/>
          <w:color w:val="auto"/>
        </w:rPr>
        <w:t>”) from Moody’s and S&amp;P, respectively, for any Obligor Party applicable on such date:</w:t>
      </w:r>
    </w:p>
    <w:p>
      <w:pPr>
        <w:spacing w:after="0" w:line="185"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Eurocurrency</w:t>
            </w: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RFR</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Base Rate</w:t>
            </w:r>
          </w:p>
        </w:tc>
      </w:tr>
      <w:tr>
        <w:trPr>
          <w:trHeight w:val="216"/>
        </w:trPr>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Pricing</w:t>
            </w:r>
          </w:p>
        </w:tc>
        <w:tc>
          <w:tcPr>
            <w:tcW w:w="20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9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Extensions of</w:t>
            </w:r>
          </w:p>
        </w:tc>
        <w:tc>
          <w:tcPr>
            <w:tcW w:w="19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Extensions</w:t>
            </w:r>
          </w:p>
        </w:tc>
        <w:tc>
          <w:tcPr>
            <w:tcW w:w="17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Extensions</w:t>
            </w:r>
          </w:p>
        </w:tc>
      </w:tr>
      <w:tr>
        <w:trPr>
          <w:trHeight w:val="238"/>
        </w:trPr>
        <w:tc>
          <w:tcPr>
            <w:tcW w:w="17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0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2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36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Credit</w:t>
            </w:r>
          </w:p>
        </w:tc>
        <w:tc>
          <w:tcPr>
            <w:tcW w:w="36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Credit</w:t>
            </w:r>
          </w:p>
        </w:tc>
        <w:tc>
          <w:tcPr>
            <w:tcW w:w="160" w:type="dxa"/>
            <w:vAlign w:val="bottom"/>
            <w:tcBorders>
              <w:bottom w:val="single" w:sz="8" w:color="CCEEFF"/>
            </w:tcBorders>
          </w:tcPr>
          <w:p>
            <w:pPr>
              <w:spacing w:after="0"/>
              <w:rPr>
                <w:sz w:val="20"/>
                <w:szCs w:val="20"/>
                <w:color w:val="auto"/>
              </w:rPr>
            </w:pPr>
          </w:p>
        </w:tc>
      </w:tr>
      <w:tr>
        <w:trPr>
          <w:trHeight w:val="223"/>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Ba1/BB+</w:t>
            </w:r>
          </w:p>
        </w:tc>
        <w:tc>
          <w:tcPr>
            <w:tcW w:w="20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2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Ba2/BB</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2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Ba3/BB-</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Level 4</w:t>
            </w:r>
          </w:p>
        </w:tc>
        <w:tc>
          <w:tcPr>
            <w:tcW w:w="2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B1/B+</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5</w:t>
            </w:r>
          </w:p>
        </w:tc>
        <w:tc>
          <w:tcPr>
            <w:tcW w:w="2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B2/B</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Level 6</w:t>
            </w:r>
          </w:p>
        </w:tc>
        <w:tc>
          <w:tcPr>
            <w:tcW w:w="21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B3/B-</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34"/>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7</w:t>
            </w:r>
          </w:p>
        </w:tc>
        <w:tc>
          <w:tcPr>
            <w:tcW w:w="21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&lt; B3/B-</w:t>
            </w:r>
          </w:p>
        </w:tc>
        <w:tc>
          <w:tcPr>
            <w:tcW w:w="1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r>
        <w:trPr>
          <w:trHeight w:val="22"/>
        </w:trPr>
        <w:tc>
          <w:tcPr>
            <w:tcW w:w="17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foregoing, (i) if the Corporate Ratings established by Moody’s and S&amp;P shall fall within the same Level, the Applicable Margin shall be determined by reference to such Level; (ii) if neither Moody’s nor S&amp;P shall have in effect a Corporate Rating (other than by reason of the circumstances referred to in the last sentence of this definition), then such rating agencies shall be deemed to have established a rating in Level 7; (iii) if only one of Moody’s and S&amp;P shall have in effect a Corporate Rating, the Applicable Margin shall be determined by reference to the Level in which such rating falls; (iv) if the Corporate Ratings established by Moody’s and S&amp;P shall fall within different Levels from each other, the Applicable Margin shall be based on the higher of the two Corporate Ratings unless one of the Corporate Ratings is two or more Levels lower than the other Corporate Rating, in which case the Applicable Margin shall be determined by reference to the Level one Level above that corresponding to the lower Corporate Rating; and</w:t>
      </w:r>
    </w:p>
    <w:p>
      <w:pPr>
        <w:spacing w:after="0" w:line="3" w:lineRule="exact"/>
        <w:rPr>
          <w:sz w:val="20"/>
          <w:szCs w:val="20"/>
          <w:color w:val="auto"/>
        </w:rPr>
      </w:pPr>
    </w:p>
    <w:p>
      <w:pPr>
        <w:jc w:val="both"/>
        <w:ind w:firstLine="8"/>
        <w:spacing w:after="0" w:line="251"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Corporate Rating established or deemed to have been established by Moody’s and S&amp;P shall be changed (other than as a result of a change in the rating system of Moody’s or S&amp;P), such change shall be effective as of the date on which it is first announced by the applicable rating agency, irrespective of when notice of such change shall have been furnished by the Borrowers to the Administrative Agent and the Lenders pursuant to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or otherwise. Each change in the Applicable Margin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its Applicable Percentage (Total), Applicable Percentage (LCs) or Applicable Percentage (Loans),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(LCs)</w:t>
      </w:r>
      <w:r>
        <w:rPr>
          <w:rFonts w:ascii="Times New Roman" w:cs="Times New Roman" w:eastAsia="Times New Roman" w:hAnsi="Times New Roman"/>
          <w:sz w:val="18"/>
          <w:szCs w:val="18"/>
          <w:color w:val="auto"/>
        </w:rPr>
        <w:t>” means, with respect to any Lender: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to the extent related to any Performance Letter of Credit, the percentage (carried out to the twelfth decimal place) of the aggregate Performance LC Commitments represented by such Lender’s Performance LC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(LCs)” shall mean the percentage of the aggregate Performance LC Commitments (disregarding any Defaulting Lender’s Performance LC Commitment at such time) represented by such Lender’s Performance LC Commitment. If all of the Performance LC Commitments have terminated or expired, the Applicable Percentages (LCs) shall be determined based upon the Performance LC Commitments most recently in effect, giving effect to any assignments permitted hereunder and to any Lender’s status as a Defaulting Lender at the time of determination. The Applicable Percentage (LCs) of each Lender as of the date hereof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column titled “Performance LC Commitments” or in the Assignment and Assumption pursuant to which such Lender becomes a party hereto, as applicable, and</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            to the extent related to any Revolving Performance Letter of Credit or Financial Standby Letter of Credit, the Applicable Percentage (Loans) for such Lender.</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(Loans)</w:t>
      </w:r>
      <w:r>
        <w:rPr>
          <w:rFonts w:ascii="Times New Roman" w:cs="Times New Roman" w:eastAsia="Times New Roman" w:hAnsi="Times New Roman"/>
          <w:sz w:val="18"/>
          <w:szCs w:val="18"/>
          <w:color w:val="auto"/>
        </w:rPr>
        <w:t xml:space="preserve">” means, with respect to any Lender, the percentage (carried out to the twelfth decimal place) of the aggregate Revolving Credit Commitments represented by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(Loans)” shall mean the percentage of the aggregate Revolving Credit Commitments (disregarding any Defaulting Lender’s Revolving Credit Commitment at such time) represented by such Lender’s Revolving Credit Commitment. If all of the Revolving Credit Commitments have terminated or expired, the Applicable Percentages (Loans) shall be determined based upon the Revolving Credit Commitments most recently in effect, giving effect to any assignments permitted hereunder and to any Lender’s status as a Defaulting Lender at the time of determination. The Applicable Percentage (Loans) of each Lender as of the date hereof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column titled “Revolving Credit Commitments” or in the Assignment and Assumption pursuant to which such Lender becomes a party hereto, as applicable.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(Total)</w:t>
      </w:r>
      <w:r>
        <w:rPr>
          <w:rFonts w:ascii="Times New Roman" w:cs="Times New Roman" w:eastAsia="Times New Roman" w:hAnsi="Times New Roman"/>
          <w:sz w:val="18"/>
          <w:szCs w:val="18"/>
          <w:color w:val="auto"/>
        </w:rPr>
        <w:t xml:space="preserve">” means, with respect to any Lender, the percentage (carried out to the twelfth decimal place) of the Aggregate Commitments represented by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of each Lender as of the date hereof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Loans and Letters of Credit and payments in any Alternative Currency, the local time in the place of settlement for such Alternative Currency as may be determined by the Administrative Agent or the applicable Issuing Bank (with notice to the Administrative Agent), as the case may be, to be necessary for timely settlement on the relevant date in accordance with normal banking procedures in the place of payment.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Argentine Bond Investment</w:t>
      </w:r>
      <w:r>
        <w:rPr>
          <w:rFonts w:ascii="Times New Roman" w:cs="Times New Roman" w:eastAsia="Times New Roman" w:hAnsi="Times New Roman"/>
          <w:sz w:val="18"/>
          <w:szCs w:val="18"/>
          <w:color w:val="auto"/>
        </w:rPr>
        <w:t>” means the purchase of Dollar-linked or inflation-protected or other similar Argentine government sovereign or local corporate bonds or similar instruments having a similar purpose by Parent or a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Certificate</w:t>
      </w:r>
      <w:r>
        <w:rPr>
          <w:rFonts w:ascii="Times New Roman" w:cs="Times New Roman" w:eastAsia="Times New Roman" w:hAnsi="Times New Roman"/>
          <w:sz w:val="18"/>
          <w:szCs w:val="18"/>
          <w:color w:val="auto"/>
        </w:rPr>
        <w:t xml:space="preserve">” means a certificate executed by an assignee under an Assignment and Assumption,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Amount</w:t>
      </w:r>
      <w:r>
        <w:rPr>
          <w:rFonts w:ascii="Times New Roman" w:cs="Times New Roman" w:eastAsia="Times New Roman" w:hAnsi="Times New Roman"/>
          <w:sz w:val="18"/>
          <w:szCs w:val="18"/>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w:t>
      </w:r>
      <w:r>
        <w:rPr>
          <w:rFonts w:ascii="Times New Roman" w:cs="Times New Roman" w:eastAsia="Times New Roman" w:hAnsi="Times New Roman"/>
          <w:sz w:val="18"/>
          <w:szCs w:val="18"/>
          <w:color w:val="auto"/>
        </w:rPr>
        <w:t>” means the lawful currency of Australia.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the Effective Date to the earlier of (a) the Maturity Date and (b) the date of termination of all of the Commitments.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quiebra </w:t>
      </w:r>
      <w:r>
        <w:rPr>
          <w:rFonts w:ascii="Times New Roman" w:cs="Times New Roman" w:eastAsia="Times New Roman" w:hAnsi="Times New Roman"/>
          <w:sz w:val="18"/>
          <w:szCs w:val="18"/>
          <w:color w:val="auto"/>
        </w:rPr>
        <w:t>proceeding (whether on a provisional, interim, permanent or other basis), or has had a receiver, receiver or manager, conservator,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administrator, custodian, examiner, process adviser, liquidator, assignee for the benefit of creditors, </w:t>
      </w:r>
      <w:r>
        <w:rPr>
          <w:rFonts w:ascii="Times New Roman" w:cs="Times New Roman" w:eastAsia="Times New Roman" w:hAnsi="Times New Roman"/>
          <w:sz w:val="18"/>
          <w:szCs w:val="18"/>
          <w:i w:val="1"/>
          <w:iCs w:val="1"/>
          <w:color w:val="auto"/>
        </w:rPr>
        <w:t>síndico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liquidador</w:t>
      </w:r>
      <w:r>
        <w:rPr>
          <w:rFonts w:ascii="Times New Roman" w:cs="Times New Roman" w:eastAsia="Times New Roman" w:hAnsi="Times New Roman"/>
          <w:sz w:val="18"/>
          <w:szCs w:val="18"/>
          <w:color w:val="auto"/>
        </w:rPr>
        <w:t xml:space="preserve">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means Barclays Bank PLC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at any time, the highest of (a) the Prime Rate, (b)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and (c) Adjusted Term SOFR for a one-month tenor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each change in the Base Rate shall take effect simultaneously with the corresponding change or changes in the Prime Rate, the Federal Funds Rate or Adjusted Term SOFR,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Adjusted Term SOFR is unavailable or unascertainable). Notwithstanding the foregoing, in no event shall the Base Rate be less than 1.00%.</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means any Loan bearing interest at a rate based upon the Base Rate as provided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4.06(c)(i),</w:t>
      </w:r>
    </w:p>
    <w:p>
      <w:pPr>
        <w:spacing w:after="0" w:line="3" w:lineRule="exact"/>
        <w:rPr>
          <w:sz w:val="20"/>
          <w:szCs w:val="20"/>
          <w:color w:val="auto"/>
        </w:rPr>
      </w:pPr>
    </w:p>
    <w:p>
      <w:pPr>
        <w:jc w:val="both"/>
        <w:ind w:firstLine="8"/>
        <w:spacing w:after="0" w:line="250" w:lineRule="auto"/>
        <w:tabs>
          <w:tab w:leader="none" w:pos="2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interest, fees, commissions or other amounts denominated in, or calculated with respect to, Sterling or Swiss Francs, the Daily Simple RFR applicable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interest, fees, commissions or other amounts denominated in, or calculated with respect to, Euros, Yen or Australian Dollars, EURIBOR, TIBOR or BBSY, respectively;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EURIBOR, TIBOR or BBSY,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4.06(c)</w:t>
      </w:r>
    </w:p>
    <w:p>
      <w:pPr>
        <w:spacing w:after="0" w:line="1" w:lineRule="exact"/>
        <w:rPr>
          <w:rFonts w:ascii="Times New Roman" w:cs="Times New Roman" w:eastAsia="Times New Roman" w:hAnsi="Times New Roman"/>
          <w:sz w:val="18"/>
          <w:szCs w:val="18"/>
          <w:color w:val="auto"/>
        </w:rPr>
      </w:pPr>
    </w:p>
    <w:p>
      <w:pPr>
        <w:spacing w:after="0"/>
        <w:tabs>
          <w:tab w:leader="none" w:pos="0" w:val="left"/>
        </w:tabs>
        <w:numPr>
          <w:ilvl w:val="0"/>
          <w:numId w:val="6"/>
        </w:numPr>
        <w:rPr>
          <w:rFonts w:ascii="Times New Roman" w:cs="Times New Roman" w:eastAsia="Times New Roman" w:hAnsi="Times New Roman"/>
          <w:sz w:val="18"/>
          <w:szCs w:val="18"/>
          <w:u w:val="single" w:color="auto"/>
          <w:color w:val="auto"/>
        </w:rPr>
      </w:pP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means, with respect to any Benchmark Transition Event for any then-current Benchmark, the sum of: (a) the alternate benchmark rate that has been selected by the Administrative Agent and the Borrowers as the replacement for such Benchmark giving due consideration to</w:t>
      </w:r>
    </w:p>
    <w:p>
      <w:pPr>
        <w:ind w:left="220" w:hanging="212"/>
        <w:spacing w:after="0"/>
        <w:tabs>
          <w:tab w:leader="none" w:pos="2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selection or recommendation of a replacement benchmark rate or the mechanism for determining such a rate by the Relevant Governmental Body or</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for any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means, with respect to the then-current Benchmark for any Currency, the occurrence of one or more of the following events with respect to such Benchmark: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of a prospective event,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ind w:firstLine="8"/>
        <w:spacing w:after="0" w:line="260" w:lineRule="auto"/>
        <w:tabs>
          <w:tab w:leader="none" w:pos="2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ending at the time that a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managers) of such Person, or any committee thereof duly authorized to act on behalf of such board of directors (or comparable managers).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Value of Assets</w:t>
      </w:r>
      <w:r>
        <w:rPr>
          <w:rFonts w:ascii="Times New Roman" w:cs="Times New Roman" w:eastAsia="Times New Roman" w:hAnsi="Times New Roman"/>
          <w:sz w:val="18"/>
          <w:szCs w:val="18"/>
          <w:color w:val="auto"/>
        </w:rPr>
        <w:t xml:space="preserve">” means, as of any date of determination, (I) with respect to </w:t>
      </w:r>
      <w:r>
        <w:rPr>
          <w:rFonts w:ascii="Times New Roman" w:cs="Times New Roman" w:eastAsia="Times New Roman" w:hAnsi="Times New Roman"/>
          <w:sz w:val="18"/>
          <w:szCs w:val="18"/>
          <w:u w:val="single" w:color="auto"/>
          <w:color w:val="auto"/>
        </w:rPr>
        <w:t>Sections 9.16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8.01(h)(ii)</w:t>
      </w:r>
      <w:r>
        <w:rPr>
          <w:rFonts w:ascii="Times New Roman" w:cs="Times New Roman" w:eastAsia="Times New Roman" w:hAnsi="Times New Roman"/>
          <w:sz w:val="18"/>
          <w:szCs w:val="18"/>
          <w:color w:val="auto"/>
        </w:rPr>
        <w:t xml:space="preserve">, the aggregate net book value of all LC Priority Collateral, and (II) with respect to any Collateral Transfer, the aggregate net book value of all LC Priority Collateral subject to such transfer, in each case (a) excluding the value of any such LC Priority Collateral consisting of (i) intangible assets and (ii) Capital Stock of any Person, (b) calculated on a consolidated basis for all Obligors (so as to exclude the value of any such LC Priority Collateral consisting of obligations owing by one Obligor to another Obligor) and (c) with such net book values as stated in the most recent consolidated financial statements of the Parent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means, collectively, WIL-Bermuda, WIL-Delaware any Person who becomes a Borrower pursuant to the joinder contemplated by </w:t>
      </w:r>
      <w:r>
        <w:rPr>
          <w:rFonts w:ascii="Times New Roman" w:cs="Times New Roman" w:eastAsia="Times New Roman" w:hAnsi="Times New Roman"/>
          <w:sz w:val="18"/>
          <w:szCs w:val="18"/>
          <w:u w:val="single" w:color="auto"/>
          <w:color w:val="auto"/>
        </w:rPr>
        <w:t>Section 4.13(a)(ii)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that is not a Saturday, Sunday or other day on which banks are authorized or required to close in the state of New York or the United Kingdom.</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Anti-Money Laundering &amp; Anti-Terrorism Legislation</w:t>
      </w:r>
      <w:r>
        <w:rPr>
          <w:rFonts w:ascii="Times New Roman" w:cs="Times New Roman" w:eastAsia="Times New Roman" w:hAnsi="Times New Roman"/>
          <w:sz w:val="18"/>
          <w:szCs w:val="18"/>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Borrower Joinder</w:t>
      </w:r>
      <w:r>
        <w:rPr>
          <w:rFonts w:ascii="Times New Roman" w:cs="Times New Roman" w:eastAsia="Times New Roman" w:hAnsi="Times New Roman"/>
          <w:sz w:val="18"/>
          <w:szCs w:val="18"/>
          <w:color w:val="auto"/>
        </w:rPr>
        <w:t xml:space="preserve">” means the joinder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hereto.</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Defined Benefit Plan</w:t>
      </w:r>
      <w:r>
        <w:rPr>
          <w:rFonts w:ascii="Times New Roman" w:cs="Times New Roman" w:eastAsia="Times New Roman" w:hAnsi="Times New Roman"/>
          <w:sz w:val="18"/>
          <w:szCs w:val="18"/>
          <w:color w:val="auto"/>
        </w:rPr>
        <w:t xml:space="preserve">” means any pension plan registered under the Income Tax Act (Canada), the </w:t>
      </w:r>
      <w:r>
        <w:rPr>
          <w:rFonts w:ascii="Times New Roman" w:cs="Times New Roman" w:eastAsia="Times New Roman" w:hAnsi="Times New Roman"/>
          <w:sz w:val="18"/>
          <w:szCs w:val="18"/>
          <w:i w:val="1"/>
          <w:iCs w:val="1"/>
          <w:color w:val="auto"/>
        </w:rPr>
        <w:t>Pension Benefits Act</w:t>
      </w:r>
      <w:r>
        <w:rPr>
          <w:rFonts w:ascii="Times New Roman" w:cs="Times New Roman" w:eastAsia="Times New Roman" w:hAnsi="Times New Roman"/>
          <w:sz w:val="18"/>
          <w:szCs w:val="18"/>
          <w:color w:val="auto"/>
        </w:rPr>
        <w:t xml:space="preserve"> (Ontario) or any other applicable pension standards legislation which contains a “defined benefit provision” as defined in subsection 147.1(1) of the Income Tax Act (Canada).</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Security Agreement</w:t>
      </w:r>
      <w:r>
        <w:rPr>
          <w:rFonts w:ascii="Times New Roman" w:cs="Times New Roman" w:eastAsia="Times New Roman" w:hAnsi="Times New Roman"/>
          <w:sz w:val="18"/>
          <w:szCs w:val="18"/>
          <w:color w:val="auto"/>
        </w:rPr>
        <w:t>” means that certain Canadian Security Agreement dated as of December 13, 2019, among, Weatherford Canada Ltd., Weatherford (Nova Scoita) ULC, Precisions Energy Services ULC, Precision Energy International Ltd., Precision Energy Services Colombia Ltd., the other “Grantors” from time to time party thereto and the Administrative Agent, as amended, restated, amended and restated, supplemented or otherwise modified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that is required to be capitalized and accounted for as a financing lease for financial reporting purposes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all of the shares, options, warrants, interests, participations, equity interests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that portion of the obligations under a Capital Lease that is required to be capitalized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 Domestic Cash Equivalents, and (b) Foreign Cash Equivalents.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any Person or two or more Persons acting in concert (other than Permitted Holders) shall have acquired beneficial ownership, directly or indirectly, of equity interests of Weatherford Parent Company (or other securities convertible into such equity interests) 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(c)            the occurrence of any “Change of Control” or similar event under the Senior Secured Notes, the Exit Senior Notes or the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and the regulations promulgated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an Obligor (or, in the case of property pledged pursuant to a Pledge Agreement, another Person) covered by the Collateral Documents and any and all other property of any Obligor (or, in the case of property pledged pursuant to a Pledge Agreement, another Person),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Transfer</w:t>
      </w:r>
      <w:r>
        <w:rPr>
          <w:rFonts w:ascii="Times New Roman" w:cs="Times New Roman" w:eastAsia="Times New Roman" w:hAnsi="Times New Roman"/>
          <w:sz w:val="18"/>
          <w:szCs w:val="18"/>
          <w:color w:val="auto"/>
        </w:rPr>
        <w:t>” means any Disposition, Investment or Restricted Payment involving any Collateral.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Letter of Credit</w:t>
      </w:r>
      <w:r>
        <w:rPr>
          <w:rFonts w:ascii="Times New Roman" w:cs="Times New Roman" w:eastAsia="Times New Roman" w:hAnsi="Times New Roman"/>
          <w:sz w:val="18"/>
          <w:szCs w:val="18"/>
          <w:color w:val="auto"/>
        </w:rPr>
        <w:t>” means any letter of credit, bank guarantee or similar instrument issued for the purpose of providing the primary payment mechanism in connection with the purchase of materials, goods or services.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with respect to each Lender at any time, the sum of such Lender’s Revolving Credit Commitment and such Lender’s Performance LC Commitment at such time.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with respect to any fiscal period, a certificate of a Principal Financial Officer of Parent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certifying as to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 (f) setting forth a current list of Standalone Performance LCs, including the face amount thereof and the issuer with respect thereto and (g) any changes to exhibits or schedules to any Collateral Document as required by such Collateral Document.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Borrowers) decides is reasonably necessary in connection with the administration of this Agreement and the other Loan Documents).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EBITDA</w:t>
      </w:r>
      <w:r>
        <w:rPr>
          <w:rFonts w:ascii="Times New Roman" w:cs="Times New Roman" w:eastAsia="Times New Roman" w:hAnsi="Times New Roman"/>
          <w:sz w:val="18"/>
          <w:szCs w:val="18"/>
          <w:color w:val="auto"/>
        </w:rPr>
        <w:t xml:space="preserve">” means, for any period, consolidated net income of Parent and its Restricted Subsidiaries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0" w:lineRule="auto"/>
        <w:tabs>
          <w:tab w:leader="none" w:pos="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expenses or charges (without duplication) and to the extent deducted from revenues in determining consolidated net income for such period (i) consolidated interest expense, (ii) expense for income taxes, (iii) depreciation, (iv) amortization, (v) [reserved], (vi) fees, expenses, premiums and similar charges related to any incurrence, modification, repayment or Redemption of Indebtedness permitted to be incurred under this Agreement (including bond redemption premiums and loss on extinguishment of debt), (vii) non-cash foreign exchange losses, (viii) extraordinary or non-recurring expenses and charges, including those related to (A) severance, cost savings, operating expense reductions, facilities closings, percentage of completion contracts, consolidations, and integration costs, other restructuring charges or reserves, and impairment charges and (B) reorganization, litigation, settlement and judgment costs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included in the determination of Consolidated Adjusted EBITDA pursuant to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below shall not exceed the greater of (x) $50,000,000 or (y) 10% of Consolidated Adjusted EBITDA for any Testing Period (calculated prior to giving effect to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below), (ix) any losses or charges under Swap Agreements resulting from the application of FASB ASC 815, (x) share-based compensation expenses or costs related to any management equity plan or stock option plan or any other management or employee benefit plan or agreement, (xi) fees, expenses, premiums and similar charges incurred in connection with this Agreement and the Transactions, and (xii) fees, expenses, premiums and similar charges incurred in connection with other bilateral letter of credit arrangements, and any acquisition, Investment, disposition or issuance of Capital Stock, in each case,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included in the determination of Consolidated Adjusted EBITDA pursuant to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above shall not exceed the greater of</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27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$50,000,000 or (y) 10% of Consolidated Adjusted EBITDA for any Testing Period (calculated prior to giving effect to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(b) the following items of income or gains (without duplication) to the extent included in consolidated net income for such period,</w:t>
      </w:r>
    </w:p>
    <w:p>
      <w:pPr>
        <w:jc w:val="both"/>
        <w:ind w:firstLine="8"/>
        <w:spacing w:after="0" w:line="252" w:lineRule="auto"/>
        <w:tabs>
          <w:tab w:leader="none" w:pos="2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(ii) income tax benefits (to the extent not netted from tax expense), (iii) any gains under Swap Agreements resulting from the application of FASB ASC 815, (iv) non-cash foreign exchange gains, and (v) net income attributable to non-controlling interest or minority interest (except to the extent of dividends or other distributions therefrom received by Parent or any Restricted Subsidiary).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sum of the following determined on a consolidated basis, without duplication, for Parent and its Restricted Subsidiaries in accordance with GAAP, interest expense (including interest expense attributable to Capitalized Lease Obligations and all net cash payment obligations pursuant to Swap Agreements) for such period, in all cases net of the consolidated interest income of Parent and its Restricted Subsidiaries for such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either the Permitted Holders or a majority of the Continuing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the revolving credit facility hereunder comprised of, collectively, the Commitments, the Loans and the Letters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Currencies</w:t>
      </w:r>
      <w:r>
        <w:rPr>
          <w:rFonts w:ascii="Times New Roman" w:cs="Times New Roman" w:eastAsia="Times New Roman" w:hAnsi="Times New Roman"/>
          <w:sz w:val="18"/>
          <w:szCs w:val="18"/>
          <w:color w:val="auto"/>
        </w:rPr>
        <w:t>” means Dollars and each Alternative Currency, and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any of such Currencies.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a rate per annum equal to, for any Obligations, interest, fees, commissions or other amounts denominated in, or calculated with respect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Sterling, the greater of (i) SONIA for the day (such day, a “</w:t>
      </w:r>
      <w:r>
        <w:rPr>
          <w:rFonts w:ascii="Times New Roman" w:cs="Times New Roman" w:eastAsia="Times New Roman" w:hAnsi="Times New Roman"/>
          <w:sz w:val="18"/>
          <w:szCs w:val="18"/>
          <w:u w:val="single" w:color="auto"/>
          <w:color w:val="auto"/>
        </w:rPr>
        <w:t>Sterling RFR Determination Day</w:t>
      </w:r>
      <w:r>
        <w:rPr>
          <w:rFonts w:ascii="Times New Roman" w:cs="Times New Roman" w:eastAsia="Times New Roman" w:hAnsi="Times New Roman"/>
          <w:sz w:val="18"/>
          <w:szCs w:val="18"/>
          <w:color w:val="auto"/>
        </w:rPr>
        <w:t>”) that is five (5) RFR Business Days prior to</w:t>
      </w:r>
    </w:p>
    <w:p>
      <w:pPr>
        <w:spacing w:after="0" w:line="27" w:lineRule="exact"/>
        <w:rPr>
          <w:sz w:val="20"/>
          <w:szCs w:val="20"/>
          <w:color w:val="auto"/>
        </w:rPr>
      </w:pPr>
    </w:p>
    <w:p>
      <w:pPr>
        <w:jc w:val="both"/>
        <w:ind w:firstLine="8"/>
        <w:spacing w:after="0" w:line="250"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RFR Rate Day is an RFR Business Day, such RFR Rate Day or (B) if such RFR Rate Day is not an RFR Business Day, the RFR Business Day immediately preceding such RFR Rate Day, in each case, as such SONIA is published by the SONIA Administrator on the SONIA Administrator’s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(London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SONIA as determined pursuant to this proviso shall be utilized for purposes of calculation of Daily Simple RFR for no more than three (3) consecutive RFR Rate Days and (ii) the Floor; and</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Swiss Francs, the greater of (i) SARON for the day (such day, a “</w:t>
      </w:r>
      <w:r>
        <w:rPr>
          <w:rFonts w:ascii="Times New Roman" w:cs="Times New Roman" w:eastAsia="Times New Roman" w:hAnsi="Times New Roman"/>
          <w:sz w:val="18"/>
          <w:szCs w:val="18"/>
          <w:u w:val="single" w:color="auto"/>
          <w:color w:val="auto"/>
        </w:rPr>
        <w:t>Swiss Francs RFR Determination Day</w:t>
      </w:r>
      <w:r>
        <w:rPr>
          <w:rFonts w:ascii="Times New Roman" w:cs="Times New Roman" w:eastAsia="Times New Roman" w:hAnsi="Times New Roman"/>
          <w:sz w:val="18"/>
          <w:szCs w:val="18"/>
          <w:color w:val="auto"/>
        </w:rPr>
        <w:t>”) that is five (5) 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(Zurich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RFR Business Day immediately following any Swiss Francs RFR Determination Day, SARON in respect of such Swiss Francs RFR Determination Day has not been published on the SARON Administrator’s Website and a Benchmark Replacement Date with respect to the Daily Simple RFR for Swiss Francs has not occurred, then SARON for such Swiss Francs RFR Determination Day will be SARON as published in respect of the first preceding RFR Business Day for which such SARON was published on the SARON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SARON as determined pursuant to this proviso shall be utilized for purposes of calculation of Daily Simple RFR for no more than three (3) consecutive RFR Rate Days and (ii) the Floor.</w:t>
      </w:r>
    </w:p>
    <w:p>
      <w:pPr>
        <w:spacing w:after="0" w:line="20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change in Daily Simple RFR due to a change in the applicable RFR shall be effective from and including the effective date of such change in the RFR without notice to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 Loan</w:t>
      </w:r>
      <w:r>
        <w:rPr>
          <w:rFonts w:ascii="Times New Roman" w:cs="Times New Roman" w:eastAsia="Times New Roman" w:hAnsi="Times New Roman"/>
          <w:sz w:val="18"/>
          <w:szCs w:val="18"/>
          <w:color w:val="auto"/>
        </w:rPr>
        <w:t>” means any Loan that bears interest at a rate based on Daily Simple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DBTCA</w:t>
      </w:r>
      <w:r>
        <w:rPr>
          <w:rFonts w:ascii="Times New Roman" w:cs="Times New Roman" w:eastAsia="Times New Roman" w:hAnsi="Times New Roman"/>
          <w:sz w:val="18"/>
          <w:szCs w:val="18"/>
          <w:color w:val="auto"/>
        </w:rPr>
        <w:t>” means Deutsche Bank Trust Company Americas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the occurrence of any event that with the giving of notice or the passage of time or both would become an Event of Default.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 (i) fund all or any portion of the Loans required to be funded by it hereunder or (ii) pay over to any Credit Party any other amount required to be paid by it hereunder (including in respect of participations in Letters of Credit) unless, in the case of either clause (i) or clause (ii),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w:t>
      </w:r>
    </w:p>
    <w:p>
      <w:pPr>
        <w:spacing w:after="0" w:line="3" w:lineRule="exact"/>
        <w:rPr>
          <w:sz w:val="20"/>
          <w:szCs w:val="20"/>
          <w:color w:val="auto"/>
        </w:rPr>
      </w:pPr>
    </w:p>
    <w:p>
      <w:pPr>
        <w:jc w:val="both"/>
        <w:ind w:firstLine="8"/>
        <w:spacing w:after="0" w:line="250"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request by any Obligor Party or any Credit Party, acting in good faith, to provide a certification in writing from an authorized officer of such Lender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56"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be conclusive and binding absent manifest error, and such Lender shall be deemed to be a Defaulting Lender upon delivery of written notice of such determination to the Borrowers, the Issuing Banks and each Lender.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Deutsche Bank</w:t>
      </w:r>
      <w:r>
        <w:rPr>
          <w:rFonts w:ascii="Times New Roman" w:cs="Times New Roman" w:eastAsia="Times New Roman" w:hAnsi="Times New Roman"/>
          <w:sz w:val="18"/>
          <w:szCs w:val="18"/>
          <w:color w:val="auto"/>
        </w:rPr>
        <w:t>” means Deutsche Bank AG New York Branch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to sell, lease, assign, exchange, convey or otherwise transfer (excluding the granting of a Lien on) any property or license any Intellectual Property to another Person.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on any date of determination, (a) with respect to any amount denominated in Dollars, such amount, (b) with respect to any amount denominated in an Alternative Currency, the equivalent of such amount in Dollars determined by the Administrative Agent or the applicable Issuing Bank at such time on the basis of the Spot Rate for such currency determined in respect of the most recent Revaluation Date for the purchase of Dollars with such currency and (c) if such amount is denominated in any other currency, the equivalent of such amount in U.S. Dollars as determined by the Administrative Agent or the applicable Issuing Bank, as applicable (in either case, in consultation with the Borrowers), using any reasonable method of determination it deems appropriate in its reasonable discretion. Any determination by the Administrative Agent or the applicable Issuing Bank pursuant to clauses (b) or (c) above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written request of any Borrower, the Administrative Agent or the Applicable Issuing Bank shall notify such Borrower of the sources used to make such determination. As appropriate, amounts specified in this Agreement as amounts in Dollars shall be or include any relevant Dollar Equivalent amount.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Cash Equivalents</w:t>
      </w:r>
      <w:r>
        <w:rPr>
          <w:rFonts w:ascii="Times New Roman" w:cs="Times New Roman" w:eastAsia="Times New Roman" w:hAnsi="Times New Roman"/>
          <w:sz w:val="18"/>
          <w:szCs w:val="18"/>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w:t>
      </w:r>
    </w:p>
    <w:p>
      <w:pPr>
        <w:jc w:val="both"/>
        <w:ind w:firstLine="8"/>
        <w:spacing w:after="0" w:line="250" w:lineRule="auto"/>
        <w:tabs>
          <w:tab w:leader="none" w:pos="2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 debt securities with maturities of six months or less from the date of acquisition backed by standby letters of credit issued by any commercial bank satisfying the criteria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(h) Investments in money market funds substantially all of whose assets are invested in the types of assets described in clauses (a) through (g) above.</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any Obligor that is organized under the laws of a jurisdiction located in the United States of America.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each party hereto has executed and delivered this Agreement and the other conditions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first satisfied (or waived in accordance with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Real Property</w:t>
      </w:r>
      <w:r>
        <w:rPr>
          <w:rFonts w:ascii="Times New Roman" w:cs="Times New Roman" w:eastAsia="Times New Roman" w:hAnsi="Times New Roman"/>
          <w:sz w:val="18"/>
          <w:szCs w:val="18"/>
          <w:color w:val="auto"/>
        </w:rPr>
        <w:t xml:space="preserve">” means the real property listed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 ClearPar®, Debt Domain, Syndtrak and any other Internet or extranet-based site, whether such electronic system is owned, operated or hosted by the Administrative Agent, an Issuing Bank or any of their respective Related Parties or any other Person, providing for access to data protected by passcodes or other security system.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Jurisdiction</w:t>
      </w:r>
      <w:r>
        <w:rPr>
          <w:rFonts w:ascii="Times New Roman" w:cs="Times New Roman" w:eastAsia="Times New Roman" w:hAnsi="Times New Roman"/>
          <w:sz w:val="18"/>
          <w:szCs w:val="18"/>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and the Borrowers, by mutual written agreement, may re-categorize any country between the definitions of “Eligible Jurisdiction” and “Ineligible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1" w:lineRule="exact"/>
        <w:rPr>
          <w:sz w:val="20"/>
          <w:szCs w:val="20"/>
          <w:color w:val="auto"/>
        </w:rPr>
      </w:pPr>
    </w:p>
    <w:p>
      <w:pPr>
        <w:jc w:val="center"/>
        <w:ind w:left="5480" w:right="600" w:hanging="5472"/>
        <w:spacing w:after="0" w:line="761" w:lineRule="auto"/>
        <w:tabs>
          <w:tab w:leader="none" w:pos="2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other consensual arrangement pursuant to which liability is assumed or imposed with respect to any of the foregoing.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assigned thereto in the definition of “Eurocurrency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 introduced in accordance with the EMU Legislation.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Banking Day</w:t>
      </w:r>
      <w:r>
        <w:rPr>
          <w:rFonts w:ascii="Times New Roman" w:cs="Times New Roman" w:eastAsia="Times New Roman" w:hAnsi="Times New Roman"/>
          <w:sz w:val="18"/>
          <w:szCs w:val="18"/>
          <w:color w:val="auto"/>
        </w:rPr>
        <w:t xml:space="preserve">” means, (a) for Obligations, interest, fees, commissions or other amounts denominated in, or calculated with respect to, Euros, a TARGET Day, (b) for Obligations, interest, fees, commissions or other amounts denominated in, or calculated with respect to, Yen, any day (other than a Saturday or Sunday) on which banks are open for business in Japan and (c) for Obligations, interest, fees, commissions or other amounts denominated in, or calculated with respect to, Australian Dollars, any day (other than a Saturday or Sunday) on which banks are open for business in Melbourne;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in each case, such day is also a Business Day.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Eurocurrency Rate Loan for any Interest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denominated in Euros, the greater of (i) the rate of interest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denominated in Yen, the greater of (i) the rate per annum equal to the Tokyo Interbank Offered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as administered by the Ippan Shadan Hojin JBA TIBOR Administration, or a comparable or successor administrator approved by the Administrative Agent, for a period comparable to the applicable Interest Period, at approximately 11:00 a.m. (Tokyo time) on the applicable Rate Determination Date and (ii) the Floor; 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denominated in Australian Dollars, the greater of (i) the rate per annum equal to the Bank Bill Swap Reference Bid Rate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means any Loan bearing interest at a rate based on the Adjusted Eurocurrency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Percentage</w:t>
      </w:r>
      <w:r>
        <w:rPr>
          <w:rFonts w:ascii="Times New Roman" w:cs="Times New Roman" w:eastAsia="Times New Roman" w:hAnsi="Times New Roman"/>
          <w:sz w:val="18"/>
          <w:szCs w:val="18"/>
          <w:color w:val="auto"/>
        </w:rPr>
        <w:t>” means, for any day, the percentage which is in effect for such day as prescribed by the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Insolvency Regulation</w:t>
      </w:r>
      <w:r>
        <w:rPr>
          <w:rFonts w:ascii="Times New Roman" w:cs="Times New Roman" w:eastAsia="Times New Roman" w:hAnsi="Times New Roman"/>
          <w:sz w:val="18"/>
          <w:szCs w:val="18"/>
          <w:color w:val="auto"/>
        </w:rPr>
        <w:t>” means Regulation (EU) 2015/848 of the European Parliament and of the Council of 20 May 2015 on insolvency proceedings (recast).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does not at any time exceed $10,000,000.</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xml:space="preserve">” 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such asset will only constitute an Excluded Asset under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(o) real property consisting of a“Building” or “Mobile Home” (each, as defined in 12 CFR Chapter III, Section 339.2) existing as of the Effective Date and located at (i) 710</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 Faudree Road, Odessa, Texas 79766 and (ii) 611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SE, Williston, North Dakota 58801, in eachc case, to the extent such real property is located in an area designated by the Federal Emergency Management Agency as a special flood hazard area and (p) any real property other than the Effective Date Real Property that has a net book value of less than $10,000,000 as reflected in the most recent consolidated financial statements of Parent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except in the case of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this definition, the foregoing exclusions shall not apply to any asset or property of any Borrower and its Subsidiaries on which a Lien has been granted in favor of the Senior Secured Notes Trustee to secure the Senior Secured Notes.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Jurisdictions</w:t>
      </w:r>
      <w:r>
        <w:rPr>
          <w:rFonts w:ascii="Times New Roman" w:cs="Times New Roman" w:eastAsia="Times New Roman" w:hAnsi="Times New Roman"/>
          <w:sz w:val="18"/>
          <w:szCs w:val="18"/>
          <w:color w:val="auto"/>
        </w:rPr>
        <w:t xml:space="preserve">” means the countries or other jurisdictions identified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w:t>
      </w:r>
    </w:p>
    <w:p>
      <w:pPr>
        <w:spacing w:after="0" w:line="3" w:lineRule="exact"/>
        <w:rPr>
          <w:sz w:val="20"/>
          <w:szCs w:val="20"/>
          <w:color w:val="auto"/>
        </w:rPr>
      </w:pPr>
    </w:p>
    <w:p>
      <w:pPr>
        <w:jc w:val="both"/>
        <w:ind w:firstLine="8"/>
        <w:spacing w:after="0" w:line="265" w:lineRule="auto"/>
        <w:tabs>
          <w:tab w:leader="none" w:pos="24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Lender (other than an assignee pursuant to an assignment requested by a Borrower under </w:t>
      </w:r>
      <w:r>
        <w:rPr>
          <w:rFonts w:ascii="Times New Roman" w:cs="Times New Roman" w:eastAsia="Times New Roman" w:hAnsi="Times New Roman"/>
          <w:sz w:val="17"/>
          <w:szCs w:val="17"/>
          <w:u w:val="single" w:color="auto"/>
          <w:color w:val="auto"/>
        </w:rPr>
        <w:t>Section 5.03(b)</w:t>
      </w:r>
      <w:r>
        <w:rPr>
          <w:rFonts w:ascii="Times New Roman" w:cs="Times New Roman" w:eastAsia="Times New Roman" w:hAnsi="Times New Roman"/>
          <w:sz w:val="17"/>
          <w:szCs w:val="17"/>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Times New Roman" w:cs="Times New Roman" w:eastAsia="Times New Roman" w:hAnsi="Times New Roman"/>
          <w:sz w:val="17"/>
          <w:szCs w:val="17"/>
          <w:u w:val="single" w:color="auto"/>
          <w:color w:val="auto"/>
        </w:rPr>
        <w:t>Section 5.02(c)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5.02(e)</w:t>
      </w:r>
      <w:r>
        <w:rPr>
          <w:rFonts w:ascii="Times New Roman" w:cs="Times New Roman" w:eastAsia="Times New Roman" w:hAnsi="Times New Roman"/>
          <w:sz w:val="17"/>
          <w:szCs w:val="17"/>
          <w:color w:val="auto"/>
        </w:rPr>
        <w:t>, (f) any United States federal withholding Taxes imposed by FATCA,</w:t>
      </w:r>
    </w:p>
    <w:p>
      <w:pPr>
        <w:spacing w:after="0" w:line="1" w:lineRule="exact"/>
        <w:rPr>
          <w:rFonts w:ascii="Times New Roman" w:cs="Times New Roman" w:eastAsia="Times New Roman" w:hAnsi="Times New Roman"/>
          <w:sz w:val="17"/>
          <w:szCs w:val="17"/>
          <w:color w:val="auto"/>
        </w:rPr>
      </w:pPr>
    </w:p>
    <w:p>
      <w:pPr>
        <w:jc w:val="both"/>
        <w:ind w:firstLine="8"/>
        <w:spacing w:after="0" w:line="251" w:lineRule="auto"/>
        <w:tabs>
          <w:tab w:leader="none" w:pos="26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assessed on a Lender under the laws of Germany solely due to the fact that the Obligations are secured (directly or indirectly) by real estate located in Germany (</w:t>
      </w:r>
      <w:r>
        <w:rPr>
          <w:rFonts w:ascii="Times New Roman" w:cs="Times New Roman" w:eastAsia="Times New Roman" w:hAnsi="Times New Roman"/>
          <w:sz w:val="18"/>
          <w:szCs w:val="18"/>
          <w:i w:val="1"/>
          <w:iCs w:val="1"/>
          <w:color w:val="auto"/>
        </w:rPr>
        <w:t>inländischer Grundbesitz</w:t>
      </w:r>
      <w:r>
        <w:rPr>
          <w:rFonts w:ascii="Times New Roman" w:cs="Times New Roman" w:eastAsia="Times New Roman" w:hAnsi="Times New Roman"/>
          <w:sz w:val="18"/>
          <w:szCs w:val="18"/>
          <w:color w:val="auto"/>
        </w:rPr>
        <w:t>) or by German rights subject to the civil code provisions relating to real estate (</w:t>
      </w:r>
      <w:r>
        <w:rPr>
          <w:rFonts w:ascii="Times New Roman" w:cs="Times New Roman" w:eastAsia="Times New Roman" w:hAnsi="Times New Roman"/>
          <w:sz w:val="18"/>
          <w:szCs w:val="18"/>
          <w:i w:val="1"/>
          <w:iCs w:val="1"/>
          <w:color w:val="auto"/>
        </w:rPr>
        <w:t>inländische Rechte, die 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Vorschriften des bürgerlichen Rechts über Grundstücke unterliegen</w:t>
      </w:r>
      <w:r>
        <w:rPr>
          <w:rFonts w:ascii="Times New Roman" w:cs="Times New Roman" w:eastAsia="Times New Roman" w:hAnsi="Times New Roman"/>
          <w:sz w:val="18"/>
          <w:szCs w:val="18"/>
          <w:color w:val="auto"/>
        </w:rPr>
        <w:t>) or ships which are registered in a German ship register and (h) any German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for which the relevant obligor is required by the relevant German tax office to make a Tax deduction on account of German Tax pursuant to Section 50a paragraph 7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xml:space="preserve">) or a comparable replacement regulation; </w:t>
      </w:r>
      <w:r>
        <w:rPr>
          <w:rFonts w:ascii="Times New Roman" w:cs="Times New Roman" w:eastAsia="Times New Roman" w:hAnsi="Times New Roman"/>
          <w:sz w:val="18"/>
          <w:szCs w:val="18"/>
          <w:i w:val="1"/>
          <w:iCs w:val="1"/>
          <w:color w:val="auto"/>
        </w:rPr>
        <w:t>except that</w:t>
      </w:r>
      <w:r>
        <w:rPr>
          <w:rFonts w:ascii="Times New Roman" w:cs="Times New Roman" w:eastAsia="Times New Roman" w:hAnsi="Times New Roman"/>
          <w:sz w:val="18"/>
          <w:szCs w:val="18"/>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assigned thereto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outstanding letters of credit and bank guarantees issued by the Issuing Banks and set forth on </w:t>
      </w:r>
      <w:r>
        <w:rPr>
          <w:rFonts w:ascii="Times New Roman" w:cs="Times New Roman" w:eastAsia="Times New Roman" w:hAnsi="Times New Roman"/>
          <w:sz w:val="18"/>
          <w:szCs w:val="18"/>
          <w:u w:val="single" w:color="auto"/>
          <w:color w:val="auto"/>
        </w:rPr>
        <w:t>Schedule 3.01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 Senior Notes</w:t>
      </w:r>
      <w:r>
        <w:rPr>
          <w:rFonts w:ascii="Times New Roman" w:cs="Times New Roman" w:eastAsia="Times New Roman" w:hAnsi="Times New Roman"/>
          <w:sz w:val="18"/>
          <w:szCs w:val="18"/>
          <w:color w:val="auto"/>
        </w:rPr>
        <w:t>” means the 11.00% Senior Notes due 2024 issued by WIL-Bermuda on December 13, 2019 pursuant to the Exit Senior Notes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 Senior Notes Indenture</w:t>
      </w:r>
      <w:r>
        <w:rPr>
          <w:rFonts w:ascii="Times New Roman" w:cs="Times New Roman" w:eastAsia="Times New Roman" w:hAnsi="Times New Roman"/>
          <w:sz w:val="18"/>
          <w:szCs w:val="18"/>
          <w:color w:val="auto"/>
        </w:rPr>
        <w:t>” means that certain Indenture, dated as of December 13, 2019,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an amount equal to the sum of (i) the aggregate principal amount of all Loans made by such Lender then outstanding and (ii) such Lender’s LC Exposure at such time or (b) the making of any Loan or participation in any Letter of Credit by such Lender, as the context requires.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0.500% per annum.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LC-Specific Commitment</w:t>
      </w:r>
      <w:r>
        <w:rPr>
          <w:rFonts w:ascii="Times New Roman" w:cs="Times New Roman" w:eastAsia="Times New Roman" w:hAnsi="Times New Roman"/>
          <w:sz w:val="18"/>
          <w:szCs w:val="18"/>
          <w:color w:val="auto"/>
        </w:rPr>
        <w:t xml:space="preserve">” means $45,000,000, as such amount may be increased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Standby LC</w:t>
      </w:r>
      <w:r>
        <w:rPr>
          <w:rFonts w:ascii="Times New Roman" w:cs="Times New Roman" w:eastAsia="Times New Roman" w:hAnsi="Times New Roman"/>
          <w:sz w:val="18"/>
          <w:szCs w:val="18"/>
          <w:color w:val="auto"/>
        </w:rPr>
        <w:t>” means a standby letter of credit or bank guarantee under which the beneficiary is entitled to draw thereon in the event that the account party (or the Person or Persons on whose behalf such letter of credit or bank guarantee was issued) fails to perform a financial obligation.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Standby Letter of Credit</w:t>
      </w:r>
      <w:r>
        <w:rPr>
          <w:rFonts w:ascii="Times New Roman" w:cs="Times New Roman" w:eastAsia="Times New Roman" w:hAnsi="Times New Roman"/>
          <w:sz w:val="18"/>
          <w:szCs w:val="18"/>
          <w:color w:val="auto"/>
        </w:rPr>
        <w:t>” means, as determined by the applicable Issuing Bank, a Letter of Credit issued under this Agreement and constituting a Financial Standby LC.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Parent,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 Fiscal Year of Parent, ending on December 31 of each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Follow-On Retranching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Cash Equivalents</w:t>
      </w:r>
      <w:r>
        <w:rPr>
          <w:rFonts w:ascii="Times New Roman" w:cs="Times New Roman" w:eastAsia="Times New Roman" w:hAnsi="Times New Roman"/>
          <w:sz w:val="18"/>
          <w:szCs w:val="18"/>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or that has a branch or is otherwise operating in any Specified State, and having at the date of acquisition thereof combined capital and surplus and undivided profits of not less than $500,000,000 (calculated at the then-applicable Spot Rate), (b) deposit accounts maintained with any bank that satisfies the criteria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(c) Investments in money market funds substantially all of whose assets are invested in the types of assets described in </w:t>
      </w:r>
      <w:r>
        <w:rPr>
          <w:rFonts w:ascii="Times New Roman" w:cs="Times New Roman" w:eastAsia="Times New Roman" w:hAnsi="Times New Roman"/>
          <w:sz w:val="18"/>
          <w:szCs w:val="18"/>
          <w:u w:val="single" w:color="auto"/>
          <w:color w:val="auto"/>
        </w:rPr>
        <w:t>clauses</w:t>
      </w:r>
    </w:p>
    <w:p>
      <w:pPr>
        <w:spacing w:after="0" w:line="3"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Collateral Agent</w:t>
      </w:r>
      <w:r>
        <w:rPr>
          <w:rFonts w:ascii="Times New Roman" w:cs="Times New Roman" w:eastAsia="Times New Roman" w:hAnsi="Times New Roman"/>
          <w:sz w:val="18"/>
          <w:szCs w:val="18"/>
          <w:color w:val="auto"/>
        </w:rPr>
        <w:t>” means the foreign collateral agent as defined in the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or Participant that is organized under the laws of a jurisdiction other than the United States of America or any State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direct or indirect subsidiary of any Obligor that is not a Domestic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xml:space="preserve">” means, with respect to Parent and its Restricted Subsidiaries as of any date, the sum, without duplication, of (a) all Indebtedness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Parent and each Restricted Subsidiary that enters into a Guaranty Agreement with respect to the Secured Obligations. The Guarantors as of the Effective Date are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Agreements</w:t>
      </w:r>
      <w:r>
        <w:rPr>
          <w:rFonts w:ascii="Times New Roman" w:cs="Times New Roman" w:eastAsia="Times New Roman" w:hAnsi="Times New Roman"/>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 Supplement</w:t>
      </w:r>
      <w:r>
        <w:rPr>
          <w:rFonts w:ascii="Times New Roman" w:cs="Times New Roman" w:eastAsia="Times New Roman" w:hAnsi="Times New Roman"/>
          <w:sz w:val="18"/>
          <w:szCs w:val="18"/>
          <w:color w:val="auto"/>
        </w:rPr>
        <w:t xml:space="preserve">” means an increasing lender supplement entered into by the Borrowers and any Increasing Lender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any other form reasonably acceptable to the Administrative Agent.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Jurisdiction</w:t>
      </w:r>
      <w:r>
        <w:rPr>
          <w:rFonts w:ascii="Times New Roman" w:cs="Times New Roman" w:eastAsia="Times New Roman" w:hAnsi="Times New Roman"/>
          <w:sz w:val="18"/>
          <w:szCs w:val="18"/>
          <w:color w:val="auto"/>
        </w:rPr>
        <w:t xml:space="preserve">” means the countries of Albania, Angola, Congo, Egypt, Gabon, and Nigeria;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the Borrowers, by mutual written agreement, may re-categorize any country between the definitions of “Ineligible Jurisdiction” and “Eligible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LC Fee Period</w:t>
      </w:r>
      <w:r>
        <w:rPr>
          <w:rFonts w:ascii="Times New Roman" w:cs="Times New Roman" w:eastAsia="Times New Roman" w:hAnsi="Times New Roman"/>
          <w:sz w:val="18"/>
          <w:szCs w:val="18"/>
          <w:color w:val="auto"/>
        </w:rPr>
        <w:t>” means the period from October 17, 2022 until October 31,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Laws</w:t>
      </w:r>
      <w:r>
        <w:rPr>
          <w:rFonts w:ascii="Times New Roman" w:cs="Times New Roman" w:eastAsia="Times New Roman" w:hAnsi="Times New Roman"/>
          <w:sz w:val="18"/>
          <w:szCs w:val="18"/>
          <w:color w:val="auto"/>
        </w:rPr>
        <w:t xml:space="preserve">” means (a) the Bankruptcy Code, (b)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(c) the </w:t>
      </w:r>
      <w:r>
        <w:rPr>
          <w:rFonts w:ascii="Times New Roman" w:cs="Times New Roman" w:eastAsia="Times New Roman" w:hAnsi="Times New Roman"/>
          <w:sz w:val="18"/>
          <w:szCs w:val="18"/>
          <w:i w:val="1"/>
          <w:iCs w:val="1"/>
          <w:color w:val="auto"/>
        </w:rPr>
        <w:t>Companies’ Creditors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(d)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 (e) the</w:t>
      </w:r>
      <w:r>
        <w:rPr>
          <w:rFonts w:ascii="Times New Roman" w:cs="Times New Roman" w:eastAsia="Times New Roman" w:hAnsi="Times New Roman"/>
          <w:sz w:val="18"/>
          <w:szCs w:val="18"/>
          <w:i w:val="1"/>
          <w:iCs w:val="1"/>
          <w:color w:val="auto"/>
        </w:rPr>
        <w:t xml:space="preserve"> Canada Business Corporations Act </w:t>
      </w:r>
      <w:r>
        <w:rPr>
          <w:rFonts w:ascii="Times New Roman" w:cs="Times New Roman" w:eastAsia="Times New Roman" w:hAnsi="Times New Roman"/>
          <w:sz w:val="18"/>
          <w:szCs w:val="18"/>
          <w:color w:val="auto"/>
        </w:rPr>
        <w:t>(Canada) where such statute is used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to propose an arrangement, (f) the German Insolvency Act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(g)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Anordnung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von Sicherungsmaßnahmen</w:t>
      </w:r>
      <w:r>
        <w:rPr>
          <w:rFonts w:ascii="Times New Roman" w:cs="Times New Roman" w:eastAsia="Times New Roman" w:hAnsi="Times New Roman"/>
          <w:sz w:val="18"/>
          <w:szCs w:val="18"/>
          <w:color w:val="auto"/>
        </w:rPr>
        <w:t>)), (h) the Swiss Federal Act on Debt Enforcement and Bankruptcy, (i) the Dutch Bankruptcy Code (Faillissementswet), (j)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Mexican Insolvency Law (</w:t>
      </w:r>
      <w:r>
        <w:rPr>
          <w:rFonts w:ascii="Times New Roman" w:cs="Times New Roman" w:eastAsia="Times New Roman" w:hAnsi="Times New Roman"/>
          <w:sz w:val="18"/>
          <w:szCs w:val="18"/>
          <w:i w:val="1"/>
          <w:iCs w:val="1"/>
          <w:color w:val="auto"/>
        </w:rPr>
        <w:t>Ley de Concursos Mecantiles</w:t>
      </w:r>
      <w:r>
        <w:rPr>
          <w:rFonts w:ascii="Times New Roman" w:cs="Times New Roman" w:eastAsia="Times New Roman" w:hAnsi="Times New Roman"/>
          <w:sz w:val="18"/>
          <w:szCs w:val="18"/>
          <w:color w:val="auto"/>
        </w:rPr>
        <w:t>) and/or (k) any similar legislation in a relevant jurisdiction, in each case as applicable and as in effect from time to time.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or Section 60 of the Social Insurance Financing Act of the Netherlands (</w:t>
      </w:r>
      <w:r>
        <w:rPr>
          <w:rFonts w:ascii="Times New Roman" w:cs="Times New Roman" w:eastAsia="Times New Roman" w:hAnsi="Times New Roman"/>
          <w:sz w:val="18"/>
          <w:szCs w:val="18"/>
          <w:i w:val="1"/>
          <w:iCs w:val="1"/>
          <w:color w:val="auto"/>
        </w:rPr>
        <w:t>Wet Financiering Sociale Verzekeringen</w:t>
      </w:r>
      <w:r>
        <w:rPr>
          <w:rFonts w:ascii="Times New Roman" w:cs="Times New Roman" w:eastAsia="Times New Roman" w:hAnsi="Times New Roman"/>
          <w:sz w:val="18"/>
          <w:szCs w:val="18"/>
          <w:color w:val="auto"/>
        </w:rPr>
        <w:t>) in conjunction with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set forth in the U.S. Security Agreement, and includes all Industrial Designs (as defined in the Canadian Security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(a) an intercompany subordination agreement, dated as of the date hereof, executed and delivered by each Obligor and the Parent’s Subsidiaries party thereto, in substantially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or as otherwise reasonably agreed by the Required Lenders and (b) with respect to each non-Obligor Subsidiary of the Parent that is party thereto, the intercompany subordination agreement, dated as of December 13, 2019, and delivered in connection with the Existing Credit Agreement; provided that the agreement described in this clause (b) shall constitute an Intercompany Subordination Agreement with respect to each such non-Obligor Subsidiary only until the date on which such non-Obligor Subsidiary executes and delivers a supplement to the agreement described in clause (a) of this definition.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that certain Intercreditor Agreement, dated as of August 28, 2020, by and among the Administrative Agent (as successor to DBTCA), the Senior Secured Notes Trustee, the LC Australian Collateral Agent, Parent and the other Obligors from time to time party thereto, as amended or supplemented by the Joinder Agreement (Notes Obligations), dated as of September 30, 2021, and the joinder agreement, dated as of the Effective Date, required by Section 6.01(a)(iii);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of (a) Consolidated Adjusted EBITDA for the most recently completed Testing Period to (b) Consolidated Interest Expense for the most recently completed Testing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Loan or Daily Simple RFR Loan, the last Business Day of each March, June, September and December and the Maturity Date and (b) as to any Eurocurrency Rate Loan or Term SOFR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Maturity Date.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Eurocurrency Rate Loan or Term SOFR Loan, the period commencing on the date such Loan is disbursed or converted to or continued as a Eurocurrency Rate Loan or Term SOFR Loan, as applicable, and ending on the date one (1), three (3) or six (6) months thereafter, in each case as selected by the applicable Borrower in its Notice of Borrowing or Notice of Conversion/Continuation and subject to availability;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80" w:lineRule="exact"/>
        <w:rPr>
          <w:sz w:val="20"/>
          <w:szCs w:val="20"/>
          <w:color w:val="auto"/>
        </w:rPr>
      </w:pPr>
    </w:p>
    <w:p>
      <w:pPr>
        <w:jc w:val="both"/>
        <w:ind w:left="1300" w:hanging="320"/>
        <w:spacing w:after="0" w:line="266" w:lineRule="auto"/>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shall commence on the date of advance of or conversion to any Eurocurrency Rate Loan or Term SOFR Loan, as applicable, and, in the case of immediately successive Interest Periods, each successive Interest Period shall commence on the date on which the immediately preceding Interest Period expires;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five (5) Interest Periods in effect at any time;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 xml:space="preserve"> shall be available for specification in any Notice of Borrowing or Notice of Conversion/Continuation.</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1" w:lineRule="exact"/>
        <w:rPr>
          <w:sz w:val="20"/>
          <w:szCs w:val="20"/>
          <w:color w:val="auto"/>
        </w:rPr>
      </w:pPr>
    </w:p>
    <w:p>
      <w:pPr>
        <w:ind w:right="20" w:firstLine="8"/>
        <w:spacing w:after="0" w:line="260" w:lineRule="auto"/>
        <w:tabs>
          <w:tab w:leader="none" w:pos="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Short Forms</w:t>
      </w:r>
      <w:r>
        <w:rPr>
          <w:rFonts w:ascii="Times New Roman" w:cs="Times New Roman" w:eastAsia="Times New Roman" w:hAnsi="Times New Roman"/>
          <w:sz w:val="18"/>
          <w:szCs w:val="18"/>
          <w:color w:val="auto"/>
        </w:rPr>
        <w:t xml:space="preserve">” means a Trademark Security Agreement and Patent Security Agreement in substantially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and to the extent applicable, a copyright security agreement in a form substantially similar thereto.</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each of Wells Fargo, Deutsche Bank, Barclays, Citibank, N.A., Morgan Stanley Senior Funding, Inc. (“</w:t>
      </w:r>
      <w:r>
        <w:rPr>
          <w:rFonts w:ascii="Times New Roman" w:cs="Times New Roman" w:eastAsia="Times New Roman" w:hAnsi="Times New Roman"/>
          <w:sz w:val="18"/>
          <w:szCs w:val="18"/>
          <w:u w:val="single" w:color="auto"/>
          <w:color w:val="auto"/>
        </w:rPr>
        <w:t>Morgan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Stanley</w:t>
      </w:r>
      <w:r>
        <w:rPr>
          <w:rFonts w:ascii="Times New Roman" w:cs="Times New Roman" w:eastAsia="Times New Roman" w:hAnsi="Times New Roman"/>
          <w:sz w:val="18"/>
          <w:szCs w:val="18"/>
          <w:color w:val="auto"/>
        </w:rPr>
        <w:t xml:space="preserve">”), Standard Chartered Bank and any other Lender that agrees to issue Letters of Credit hereunder as contemplated by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Wells Fargo Securities, LLC, Barclays and Deutsche Bank, each in its capacity as Joint Lead Arranger and Joint Bookrunner hereunder.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Australian Collateral Agent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each Issuing Bank, the commitment of such Issuing Bank to issue Letters of Credit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amount of each Issuing Bank’s LC Commitment, at any time, shall be (a) with respect to each Issuing Bank as of the Effective Date, its “LC Commitment”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(b) with respect to any other Issuing Bank after the Effective Date, an amount agreed to by such Issuing Bank, in the case of any Issuing Bank described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as such LC Commitment may be adjusted from time to time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with respect to any Lender at any time, such Lender’s Applicable Percentage (LCs) of the Total LC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LC Exposure, to the extent a portion of Total LC Exposure constitutes Total Revolving LC Exposure, such portion shall be subject to such Lender’s Applicable Percentage (LCs) specified in clause (b) of the definition thereof, and the balance of Total LC Exposure shall be subject to such Lender’s Applicable Percentage (LCs) specified in clause (a) of the definition thereof.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Period</w:t>
      </w:r>
      <w:r>
        <w:rPr>
          <w:rFonts w:ascii="Times New Roman" w:cs="Times New Roman" w:eastAsia="Times New Roman" w:hAnsi="Times New Roman"/>
          <w:sz w:val="18"/>
          <w:szCs w:val="18"/>
          <w:color w:val="auto"/>
        </w:rPr>
        <w:t>” means, initially, the Initial LC Fee Period, and subsequently, the applicable one calendar month period commencing on the first Business Day of the calendar month and ending on the last Business Day of such calendar month.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4.05(b)(i)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Fee Rate</w:t>
      </w:r>
      <w:r>
        <w:rPr>
          <w:rFonts w:ascii="Times New Roman" w:cs="Times New Roman" w:eastAsia="Times New Roman" w:hAnsi="Times New Roman"/>
          <w:sz w:val="18"/>
          <w:szCs w:val="18"/>
          <w:color w:val="auto"/>
        </w:rPr>
        <w:t xml:space="preserve">” means, for any LC Fee Period, the interest rate applicable to Loans (if applicable, for a one (1) month Interest Period) denominated in the same Currency as the applicable Letter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LC Participation Fee Rate is being calculated by reference to the Base Rate, the LC Participation Fee Rate shall mean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Priority Collateral</w:t>
      </w:r>
      <w:r>
        <w:rPr>
          <w:rFonts w:ascii="Times New Roman" w:cs="Times New Roman" w:eastAsia="Times New Roman" w:hAnsi="Times New Roman"/>
          <w:sz w:val="18"/>
          <w:szCs w:val="18"/>
          <w:color w:val="auto"/>
        </w:rPr>
        <w:t>” has the meaning specified for “LC Priority Collateral” or “LC/RCF Priority Collateral”, as applicable, in the Intercreditor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or bank guarantee issued pursuant to this Agreement (including the Existing Letters of Credit pursuant to </w:t>
      </w:r>
      <w:r>
        <w:rPr>
          <w:rFonts w:ascii="Times New Roman" w:cs="Times New Roman" w:eastAsia="Times New Roman" w:hAnsi="Times New Roman"/>
          <w:sz w:val="18"/>
          <w:szCs w:val="18"/>
          <w:u w:val="single" w:color="auto"/>
          <w:color w:val="auto"/>
        </w:rPr>
        <w:t>Section 3.01(n)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xml:space="preserve">” means a request by a Borrower for the issuance, amendment, renewal or extension, as the case may be, of a Letter of Credit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as of any date of determination and on a consolidated basis, the result of (a) the amount equal to (i)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Unrestricted Cash in excess of $400,000,000, to (b) Consolidated Adjusted EBITDA for the four Fiscal Quarter period ended as of such date.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any revolving loan made to a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and all such revolving loans collectively as the context requires.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Guaranty Agreements, the Letters of Credit (and applications therefor), the Collateral Documents, the Intercompany Subordination Agreement, the Security Trust Deed, the Agency and Liens Assignment Agreement,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Obligors</w:t>
      </w:r>
      <w:r>
        <w:rPr>
          <w:rFonts w:ascii="Times New Roman" w:cs="Times New Roman" w:eastAsia="Times New Roman" w:hAnsi="Times New Roman"/>
          <w:sz w:val="18"/>
          <w:szCs w:val="18"/>
          <w:color w:val="auto"/>
        </w:rPr>
        <w:t>” means any Obligor organized under the laws of the Grand Duchy of Luxembourg.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any Indebtedness of any one or more of Parent and its Restricted Subsidiaries in an aggregate principal amount exceeding $50,000,000.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real property located in the United States of America, Canada or the United Kingdom owned by any Obligor with a net book value in excess of $10,000,000 and that is not an Excluded Asset and each Effective Date Real Property.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Specified Subsidiary</w:t>
      </w:r>
      <w:r>
        <w:rPr>
          <w:rFonts w:ascii="Times New Roman" w:cs="Times New Roman" w:eastAsia="Times New Roman" w:hAnsi="Times New Roman"/>
          <w:sz w:val="18"/>
          <w:szCs w:val="18"/>
          <w:color w:val="auto"/>
        </w:rPr>
        <w:t xml:space="preserve">” means (a) any Restricted Subsidiary that, together with its own consolidated Restricted Subsidiaries, as of the last day of any Fiscal Quarter ended for which financial statements have been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w:t>
      </w:r>
    </w:p>
    <w:p>
      <w:pPr>
        <w:jc w:val="both"/>
        <w:ind w:firstLine="8"/>
        <w:spacing w:after="0" w:line="255" w:lineRule="auto"/>
        <w:tabs>
          <w:tab w:leader="none" w:pos="26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8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October 17,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WIL-Bermuda has not voluntarily Redeemed a necessary amount of its Exit Senior Notes prior to August 30, 2024 such that no more than $50,000,000 of its Exit Senior Notes remain outstanding on such date, then the Maturity Date shall be August 30, 2024 unless WIL-Bermuda has deposited such necessary amount in cash into a controlled account maintained with the Administrative Agent, in the name of the Administrative Agent and for the benefit of the Issuing Banks and the Lenders, on or before such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Mexico</w:t>
      </w:r>
      <w:r>
        <w:rPr>
          <w:rFonts w:ascii="Times New Roman" w:cs="Times New Roman" w:eastAsia="Times New Roman" w:hAnsi="Times New Roman"/>
          <w:sz w:val="18"/>
          <w:szCs w:val="18"/>
          <w:color w:val="auto"/>
        </w:rPr>
        <w:t>” means the United Mexican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Morgan Stanley</w:t>
      </w:r>
      <w:r>
        <w:rPr>
          <w:rFonts w:ascii="Times New Roman" w:cs="Times New Roman" w:eastAsia="Times New Roman" w:hAnsi="Times New Roman"/>
          <w:sz w:val="18"/>
          <w:szCs w:val="18"/>
          <w:color w:val="auto"/>
        </w:rPr>
        <w:t>” has the meaning specified in “Issuing Bank”.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xml:space="preserve">” means, collectively, (a) the instruments described on </w:t>
      </w:r>
      <w:r>
        <w:rPr>
          <w:rFonts w:ascii="Times New Roman" w:cs="Times New Roman" w:eastAsia="Times New Roman" w:hAnsi="Times New Roman"/>
          <w:sz w:val="18"/>
          <w:szCs w:val="18"/>
          <w:u w:val="single" w:color="auto"/>
          <w:color w:val="auto"/>
        </w:rPr>
        <w:t>Schedule 8.11</w:t>
      </w:r>
      <w:r>
        <w:rPr>
          <w:rFonts w:ascii="Times New Roman" w:cs="Times New Roman" w:eastAsia="Times New Roman" w:hAnsi="Times New Roman"/>
          <w:sz w:val="18"/>
          <w:szCs w:val="18"/>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assignment or supplement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covered by Title IV of ERISA which is a “multiemployer plan” (as such term is defined in Section 4001(a)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ERISA).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Weatherford Parent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“Redomestication”.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each Lender or each affected Lender in accordance with the terms of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and (ii) has been approved by the Required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a Borrower in favor of a Lender evidencing the Loans made by such Lender,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and any substitutes therefor, and any replacements, restatements, renewals or extension thereof, in whole or in part.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Priority Collateral</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in each case, whether now in existence or hereafter arising: (a) the principal of and interest on (including interest accruing after the filing of any bankruptcy or similar petition) the Loans; (b) all obligations with respect to Letters of Credit (including unreimbursed LC Disbursements); and (c) all other accrued and unpaid fees and all expenses, reimbursements, indemnities and other obligations and indebtedness (including interest and fees accruing during the pendency of any bankruptcy, insolvency, administration, examinership, rescue process,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Letters of Credit.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 Parties</w:t>
      </w:r>
      <w:r>
        <w:rPr>
          <w:rFonts w:ascii="Times New Roman" w:cs="Times New Roman" w:eastAsia="Times New Roman" w:hAnsi="Times New Roman"/>
          <w:sz w:val="18"/>
          <w:szCs w:val="18"/>
          <w:color w:val="auto"/>
        </w:rPr>
        <w:t>” means the Borrowers and Parent, and “</w:t>
      </w:r>
      <w:r>
        <w:rPr>
          <w:rFonts w:ascii="Times New Roman" w:cs="Times New Roman" w:eastAsia="Times New Roman" w:hAnsi="Times New Roman"/>
          <w:sz w:val="18"/>
          <w:szCs w:val="18"/>
          <w:u w:val="single" w:color="auto"/>
          <w:color w:val="auto"/>
        </w:rPr>
        <w:t>Obligor Party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Obligor Parties and any other Guarantors, and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Parallel Debt</w:t>
      </w:r>
      <w:r>
        <w:rPr>
          <w:rFonts w:ascii="Times New Roman" w:cs="Times New Roman" w:eastAsia="Times New Roman" w:hAnsi="Times New Roman"/>
          <w:sz w:val="18"/>
          <w:szCs w:val="18"/>
          <w:color w:val="auto"/>
        </w:rPr>
        <w:t>” means “Parallel Debt” (as defined in Section 13 in the Affiliate Guaranty).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means Weatherford International plc, an Irish public limited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Certificate</w:t>
      </w:r>
      <w:r>
        <w:rPr>
          <w:rFonts w:ascii="Times New Roman" w:cs="Times New Roman" w:eastAsia="Times New Roman" w:hAnsi="Times New Roman"/>
          <w:sz w:val="18"/>
          <w:szCs w:val="18"/>
          <w:color w:val="auto"/>
        </w:rPr>
        <w:t xml:space="preserve">” means a certificate executed by a Participant,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the Commitments have expired or been terminated and the Obligations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Standalone Performance LCs and Swap Obligations constituting Secured Obligations shall have been paid in full in cash (or alternative collateral arrangements have been made satisfactory to the parties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LC Commitment</w:t>
      </w:r>
      <w:r>
        <w:rPr>
          <w:rFonts w:ascii="Times New Roman" w:cs="Times New Roman" w:eastAsia="Times New Roman" w:hAnsi="Times New Roman"/>
          <w:sz w:val="18"/>
          <w:szCs w:val="18"/>
          <w:color w:val="auto"/>
        </w:rPr>
        <w:t xml:space="preserve">” means, with respect to each Lender, the commitment of such Lender to acquire participations in Performance Letters of Credit (other than Revolving Performance Letters of Credit) hereunder in an aggregate principal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“Performance LC Commitment”, as such amount may be (a) reduced from time to time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firstLine="8"/>
        <w:spacing w:after="0" w:line="260" w:lineRule="auto"/>
        <w:tabs>
          <w:tab w:leader="none" w:pos="2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from time to time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aggregate Performance LC Commitment of all the Lenders on the Effective Date shall be $280,000,000.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LCs</w:t>
      </w:r>
      <w:r>
        <w:rPr>
          <w:rFonts w:ascii="Times New Roman" w:cs="Times New Roman" w:eastAsia="Times New Roman" w:hAnsi="Times New Roman"/>
          <w:sz w:val="18"/>
          <w:szCs w:val="18"/>
          <w:color w:val="auto"/>
        </w:rPr>
        <w:t>” means bid, performance or other letters of credit or bank guarantees (in each case other than Financial Standby LCs).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Letters of Credit</w:t>
      </w:r>
      <w:r>
        <w:rPr>
          <w:rFonts w:ascii="Times New Roman" w:cs="Times New Roman" w:eastAsia="Times New Roman" w:hAnsi="Times New Roman"/>
          <w:sz w:val="18"/>
          <w:szCs w:val="18"/>
          <w:color w:val="auto"/>
        </w:rPr>
        <w:t xml:space="preserve">” means Letters of Credit constituting Performance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references herein to “Performance Letters of Credit” shall exclude Revolving Performance Letters of Credit unless otherwise specified herein or the context requires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(b) all actions required to be taken with respect to such acquired or newly formed Subsidiary under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(d) in the case of any Acquisition made by the Restricted Subsidiaries that are not Wholly-Owned Subsidiaries and Restricted Subsidiaries that are not Obligors (including Wholly-Owned Subsidiaries),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plus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below and (e) in the case of any Acquisition made by Obligors,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$600,000,000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18"/>
          <w:szCs w:val="18"/>
          <w:u w:val="single" w:color="auto"/>
          <w:color w:val="auto"/>
        </w:rPr>
        <w:t>clause (d)(ii)</w:t>
      </w:r>
      <w:r>
        <w:rPr>
          <w:rFonts w:ascii="Times New Roman" w:cs="Times New Roman" w:eastAsia="Times New Roman" w:hAnsi="Times New Roman"/>
          <w:sz w:val="18"/>
          <w:szCs w:val="18"/>
          <w:color w:val="auto"/>
        </w:rPr>
        <w:t xml:space="preserve"> above.</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Customer Notes Disposition</w:t>
      </w:r>
      <w:r>
        <w:rPr>
          <w:rFonts w:ascii="Times New Roman" w:cs="Times New Roman" w:eastAsia="Times New Roman" w:hAnsi="Times New Roman"/>
          <w:sz w:val="18"/>
          <w:szCs w:val="18"/>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ESG Investments</w:t>
      </w:r>
      <w:r>
        <w:rPr>
          <w:rFonts w:ascii="Times New Roman" w:cs="Times New Roman" w:eastAsia="Times New Roman" w:hAnsi="Times New Roman"/>
          <w:sz w:val="18"/>
          <w:szCs w:val="18"/>
          <w:color w:val="auto"/>
        </w:rPr>
        <w:t>” means businesses, operations, equipment or activities reasonably relating to (a) energy transition (including CO2, ammonia and hydrogen), renewable energy (including wind, solar and geothermal), (b) the generating, marketing and storing of electricity, detection, quantification, remediation and sequestration of green-house gas emissions or (c) novel techniques to aid in the production of rare earth minerals.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Existing Indebtedness</w:t>
      </w:r>
      <w:r>
        <w:rPr>
          <w:rFonts w:ascii="Times New Roman" w:cs="Times New Roman" w:eastAsia="Times New Roman" w:hAnsi="Times New Roman"/>
          <w:sz w:val="18"/>
          <w:szCs w:val="18"/>
          <w:color w:val="auto"/>
        </w:rPr>
        <w:t xml:space="preserve">” means the Indebtedness of Parent and its Restricted Subsidiaries existing as of the Effective Date and identified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Customers</w:t>
      </w:r>
      <w:r>
        <w:rPr>
          <w:rFonts w:ascii="Times New Roman" w:cs="Times New Roman" w:eastAsia="Times New Roman" w:hAnsi="Times New Roman"/>
          <w:sz w:val="18"/>
          <w:szCs w:val="18"/>
          <w:color w:val="auto"/>
        </w:rPr>
        <w:t>” means the Persons identified to the Administrative Agent in writing on or prior to the Effective Date, as such Persons may be updated from time to time by Parent with the approval of the Administrative Agent, such approval not to be unreasonably withheld, conditioned or delayed.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 Documents</w:t>
      </w:r>
      <w:r>
        <w:rPr>
          <w:rFonts w:ascii="Times New Roman" w:cs="Times New Roman" w:eastAsia="Times New Roman" w:hAnsi="Times New Roman"/>
          <w:sz w:val="18"/>
          <w:szCs w:val="18"/>
          <w:color w:val="auto"/>
        </w:rPr>
        <w:t>” means each of the documents and agreements entered into in connection with any Permitted Factoring Transaction.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Transactions</w:t>
      </w:r>
      <w:r>
        <w:rPr>
          <w:rFonts w:ascii="Times New Roman" w:cs="Times New Roman" w:eastAsia="Times New Roman" w:hAnsi="Times New Roman"/>
          <w:sz w:val="18"/>
          <w:szCs w:val="18"/>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face amount of all receivables sold or transferred pursuant to Permitted Factoring Transactions shall not exceed $100,000,000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Capital Research Management Company and its affiliates, on behalf of certain managed funds and accounts, and Franklin Advisers, Inc., as investment manager on behalf of certain funds and accounts.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Specified Transactions</w:t>
      </w:r>
      <w:r>
        <w:rPr>
          <w:rFonts w:ascii="Times New Roman" w:cs="Times New Roman" w:eastAsia="Times New Roman" w:hAnsi="Times New Roman"/>
          <w:sz w:val="18"/>
          <w:szCs w:val="18"/>
          <w:color w:val="auto"/>
        </w:rPr>
        <w:t>” 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Treasury Management Transactions</w:t>
      </w:r>
      <w:r>
        <w:rPr>
          <w:rFonts w:ascii="Times New Roman" w:cs="Times New Roman" w:eastAsia="Times New Roman" w:hAnsi="Times New Roman"/>
          <w:sz w:val="18"/>
          <w:szCs w:val="18"/>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without duplication: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Liens for Taxes or unpaid utilities (i) not yet delinquent or which can thereafter be paid without penalty, (ii) which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Taxes referenced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pledges or deposits made in compliance with, or deemed trusts arising in connection with, workers’ compensation, unemployment insurance, old age benefits, pension, employment or other social security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rights under retention of title arrangements in favor of suppliers incurred in the ordinary course of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Liens on fixed or capital assets acquired, constructed or improved by Parent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w:t>
      </w:r>
      <w:r>
        <w:rPr>
          <w:rFonts w:ascii="Times New Roman" w:cs="Times New Roman" w:eastAsia="Times New Roman" w:hAnsi="Times New Roman"/>
          <w:sz w:val="18"/>
          <w:szCs w:val="18"/>
          <w:u w:val="single" w:color="auto"/>
          <w:color w:val="auto"/>
        </w:rPr>
        <w:t>Section 9.01(k)</w:t>
      </w:r>
      <w:r>
        <w:rPr>
          <w:rFonts w:ascii="Times New Roman" w:cs="Times New Roman" w:eastAsia="Times New Roman" w:hAnsi="Times New Roman"/>
          <w:sz w:val="18"/>
          <w:szCs w:val="18"/>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Liens incurred under this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leases or subleases granted to others not interfering in any material respect with the business of Parent or any of its Restricted Subsidiaries;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(k)            Liens to secure obligations arising from statutory or regulatory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Times New Roman" w:cs="Times New Roman" w:eastAsia="Times New Roman" w:hAnsi="Times New Roman"/>
          <w:sz w:val="18"/>
          <w:szCs w:val="18"/>
          <w:i w:val="1"/>
          <w:iCs w:val="1"/>
          <w:color w:val="auto"/>
        </w:rPr>
        <w:t>Allgemeine Geschäftsbedingungen der Banken oder Sparkassen</w:t>
      </w:r>
      <w:r>
        <w:rPr>
          <w:rFonts w:ascii="Times New Roman" w:cs="Times New Roman" w:eastAsia="Times New Roman" w:hAnsi="Times New Roman"/>
          <w:sz w:val="18"/>
          <w:szCs w:val="18"/>
          <w:color w:val="auto"/>
        </w:rPr>
        <w:t>) with whom any Obligor maintains a banking relationship in the ordinary course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firstLine="8"/>
        <w:spacing w:after="0" w:line="260" w:lineRule="auto"/>
        <w:tabs>
          <w:tab w:leader="none" w:pos="28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does not extend to any additional assets (other than improvements and accessions to, and replacements of, the assets originally subject to such Lien); and</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            any Lien created or subsisting to secure any obligations incurred in order to comply with the requirements of section 8a of the German Part-Time Retirement Act (</w:t>
      </w:r>
      <w:r>
        <w:rPr>
          <w:rFonts w:ascii="Times New Roman" w:cs="Times New Roman" w:eastAsia="Times New Roman" w:hAnsi="Times New Roman"/>
          <w:sz w:val="18"/>
          <w:szCs w:val="18"/>
          <w:i w:val="1"/>
          <w:iCs w:val="1"/>
          <w:color w:val="auto"/>
        </w:rPr>
        <w:t>Altersteilzeitgesetz</w:t>
      </w:r>
      <w:r>
        <w:rPr>
          <w:rFonts w:ascii="Times New Roman" w:cs="Times New Roman" w:eastAsia="Times New Roman" w:hAnsi="Times New Roman"/>
          <w:sz w:val="18"/>
          <w:szCs w:val="18"/>
          <w:color w:val="auto"/>
        </w:rPr>
        <w:t>) and/or section 7e of the Fourth Book of the German Social Security Code (</w:t>
      </w:r>
      <w:r>
        <w:rPr>
          <w:rFonts w:ascii="Times New Roman" w:cs="Times New Roman" w:eastAsia="Times New Roman" w:hAnsi="Times New Roman"/>
          <w:sz w:val="18"/>
          <w:szCs w:val="18"/>
          <w:i w:val="1"/>
          <w:iCs w:val="1"/>
          <w:color w:val="auto"/>
        </w:rPr>
        <w:t>Sozialgesetzbuch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Indebtedness (for purposes of this definition, “</w:t>
      </w:r>
      <w:r>
        <w:rPr>
          <w:rFonts w:ascii="Times New Roman" w:cs="Times New Roman" w:eastAsia="Times New Roman" w:hAnsi="Times New Roman"/>
          <w:sz w:val="18"/>
          <w:szCs w:val="18"/>
          <w:u w:val="single" w:color="auto"/>
          <w:color w:val="auto"/>
        </w:rPr>
        <w:t>New Indebtedness</w:t>
      </w:r>
      <w:r>
        <w:rPr>
          <w:rFonts w:ascii="Times New Roman" w:cs="Times New Roman" w:eastAsia="Times New Roman" w:hAnsi="Times New Roman"/>
          <w:sz w:val="18"/>
          <w:szCs w:val="18"/>
          <w:color w:val="auto"/>
        </w:rPr>
        <w:t>”) incurred in exchange for, or the proceeds of which are used to extend, refinance, replace, defease, discharge, refund or otherwise retire for value any other Indebtedness (for purposes of this definition, the “</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Refinanced Indebtedness is of the type described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w:t>
      </w:r>
    </w:p>
    <w:p>
      <w:pPr>
        <w:jc w:val="both"/>
        <w:ind w:firstLine="8"/>
        <w:spacing w:after="0" w:line="255"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Agreements</w:t>
      </w:r>
      <w:r>
        <w:rPr>
          <w:rFonts w:ascii="Times New Roman" w:cs="Times New Roman" w:eastAsia="Times New Roman" w:hAnsi="Times New Roman"/>
          <w:sz w:val="18"/>
          <w:szCs w:val="18"/>
          <w:color w:val="auto"/>
        </w:rPr>
        <w:t>” means, collectively, any pledge agreement, charge, debenture, equitable mortgage over shares, equity interests, other assets or other similar agreement or instrument in form and substance satisfactory to the Administrative Agent in favor of the Administrative Agent or any agent or sub-agent of the Administrative Agent for the benefit of itself (or any agent or sub-agent of the Administrative Agent) and the other Secured Parties, in any such case, pursuant to which any Person grants Liens on any Capital Stock or other assets owned by such Person to secure the Secured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Subsidiary</w:t>
      </w:r>
      <w:r>
        <w:rPr>
          <w:rFonts w:ascii="Times New Roman" w:cs="Times New Roman" w:eastAsia="Times New Roman" w:hAnsi="Times New Roman"/>
          <w:sz w:val="18"/>
          <w:szCs w:val="18"/>
          <w:color w:val="auto"/>
        </w:rPr>
        <w:t>” means a direct Subsidiary of an Obligor that is organized in a Specified Jurisdiction and is not itself an Obligor.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 of Australia.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Preapproved Specific Additional Lender</w:t>
      </w:r>
      <w:r>
        <w:rPr>
          <w:rFonts w:ascii="Times New Roman" w:cs="Times New Roman" w:eastAsia="Times New Roman" w:hAnsi="Times New Roman"/>
          <w:sz w:val="18"/>
          <w:szCs w:val="18"/>
          <w:color w:val="auto"/>
        </w:rPr>
        <w:t>” means the Person identified in writing as a “Specific Additional Lender” by the Borrowers and disclosed in writing to the Issuing Banks on October 13,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Financial Officer</w:t>
      </w:r>
      <w:r>
        <w:rPr>
          <w:rFonts w:ascii="Times New Roman" w:cs="Times New Roman" w:eastAsia="Times New Roman" w:hAnsi="Times New Roman"/>
          <w:sz w:val="18"/>
          <w:szCs w:val="18"/>
          <w:color w:val="auto"/>
        </w:rPr>
        <w:t>” means, with respect to any Obligor, any director, any manager, the chief financial officer, the treasurer, the assistant treasurer or the principal accounting officer of such Obligor.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and refers to any Capital Stock issued by Parent (and not by one or more of its Subsidiaries) that is not a Disqualified Capital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market practice is not administratively feasible for the Administrative Agent, such other day as otherwise reasonably determined by the Administrative Agent).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Deliverables</w:t>
      </w:r>
      <w:r>
        <w:rPr>
          <w:rFonts w:ascii="Times New Roman" w:cs="Times New Roman" w:eastAsia="Times New Roman" w:hAnsi="Times New Roman"/>
          <w:sz w:val="18"/>
          <w:szCs w:val="18"/>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Related Security</w:t>
      </w:r>
      <w:r>
        <w:rPr>
          <w:rFonts w:ascii="Times New Roman" w:cs="Times New Roman" w:eastAsia="Times New Roman" w:hAnsi="Times New Roman"/>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means, with respect to any Indebtedness, the redemption, purchase, defeasance, prepayment or other acquisition or retirement for value of such Indebtedness. The term “</w:t>
      </w:r>
      <w:r>
        <w:rPr>
          <w:rFonts w:ascii="Times New Roman" w:cs="Times New Roman" w:eastAsia="Times New Roman" w:hAnsi="Times New Roman"/>
          <w:sz w:val="18"/>
          <w:szCs w:val="18"/>
          <w:u w:val="single" w:color="auto"/>
          <w:color w:val="auto"/>
        </w:rPr>
        <w:t>Redeem</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Redomestication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formation of a Person that becomes, as part of the transaction or series of related transactions, the direct or indirect owner of 100% of the voting shares of the Weatherford Parent Company (the “</w:t>
      </w:r>
      <w:r>
        <w:rPr>
          <w:rFonts w:ascii="Times New Roman" w:cs="Times New Roman" w:eastAsia="Times New Roman" w:hAnsi="Times New Roman"/>
          <w:sz w:val="18"/>
          <w:szCs w:val="18"/>
          <w:u w:val="single" w:color="auto"/>
          <w:color w:val="auto"/>
        </w:rPr>
        <w:t>New Weatherford Parent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as a result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            in the case of any action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(y)            in the case of any action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entity that constituted the Weatherford Parent Company immediately prior thereto (but disregarding for this purpose any change in its jurisdiction of organization);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(z)            in the case of any action specified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the New Weatherford Parent,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any such case,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Change of Control result from any of the actions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and (II) the Surviving Person shall have delivered to the Administrative Agent: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spacing w:after="0"/>
        <w:rPr>
          <w:sz w:val="20"/>
          <w:szCs w:val="20"/>
          <w:color w:val="auto"/>
        </w:rPr>
      </w:pPr>
      <w:r>
        <w:rPr>
          <w:rFonts w:ascii="Times New Roman" w:cs="Times New Roman" w:eastAsia="Times New Roman" w:hAnsi="Times New Roman"/>
          <w:sz w:val="18"/>
          <w:szCs w:val="18"/>
          <w:color w:val="auto"/>
        </w:rPr>
        <w:t>(i)             a certificate to the effect that, both before and after giving effect to such transaction, no Default or Event of Default exists;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(ii)            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(iii)           if applicable, the documents required by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(respecting reserve requirements),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(respecting margin credit extended by banks),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(respecting borrowers who obtain margin credit),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denominated in, or calculated with respect to, Dollars, the Board or the Federal Reserve Bank of New York, or a 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fifty percent (50%) of the Total Credit Exposure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Credit Exposure of any Defaulting Lender shall be excluded for purposes of making a determination of Required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w:t>
      </w:r>
    </w:p>
    <w:p>
      <w:pPr>
        <w:spacing w:after="0" w:line="1" w:lineRule="exact"/>
        <w:rPr>
          <w:sz w:val="20"/>
          <w:szCs w:val="20"/>
          <w:color w:val="auto"/>
        </w:rPr>
      </w:pPr>
    </w:p>
    <w:p>
      <w:pPr>
        <w:ind w:firstLine="8"/>
        <w:spacing w:after="0" w:line="260" w:lineRule="auto"/>
        <w:tabs>
          <w:tab w:leader="none" w:pos="2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Redemption of any Indebtedness prior to the stated maturity thereof or (d) any payment in violation of any subordination terms of any Indebtedness.</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Parent that is not an Unrestricted Subsidiary. For the avoidance of doubt, each Borrower and each Guarantor (other than Parent) shall be a Restricted Subsidiary.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Agreement</w:t>
      </w:r>
      <w:r>
        <w:rPr>
          <w:rFonts w:ascii="Times New Roman" w:cs="Times New Roman" w:eastAsia="Times New Roman" w:hAnsi="Times New Roman"/>
          <w:sz w:val="18"/>
          <w:szCs w:val="18"/>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Secured Parties to secure any of the Secured Obligations or (b) in favor of the Senior Secured Notes Trustee and the Senior Secured Notes Secured Parties to secure any of the Senior Secured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Retranching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denominated in an Alternative Currency, each of the following: (i) the date of the borrowing of such Loan (including any borrowing or deemed borrowing that results from the payment by the applicable Issuing Bank under any Letter of Credit denominated in an Alternative Currency) but only as to the amounts so borrowed on such date, (ii) each date of a continuation of such Loan pursuant to the terms of this Agreement, but only as to the amounts so continued on such date, and (iii) such additional dates as the Administrative Agent shall determine or the Required Lenders shall require; and (b) with respect to any Letter of Credit denominated in an Alternative Currency, each of the following: (i) each date of issuance of such Letter of Credit, but only as to the Letter of Credit so issued on such date, (ii) each date such Letter of Credit is amended to increase the face amount of such Letter of Credit but only as to the amount of such increase, (iii) in the case of all Existing Letters of Credit denominated in Alternative Currencies, the Effective Date, but only as to such Existing Letters of Credit and (iv) such additional dates as the Administrative Agent or the applicable Issuing Bank (with notice thereof to the Administrative Agent) shall determine or the Required Lenders shall require.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with respect to each Lender, the commitment of such Lender to make Loans and acquire participations in Financial Standby Letters of Credit and/or Revolving Performance Letters of Credit hereunder in an aggregate principal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“Revolving Credit Commitment”, as such amount may be (a) reduced from time to time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firstLine="8"/>
        <w:spacing w:after="0" w:line="260" w:lineRule="auto"/>
        <w:tabs>
          <w:tab w:leader="none" w:pos="25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from time to time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aggregate Revolving Credit Commitment of all the Lenders on the Effective Date shall be $90,000,000.</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Dollar Equivalent of the aggregate principal amount at such time of its outstanding Loans and such Lender’s Revolving LC Exposure.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Outstandings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(a) with respect to Loans on any date, the Dollar Equivalent of the aggregate outstanding principal amount thereof after giving effect to any borrowings and prepayments or repayments of Loans occurring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 respect to the Revolving LC Exposures on any date, the Dollar Equivalent of the aggregate outstanding amount thereof on such date after giving effect to any Extensions of Credit occurring on such date and any other changes in the aggregate amount of such Revolving LC Exposures as of such date, including as a result of any reimbursements of outstanding unpaid drawings under any Letters of Credit or any reductions in the maximum amount available for drawing under Letters of Credit taking effect on such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Exposure</w:t>
      </w:r>
      <w:r>
        <w:rPr>
          <w:rFonts w:ascii="Times New Roman" w:cs="Times New Roman" w:eastAsia="Times New Roman" w:hAnsi="Times New Roman"/>
          <w:sz w:val="18"/>
          <w:szCs w:val="18"/>
          <w:color w:val="auto"/>
        </w:rPr>
        <w:t>” means, at any time, with respect to any Lender, such Lender’s LC Exposure in respect of Revolving Performance Letters of Credit and Financial Standby Letters of Credit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Performance Letters of Credit</w:t>
      </w:r>
      <w:r>
        <w:rPr>
          <w:rFonts w:ascii="Times New Roman" w:cs="Times New Roman" w:eastAsia="Times New Roman" w:hAnsi="Times New Roman"/>
          <w:sz w:val="18"/>
          <w:szCs w:val="18"/>
          <w:color w:val="auto"/>
        </w:rPr>
        <w:t xml:space="preserve">” means Performance Letters of Credit designated as “Revolving Performance Letters of Credit”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and any Performance Letters of Credit retranched under the Revolving Credit Commitments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from time to time.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interest, fees, commissions or other amounts denominated in, or calculated with respect to, (a) Dollars, Term SOFR, (b) Sterling, SONIA and (c) Swiss Francs, SARON.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w:t>
      </w:r>
    </w:p>
    <w:p>
      <w:pPr>
        <w:spacing w:after="0" w:line="27" w:lineRule="exact"/>
        <w:rPr>
          <w:sz w:val="20"/>
          <w:szCs w:val="20"/>
          <w:color w:val="auto"/>
        </w:rPr>
      </w:pPr>
    </w:p>
    <w:p>
      <w:pPr>
        <w:jc w:val="both"/>
        <w:ind w:firstLine="8"/>
        <w:spacing w:after="0" w:line="253" w:lineRule="auto"/>
        <w:tabs>
          <w:tab w:leader="none" w:pos="2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Swiss Francs, any day except for (i) a Saturday, (ii) a Sunday or (iii) a day on which banks are closed for the settlement of payments and foreign exchange transactions in Zurich;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in each case, such day is also a Business Day.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Daily Simple RFR Loan or a Term SOFR Loan,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has the meaning assigned thereto in the definition of “Daily Simple RFR”.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or any successor to the ratings agency business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(including, as of the Effective Date, Cuba, Iran, North Korea, Syria, and the Crimea Region of Ukraine, the so-called Donetsk People’s Republic, and the so-called Luhansk People’s Republic regions of Ukraine).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His Majesty’s Treasury of the United Kingdom, the Canadian government (or any agency thereof) or the Australian Department of Foreign Affairs and Trade, (b) any Person operating, organized or resident in a Sanctioned Country, (c) any Person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 (d) any Person otherwise the subject or target of Sanctions.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any European Union member state, the Hong Kong Monetary Authority, the Australian Commonwealth Government or any governmental authority of Canada under the Special Economics Measures Act (Canada) or other applicable Canadian legislation.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a rate equal to the Swiss Average Rate Overnight as administered by the SARON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SIX Index AG (or any successor administrator of the Swiss Average Rate Overnight).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Group’s website, currently at https://www.six-group.com, or any successor source for the Swiss Average Rate Overnight identified as such by the SARON Administrator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governmental authority succeeding to the functions of said Commission.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 all Obligations, (b) all Swap Obligations and Banking Services Obligations owing to one or more Lenders or their respective Affiliates and (c) all obligations in respect of Standalone Performance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holders of the Secured Obligations from time to time and shall include (a) each Lender in respect of its Loans and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each applicable issuer in respect of a Standalone Performance LC, (e) the Administrative Agent (or any agent or sub-agent of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(f) each Indemnitee in respect of the obligations and liabilities of the Borrowers to such Person hereunder and under the other Loan Documents constituting Secured Obligations, and (g) their respective successors and (in the case of a Lender, permitted) transferees and assigns.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xml:space="preserve">” means, collectively, (a) the agreements and other instruments described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 (b) the U.S. Security Agreement and the Canadian Security Agreement and (c) any other security agreement, debenture, mortgage, pledge, charge or other similar agreement in form and substance satisfactory to the Administrative Agent in favor of the Administrative Agent or the Foreign Collateral Agent, as applicable, acting in its respective capacity as set out in the relevant security agreements for the benefit of itself and the other Secured Parties, in any such case, pursuant to which any Obligor grants Liens on the property of such Obligor to secure the Secured Obligations.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Trust Deed</w:t>
      </w:r>
      <w:r>
        <w:rPr>
          <w:rFonts w:ascii="Times New Roman" w:cs="Times New Roman" w:eastAsia="Times New Roman" w:hAnsi="Times New Roman"/>
          <w:sz w:val="18"/>
          <w:szCs w:val="18"/>
          <w:color w:val="auto"/>
        </w:rPr>
        <w:t>” means that certain Security Trust Deed, dated as of 28 August, 2020, among the Borrowers, the Administrative Agent, the Lenders and the LC Australian Collateral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8.625% Senior Notes due 2030 issued by WIL-Bermuda on October 27, 2021 pursuant to the Senior Notes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means that certain Indenture, dated as of October 27, 2021,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means the 6.500% Senior Secured First Lien Notes due 2028 issued by WIL-Bermuda on September 30, 2021 pursuant to the Senior Secured Notes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Indenture</w:t>
      </w:r>
      <w:r>
        <w:rPr>
          <w:rFonts w:ascii="Times New Roman" w:cs="Times New Roman" w:eastAsia="Times New Roman" w:hAnsi="Times New Roman"/>
          <w:sz w:val="18"/>
          <w:szCs w:val="18"/>
          <w:color w:val="auto"/>
        </w:rPr>
        <w:t>” means that certain Indenture, dated as of September 30, 2021,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Secured Parties</w:t>
      </w:r>
      <w:r>
        <w:rPr>
          <w:rFonts w:ascii="Times New Roman" w:cs="Times New Roman" w:eastAsia="Times New Roman" w:hAnsi="Times New Roman"/>
          <w:sz w:val="18"/>
          <w:szCs w:val="18"/>
          <w:color w:val="auto"/>
        </w:rPr>
        <w:t>” means the First Lien Notes Secured Parties (as defined in the Senior Secured Notes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Trustee</w:t>
      </w:r>
      <w:r>
        <w:rPr>
          <w:rFonts w:ascii="Times New Roman" w:cs="Times New Roman" w:eastAsia="Times New Roman" w:hAnsi="Times New Roman"/>
          <w:sz w:val="18"/>
          <w:szCs w:val="18"/>
          <w:color w:val="auto"/>
        </w:rPr>
        <w:t>” means Wilmington Trust, National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Effective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Additional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Lender 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Incremental Commitment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Incremental 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Notice Currency</w:t>
      </w:r>
      <w:r>
        <w:rPr>
          <w:rFonts w:ascii="Times New Roman" w:cs="Times New Roman" w:eastAsia="Times New Roman" w:hAnsi="Times New Roman"/>
          <w:sz w:val="18"/>
          <w:szCs w:val="18"/>
          <w:color w:val="auto"/>
        </w:rPr>
        <w:t>” means, at any time, an Alternative Currency other than the currency of a country that is a member of the Organization for Economic Cooperation and Development at such time located in North America.</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means any Disposition of property pursuant to certain potential transactions disclosed to the Administrative Agent prior to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Investment</w:t>
      </w:r>
      <w:r>
        <w:rPr>
          <w:rFonts w:ascii="Times New Roman" w:cs="Times New Roman" w:eastAsia="Times New Roman" w:hAnsi="Times New Roman"/>
          <w:sz w:val="18"/>
          <w:szCs w:val="18"/>
          <w:color w:val="auto"/>
        </w:rPr>
        <w:t>” has the meaning assigned thereto in the annex titled “Certain Defined Terms” dated September 28, 2022 and provided separately to the Administrative Agent and each Lender prior to the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Eligible Deposit Account</w:t>
      </w:r>
      <w:r>
        <w:rPr>
          <w:rFonts w:ascii="Times New Roman" w:cs="Times New Roman" w:eastAsia="Times New Roman" w:hAnsi="Times New Roman"/>
          <w:sz w:val="18"/>
          <w:szCs w:val="18"/>
          <w:color w:val="auto"/>
        </w:rPr>
        <w:t xml:space="preserve">” means, with respect to any Obligor, such Obligor’s deposit accounts located in an Eligible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any Event of Default described in any of </w:t>
      </w:r>
      <w:r>
        <w:rPr>
          <w:rFonts w:ascii="Times New Roman" w:cs="Times New Roman" w:eastAsia="Times New Roman" w:hAnsi="Times New Roman"/>
          <w:sz w:val="18"/>
          <w:szCs w:val="18"/>
          <w:u w:val="single" w:color="auto"/>
          <w:color w:val="auto"/>
        </w:rPr>
        <w:t>Sections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10.01(c)</w:t>
      </w:r>
      <w:r>
        <w:rPr>
          <w:rFonts w:ascii="Times New Roman" w:cs="Times New Roman" w:eastAsia="Times New Roman" w:hAnsi="Times New Roman"/>
          <w:sz w:val="18"/>
          <w:szCs w:val="18"/>
          <w:color w:val="auto"/>
        </w:rPr>
        <w:t xml:space="preserve"> (but only with respect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Ineligible Deposit Account</w:t>
      </w:r>
      <w:r>
        <w:rPr>
          <w:rFonts w:ascii="Times New Roman" w:cs="Times New Roman" w:eastAsia="Times New Roman" w:hAnsi="Times New Roman"/>
          <w:sz w:val="18"/>
          <w:szCs w:val="18"/>
          <w:color w:val="auto"/>
        </w:rPr>
        <w:t>” means, with respect to any Obligor, any such Obligor’s deposit accounts located in an Ineligible Jurisdiction.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Jurisdiction</w:t>
      </w:r>
      <w:r>
        <w:rPr>
          <w:rFonts w:ascii="Times New Roman" w:cs="Times New Roman" w:eastAsia="Times New Roman" w:hAnsi="Times New Roman"/>
          <w:sz w:val="18"/>
          <w:szCs w:val="18"/>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and (b) any “Specified Jurisdiction” (or the equivalent) under the Senior Secured Notes Indenture. In no event shall any Excluded Jurisdiction be or become a Specified Jurisdiction.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Senior Indebtedness</w:t>
      </w:r>
      <w:r>
        <w:rPr>
          <w:rFonts w:ascii="Times New Roman" w:cs="Times New Roman" w:eastAsia="Times New Roman" w:hAnsi="Times New Roman"/>
          <w:sz w:val="18"/>
          <w:szCs w:val="18"/>
          <w:color w:val="auto"/>
        </w:rPr>
        <w:t xml:space="preserve">” means all Funded Indebtedness (which for purposes of </w:t>
      </w:r>
      <w:r>
        <w:rPr>
          <w:rFonts w:ascii="Times New Roman" w:cs="Times New Roman" w:eastAsia="Times New Roman" w:hAnsi="Times New Roman"/>
          <w:sz w:val="18"/>
          <w:szCs w:val="18"/>
          <w:u w:val="single" w:color="auto"/>
          <w:color w:val="auto"/>
        </w:rPr>
        <w:t>Section 9.01(j)</w:t>
      </w:r>
      <w:r>
        <w:rPr>
          <w:rFonts w:ascii="Times New Roman" w:cs="Times New Roman" w:eastAsia="Times New Roman" w:hAnsi="Times New Roman"/>
          <w:sz w:val="18"/>
          <w:szCs w:val="18"/>
          <w:color w:val="auto"/>
        </w:rPr>
        <w:t xml:space="preserve"> only, shall also include Indebtedness of any type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“Indebtedness”) of the Obligors.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State</w:t>
      </w:r>
      <w:r>
        <w:rPr>
          <w:rFonts w:ascii="Times New Roman" w:cs="Times New Roman" w:eastAsia="Times New Roman" w:hAnsi="Times New Roman"/>
          <w:sz w:val="18"/>
          <w:szCs w:val="18"/>
          <w:color w:val="auto"/>
        </w:rPr>
        <w:t>” means each jurisdiction of organization of the Restricted Subsidiaries, other than any Excluded Jurisdiction.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for a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as reflected in the Administrative Agent’s loan accounting system of record on or about the date of determination. Notwithstanding the foregoing provisions of this definition or the definition of “Dollar Equivalent”, each Issuing Bank may, solely for purposes of computing the fronting fee owed to such Issuing Bank and paid directly pursuant to </w:t>
      </w:r>
      <w:r>
        <w:rPr>
          <w:rFonts w:ascii="Times New Roman" w:cs="Times New Roman" w:eastAsia="Times New Roman" w:hAnsi="Times New Roman"/>
          <w:sz w:val="18"/>
          <w:szCs w:val="18"/>
          <w:u w:val="single" w:color="auto"/>
          <w:color w:val="auto"/>
        </w:rPr>
        <w:t>Section 4.05(b)(ii)</w:t>
      </w:r>
      <w:r>
        <w:rPr>
          <w:rFonts w:ascii="Times New Roman" w:cs="Times New Roman" w:eastAsia="Times New Roman" w:hAnsi="Times New Roman"/>
          <w:sz w:val="18"/>
          <w:szCs w:val="18"/>
          <w:color w:val="auto"/>
        </w:rPr>
        <w:t>, compute the Dollar Equivalent of the maximum amount of each applicable Letter of Credit issued by such Issuing Bank by reference to exchange rates determined using any reasonable method customarily employed by such Issuing Bank for such purpose.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Performance LCs</w:t>
      </w:r>
      <w:r>
        <w:rPr>
          <w:rFonts w:ascii="Times New Roman" w:cs="Times New Roman" w:eastAsia="Times New Roman" w:hAnsi="Times New Roman"/>
          <w:sz w:val="18"/>
          <w:szCs w:val="18"/>
          <w:color w:val="auto"/>
        </w:rPr>
        <w:t xml:space="preserve">” means any Performance LC issued on a bilateral basis by a Lender, an Affiliate of a Lender or any other Person for the benefit of any Obligor or Subsidiary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notice designating such issuer as an issuer of one or more Standalone Performance LCs shall be delivered to the Administrative Agent in a Compliance Certificate required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without limiting the requirement described in the immediately preceding proviso, such written notice of designation may be delivered to the Administrative Agent prior to the date a Complaince Certificate is required to be delivered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notice shall be required with respect to Wells Fargo or any Affiliate thereof that is an issuer of one or more Performance LCs).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Cash Collateralization Date</w:t>
      </w:r>
      <w:r>
        <w:rPr>
          <w:rFonts w:ascii="Times New Roman" w:cs="Times New Roman" w:eastAsia="Times New Roman" w:hAnsi="Times New Roman"/>
          <w:sz w:val="18"/>
          <w:szCs w:val="18"/>
          <w:color w:val="auto"/>
        </w:rPr>
        <w:t>” means the date that is 90 days before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that is Subordinated.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Chain Transactions</w:t>
      </w:r>
      <w:r>
        <w:rPr>
          <w:rFonts w:ascii="Times New Roman" w:cs="Times New Roman" w:eastAsia="Times New Roman" w:hAnsi="Times New Roman"/>
          <w:sz w:val="18"/>
          <w:szCs w:val="18"/>
          <w:color w:val="auto"/>
        </w:rPr>
        <w:t>” has the meaning assigned thereto in the annex titled “Certain Defined Terms” dated September 28, 2022 and provided separately to the Administrative Agent and each Lender prior to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has the meaning specified in the definition of “Redomestication”.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Obligor,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Borrower</w:t>
      </w:r>
      <w:r>
        <w:rPr>
          <w:rFonts w:ascii="Times New Roman" w:cs="Times New Roman" w:eastAsia="Times New Roman" w:hAnsi="Times New Roman"/>
          <w:sz w:val="18"/>
          <w:szCs w:val="18"/>
          <w:color w:val="auto"/>
        </w:rPr>
        <w:t>” means any Borrower organized under the laws of Switzerland or, if different, deemed resident in Switzerland for Swiss Withholding Tax purposes.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Federal Tax Administration</w:t>
      </w:r>
      <w:r>
        <w:rPr>
          <w:rFonts w:ascii="Times New Roman" w:cs="Times New Roman" w:eastAsia="Times New Roman" w:hAnsi="Times New Roman"/>
          <w:sz w:val="18"/>
          <w:szCs w:val="18"/>
          <w:color w:val="auto"/>
        </w:rPr>
        <w:t>” means the tax authorities referred to in article 34 of the Swiss Federal Act on Withholding Tax (</w:t>
      </w:r>
      <w:r>
        <w:rPr>
          <w:rFonts w:ascii="Times New Roman" w:cs="Times New Roman" w:eastAsia="Times New Roman" w:hAnsi="Times New Roman"/>
          <w:sz w:val="18"/>
          <w:szCs w:val="18"/>
          <w:i w:val="1"/>
          <w:iCs w:val="1"/>
          <w:color w:val="auto"/>
        </w:rPr>
        <w:t>Bundesgesetz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über die Verrechnungssteuer vom 13. Oktober </w:t>
      </w:r>
      <w:r>
        <w:rPr>
          <w:rFonts w:ascii="Times New Roman" w:cs="Times New Roman" w:eastAsia="Times New Roman" w:hAnsi="Times New Roman"/>
          <w:sz w:val="18"/>
          <w:szCs w:val="18"/>
          <w:color w:val="auto"/>
        </w:rPr>
        <w:t>1965, SR 642.21).</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CHF</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means any Guarantor incorporated in Switzerland and/or having its registered office in Switzerland and/or qualifying as a Swiss resident pursuant to art 9 of the Swiss Withholding Tax Act.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Guidelines</w:t>
      </w:r>
      <w:r>
        <w:rPr>
          <w:rFonts w:ascii="Times New Roman" w:cs="Times New Roman" w:eastAsia="Times New Roman" w:hAnsi="Times New Roman"/>
          <w:sz w:val="18"/>
          <w:szCs w:val="18"/>
          <w:color w:val="auto"/>
        </w:rPr>
        <w:t>” means, together, guideline S-02.123 in relation to interbank loans of 22 September 1986 (</w:t>
      </w:r>
      <w:r>
        <w:rPr>
          <w:rFonts w:ascii="Times New Roman" w:cs="Times New Roman" w:eastAsia="Times New Roman" w:hAnsi="Times New Roman"/>
          <w:sz w:val="18"/>
          <w:szCs w:val="18"/>
          <w:i w:val="1"/>
          <w:iCs w:val="1"/>
          <w:color w:val="auto"/>
        </w:rPr>
        <w:t>Merkblatt “Verrechnungssteuer auf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Zinsen von Bankguthaben, deren Gläubiger Banken sind (Interbankguthaben)” vom 22. September 1986</w:t>
      </w:r>
      <w:r>
        <w:rPr>
          <w:rFonts w:ascii="Times New Roman" w:cs="Times New Roman" w:eastAsia="Times New Roman" w:hAnsi="Times New Roman"/>
          <w:sz w:val="18"/>
          <w:szCs w:val="18"/>
          <w:color w:val="auto"/>
        </w:rPr>
        <w:t>), circular letter No. 47 in relation to bonds of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2019 (1-047-V-2019) (</w:t>
      </w:r>
      <w:r>
        <w:rPr>
          <w:rFonts w:ascii="Times New Roman" w:cs="Times New Roman" w:eastAsia="Times New Roman" w:hAnsi="Times New Roman"/>
          <w:sz w:val="18"/>
          <w:szCs w:val="18"/>
          <w:i w:val="1"/>
          <w:iCs w:val="1"/>
          <w:color w:val="auto"/>
        </w:rPr>
        <w:t>Kreisschreiben Nr. 47 “Obligationen” vom 25. Juli 2019</w:t>
      </w:r>
      <w:r>
        <w:rPr>
          <w:rFonts w:ascii="Times New Roman" w:cs="Times New Roman" w:eastAsia="Times New Roman" w:hAnsi="Times New Roman"/>
          <w:sz w:val="18"/>
          <w:szCs w:val="18"/>
          <w:color w:val="auto"/>
        </w:rPr>
        <w:t>), guideline S-02.130.1 in relation to money market instruments and book claims of April 1999 (</w:t>
      </w:r>
      <w:r>
        <w:rPr>
          <w:rFonts w:ascii="Times New Roman" w:cs="Times New Roman" w:eastAsia="Times New Roman" w:hAnsi="Times New Roman"/>
          <w:sz w:val="18"/>
          <w:szCs w:val="18"/>
          <w:i w:val="1"/>
          <w:iCs w:val="1"/>
          <w:color w:val="auto"/>
        </w:rPr>
        <w:t>Merkblatt vom April 1999 betreffend Geldmarktpapiere und Buchforderungen inländischer Schuldner</w:t>
      </w:r>
      <w:r>
        <w:rPr>
          <w:rFonts w:ascii="Times New Roman" w:cs="Times New Roman" w:eastAsia="Times New Roman" w:hAnsi="Times New Roman"/>
          <w:sz w:val="18"/>
          <w:szCs w:val="18"/>
          <w:color w:val="auto"/>
        </w:rPr>
        <w:t>), circular letter No. 46 of 24 July 2019 (1-046-VS-2019) in relation to syndicated credit facilities (</w:t>
      </w:r>
      <w:r>
        <w:rPr>
          <w:rFonts w:ascii="Times New Roman" w:cs="Times New Roman" w:eastAsia="Times New Roman" w:hAnsi="Times New Roman"/>
          <w:sz w:val="18"/>
          <w:szCs w:val="18"/>
          <w:i w:val="1"/>
          <w:iCs w:val="1"/>
          <w:color w:val="auto"/>
        </w:rPr>
        <w:t>Kreisschreiben Nr. 46 “Steuerliche Behandlung von Konsortialdarlehen,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Schuldscheindarlehen, Wechseln und Unterbeteiligungen” vom 24. Juli 2019</w:t>
      </w:r>
      <w:r>
        <w:rPr>
          <w:rFonts w:ascii="Times New Roman" w:cs="Times New Roman" w:eastAsia="Times New Roman" w:hAnsi="Times New Roman"/>
          <w:sz w:val="18"/>
          <w:szCs w:val="18"/>
          <w:color w:val="auto"/>
        </w:rPr>
        <w:t>), circular letter No. 34 of 26 July 2011 (1-034-V-2011) in relation to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Kreisschreiben Nr. 34 “Kundenguthaben” vom 26. Juli 2011</w:t>
      </w:r>
      <w:r>
        <w:rPr>
          <w:rFonts w:ascii="Times New Roman" w:cs="Times New Roman" w:eastAsia="Times New Roman" w:hAnsi="Times New Roman"/>
          <w:sz w:val="18"/>
          <w:szCs w:val="18"/>
          <w:color w:val="auto"/>
        </w:rPr>
        <w:t>), the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18"/>
          <w:szCs w:val="18"/>
          <w:i w:val="1"/>
          <w:iCs w:val="1"/>
          <w:color w:val="auto"/>
        </w:rPr>
        <w:t>Kreisschreiben Nr.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15 “Obligationen und derivative Finanzinstrumente als Gegenstand der direkten Bundessteuer, der Verrechnungssteuer und der Stempelabgaben” vom 3. Oktober 2017</w:t>
      </w:r>
      <w:r>
        <w:rPr>
          <w:rFonts w:ascii="Times New Roman" w:cs="Times New Roman" w:eastAsia="Times New Roman" w:hAnsi="Times New Roman"/>
          <w:sz w:val="18"/>
          <w:szCs w:val="18"/>
          <w:color w:val="auto"/>
        </w:rPr>
        <w:t>) and the notification regarding credit balances in groups (Mitteilung 010-DVS-2019 of February 2019 betreffend “Verrechnungssteuer: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Non-Bank Rules</w:t>
      </w:r>
      <w:r>
        <w:rPr>
          <w:rFonts w:ascii="Times New Roman" w:cs="Times New Roman" w:eastAsia="Times New Roman" w:hAnsi="Times New Roman"/>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Non-Qualifying Lender</w:t>
      </w:r>
      <w:r>
        <w:rPr>
          <w:rFonts w:ascii="Times New Roman" w:cs="Times New Roman" w:eastAsia="Times New Roman" w:hAnsi="Times New Roman"/>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Obligor</w:t>
      </w:r>
      <w:r>
        <w:rPr>
          <w:rFonts w:ascii="Times New Roman" w:cs="Times New Roman" w:eastAsia="Times New Roman" w:hAnsi="Times New Roman"/>
          <w:sz w:val="18"/>
          <w:szCs w:val="18"/>
          <w:color w:val="auto"/>
        </w:rPr>
        <w:t>” means a Swiss Borrower or a Swiss Guarantor.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Qualifying Lender</w:t>
      </w:r>
      <w:r>
        <w:rPr>
          <w:rFonts w:ascii="Times New Roman" w:cs="Times New Roman" w:eastAsia="Times New Roman" w:hAnsi="Times New Roman"/>
          <w:sz w:val="18"/>
          <w:szCs w:val="18"/>
          <w:color w:val="auto"/>
        </w:rPr>
        <w:t>” means (a) a bank as defined in the Swiss Federal Code for Banks and Savings Banks dated 8 November 1934 (</w:t>
      </w:r>
      <w:r>
        <w:rPr>
          <w:rFonts w:ascii="Times New Roman" w:cs="Times New Roman" w:eastAsia="Times New Roman" w:hAnsi="Times New Roman"/>
          <w:sz w:val="18"/>
          <w:szCs w:val="18"/>
          <w:i w:val="1"/>
          <w:iCs w:val="1"/>
          <w:color w:val="auto"/>
        </w:rPr>
        <w:t>Bundesgesetz über die Banken und Sparkassen</w:t>
      </w:r>
      <w:r>
        <w:rPr>
          <w:rFonts w:ascii="Times New Roman" w:cs="Times New Roman" w:eastAsia="Times New Roman" w:hAnsi="Times New Roman"/>
          <w:sz w:val="18"/>
          <w:szCs w:val="18"/>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Security Documents</w:t>
      </w:r>
      <w:r>
        <w:rPr>
          <w:rFonts w:ascii="Times New Roman" w:cs="Times New Roman" w:eastAsia="Times New Roman" w:hAnsi="Times New Roman"/>
          <w:sz w:val="18"/>
          <w:szCs w:val="18"/>
          <w:color w:val="auto"/>
        </w:rPr>
        <w:t>” means the Security Agreements governed by the laws of Switzerland.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Ten Non-Bank Rule</w:t>
      </w:r>
      <w:r>
        <w:rPr>
          <w:rFonts w:ascii="Times New Roman" w:cs="Times New Roman" w:eastAsia="Times New Roman" w:hAnsi="Times New Roman"/>
          <w:sz w:val="18"/>
          <w:szCs w:val="18"/>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Twenty Non-Bank Rule</w:t>
      </w:r>
      <w:r>
        <w:rPr>
          <w:rFonts w:ascii="Times New Roman" w:cs="Times New Roman" w:eastAsia="Times New Roman" w:hAnsi="Times New Roman"/>
          <w:sz w:val="18"/>
          <w:szCs w:val="18"/>
          <w:color w:val="auto"/>
        </w:rPr>
        <w:t>” means the rule that the aggregate number of creditors other than Swiss Qualifying Lenders of a Swiss Obligor under all its outstanding debts relevant for the classification as debentures (</w:t>
      </w:r>
      <w:r>
        <w:rPr>
          <w:rFonts w:ascii="Times New Roman" w:cs="Times New Roman" w:eastAsia="Times New Roman" w:hAnsi="Times New Roman"/>
          <w:sz w:val="18"/>
          <w:szCs w:val="18"/>
          <w:i w:val="1"/>
          <w:iCs w:val="1"/>
          <w:color w:val="auto"/>
        </w:rPr>
        <w:t>Kassenobligation</w:t>
      </w:r>
      <w:r>
        <w:rPr>
          <w:rFonts w:ascii="Times New Roman" w:cs="Times New Roman" w:eastAsia="Times New Roman" w:hAnsi="Times New Roman"/>
          <w:sz w:val="18"/>
          <w:szCs w:val="18"/>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w:t>
      </w:r>
      <w:r>
        <w:rPr>
          <w:rFonts w:ascii="Times New Roman" w:cs="Times New Roman" w:eastAsia="Times New Roman" w:hAnsi="Times New Roman"/>
          <w:sz w:val="18"/>
          <w:szCs w:val="18"/>
          <w:color w:val="auto"/>
        </w:rPr>
        <w:t>” means taxes imposed under the Swiss Withholding Tax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 Act</w:t>
      </w:r>
      <w:r>
        <w:rPr>
          <w:rFonts w:ascii="Times New Roman" w:cs="Times New Roman" w:eastAsia="Times New Roman" w:hAnsi="Times New Roman"/>
          <w:sz w:val="18"/>
          <w:szCs w:val="18"/>
          <w:color w:val="auto"/>
        </w:rPr>
        <w:t>” means the Swiss Federal Act on the Withholding Tax of 13 October 1965 (</w:t>
      </w:r>
      <w:r>
        <w:rPr>
          <w:rFonts w:ascii="Times New Roman" w:cs="Times New Roman" w:eastAsia="Times New Roman" w:hAnsi="Times New Roman"/>
          <w:sz w:val="18"/>
          <w:szCs w:val="18"/>
          <w:i w:val="1"/>
          <w:iCs w:val="1"/>
          <w:color w:val="auto"/>
        </w:rPr>
        <w:t>Bundesgesetz über die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together with the related ordinances, regulations and guidelines, all as amended and applicable from time to time.</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is open for the settlement of payments in Euros.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taxes, levies, imposts, duties, fees, assessments or other charges of whatever nature now or hereafter imposed by any taxing authority, and all interest, penalties or similar liabilities with respect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1300" w:hanging="320"/>
        <w:spacing w:after="0" w:line="254"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RFR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a percentage equal to 0.10% per annum.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any Loan bearing interest at a rate based on Adjusted Term SOFR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as provided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Period</w:t>
      </w:r>
      <w:r>
        <w:rPr>
          <w:rFonts w:ascii="Times New Roman" w:cs="Times New Roman" w:eastAsia="Times New Roman" w:hAnsi="Times New Roman"/>
          <w:sz w:val="18"/>
          <w:szCs w:val="18"/>
          <w:color w:val="auto"/>
        </w:rPr>
        <w:t>” means any period of four consecutive Fiscal Quarters (whether or not such quarters are all within the same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LC Exposure and Dollar Equivalent of outstanding Loans of such Lender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Exposure</w:t>
      </w:r>
      <w:r>
        <w:rPr>
          <w:rFonts w:ascii="Times New Roman" w:cs="Times New Roman" w:eastAsia="Times New Roman" w:hAnsi="Times New Roman"/>
          <w:sz w:val="18"/>
          <w:szCs w:val="18"/>
          <w:color w:val="auto"/>
        </w:rPr>
        <w:t xml:space="preserve">” means, at any time, the sum of (a) the Dollar Equivalent of the aggregate undrawn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the aggregate amount of all LC Disbursements that have not yet been reimbursed by or on behalf of the Borrowers at such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LC Exposure</w:t>
      </w:r>
      <w:r>
        <w:rPr>
          <w:rFonts w:ascii="Times New Roman" w:cs="Times New Roman" w:eastAsia="Times New Roman" w:hAnsi="Times New Roman"/>
          <w:sz w:val="18"/>
          <w:szCs w:val="18"/>
          <w:color w:val="auto"/>
        </w:rPr>
        <w:t xml:space="preserve">” means, at any time, the sum of (a) the Dollar Equivalent of the aggregate undrawn amount of all outstanding Revolving Performance Letters of Credit and Financial Standby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the aggregate amount of all LC Disbursements in respect of such Revolving Performance Letters of Credit and Financial Standby Letters of Credit that have not yet been reimbursed by or on behalf of the Borrowers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Specified Asset Value</w:t>
      </w:r>
      <w:r>
        <w:rPr>
          <w:rFonts w:ascii="Times New Roman" w:cs="Times New Roman" w:eastAsia="Times New Roman" w:hAnsi="Times New Roman"/>
          <w:sz w:val="18"/>
          <w:szCs w:val="18"/>
          <w:color w:val="auto"/>
        </w:rPr>
        <w:t>” means, as of any date of determination, the book value of all assets of Parent and its Restricted Subsidiaries on a consolidated basis as of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the Agreement and the other Loan Documents and all related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Obligor</w:t>
      </w:r>
      <w:r>
        <w:rPr>
          <w:rFonts w:ascii="Times New Roman" w:cs="Times New Roman" w:eastAsia="Times New Roman" w:hAnsi="Times New Roman"/>
          <w:sz w:val="18"/>
          <w:szCs w:val="18"/>
          <w:color w:val="auto"/>
        </w:rPr>
        <w:t>” means the Obligors incorporated in any legal jurisdiction of the United Kingdom.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xml:space="preserve">” means, as of the date of determination, all cash and Cash Equivalents of the Obligors that are not “restricted” for purposes of GAAP (other than any Liens arising under the Loan Documents or Indebtedness incurred under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 any Subsidiary which Parent has designated in writing to the Administrative Agent to be an Unrestricted Subsidiary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and (b) any direct or indirect Subsidiary of any Subsidiary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 each case that meets the following requirements: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such Subsidiary shall have no Indebtedness with recourse to Parent or any Restricted Subsidiary;</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such Subsidiary is not party to any agreement, contract, arrangement or understanding with Parent or any Restricted Subsidiary that violates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(iv)            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16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(v)            such Subsidiary does not hold any Capital Stock in, or any Indebtedness of, Parent or any Restricted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Qualifying Lender</w:t>
      </w:r>
      <w:r>
        <w:rPr>
          <w:rFonts w:ascii="Times New Roman" w:cs="Times New Roman" w:eastAsia="Times New Roman" w:hAnsi="Times New Roman"/>
          <w:sz w:val="18"/>
          <w:szCs w:val="18"/>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xml:space="preserve">” means that certain U.S. Security Agreement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or imposed elsewhere, including, but not limited to, any tax imposed in compliance with the Swiss Federal Act on Value Added Tax of 12 June 2009 as amended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Weatherford Parent Company</w:t>
      </w:r>
      <w:r>
        <w:rPr>
          <w:rFonts w:ascii="Times New Roman" w:cs="Times New Roman" w:eastAsia="Times New Roman" w:hAnsi="Times New Roman"/>
          <w:sz w:val="18"/>
          <w:szCs w:val="18"/>
          <w:color w:val="auto"/>
        </w:rPr>
        <w:t>” means Parent or, if a Redomestication has occurred subsequent to the Effective Date and prior to the event in question on the date of determination, the Surviving Person resulting from such Redomestication.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Wholly-Owned Subsidiaries</w:t>
      </w:r>
      <w:r>
        <w:rPr>
          <w:rFonts w:ascii="Times New Roman" w:cs="Times New Roman" w:eastAsia="Times New Roman" w:hAnsi="Times New Roman"/>
          <w:sz w:val="18"/>
          <w:szCs w:val="18"/>
          <w:color w:val="auto"/>
        </w:rPr>
        <w:t>” refer to a Wholly-Owned Subsidiary or Wholly-Owned Subsidiaries of Parent.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WOFS</w:t>
      </w:r>
      <w:r>
        <w:rPr>
          <w:rFonts w:ascii="Times New Roman" w:cs="Times New Roman" w:eastAsia="Times New Roman" w:hAnsi="Times New Roman"/>
          <w:sz w:val="18"/>
          <w:szCs w:val="18"/>
          <w:color w:val="auto"/>
        </w:rPr>
        <w:t>” means WOFS Assurance Limited, a Bermuda exempted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Japan.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Accounting Terms; Changes in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 xml:space="preserve">(a)            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All pro forma computations required to be made hereunder giving effect to any acquisition or Disposition</w:t>
      </w:r>
      <w:r>
        <w:rPr>
          <w:rFonts w:ascii="Times New Roman" w:cs="Times New Roman" w:eastAsia="Times New Roman" w:hAnsi="Times New Roman"/>
          <w:sz w:val="18"/>
          <w:szCs w:val="18"/>
          <w:color w:val="002060"/>
        </w:rPr>
        <w:t>,</w:t>
      </w:r>
      <w:r>
        <w:rPr>
          <w:rFonts w:ascii="Times New Roman" w:cs="Times New Roman" w:eastAsia="Times New Roman" w:hAnsi="Times New Roman"/>
          <w:sz w:val="18"/>
          <w:szCs w:val="18"/>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For any pro forma computation of the Leverage Ratio for purposes of a transaction permitted hereunder, Unrestricted Cash will be determined without giving effect to the proceeds of any loan or other extension of credit received by any Obligor in respect of such transaction and used for such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this Agreement unless the context indicates otherwise: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definitions of terms herein shall apply equally to the singular and plural forms of the terms defined;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pronoun shall include the corresponding masculine, feminine and neuter forms;</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words “herein”, “hereof” and “hereunder” and other words of similar import refer to this Agreement in its entirety and not to any particular Article, Section or other subdivision hereof;</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is intended to authorize any assignment not otherwise permitted by this Agreement;</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            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(vi)            any reference to any Article, Section, page, Schedule or Exhibit means such Article, Section or page hereof or such Schedule or Exhibit hereto;</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(vii)            the words “including”, “include” and “includes” shall be deemed to be followed by the phrase “without limitation” and the term “or” is not exclusive;</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(viii)            with respect to the determination of any period of time, except as expressly provided to the contrary, the word “from” means “from and including” and the word “to” means “to but excluding”;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the word “will” shall be construed to have the same meaning and effect as the word “shall”;</w:t>
      </w:r>
    </w:p>
    <w:p>
      <w:pPr>
        <w:spacing w:after="0" w:line="225"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(x)            any reference to any law, rule or regulation means such as amended, modified, codified or reenacted, in whole or in part, and in effect from time to time; and</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(xi)            the words “asset” and “property” shall be construed to have the same meaning and effect and to refer to any and all tangible and intangible assets and properties, including cash, securities, accounts and contract rights.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The Article and Section headings herein and in the Table of Contents are for convenience only and shall not affect the construction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No provision of this Agreement shall be interpreted or construed against any Person solely because that Person or its legal representative drafted such provision.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LLC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Luxembourg Terms</w:t>
      </w:r>
      <w:r>
        <w:rPr>
          <w:rFonts w:ascii="Times New Roman" w:cs="Times New Roman" w:eastAsia="Times New Roman" w:hAnsi="Times New Roman"/>
          <w:sz w:val="18"/>
          <w:szCs w:val="18"/>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 “liquidator”, “trustee”, “custodian”, “compulsory manager”, “receiver”, “administrative receiver”, “administrator” or “similar officer” includes any:</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or insolvency receiver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appointed under the Luxembourg Commercial Code;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appointed under Articles 1100-1 to 1100-15 (inclusive) of the Luxembourg act dated 10 August 1915 on commercial companies, as amended;</w:t>
      </w:r>
    </w:p>
    <w:p>
      <w:pPr>
        <w:spacing w:after="0" w:line="158"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appointed under Article 1200-1 of the Luxembourg act dated 10 August 1915 on commercial companies, as amended;</w:t>
      </w:r>
    </w:p>
    <w:p>
      <w:pPr>
        <w:spacing w:after="0" w:line="158"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commissaire</w:t>
      </w:r>
      <w:r>
        <w:rPr>
          <w:rFonts w:ascii="Times New Roman" w:cs="Times New Roman" w:eastAsia="Times New Roman" w:hAnsi="Times New Roman"/>
          <w:sz w:val="18"/>
          <w:szCs w:val="18"/>
          <w:color w:val="auto"/>
        </w:rPr>
        <w:t xml:space="preserve"> appointed under the Grand-Ducal decree of 24 May 1935 on the controlled management regime or under Articles 593 to 614 (inclusive) of the Luxembourg Commercial Code;</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i w:val="1"/>
          <w:iCs w:val="1"/>
          <w:color w:val="auto"/>
        </w:rPr>
        <w:t>juge délégué</w:t>
      </w:r>
      <w:r>
        <w:rPr>
          <w:rFonts w:ascii="Times New Roman" w:cs="Times New Roman" w:eastAsia="Times New Roman" w:hAnsi="Times New Roman"/>
          <w:sz w:val="17"/>
          <w:szCs w:val="17"/>
          <w:color w:val="auto"/>
        </w:rPr>
        <w:t xml:space="preserve"> appointed under the Luxembourg act of 14 April 1886 on the composition to avoid bankruptcy, as amended;</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 “</w:t>
      </w:r>
      <w:r>
        <w:rPr>
          <w:rFonts w:ascii="Times New Roman" w:cs="Times New Roman" w:eastAsia="Times New Roman" w:hAnsi="Times New Roman"/>
          <w:sz w:val="18"/>
          <w:szCs w:val="18"/>
          <w:i w:val="1"/>
          <w:iCs w:val="1"/>
          <w:color w:val="auto"/>
        </w:rPr>
        <w:t>winding-up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voluntary or judicial liquidation, composition with creditors (</w:t>
      </w:r>
      <w:r>
        <w:rPr>
          <w:rFonts w:ascii="Times New Roman" w:cs="Times New Roman" w:eastAsia="Times New Roman" w:hAnsi="Times New Roman"/>
          <w:sz w:val="18"/>
          <w:szCs w:val="18"/>
          <w:i w:val="1"/>
          <w:iCs w:val="1"/>
          <w:color w:val="auto"/>
        </w:rPr>
        <w:t>concordat préventif de faillite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and controlled management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fraudulent conveyance (actio pauliana), general settlement with creditors, reorganisation or any other similar proceedings affecting the rights of creditors generally under Luxembourg law, and shall be construed so as to include any equivalent or analogous liquidation or reorganisation proceedings;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 “matured obligation” includes, without limitation, a </w:t>
      </w:r>
      <w:r>
        <w:rPr>
          <w:rFonts w:ascii="Times New Roman" w:cs="Times New Roman" w:eastAsia="Times New Roman" w:hAnsi="Times New Roman"/>
          <w:sz w:val="18"/>
          <w:szCs w:val="18"/>
          <w:i w:val="1"/>
          <w:iCs w:val="1"/>
          <w:color w:val="auto"/>
        </w:rPr>
        <w:t>obligation certaine, liquide et exigible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“Security” or a “security interest” includes, without limitation, any hypothèque, nantissement, privilège, accord de transfert de propriété à titre de garantie, gage sur fonds de commerce or sûreté réelle whatsoever whether granted or arising by operation of law;</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 person being “unable to pay its debts” includes, without limitation, that person being in a state of cessation of payments (cessation de paiements);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an “attachment” includes a </w:t>
      </w:r>
      <w:r>
        <w:rPr>
          <w:rFonts w:ascii="Times New Roman" w:cs="Times New Roman" w:eastAsia="Times New Roman" w:hAnsi="Times New Roman"/>
          <w:sz w:val="18"/>
          <w:szCs w:val="18"/>
          <w:i w:val="1"/>
          <w:iCs w:val="1"/>
          <w:color w:val="auto"/>
        </w:rPr>
        <w:t>saisie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“by-laws” or “constitutional documents” includes its up-to-date (restated) articles of association (statuts); and</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a “director”, “officer” or “manager” includes a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 xml:space="preserve"> or an </w:t>
      </w:r>
      <w:r>
        <w:rPr>
          <w:rFonts w:ascii="Times New Roman" w:cs="Times New Roman" w:eastAsia="Times New Roman" w:hAnsi="Times New Roman"/>
          <w:sz w:val="18"/>
          <w:szCs w:val="18"/>
          <w:i w:val="1"/>
          <w:iCs w:val="1"/>
          <w:color w:val="auto"/>
        </w:rPr>
        <w:t>administrateur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Dutch Terms</w:t>
      </w:r>
      <w:r>
        <w:rPr>
          <w:rFonts w:ascii="Times New Roman" w:cs="Times New Roman" w:eastAsia="Times New Roman" w:hAnsi="Times New Roman"/>
          <w:sz w:val="18"/>
          <w:szCs w:val="18"/>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Netherlands” means the European part of the Kingdom of the Netherlands and “Dutch” means in or of the Netherlands;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3" w:name="page74"/>
    <w:bookmarkEnd w:id="73"/>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(b)            a “security interest”, “security” or “lien” includes any mortgage (</w:t>
      </w:r>
      <w:r>
        <w:rPr>
          <w:rFonts w:ascii="Times New Roman" w:cs="Times New Roman" w:eastAsia="Times New Roman" w:hAnsi="Times New Roman"/>
          <w:sz w:val="18"/>
          <w:szCs w:val="18"/>
          <w:i w:val="1"/>
          <w:iCs w:val="1"/>
          <w:color w:val="auto"/>
        </w:rPr>
        <w:t>hypotheekrecht</w:t>
      </w:r>
      <w:r>
        <w:rPr>
          <w:rFonts w:ascii="Times New Roman" w:cs="Times New Roman" w:eastAsia="Times New Roman" w:hAnsi="Times New Roman"/>
          <w:sz w:val="18"/>
          <w:szCs w:val="18"/>
          <w:color w:val="auto"/>
        </w:rPr>
        <w:t>),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retention of title arrangement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right of retention (</w:t>
      </w:r>
      <w:r>
        <w:rPr>
          <w:rFonts w:ascii="Times New Roman" w:cs="Times New Roman" w:eastAsia="Times New Roman" w:hAnsi="Times New Roman"/>
          <w:sz w:val="18"/>
          <w:szCs w:val="18"/>
          <w:i w:val="1"/>
          <w:iCs w:val="1"/>
          <w:color w:val="auto"/>
        </w:rPr>
        <w:t>recht van rententie</w:t>
      </w:r>
      <w:r>
        <w:rPr>
          <w:rFonts w:ascii="Times New Roman" w:cs="Times New Roman" w:eastAsia="Times New Roman" w:hAnsi="Times New Roman"/>
          <w:sz w:val="18"/>
          <w:szCs w:val="18"/>
          <w:color w:val="auto"/>
        </w:rPr>
        <w:t>), right to reclaim goods (</w:t>
      </w:r>
      <w:r>
        <w:rPr>
          <w:rFonts w:ascii="Times New Roman" w:cs="Times New Roman" w:eastAsia="Times New Roman" w:hAnsi="Times New Roman"/>
          <w:sz w:val="18"/>
          <w:szCs w:val="18"/>
          <w:i w:val="1"/>
          <w:iCs w:val="1"/>
          <w:color w:val="auto"/>
        </w:rPr>
        <w:t>recht van reclame</w:t>
      </w:r>
      <w:r>
        <w:rPr>
          <w:rFonts w:ascii="Times New Roman" w:cs="Times New Roman" w:eastAsia="Times New Roman" w:hAnsi="Times New Roman"/>
          <w:sz w:val="18"/>
          <w:szCs w:val="18"/>
          <w:color w:val="auto"/>
        </w:rPr>
        <w:t>) and any right in rem (</w:t>
      </w:r>
      <w:r>
        <w:rPr>
          <w:rFonts w:ascii="Times New Roman" w:cs="Times New Roman" w:eastAsia="Times New Roman" w:hAnsi="Times New Roman"/>
          <w:sz w:val="18"/>
          <w:szCs w:val="18"/>
          <w:i w:val="1"/>
          <w:iCs w:val="1"/>
          <w:color w:val="auto"/>
        </w:rPr>
        <w:t>beperkt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recht</w:t>
      </w:r>
      <w:r>
        <w:rPr>
          <w:rFonts w:ascii="Times New Roman" w:cs="Times New Roman" w:eastAsia="Times New Roman" w:hAnsi="Times New Roman"/>
          <w:sz w:val="18"/>
          <w:szCs w:val="18"/>
          <w:color w:val="auto"/>
        </w:rPr>
        <w:t>) created for the purpose of granting security (</w:t>
      </w:r>
      <w:r>
        <w:rPr>
          <w:rFonts w:ascii="Times New Roman" w:cs="Times New Roman" w:eastAsia="Times New Roman" w:hAnsi="Times New Roman"/>
          <w:sz w:val="18"/>
          <w:szCs w:val="18"/>
          <w:i w:val="1"/>
          <w:iCs w:val="1"/>
          <w:color w:val="auto"/>
        </w:rPr>
        <w:t>goederenrechtelijke zekerheid</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“winding-up”, “administration” or “dissolution” includes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or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a “moratorium” includes surseance van betaling or voorlopige surseance van betaling and a “moratorium is declared” includes surseance verleend or voorlopige surseance verleend;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 “liquidator”, “receiver”, “administrative receiver”, “conservator”, “trustee”, “administrator”, “compulsory manager”, “custodian”, “assignee for the benefit of creditors” or similar Person includes a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beoogd curator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an “attachment” includes an executoriaal beslag or </w:t>
      </w:r>
      <w:r>
        <w:rPr>
          <w:rFonts w:ascii="Times New Roman" w:cs="Times New Roman" w:eastAsia="Times New Roman" w:hAnsi="Times New Roman"/>
          <w:sz w:val="18"/>
          <w:szCs w:val="18"/>
          <w:u w:val="single" w:color="auto"/>
          <w:color w:val="auto"/>
        </w:rPr>
        <w:t>conservatoir beslag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or Section 60 of the Social Insurance Financing Act of the Netherlands (</w:t>
      </w:r>
      <w:r>
        <w:rPr>
          <w:rFonts w:ascii="Times New Roman" w:cs="Times New Roman" w:eastAsia="Times New Roman" w:hAnsi="Times New Roman"/>
          <w:sz w:val="18"/>
          <w:szCs w:val="18"/>
          <w:i w:val="1"/>
          <w:iCs w:val="1"/>
          <w:color w:val="auto"/>
        </w:rPr>
        <w:t>Wet Financiering Sociale Verzekeringen</w:t>
      </w:r>
      <w:r>
        <w:rPr>
          <w:rFonts w:ascii="Times New Roman" w:cs="Times New Roman" w:eastAsia="Times New Roman" w:hAnsi="Times New Roman"/>
          <w:sz w:val="18"/>
          <w:szCs w:val="18"/>
          <w:color w:val="auto"/>
        </w:rPr>
        <w:t>) in conjunction with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an “order for relief” includes any insolvency proceedings within the meaning of the Regulation (EU) 2015/848 of the European Parliament and of the Council of 20 May 2015 on insolvency proceedings (recast) listed or to be listed in Annex A thereto and shall in any event include a </w:t>
      </w:r>
      <w:r>
        <w:rPr>
          <w:rFonts w:ascii="Times New Roman" w:cs="Times New Roman" w:eastAsia="Times New Roman" w:hAnsi="Times New Roman"/>
          <w:sz w:val="18"/>
          <w:szCs w:val="18"/>
          <w:i w:val="1"/>
          <w:iCs w:val="1"/>
          <w:color w:val="auto"/>
        </w:rPr>
        <w:t>faillietverklaring</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verlening van surseance </w:t>
      </w:r>
      <w:r>
        <w:rPr>
          <w:rFonts w:ascii="Times New Roman" w:cs="Times New Roman" w:eastAsia="Times New Roman" w:hAnsi="Times New Roman"/>
          <w:sz w:val="18"/>
          <w:szCs w:val="18"/>
          <w:color w:val="auto"/>
        </w:rPr>
        <w:t>and a</w:t>
      </w:r>
      <w:r>
        <w:rPr>
          <w:rFonts w:ascii="Times New Roman" w:cs="Times New Roman" w:eastAsia="Times New Roman" w:hAnsi="Times New Roman"/>
          <w:sz w:val="18"/>
          <w:szCs w:val="18"/>
          <w:i w:val="1"/>
          <w:iCs w:val="1"/>
          <w:color w:val="auto"/>
        </w:rPr>
        <w:t xml:space="preserve"> benoeming van een herstructureringsdeskundige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Centre of Main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4" w:name="page75"/>
    <w:bookmarkEnd w:id="7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Quebec Terms</w:t>
      </w:r>
      <w:r>
        <w:rPr>
          <w:rFonts w:ascii="Times New Roman" w:cs="Times New Roman" w:eastAsia="Times New Roman" w:hAnsi="Times New Roman"/>
          <w:sz w:val="18"/>
          <w:szCs w:val="18"/>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w:t>
      </w:r>
    </w:p>
    <w:p>
      <w:pPr>
        <w:spacing w:after="0" w:line="3" w:lineRule="exact"/>
        <w:rPr>
          <w:sz w:val="20"/>
          <w:szCs w:val="20"/>
          <w:color w:val="auto"/>
        </w:rPr>
      </w:pPr>
    </w:p>
    <w:p>
      <w:pPr>
        <w:jc w:val="both"/>
        <w:ind w:firstLine="8"/>
        <w:spacing w:after="0" w:line="250" w:lineRule="auto"/>
        <w:tabs>
          <w:tab w:leader="none" w:pos="2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and several” shall include “solidary”, (m) “gross negligence or wilful misconduct” shall be deemed to be “intentional or gross fault”,</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title” shall include “holding title on behalf of an owner as mandatory or prete-nom”, (v) “ground lease” shall include “emphyteusis” or a “lease with a right of superficies”, as applicable, (w) “leasehold interest” shall include a “valid lease”, (x) “lease” shall include a “leasing contract” and</w:t>
      </w:r>
    </w:p>
    <w:p>
      <w:pPr>
        <w:jc w:val="both"/>
        <w:ind w:firstLine="8"/>
        <w:spacing w:after="0" w:line="253" w:lineRule="auto"/>
        <w:tabs>
          <w:tab w:leader="none" w:pos="26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 w:cs="Times New Roman" w:eastAsia="Times New Roman" w:hAnsi="Times New Roman"/>
          <w:sz w:val="18"/>
          <w:szCs w:val="18"/>
          <w:i w:val="1"/>
          <w:iCs w:val="1"/>
          <w:color w:val="auto"/>
        </w:rPr>
        <w:t>Les parties aux présentes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Adjusted Term SOFR, any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REVOLVING LOANS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of this Agreement and the other Loan Documents, and in reliance upon the representations and warranties set forth in this Agreement and the other Loan Documents, each Lender severally agrees to make Loans in Dollars or in one or more Alternative Currencies to the Borrowers from time to time during the Availability Period as requested by the applicable Borrower in accordance with the terms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Revolving Credit Outstandings shall not exceed the total Revolving Credit Commitments, (b) the Revolving Credit Exposure of any Lender shall not at any time exceed such Lender’s Revolving Credit Commitment and (c) the sum of (i) the aggregate principal amount of Loans outstanding plus (ii) the Revolving LC Exposure in respect of Revolving Performance Letters of Credit shall not exceed the difference between (A) the total Revolving Credit Commitments and (B) the Financial LC-Specific Commitment. Each Loan by a Lender shall be in a principal amount not to exceed at any time such Lender’s Applicable Percentage (Loans) of the aggregate principal amount of Loans requested on such occasion. Subject to the terms and conditions hereof, the Borrowers may borrow, repay and reborrow Loans hereunder during the Availability Period.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exercise of such option shall not affect the obligation of any Borrower to repay such Loan in accordance with the terms of this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Procedure for Advances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Requests for Borrowing</w:t>
      </w:r>
      <w:r>
        <w:rPr>
          <w:rFonts w:ascii="Times New Roman" w:cs="Times New Roman" w:eastAsia="Times New Roman" w:hAnsi="Times New Roman"/>
          <w:sz w:val="18"/>
          <w:szCs w:val="18"/>
          <w:color w:val="auto"/>
        </w:rPr>
        <w:t xml:space="preserve">. The applicable Borrower shall give the Administrative Agent irrevocable prior written notice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not later than 11:00 a.m. (i) in the case of a Base Rate Loan, at least one (1) Business Day before such Base Rate Loan and (ii)(A) in the case of a Term SOFR Loan, at least three (3) RFR Business Days before such Term SOFR Loan, (B) in the case of an RFR Loan denominated in any Alternative Currency, at least five (5) RFR Business Days before such RFR Loan, and (C) in the case of a Eurocurrency Rate Loan denominated in any Alternative Currency, at least four (4) Eurocurrency Banking Days before such Eurocurrency Rate Loan (or five (5) Eurocurrency Banking Days in the case of a Special Notice Currency), of its intention to borrow, in each case, specifying (1) the date of such borrowing, which shall be a Business Day, (2) the Currency of such borrowing, (3) the amount of such borrowing, which shall be, (x) with respect to Base Rate Loans in an aggregate principal amount of $1,000,000 or a whole multiple of $500,000 in excess thereof and (y) with respect to Eurocurrency Rate Loans and RFR Loans in an aggregate principal amount of $2,000,000 or a whole multiple of $1,000,000 in excess thereof (or, in each case, the remaining amount of the Revolving Credit Commitment), (4) whether such Loan is to be a Eurocurrency Rate Loan, a Daily Simple RFR Loan, a Term SOFR Loan or a Base Rate Loan, and (5) in the case of a Eurocurrency Rate Loan or a Term SOFR Loan, the duration of the Interest Period applicable thereto. If a Borrower fails to specify the Currency of a Loan in a Notice of Borrowing, then the applicable Loans shall be made in Dollars. If a Borrower fails to specify a type of Loan denominated in Dollars in a Notice of Borrowing, then the applicable Loans shall be made as Base Rate Loans. If a Borrower requests a borrowing of a Eurocurrency Rate Loan or a Term SOFR Loan in any such Notice of Borrowing, but fails to specify an Interest Period, it will be deemed to have specified an Interest Period of one month. A Notice of Borrowing received after 11:00 a.m. shall be deemed received on the next Business Day, RFR Business Day or Eurocurrency Banking Day, as applicable. The Administrative Agent shall promptly notify the Lenders of each Notice of Borrowing.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Disbursement of Loans</w:t>
      </w:r>
      <w:r>
        <w:rPr>
          <w:rFonts w:ascii="Times New Roman" w:cs="Times New Roman" w:eastAsia="Times New Roman" w:hAnsi="Times New Roman"/>
          <w:sz w:val="18"/>
          <w:szCs w:val="18"/>
          <w:color w:val="auto"/>
        </w:rPr>
        <w:t xml:space="preserve">. Not later than 1:00 p.m. in the case of any Loan denominated in Dollars and not later than the Applicable Time specified by the Administrative Agent in the case of any Loan denominated in an Alternative Currency, in each case on the proposed borrowing date, each Lender will make available to the Administrative Agent, for the account of the applicable Borrower, at the office designated by the Administrative Agent in immediately available funds in the applicable Currency, such Lender’s Applicable Percentage (Loans) of the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Account Designation</w:t>
      </w:r>
      <w:r>
        <w:rPr>
          <w:rFonts w:ascii="Times New Roman" w:cs="Times New Roman" w:eastAsia="Times New Roman" w:hAnsi="Times New Roman"/>
          <w:sz w:val="18"/>
          <w:szCs w:val="18"/>
          <w:color w:val="auto"/>
        </w:rPr>
        <w:t xml:space="preserve">”) delivered by such Borrower to the Administrative Agent or as may be otherwise agreed upon by the Borrowers and the Administrative Agent from time to time. Subject to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hereof, the Administrative Agent shall not be obligated to disburse the portion of the proceeds of any Loan requested pursuant to this Section to the extent that any Lender has not made available to the Administrative Agent its Applicable Percentage (Loans) of such Loan.</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Optional Prepayments</w:t>
      </w:r>
      <w:r>
        <w:rPr>
          <w:rFonts w:ascii="Times New Roman" w:cs="Times New Roman" w:eastAsia="Times New Roman" w:hAnsi="Times New Roman"/>
          <w:sz w:val="18"/>
          <w:szCs w:val="18"/>
          <w:color w:val="auto"/>
        </w:rPr>
        <w:t xml:space="preserve">. The applicable Borrower may at any time and from time to time prepay Loans, in whole or in part, without premium or penalty, with irrevocable prior written notice to the Administrative Agent substantially in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E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given not later than 11:00 a.m. (i) in the case of a Base Rate Loan, at least one (1) Business Day before prepayment of such Base Rate Loan and (ii) (A) in the case of a Term SOFR Loan, at least three (3) RFR Business Days before prepayment of such Term SOFR Loan, (B) in the case of an RFR Loan denominated in any Alternative Currency, at least five (5) RFR Business Days before prepayment of such RFR Loan and (C) in the case of a Eurocurrency Rate Loan denominated in any Alternative Currency, at least four (4) Eurocurrency Banking Days before prepayment of such Eurocurrency Rate Loan (or five (5) Eurocurrency Banking Days in the case of a prepayment of Eurocurrency Rate Loans denominated in a Special Notice Currency), in each case, specifying the date, Currency and amount of prepayment and whether the prepayment is of Eurocurrency Rate Loans, Daily Simple RFR Loans, Term SOFR Loans, Base Rate Loans or a combination thereof, and, if of a combination thereof, the amount allocable to each. Upon receipt of such notice, the Administrative Agent shall promptly notify each Lender. If any such notice is given, the amount specified in such notice shall be due and payable on the date set forth in such notice. Partial prepayments shall be in an aggregate amount of $1,000,000 or a whole multiple of $500,000 in excess thereof with respect to Base Rate Loans and $2,000,000 or a whole multiple of $1,000,000 in excess thereof with respect to Eurocurrency Rate Loans or RFR Loans. A Notice of Prepayment received after 11:00 a.m. shall be deemed received on the next Business Day, RFR Business Day or Eurocurrency Banking Day, as applicable. Each such repayment shall be accompanied by any amount required to be paid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hereof. Notwithstanding the foregoing, any Notice of Prepayment delivered in connection with any refinancing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applicable Borrower in the event such contingency is not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contingency shall not relieve such Borrower from its obligations in respect thereof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Notice and Manner of Conversion or Continuation of Loans</w:t>
      </w:r>
      <w:r>
        <w:rPr>
          <w:rFonts w:ascii="Times New Roman" w:cs="Times New Roman" w:eastAsia="Times New Roman" w:hAnsi="Times New Roman"/>
          <w:sz w:val="18"/>
          <w:szCs w:val="18"/>
          <w:color w:val="auto"/>
        </w:rPr>
        <w:t xml:space="preserve">. Provided that no Default or Event of Default has occurred and is then continuing, the applicable Borrower shall have the option, subject to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to (a) convert at any time,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Term SOFR Loans,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Base Rate Loans or</w:t>
      </w:r>
    </w:p>
    <w:p>
      <w:pPr>
        <w:spacing w:after="0" w:line="5" w:lineRule="exact"/>
        <w:rPr>
          <w:sz w:val="20"/>
          <w:szCs w:val="20"/>
          <w:color w:val="auto"/>
        </w:rPr>
      </w:pPr>
    </w:p>
    <w:p>
      <w:pPr>
        <w:jc w:val="both"/>
        <w:ind w:firstLine="8"/>
        <w:spacing w:after="0" w:line="250" w:lineRule="auto"/>
        <w:tabs>
          <w:tab w:leader="none" w:pos="26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any Term SOFR Loans as Term SOFR Loans, (c) upon the expiration of any Interest Period therefor, continue any Eurocurrency Rate Loans as Eurocurrency Rate Loans and (d) upon the occurrence of the Interest Payment Date therefor, continue any Daily Simple RFR Loans as Daily Simple RFR Loans. Whenever the applicable Borrower desires to convert or continue Loans as provided above, such Borrower shall give the Administrative Agent irrevocable prior written notice in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F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not later than 11:00 a.m. (i) in the case of a Loan denominated in Dollars, at least three (3) RFR Business Days before the day on which a proposed conversion or continuation of such Loan is to be effective, (ii) in the case of a Loan denominated in any Alternative Currency that is to be an RFR Loan, at least five (5) RFR Business 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specifying (A) the Loans to be converted or continued, and, in the case of any Eurocurrency Rate Loan or Term SOFR Loan to be converted or continued, the last day of the Interest Period therefor, (B) the effective date of such conversion or continuation (which shall be a Business Day), (C) the principal amount and Currency of such Loans to be converted or continued, and (D) in the case of any Eurocurrency Rate Loan or Term SOFR Loan, the Interest Period to be applicable to such converted or continued Eurocurrency Rate Loan or Term SOFR Loan. If the applicable Borrower fails to deliver a timely Notice of Conversion/Continuation with respect to a Daily Simple RFR Loan prior to the Interest Payment Date therefor, then, unless such RFR Loan is repaid as provided herein, such Borrower shall be deemed to have selected that such RFR Loan shall automatically be converted to a Base Rate Loan denominated in Dollars (in an amount equal to the Dollar Equivalent of the applicable Alternative Currency, if applicable) as of such Interest Payment Date. If the applicable Borrower fails to deliver a timely Notice of Conversion/Continuation with respect to a Eurocurrency Rate Loan or a Term SOFR Loan prior to the end of the Interest Period therefor, then, unless such Eurocurrency Rate Loan or Term SOFR Loan, as applicable, is repaid as provided herein, such Borrower shall be deemed to have selected that such Eurocurrency Rate Loan or Term SOFR Loan, as applicable, shall automatically be converted to a Base Rate Loan denominated in Dollars (in an amount equal to the Dollar Equivalent of the applicable Alternative Currency) at the end of such Interest Period. If such Borrower requests a conversion to, or continuation of, a Eurocurrency Rate Loan or a Term SOFR Loan, but fails to specify an Interest Period, it will be deemed to have specified an Interest Period of one month. The Administrative Agent shall promptly notify the affected Lenders of such Notice of Conversion/Continuation.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LETTERS OF CREDIT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set forth herein, any Borrower may request that any Issuing Bank issue Letters of Credit denominated in Dollars or any Alternative Currency in the Dollar Equivalent of an aggregate amount not to exceed its LC Commitment for the account of such Borrower or, subject to </w:t>
      </w:r>
      <w:r>
        <w:rPr>
          <w:rFonts w:ascii="Times New Roman" w:cs="Times New Roman" w:eastAsia="Times New Roman" w:hAnsi="Times New Roman"/>
          <w:sz w:val="18"/>
          <w:szCs w:val="18"/>
          <w:u w:val="single" w:color="auto"/>
          <w:color w:val="auto"/>
        </w:rPr>
        <w:t>Section 3.01(m)</w:t>
      </w:r>
      <w:r>
        <w:rPr>
          <w:rFonts w:ascii="Times New Roman" w:cs="Times New Roman" w:eastAsia="Times New Roman" w:hAnsi="Times New Roman"/>
          <w:sz w:val="18"/>
          <w:szCs w:val="18"/>
          <w:color w:val="auto"/>
        </w:rPr>
        <w:t xml:space="preserve">, a Restricted Subsidiary, in a form reasonably acceptable to such Issuing Bank, at any time and from time to time during the Availability Period.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 neither Deutsche Bank (solely with respect to the Revolving Credit Commitment thereof), Barclays nor Morgan Stanley, as Issuing Bank, shall be required to issue any Commercial Letters of Credit and (b) Morgan Stanley will not be required to issue any bank guarantees. Notwithstanding anything to the contrary herein, no more than 1,000 (or such greater number as may be agreed by the Administrative Agent) Letters of Credit issued pursuant to this Agreement (including Existing Letters of Credit issued pursuant to </w:t>
      </w:r>
      <w:r>
        <w:rPr>
          <w:rFonts w:ascii="Times New Roman" w:cs="Times New Roman" w:eastAsia="Times New Roman" w:hAnsi="Times New Roman"/>
          <w:sz w:val="18"/>
          <w:szCs w:val="18"/>
          <w:u w:val="single" w:color="auto"/>
          <w:color w:val="auto"/>
        </w:rPr>
        <w:t>Section 3.01(n)</w:t>
      </w:r>
      <w:r>
        <w:rPr>
          <w:rFonts w:ascii="Times New Roman" w:cs="Times New Roman" w:eastAsia="Times New Roman" w:hAnsi="Times New Roman"/>
          <w:sz w:val="18"/>
          <w:szCs w:val="18"/>
          <w:color w:val="auto"/>
        </w:rPr>
        <w:t>) may be outstanding at any time.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11:00 a.m., New York City time, three (3) Business Days before the proposed date such Letter of Credit is to be issued and (ii) 11:00 a.m., New York City time, three (3)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the amount of such Letter of Credit, whether any such Letter of Credit is to be a Peformance Letter of Credit, Revolving Performance Letter of Credit or Financial Standby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(collectively, the “</w:t>
      </w: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xml:space="preserve">”).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Credit Exposure shall not exceed the Aggregate Commitments; (ii) the portion of the Total LC Exposure attributable to Letters of Credit issued by such Issuing Bank will not, unless such Issuing Bank shall so agree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exceed the LC Commitment of such Issuing Bank; and (iii) the Revolving Credit Outstandings will not exceed the total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issuance of Letters of Credit (x) constituting Financial Standby Letters of Credit and/or</w:t>
      </w:r>
    </w:p>
    <w:p>
      <w:pPr>
        <w:spacing w:after="0" w:line="10" w:lineRule="exact"/>
        <w:rPr>
          <w:sz w:val="20"/>
          <w:szCs w:val="20"/>
          <w:color w:val="auto"/>
        </w:rPr>
      </w:pPr>
    </w:p>
    <w:p>
      <w:pPr>
        <w:jc w:val="both"/>
        <w:ind w:firstLine="8"/>
        <w:spacing w:after="0" w:line="252" w:lineRule="auto"/>
        <w:tabs>
          <w:tab w:leader="none" w:pos="25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Revolving Performance Letters of Credit shall constitute utilization of the Revolving Credit Commitments and, for the avoidance of doubt, no Financial Standby Letters of Credit may be issued in respect of the Performance LC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Borrowers shall not reduce the Commitment of any Issuing Bank if, after giving effect of such reduction, the conditions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not then be satisfied, then, subject to the terms and conditions hereof, such Issuing Bank shall, on the requested date, issue, amend, renew or extend, as applicable, such Letter of Credit.</w:t>
      </w:r>
    </w:p>
    <w:p>
      <w:pPr>
        <w:spacing w:after="0" w:line="188"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Legal and Policy Prohibitions</w:t>
      </w:r>
      <w:r>
        <w:rPr>
          <w:rFonts w:ascii="Times New Roman" w:cs="Times New Roman" w:eastAsia="Times New Roman" w:hAnsi="Times New Roman"/>
          <w:sz w:val="18"/>
          <w:szCs w:val="18"/>
          <w:color w:val="auto"/>
        </w:rPr>
        <w:t xml:space="preserve">. Notwithstanding anything to the contrary herein,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 Issuing Bank shall not be under any obligation to issue any Letter of Credit if:</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1960"/>
        <w:spacing w:after="0"/>
        <w:rPr>
          <w:sz w:val="20"/>
          <w:szCs w:val="20"/>
          <w:color w:val="auto"/>
        </w:rPr>
      </w:pPr>
      <w:r>
        <w:rPr>
          <w:rFonts w:ascii="Times New Roman" w:cs="Times New Roman" w:eastAsia="Times New Roman" w:hAnsi="Times New Roman"/>
          <w:sz w:val="18"/>
          <w:szCs w:val="18"/>
          <w:color w:val="auto"/>
        </w:rPr>
        <w:t>(ii)            the issuance of such Letter of Credit would violate one or more policies of such Issuing Bank applicable to letters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generally.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Each Letter of Credit shall expire on or prior to the date (the “</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that is five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terms and conditions of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and the last sentence of each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any Borrower may request that an Issuing Bank issue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three-year anniversary of the Maturity Date so long as (i) such Letter of Credit is cash collateralized or backstopped pursuant to arrangements reasonably satisfactory to the relevant Issuing Bank and (ii) the aggregate face amount of all Letters of Credit so extended does not, at any time, exceed $150,000,000 (each such Letter of Credit, an “</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and such Issuing Bank may in its sole discretion, without the consent of the Administrative Agent or any of the Lenders or other Issuing Banks, agree to issue such Extended Expiration Letter of Credit (it being understood that no Issuing Bank shall be obligated to issue any Extended Expiration Letter of Credit). No Extended Expiration Letter of Credit may be issued on or after the Stated Cash Collateralization Date.</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(LCs)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(LCs) of the Dollar Equivalent amount of each LC Disbursement made by such Issuing Bank and not reimbursed by the Borrowers on the date due as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Notwithstanding anything to the contrary in this Agreement, no participation will be acquired under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respect of an Extended Expiration Letter of Credit issued in accordance with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and no Lender will be required to make any payment contemplated by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respect of such Extended Expiration Letters of Credit.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any Issuing Bank shall make any LC Disbursement in respect of a Letter of Credit, the applicable Borrower that requested such Letter of Credit or that is otherwise an applicant for such Letter of Credit shall reimburse such LC Disbursement in immediately available funds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 relates to a Financial Standby Letter of Credit or a Revolving Performance Letter of Credit and (ii) is made during the Availability Period, any Borrower may, at its election and subject to the conditions to borrowing set forth herein, request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that such payment be financed with a Base Rate Loan in the Dollar Equivalent amount thereof and, to the extent so financed, the applicable Borrower’s obligation to make such payment shall be discharged and replaced by the resulting Base Rate Loan. If the applicable Borrower fails to make such payment when due and no other Borrower makes such payment, the Issuing Bank shall notify the Administrative Agent who shall notify each Lender of the applicable LC Disbursement, the payment then due from such Borrower in respect thereof and such Lender’s Applicable Percentage (LCs) of the Dollar Equivalent thereof. Promptly following receipt of such notice, each Lender shall pay to the applicable Issuing Bank, in Dollars, its Applicable Percentage (LCs)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 Notwithstanding anything to the contrary in this Agreement, no Lender will be required to make any payment contemplated by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in respect of any Extended Expiration Letters of Credit.</w:t>
      </w:r>
    </w:p>
    <w:p>
      <w:pPr>
        <w:spacing w:after="0" w:line="188"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obligations to reimburse LC Disbursements as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Each Issuing Bank shall, within the period stipulated by the terms and conditions of the applicable Letter of Credit, following its receipt thereof, examine all documents purporting to represent a demand for payment under such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such Issuing Bank and the Lenders with respect to any such LC Disbursement.</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to reimburse such Issuing Bank shall be for the account of such Lender to the extent of such payment.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Modification and Termination of LC Commitments of Issuing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The LC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remove such Issuing Bank as an Issuing Bank from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(ii)            By written notice to the Borrowers, each Issuing Bank may from time to time request that such Issuing Bank’s LC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If:</w:t>
      </w:r>
    </w:p>
    <w:p>
      <w:pPr>
        <w:spacing w:after="0" w:line="225"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Letter of Credit is outstanding and any Event of Default shall occur and be continuing, on the Business Day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Letter of Credit is outstanding on the Maturity Date or, if earlier, the termination of the Aggregate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Commitments; or</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Borrowers are required to cash collateralize LC Exposure pursuant to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4.11</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4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18"/>
          <w:szCs w:val="18"/>
          <w:color w:val="auto"/>
        </w:rPr>
        <w:t>then the Borrowers shall deposit in an account maintained with the Administrative Agent, in the name of the Administrative Agent and for the benefit of the Issuing Banks and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in immediately available funds in the applicable Currency equal to (y)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above, (1) 105% of the Total LC Exposure with respect to Letters of Credit that are denominated in an Alternative Currency and (2) 103% of the Total LC Exposure with respect to Letters of Credit that are denominated in Dollars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of the Borrower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(z)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immediately above, an amount necessary to satisfy the requirements of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as the case may be. Any such deposits pursuant to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or such other provisions under this Agreement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only direct the Administrative Agent to invest such deposits in Cash Equivalents.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shall be returned to the Borrowers within three Business Days after all Events of Default have been cured or waived, (2)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the Total LC Exposure is subsequently reduced to an amount less than the Adjusted Aggregate Commitments, such cash collateral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or a portion thereof shall be promptly returned to the Borrowers to the extent, and within three (3) Business Days after determining, that the amount of the Total LC Exposure is less than the amount of the Adjusted Aggregate Commitments or (3) as a result of any Extended Expiration Letters of Credit, such amount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shall be returned to the Borrowers within three Business Days after each such Extended Expiration Letter of Credit has expired or terminated without any pending draw under such Extended Expiration Letter of Credit.</w:t>
      </w:r>
    </w:p>
    <w:p>
      <w:pPr>
        <w:spacing w:after="0" w:line="20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The obligations of each of the Borrowers and the Lenders under this Agreement and the other Loan Documents regarding Letters of Credit, including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after the Maturity Date and termination of this Agreement for so long as any LC Exposure exists (whether or not all or any portion of such LC Exposure has been cash collateralized as described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Extended Expiration Letters of Credit, only the Borrowers and the applicable Issuing Banks’ obligations (and not those of any other Lender) shall so survive.</w:t>
      </w:r>
    </w:p>
    <w:p>
      <w:pPr>
        <w:spacing w:after="0" w:line="39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5" w:name="page86"/>
    <w:bookmarkEnd w:id="85"/>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For the avoidance of doubt, each Lender confirms that its respective obligations (x)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(y) in respect of Letters of Credit shall be reinstated in full and apply if the delivery of any cash collateral pursuant to this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or otherwise.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Designation of Additional Issuing Banks</w:t>
      </w:r>
      <w:r>
        <w:rPr>
          <w:rFonts w:ascii="Times New Roman" w:cs="Times New Roman" w:eastAsia="Times New Roman" w:hAnsi="Times New Roman"/>
          <w:sz w:val="18"/>
          <w:szCs w:val="18"/>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Letters of Credit Issued for Account of Restricted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Existing Letters of Credit</w:t>
      </w:r>
      <w:r>
        <w:rPr>
          <w:rFonts w:ascii="Times New Roman" w:cs="Times New Roman" w:eastAsia="Times New Roman" w:hAnsi="Times New Roman"/>
          <w:sz w:val="18"/>
          <w:szCs w:val="18"/>
          <w:color w:val="auto"/>
        </w:rPr>
        <w:t xml:space="preserve">. Simultaneously with the occurrence of the Effective Date, each of the Existing Letters of Credit shall be deemed issued under this Agreement (and shall comprise Performance Letters of Credit under this Agreement and the other Loan Documents), and with respect to each such Existing Letter of Credit, the applicable Borrower specified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with respect to such Existing Letter of Credit shall be deemed to be the applicant (or where no Borrower is specified on either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all Borrowers shall be deemed to be the applicant thereof), and shall have the reimbursement obligations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with respect thereto. Existing Letters of Credit shall be subject to all provisions contained herein (including, without limitation,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and be secured by the Collateral pursuant to the Loan Documents.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Minimum Denominations</w:t>
      </w:r>
      <w:r>
        <w:rPr>
          <w:rFonts w:ascii="Times New Roman" w:cs="Times New Roman" w:eastAsia="Times New Roman" w:hAnsi="Times New Roman"/>
          <w:sz w:val="18"/>
          <w:szCs w:val="18"/>
          <w:color w:val="auto"/>
        </w:rPr>
        <w:t>. Letters of Credit (other than Existing Letters of Credit) hereunder shall be issued in minimum face amounts of $25,000 (or if denominated in an Alternative Currency, the Dollar equivalent of $25,000).</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w:t>
      </w:r>
    </w:p>
    <w:p>
      <w:pPr>
        <w:spacing w:after="0" w:line="3" w:lineRule="exact"/>
        <w:rPr>
          <w:sz w:val="20"/>
          <w:szCs w:val="20"/>
          <w:color w:val="auto"/>
        </w:rPr>
      </w:pPr>
    </w:p>
    <w:p>
      <w:pPr>
        <w:ind w:left="660" w:right="4260" w:hanging="652"/>
        <w:spacing w:after="0" w:line="490" w:lineRule="auto"/>
        <w:tabs>
          <w:tab w:leader="none" w:pos="26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which is drawn, reimbursed and no longer available under such Letter of Credit). SECTION 3.02     </w:t>
      </w:r>
      <w:r>
        <w:rPr>
          <w:rFonts w:ascii="Times New Roman" w:cs="Times New Roman" w:eastAsia="Times New Roman" w:hAnsi="Times New Roman"/>
          <w:sz w:val="18"/>
          <w:szCs w:val="18"/>
          <w:u w:val="single" w:color="auto"/>
          <w:color w:val="auto"/>
        </w:rPr>
        <w:t>  Increase in Performance LC Commitments</w:t>
      </w:r>
      <w:r>
        <w:rPr>
          <w:rFonts w:ascii="Times New Roman" w:cs="Times New Roman" w:eastAsia="Times New Roman" w:hAnsi="Times New Roman"/>
          <w:sz w:val="18"/>
          <w:szCs w:val="18"/>
          <w:color w:val="auto"/>
        </w:rPr>
        <w:t>.</w:t>
      </w: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Borrowers’ Request</w:t>
      </w:r>
      <w:r>
        <w:rPr>
          <w:rFonts w:ascii="Times New Roman" w:cs="Times New Roman" w:eastAsia="Times New Roman" w:hAnsi="Times New Roman"/>
          <w:sz w:val="18"/>
          <w:szCs w:val="18"/>
          <w:color w:val="auto"/>
        </w:rPr>
        <w:t>. Subject to the terms and conditions set forth herein, the Borrowers may by written notice to the Administrative Agent, and with the consent of each Issuing Bank, elect to request at any time and from time to time (but not more than three times in any calendar year) after the Effective Date but prior to the Maturity Date an increase to the aggregate Performance LC Commitments (each such increase, a “</w:t>
      </w:r>
      <w:r>
        <w:rPr>
          <w:rFonts w:ascii="Times New Roman" w:cs="Times New Roman" w:eastAsia="Times New Roman" w:hAnsi="Times New Roman"/>
          <w:sz w:val="18"/>
          <w:szCs w:val="18"/>
          <w:u w:val="single" w:color="auto"/>
          <w:color w:val="auto"/>
        </w:rPr>
        <w:t>Performance LC Commitment Increase</w:t>
      </w:r>
      <w:r>
        <w:rPr>
          <w:rFonts w:ascii="Times New Roman" w:cs="Times New Roman" w:eastAsia="Times New Roman" w:hAnsi="Times New Roman"/>
          <w:sz w:val="18"/>
          <w:szCs w:val="18"/>
          <w:color w:val="auto"/>
        </w:rPr>
        <w:t>”, and each additional commitment provided pursuant to a Performance LC Commitment Increase, an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LC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(x) all Incremental Performance LC Commitments provided after the Effective Date under this Agreement (other than any Incremental Performance LC Commitments provided in order to give effect to any reduction and reallocation under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shall not exceed $200,000,000 (such amount, the “</w:t>
      </w:r>
      <w:r>
        <w:rPr>
          <w:rFonts w:ascii="Times New Roman" w:cs="Times New Roman" w:eastAsia="Times New Roman" w:hAnsi="Times New Roman"/>
          <w:sz w:val="18"/>
          <w:szCs w:val="18"/>
          <w:u w:val="single" w:color="auto"/>
          <w:color w:val="auto"/>
        </w:rPr>
        <w:t>Incremental Performance LC Commitment Cap</w:t>
      </w:r>
      <w:r>
        <w:rPr>
          <w:rFonts w:ascii="Times New Roman" w:cs="Times New Roman" w:eastAsia="Times New Roman" w:hAnsi="Times New Roman"/>
          <w:sz w:val="18"/>
          <w:szCs w:val="18"/>
          <w:color w:val="auto"/>
        </w:rPr>
        <w:t>”). Each such notice shall specify</w:t>
      </w:r>
    </w:p>
    <w:p>
      <w:pPr>
        <w:spacing w:after="0" w:line="3" w:lineRule="exact"/>
        <w:rPr>
          <w:sz w:val="20"/>
          <w:szCs w:val="20"/>
          <w:color w:val="auto"/>
        </w:rPr>
      </w:pPr>
    </w:p>
    <w:p>
      <w:pPr>
        <w:jc w:val="both"/>
        <w:ind w:firstLine="8"/>
        <w:spacing w:after="0" w:line="250" w:lineRule="auto"/>
        <w:tabs>
          <w:tab w:leader="none" w:pos="21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the Borrowers propose that the applicable Incremental Performance LC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Performance LC Commitments be allocated 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existing Lender approached to provide an Incremental Performance LC Commitment may elect or decline, in its sole discretion, to provide such Incremental Performance LC Commitment (any existing Lender electing to provide an Incremental Performance LC Commitment,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(B) any Person approached to provide an Incremental Performance LC Commitment that is not already a Lender shall meet the requirements to be an assignee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and shall deliver all applicable forms and documents required by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12.05(b)(ii)</w:t>
      </w:r>
      <w:r>
        <w:rPr>
          <w:rFonts w:ascii="Times New Roman" w:cs="Times New Roman" w:eastAsia="Times New Roman" w:hAnsi="Times New Roman"/>
          <w:sz w:val="18"/>
          <w:szCs w:val="18"/>
          <w:color w:val="auto"/>
        </w:rPr>
        <w:t xml:space="preserve"> (any such Person agreeing to provide all or any portion of an Incremental Performance LC Commitment that is not already a Lender,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if any Increasing Lender is providing an Incremental Performance LC Commitment, then the Borrowers and such Increasing Lender shall execute an Increasing Lender Supplement, and (D) if any Additional Lender is providing an Incremental Performance LC Commitment, then the Borrowers and such Additional Lender shall execute an Additional Lender Supplement. Each Performance LC Commitment Increase shall be in an aggregate amount of $5,000,000 or any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 Performance LC Commitment Increase may be less than $5,000,000 if such amount represents all remaining availability under the Incremental Performance LC Commitment Cap).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Each Performance LC Commitment Increase shall become effective on the proposed effective date set forth in the Borrowers’ request for a Performance LC Commitment Increase or such later date as the Administrative Agent and the Borrowers agree (the “</w:t>
      </w:r>
      <w:r>
        <w:rPr>
          <w:rFonts w:ascii="Times New Roman" w:cs="Times New Roman" w:eastAsia="Times New Roman" w:hAnsi="Times New Roman"/>
          <w:sz w:val="18"/>
          <w:szCs w:val="18"/>
          <w:u w:val="single" w:color="auto"/>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which in any event shall be on or after the date on which the Administrative Agent shall have received: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an Additional Lender Supplement for each Additional Lender participating in such Performance LC Commitment Increase and an Increasing Lender Supplement for each Increasing Lender participating in such Performance LC Commitment Increase, in each case duly executed by all parties thereto;</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such documents and opinions consistent with those delivered on the Effective Date as to the organizational power and authority of the Borrowers to request Letters of Credit and other extensions of credit hereunder after giving effect to such Performance LC Commitment Increase as the Administrative Agent may reasonably request;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such evidence of appropriate corporate or other organizational authorization on the part of the Borrowers, Parent and the other Obligors (of the type consistent with those delivered on the Effective Date) with respect to such Performance LC Commitment Increase as the Administrative Agent may reasonably request;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Performance LC Commitment Increase as the Administrative Agent may reasonably request;</w:t>
      </w:r>
    </w:p>
    <w:p>
      <w:pPr>
        <w:spacing w:after="0" w:line="176" w:lineRule="exact"/>
        <w:rPr>
          <w:sz w:val="20"/>
          <w:szCs w:val="20"/>
          <w:color w:val="auto"/>
        </w:rPr>
      </w:pPr>
    </w:p>
    <w:p>
      <w:pPr>
        <w:jc w:val="both"/>
        <w:ind w:left="660" w:firstLine="1296"/>
        <w:spacing w:after="0" w:line="272" w:lineRule="auto"/>
        <w:rPr>
          <w:sz w:val="20"/>
          <w:szCs w:val="20"/>
          <w:color w:val="auto"/>
        </w:rPr>
      </w:pPr>
      <w:r>
        <w:rPr>
          <w:rFonts w:ascii="Times New Roman" w:cs="Times New Roman" w:eastAsia="Times New Roman" w:hAnsi="Times New Roman"/>
          <w:sz w:val="17"/>
          <w:szCs w:val="17"/>
          <w:color w:val="auto"/>
        </w:rPr>
        <w:t xml:space="preserve">(v)            a certificate of a Responsible Officer of Parent, dated such Increase Effective Date, certifying that (A) the representations and warranties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Increase Effective Date both immediately before and after giving effect to such Performance LC Commitment Increase; and</w:t>
      </w:r>
    </w:p>
    <w:p>
      <w:pPr>
        <w:spacing w:after="0" w:line="17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other customary closing certificates and documentation (similar to the documentation required to be delivered on the Effective Date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to the extent applicable) relating to such Performance LC Commitment Increase as the Administrative Agent may reasonably request.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Reduction and Reallocation</w:t>
      </w:r>
      <w:r>
        <w:rPr>
          <w:rFonts w:ascii="Times New Roman" w:cs="Times New Roman" w:eastAsia="Times New Roman" w:hAnsi="Times New Roman"/>
          <w:sz w:val="18"/>
          <w:szCs w:val="18"/>
          <w:color w:val="auto"/>
        </w:rPr>
        <w:t xml:space="preserve">. If, after giving effect to any Performance LC Commitment Increase or Specific Incremental Commitment Increase, the aggregate Commitments would exceed $400,000,000, any such Performance LC Commitment Increase or Specific Incremental Commitment Increase, as applicable, shall be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applied to reduce, on a pro rata basis, the applicable Commitments of each Joint Lead Arranger with Commitments greater than $75,000,000 until the Commitments of each such Joint Lead Arranger is not greater than $75,000,000; provided, that for the avoidance of doubt, the reductions and reallocations provided for under this Section 3.02(c) are not intended to reduce or count towards the Incremental Performance LC Commitment Cap or the Specific Incremental Commitment Cap. In connection with the foregoing, the Commitments will be reallocated among the Lenders as needed and in accordance with procedures determined by the Administrative Agent to be reasonable and necessary to effect such reallocations, and, following such reallocation, the Administrative Agent shall deliver an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Borrowers and the Lenders reflecting same,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Equal and Ratable Benefit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Performance LC Commitments established pursuant to this paragraph shall constitute Performance LC Commitments under, and shall be entitled to all the benefits afforded by, this Agreement and the other Loan Documents, and shall, without limiting the foregoing, benefit equally and ratably from the Guaranty Agreements.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Activity Reports</w:t>
      </w:r>
      <w:r>
        <w:rPr>
          <w:rFonts w:ascii="Times New Roman" w:cs="Times New Roman" w:eastAsia="Times New Roman" w:hAnsi="Times New Roman"/>
          <w:sz w:val="18"/>
          <w:szCs w:val="18"/>
          <w:color w:val="auto"/>
        </w:rPr>
        <w:t xml:space="preserve">. Each Issuing Bank shall deliver a weekly report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or any other form reasonably acceptable to the Administrative Agent, to the Administrative Agent on the first Business Day of each week indicating the number of Letters of Credit issued or amended (including the face amount thereof) on each day during the prior week by such Issuing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CREDIT PROVISIONS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of Commitments on the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On the Maturity Date (if the Commitments have not been terminated in full earlier in accordance with the terms hereof),</w:t>
      </w:r>
    </w:p>
    <w:p>
      <w:pPr>
        <w:spacing w:after="0" w:line="27" w:lineRule="exact"/>
        <w:rPr>
          <w:sz w:val="20"/>
          <w:szCs w:val="20"/>
          <w:color w:val="auto"/>
        </w:rPr>
      </w:pPr>
    </w:p>
    <w:p>
      <w:pPr>
        <w:ind w:left="660" w:right="20" w:hanging="4"/>
        <w:spacing w:after="0" w:line="260" w:lineRule="auto"/>
        <w:tabs>
          <w:tab w:leader="none" w:pos="9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to each Lender all amounts then payable to such Lender under this Agreement and (y) such Lender’s Commitment (and, in the case of a Lender that is an Issuing Bank, such Issuing Bank’s LC Commitment) shall automatically terminate.</w:t>
      </w:r>
    </w:p>
    <w:p>
      <w:pPr>
        <w:spacing w:after="0" w:line="181"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(and the cash so deposited shall be held, invested and applied by such Issuing Bank in a manner consistent with the investment and other procedures described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until the expiration and termination of such Letter of Credit.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ind w:left="644"/>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Voluntary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 xml:space="preserve">(i)            At their option, the Borrowers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sz w:val="20"/>
          <w:szCs w:val="20"/>
          <w:color w:val="auto"/>
        </w:rPr>
      </w:pPr>
    </w:p>
    <w:p>
      <w:pPr>
        <w:jc w:val="both"/>
        <w:ind w:left="4" w:hanging="4"/>
        <w:spacing w:after="0" w:line="250" w:lineRule="auto"/>
        <w:tabs>
          <w:tab w:leader="none" w:pos="30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jc w:val="both"/>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Total Credit Exposure would exceed the Aggregate Commitments, (ii) the Revolving Credit Exposure would exceed the aggregate Revolving Credit Commitments or (iii) the sum of (A) the aggregate principal amount of Loans outstanding plus (B) the Revolving LC Exposure in respect of Revolving Performance Letters of Credit would exceed the difference between (1) the total Revolving Credit Commitments as so reduced and (2) the Financial LC-Specific Commitment.</w:t>
      </w:r>
    </w:p>
    <w:p>
      <w:pPr>
        <w:spacing w:after="0" w:line="189"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The Borrowers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Section 4.01(b)(i)</w:t>
      </w:r>
      <w:r>
        <w:rPr>
          <w:rFonts w:ascii="Times New Roman" w:cs="Times New Roman" w:eastAsia="Times New Roman" w:hAnsi="Times New Roman"/>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(provided that the failure of such contingency shall not relieve the Borrowers from their obligations in respect thereof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194"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Each permanent reduction of the Revolving Credit Commitments permitted pursuant to this Section shall be accompanied by a payment of principal sufficient to reduce the aggregate outstanding Loans and Revolving LC Exposures, as applicable, after such reduction to the Revolving Credit Commitment as so reduced, and if the Revolving LC Exposures exceed the Revolving Credit Commitment as so reduced, the Borrowers shall be required to deposit cash in the LC Collateral Account in an amount equal to such excess. Such cash collateral shall be applied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reduction of the Revolving Credit Commitments to zero shall be accompanied by payment of all outstanding Loans (and furnishing of cash collateral satisfactory to the Administrative Agent for all Revolving LC Exposure or other arrangements satisfactory to the respective Issuing Banks) and shall result in the termination of the Revolving Credit Commitments. If the reduction of the Revolving Credit Commitments requires the repayment of any Eurocurrency Rate Loan or RFR Loan, such repayment shall be accompanied by any amount required to be paid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hereof.</w:t>
      </w:r>
    </w:p>
    <w:p>
      <w:pPr>
        <w:spacing w:after="0" w:line="200" w:lineRule="exact"/>
        <w:rPr>
          <w:sz w:val="20"/>
          <w:szCs w:val="20"/>
          <w:color w:val="auto"/>
        </w:rPr>
      </w:pPr>
    </w:p>
    <w:p>
      <w:pPr>
        <w:spacing w:after="0" w:line="20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Repayment of Obligations; Evidence of Debt.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Borrowers hereby unconditionally promise to pay in immediately available funds to the Administrative Agent for the account of each Lender all outstanding Obligations on the Maturity Date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Borrowers to such Lender resulting from each Loan and/or Letter of Credit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7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this Section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7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            Upon the request of any Lender made through the Administrative Agent, each Borrower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Mandatory Prepayment of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If at any time the Revolving Credit Outstandings exceed the total Revolving Credit Commitments, the Borrowers agree to repay immediately upon notice from the Administrative Agent, by payment to the Administrative Agent for the account of the Lenders, Extensions of Credit in an amount equal to such excess with each such repayment applied first, to the principal amount of outstanding Loans and second, with respect to any remaining Revolving Credit Outstandings attributable to outstanding Letters of Credit, to cash collateralize Revolving LC Exposures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in an amount equal to the remaining excess.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On the date that a Change of Control occurs, the Commitments shall terminate and the Borrowers shall, subject to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firstLine="8"/>
        <w:spacing w:after="0" w:line="260" w:lineRule="auto"/>
        <w:tabs>
          <w:tab w:leader="none" w:pos="2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 all outstanding Obligations in immediately available funds and (ii) deposit in the LC Collateral Account an amount in cash required by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If at any time (including concurrently with or immediately after giving effect to any reduction of the Lenders’ Commitments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difference between (i) the Total LC Exposure and (ii) the Revolving LC Exposures exceeds the Adjusted Aggregate Commitments, the Borrowers shall, within two (2) Business Days, cash collateralize LC Exposures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in an amount equal to such excess.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Interest Rate Options</w:t>
      </w:r>
      <w:r>
        <w:rPr>
          <w:rFonts w:ascii="Times New Roman" w:cs="Times New Roman" w:eastAsia="Times New Roman" w:hAnsi="Times New Roman"/>
          <w:sz w:val="18"/>
          <w:szCs w:val="18"/>
          <w:color w:val="auto"/>
        </w:rPr>
        <w:t xml:space="preserve">. Loans may be (i) with respect to Loans denominated in Dollars, (A) Base Rate Loans or (B) Term SOFR Loans, (ii) with respect to Loans denominated in Euros, Yen, Australian Dollars or other Currencies (other than Sterling or Swiss Francs), Eurocurrency Rate Loans or (iii) with respect to Loans denominated in Sterling or Swiss Francs, Daily Simple RFR Loans, each as further provided herein. Subject to the provisions of this Section, at the election of the Borrowers (where applicable), Loans that are (1) Base Rate Loans shall bear interest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(2) Term SOFR Loans shall bear interest at Adjusted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(3) Eurocurrency Rate Loans shall bear interest at the applicable Adjusted Eurocurrency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(4) Daily Simple RFR Loans shall bear interest at the applicable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The Borrowers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 Rate</w:t>
      </w:r>
      <w:r>
        <w:rPr>
          <w:rFonts w:ascii="Times New Roman" w:cs="Times New Roman" w:eastAsia="Times New Roman" w:hAnsi="Times New Roman"/>
          <w:sz w:val="18"/>
          <w:szCs w:val="18"/>
          <w:color w:val="auto"/>
        </w:rPr>
        <w:t xml:space="preserve">. Notwithstanding the foregoing, if any Event of Default has occurred and is continuing, including if any interest,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amount. Interest shall continue to accrue on the Obligations after the filing by or against the applicable Borrower of any petition seeking any relief in bankruptcy or under any Insolvency Laws.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Interest Payment and Computation</w:t>
      </w:r>
      <w:r>
        <w:rPr>
          <w:rFonts w:ascii="Times New Roman" w:cs="Times New Roman" w:eastAsia="Times New Roman" w:hAnsi="Times New Roman"/>
          <w:sz w:val="18"/>
          <w:szCs w:val="18"/>
          <w:color w:val="auto"/>
        </w:rPr>
        <w:t xml:space="preserve">. Interest on each Loan shall be due and payable in arrears on each Interest Payment Date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event of any repayment or prepayment of any Eurocurrency Rate Loan or Term SOFR Loan, accrued interest on the principal amount repaid or prepaid shall be payable on the date of such repayment or prepayment, (ii) in the event of any conversion of any Eurocurrency Rate Loan or Term SOFR Loan prior to the end of the Interest Period therefor, accrued interest on such Loan shall be payable on the effective date of such conversion and (iii) interest accrued pursuant to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shall be payable on demand.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Loans denominated in any Alternative Currency as to which market practice differs from the foregoing shall be computed in accordance with market practice for such Loans.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Initial Benchmark Conforming Changes</w:t>
      </w:r>
      <w:r>
        <w:rPr>
          <w:rFonts w:ascii="Times New Roman" w:cs="Times New Roman" w:eastAsia="Times New Roman" w:hAnsi="Times New Roman"/>
          <w:sz w:val="18"/>
          <w:szCs w:val="18"/>
          <w:color w:val="auto"/>
        </w:rPr>
        <w:t>. In connection with the use or administration of any Benchmark,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any Benchmark.</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Swiss Obligors</w:t>
      </w:r>
      <w:r>
        <w:rPr>
          <w:rFonts w:ascii="Times New Roman" w:cs="Times New Roman" w:eastAsia="Times New Roman" w:hAnsi="Times New Roman"/>
          <w:sz w:val="18"/>
          <w:szCs w:val="18"/>
          <w:color w:val="auto"/>
        </w:rPr>
        <w:t xml:space="preserve">. The interest rates provided for in this Agreement with respect to any Swiss Obligor, including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are minimum interest rates. When entering into this Agreement, the parties have assumed that the interest payable at the rates set out in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March, June, September and December of each year, shall be payable in arrears in Dollars on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such last date and on the date on which the aggregate Commitments terminate and on the Maturity Date, with payment commencing on January 15, 2023. All facility fees shall be computed on the basis of a year of 360 days and shall be payable for the actual number of days elapsed (including the first day but excluding the last day).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1300"/>
        <w:spacing w:after="0"/>
        <w:rPr>
          <w:sz w:val="20"/>
          <w:szCs w:val="20"/>
          <w:color w:val="auto"/>
        </w:rPr>
      </w:pPr>
      <w:r>
        <w:rPr>
          <w:rFonts w:ascii="Times New Roman" w:cs="Times New Roman" w:eastAsia="Times New Roman" w:hAnsi="Times New Roman"/>
          <w:sz w:val="18"/>
          <w:szCs w:val="18"/>
          <w:color w:val="auto"/>
        </w:rPr>
        <w:t xml:space="preserve">(b)            The Borrowers agree to pay (subject to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to the Administrative Agent, for the account of each Lender in accordance with its applicable Applicable Percentage (LCs), a participation fee with respect to the Lenders’ participations in each Letter of Credit, which shall accrue at the LC Participation Fee Rate on the average daily Dollar Equivalent of the maximum amount available to be drawn under each such Letter of Credit (whether or not any increase in respect thereof has taken effect) during the period from and including the date of issuance of each such Letter of Credit to but excluding the earlier of (1) the date on which such Letter of Credit expires or terminates and (2) the Maturity Date (the “</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and</w:t>
      </w:r>
    </w:p>
    <w:p>
      <w:pPr>
        <w:spacing w:after="0" w:line="187"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Participation fees and fronting fees accrued through and including the last day of March, June, September and December of each year shall be payable in arrears in Dollars on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such last day, with payment commencing on January 15,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to the Lenders on the Maturity Date,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and shall be payable for the actual number of days elapsed (including the first day but excluding the last day) other than as set forth in </w:t>
      </w:r>
      <w:r>
        <w:rPr>
          <w:rFonts w:ascii="Times New Roman" w:cs="Times New Roman" w:eastAsia="Times New Roman" w:hAnsi="Times New Roman"/>
          <w:sz w:val="18"/>
          <w:szCs w:val="18"/>
          <w:u w:val="single" w:color="auto"/>
          <w:color w:val="auto"/>
        </w:rPr>
        <w:t>Section 4.04(c)</w:t>
      </w:r>
      <w:r>
        <w:rPr>
          <w:rFonts w:ascii="Times New Roman" w:cs="Times New Roman" w:eastAsia="Times New Roman" w:hAnsi="Times New Roman"/>
          <w:sz w:val="18"/>
          <w:szCs w:val="18"/>
          <w:color w:val="auto"/>
        </w:rPr>
        <w:t xml:space="preserve"> with respect to LC Participation Fees based on the Base Rate. The amount of participation and fronting fees payable hereunder shall be set forth in a written invoice or other notice delivered to the Borrowers by the Administrative Agent or, in the case of fronting fees, by the applicable Issuing Bank.</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Borrowers agree to pay to the Administrative Agent, for its own account, fees payable in the amounts and at the times separately agreed upon between themselves and the Administrative Agent.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to the applicable Lenders. Fees paid shall not be refundable under any circumstances (unless otherwise agreed by the Administrative Agent with respect to fees payable to the Administrative Agent for its own account).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Changed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Circumstances Affecting Eurocurrency Rates and RFRs</w:t>
      </w:r>
      <w:r>
        <w:rPr>
          <w:rFonts w:ascii="Times New Roman" w:cs="Times New Roman" w:eastAsia="Times New Roman" w:hAnsi="Times New Roman"/>
          <w:sz w:val="18"/>
          <w:szCs w:val="18"/>
          <w:color w:val="auto"/>
        </w:rPr>
        <w:t>. Subject to clause (c) below, in connection with any RFR Loan or Eurocurrency Rate Loan, a request therefor, a conversion to or a continuation thereof or otherwise, if for any reason (i) the Administrative Agent shall determine (which determination shall be conclusive and binding absent manifest error) that (x) if Daily Simple RFR is utilized in any calculations hereunder or under any other Loan Document with respect to any Obligations, interest, fees, commissions or other amounts, reasonable and adequate means do not exist for ascertaining Daily Simple RFR pursuant to the definition thereof or (y) if Adjusted Term SOFR or a Eurocurrency Rate is utilized in any calculations hereunder or under any other Loan Document with respect to any Obligations, interest, fees, commissions or other amounts, reasonable and adequate means do not exist for ascertaining Adjusted Term SOFR or such Eurocurrency Rate, as applicable, for the applicable Currency and the applicable Interest Period with respect to a proposed Term SOFR Loan or Eurocurrency Rate Loan,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(iii)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(iv) the Required Lenders shall determine (which determination shall be conclusive and binding absent manifest error) that (x) if Daily Simple RFR is utilized in any calculations hereunder or under any other Loan Document with respect to any Obligations, interest, fees, commissions or other amounts, Daily Simple RFR does not adequately and fairly reflect the cost to such Lenders of making or maintaining such Loans or (y) if Adjusted Term SOFR or a Eurocurrency Rate is utilized in any calculations hereunder or under any other Loan Document with respect to any Obligations, interest, fees, commissions or other amounts, Adjusted Term SOFR 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Borrowers, any obligation of the Lenders to make RFR Loans or Eurocurrency Rate Loans, as applicable, in each such Currency, and any right of the Borrowers to convert any Loan in each such Currency (if applicable) to or continue any Loan as an RFR Loan or a Eurocurrency Rate Loan, as applicable, in each such Currency, shall be suspended (to the extent of the affected RFR Loans or Eurocurrency Rate Loans or, in the case of Term SOFR Loans or Eurocurrency Rate Loans, the affected Interest Periods) until the Administrative Agent (with respect to clause (iv), at the instruction of the Required Lenders) revokes such notice. Upon receipt of such notice, (A) the applicable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 (I) in the case of any request for a borrowing of an affected Term SOFR Loan, the applicable Borrower will be deemed to have converted any such request into a request for a borrowing of or conversion to Base Rate Loans in the amount specified therein and</w:t>
      </w:r>
    </w:p>
    <w:p>
      <w:pPr>
        <w:spacing w:after="0" w:line="5" w:lineRule="exact"/>
        <w:rPr>
          <w:sz w:val="20"/>
          <w:szCs w:val="20"/>
          <w:color w:val="auto"/>
        </w:rPr>
      </w:pPr>
    </w:p>
    <w:p>
      <w:pPr>
        <w:jc w:val="both"/>
        <w:ind w:firstLine="8"/>
        <w:spacing w:after="0" w:line="250" w:lineRule="auto"/>
        <w:tabs>
          <w:tab w:leader="none" w:pos="2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Loans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applicable Borrower by the date that is the earlier of (x) three</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receipt by such Borrower of such notice or (y) with respect to a Eurocurrency Rate Loan the last day of the current Interest Period,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Laws Affecting Eurocurrency Rate or RFR Availability</w:t>
      </w:r>
      <w:r>
        <w:rPr>
          <w:rFonts w:ascii="Times New Roman" w:cs="Times New Roman" w:eastAsia="Times New Roman" w:hAnsi="Times New Roman"/>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or Eurocurrency Rate Loan, or to determine or charge interest based upon any applicable RFR, Daily Simple RFR, the Term SOFR Reference Rate, Term SOFR, Adjusted Term SOFR, the Eurocurrency Rate or the Adjusted Eurocurrency Rate, such Lender shall promptly give notice thereof to the Administrative Agent and the Administrative Agent shall promptly give notice to the Borrowers and the other Lenders (an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Thereafter, until each affected Lender notifies the Administrative Agent and the Administrative Agent notifies the Borrowers that the circumstances giving rise to such determination no longer exist, (i) any obligation of the Lenders to make RFR Loans or Eurocurrency Rate Loans, as applicable, in the affected Currency or Currencies, and any right of the Borrowers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w:t>
      </w:r>
    </w:p>
    <w:p>
      <w:pPr>
        <w:spacing w:after="0" w:line="10" w:lineRule="exact"/>
        <w:rPr>
          <w:sz w:val="20"/>
          <w:szCs w:val="20"/>
          <w:color w:val="auto"/>
        </w:rPr>
      </w:pPr>
    </w:p>
    <w:p>
      <w:pPr>
        <w:jc w:val="both"/>
        <w:ind w:firstLine="8"/>
        <w:spacing w:after="0" w:line="252" w:lineRule="auto"/>
        <w:tabs>
          <w:tab w:leader="none" w:pos="2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Borrowers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44"/>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1296"/>
        <w:spacing w:after="0" w:line="257"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Notwithstanding anything to the contrary herein or in any other Loan Document, upon the occurrence of a Benchmark Transition Event with respect to any Benchmark, the Administrative Agent and the Borrowers may amend this Agreement to replace such Benchmark with a Benchmark Replacement. Any such amendment with respect to a Benchmark Transition Event will</w:t>
      </w:r>
    </w:p>
    <w:p>
      <w:pPr>
        <w:spacing w:after="0" w:line="1" w:lineRule="exact"/>
        <w:rPr>
          <w:sz w:val="20"/>
          <w:szCs w:val="20"/>
          <w:color w:val="auto"/>
        </w:rPr>
      </w:pPr>
    </w:p>
    <w:p>
      <w:pPr>
        <w:jc w:val="both"/>
        <w:ind w:left="4"/>
        <w:spacing w:after="0" w:line="221" w:lineRule="auto"/>
        <w:rPr>
          <w:sz w:val="20"/>
          <w:szCs w:val="20"/>
          <w:color w:val="auto"/>
        </w:rPr>
      </w:pPr>
      <w:r>
        <w:rPr>
          <w:rFonts w:ascii="Times New Roman" w:cs="Times New Roman" w:eastAsia="Times New Roman" w:hAnsi="Times New Roman"/>
          <w:sz w:val="18"/>
          <w:szCs w:val="18"/>
          <w:color w:val="auto"/>
        </w:rPr>
        <w:t>become effective at 5:00 p.m.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4.06(c)</w:t>
      </w:r>
    </w:p>
    <w:p>
      <w:pPr>
        <w:ind w:left="224" w:hanging="224"/>
        <w:spacing w:after="0"/>
        <w:tabs>
          <w:tab w:leader="none" w:pos="224" w:val="left"/>
        </w:tabs>
        <w:numPr>
          <w:ilvl w:val="0"/>
          <w:numId w:val="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will occur prior to the applicable Benchmark Transition Start Date.</w:t>
      </w:r>
    </w:p>
    <w:p>
      <w:pPr>
        <w:spacing w:after="0" w:line="207" w:lineRule="exact"/>
        <w:rPr>
          <w:sz w:val="20"/>
          <w:szCs w:val="20"/>
          <w:color w:val="auto"/>
        </w:rPr>
      </w:pPr>
    </w:p>
    <w:p>
      <w:pPr>
        <w:jc w:val="both"/>
        <w:ind w:left="4" w:firstLine="1296"/>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3" w:lineRule="exact"/>
        <w:rPr>
          <w:sz w:val="20"/>
          <w:szCs w:val="20"/>
          <w:color w:val="auto"/>
        </w:rPr>
      </w:pPr>
    </w:p>
    <w:p>
      <w:pPr>
        <w:jc w:val="both"/>
        <w:ind w:left="4" w:firstLine="1296"/>
        <w:spacing w:after="0" w:line="25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Borrowers and the Lenders of (A) the implementation of any Benchmark Replacement and (B) the effectiveness of any Conforming Changes in connection with the use, administration, adoption or implementation of a Benchmark Replacement. The Administrative Agent will promptly notify the Borrowers of (x) the removal or reinstatement of any tenor of a Benchmark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7" w:name="page98"/>
    <w:bookmarkEnd w:id="97"/>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(iv)          </w:t>
      </w:r>
      <w:r>
        <w:rPr>
          <w:rFonts w:ascii="Times New Roman" w:cs="Times New Roman" w:eastAsia="Times New Roman" w:hAnsi="Times New Roman"/>
          <w:sz w:val="17"/>
          <w:szCs w:val="17"/>
          <w:u w:val="single" w:color="auto"/>
          <w:color w:val="auto"/>
        </w:rPr>
        <w:t>  Unavailability of Tenor of Benchmark</w:t>
      </w:r>
      <w:r>
        <w:rPr>
          <w:rFonts w:ascii="Times New Roman" w:cs="Times New Roman" w:eastAsia="Times New Roman" w:hAnsi="Times New Roman"/>
          <w:sz w:val="17"/>
          <w:szCs w:val="17"/>
          <w:color w:val="auto"/>
        </w:rPr>
        <w:t>. Notwithstanding anything to the contrary herein or in any other Loan Document, at any time (including in connection with the implementation of a Benchmark Replacement), (A) if any then-current Benchmark is a term rate (including the Term SOFR Reference Rate, EURIBOR, TIBOR or BBSY)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with respect to a given Benchmark, (A) the Borrowers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Borrowers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Daily Simple RFR Loan, if no election is made by the applicable Borrower by the date that is three (3) Business Days after receipt by such Borrower of such notice, such Borrower shall be deemed to have elected clause (1) 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Eurocurrency Rate Loan, if no election is made by the applicable Borrower by the earlier of (x) the date that is three (3) Business Days after receipt by such Borrower of such notice and (y) the last day of the current Interest Period for the applicable Eurocurrency Rate Loan,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Section 4‎.07.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6105525</wp:posOffset>
            </wp:positionH>
            <wp:positionV relativeFrom="paragraph">
              <wp:posOffset>-442595</wp:posOffset>
            </wp:positionV>
            <wp:extent cx="579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0" w:right="339" w:bottom="1440" w:gutter="0" w:footer="0" w:header="0"/>
        </w:sectPr>
      </w:pPr>
    </w:p>
    <w:bookmarkStart w:id="98" w:name="page99"/>
    <w:bookmarkEnd w:id="9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color w:val="auto"/>
        </w:rPr>
        <w:t>. If, in any applicable jurisdiction, the Administrative Agent, any Issuing Bank or any Lender determines that any applicable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w:t>
      </w:r>
    </w:p>
    <w:p>
      <w:pPr>
        <w:spacing w:after="0" w:line="1" w:lineRule="exact"/>
        <w:rPr>
          <w:sz w:val="20"/>
          <w:szCs w:val="20"/>
          <w:color w:val="auto"/>
        </w:rPr>
      </w:pPr>
    </w:p>
    <w:p>
      <w:pPr>
        <w:jc w:val="both"/>
        <w:ind w:firstLine="8"/>
        <w:spacing w:after="0" w:line="251" w:lineRule="auto"/>
        <w:tabs>
          <w:tab w:leader="none" w:pos="3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Obligors shall, (A) repay that Person’s participation in the Loans or other applicable Obligations on the applicable Interest Payment Date for any Daily Simple RFR Loan or on last day of the Interest Period for any Eurocurrency Rate Loan or Term SOFR Loan, or on another applicable date with respect to another Obligation, occurring after the Administrative Agent has notified the Borrowers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Alternative Currencies</w:t>
      </w:r>
      <w:r>
        <w:rPr>
          <w:rFonts w:ascii="Times New Roman" w:cs="Times New Roman" w:eastAsia="Times New Roman" w:hAnsi="Times New Roman"/>
          <w:sz w:val="18"/>
          <w:szCs w:val="18"/>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w:t>
      </w:r>
    </w:p>
    <w:p>
      <w:pPr>
        <w:spacing w:after="0" w:line="3" w:lineRule="exact"/>
        <w:rPr>
          <w:sz w:val="20"/>
          <w:szCs w:val="20"/>
          <w:color w:val="auto"/>
        </w:rPr>
      </w:pPr>
    </w:p>
    <w:p>
      <w:pPr>
        <w:jc w:val="both"/>
        <w:ind w:firstLine="8"/>
        <w:spacing w:after="0" w:line="252" w:lineRule="auto"/>
        <w:tabs>
          <w:tab w:leader="none" w:pos="3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currency being impracticable for the Lenders to loan or (iv) such currency no longer being a currency in which the Required Lenders are willing to make Extensions of Credit (each of clauses (i), (ii), (iii) and (iv),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then the Administrative Agent shall promptly notify the Lenders and the Borrowers, and such currency shall no longer be an Alternative Currency until such time as the Disqualifying Event(s) no longer exist. Within five (5) Business Days after receipt of such notice from the Administrative Agent, the Borrowers shall repay all Loans denominated in such currency to which the Disqualifying Event(s) apply or convert such Loans into the Dollar Equivalent in Dollars, bearing interest at the Base Rate, subject to the other terms contained herein.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u w:val="single" w:color="auto"/>
          <w:color w:val="auto"/>
        </w:rPr>
        <w:t>  Indemnity</w:t>
      </w:r>
      <w:r>
        <w:rPr>
          <w:rFonts w:ascii="Times New Roman" w:cs="Times New Roman" w:eastAsia="Times New Roman" w:hAnsi="Times New Roman"/>
          <w:sz w:val="18"/>
          <w:szCs w:val="18"/>
          <w:color w:val="auto"/>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applicable Borrower to make any payment when due of any amount due hereunder in connection with an RFR Loan or a Eurocurrency Rate Loan, (b) any failure of the applicable Borrower to borrow or continue an RFR Loan or a Eurocurrency Rate Loan or convert to an RFR Loan or a Eurocurrency Rate Loan on a date specified therefor in a Notice of Borrowing or Notice of Conversion/Continuation, (c) any failure of the applicable Borrower to prepay any RFR Loan or Eurocurrency Rate Loan on a date specified therefor in any Notice of Prepayment (regardless of whether any such Notice of Prepayment may be revoked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is revoked in accordance therewith), (d) any payment, prepayment or conversion of any Daily Simple RFR Loan on a date other than on the Interest Payment Date therefor (including as a result of an Event of Default) or Term SOFR Loan or Eurocurrency Rate Loan on a date other than the last day of the Interest Period therefor (including as a result of an Event of Default) or (e) the assignment of any Daily Simple RFR Loan other than on the Interest Payment Date therefor or any Eurocurrency Rate Loan or Term SOFR Loan other than on the last day of the Interest Period applicable thereto as a result of a request by a Borrower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In the case of a Eurocurrency Rate Loan, the amount of such loss or expense shall be determined, in the applicable Lender’s sole discretion, based upon the assumption that such Lender funded its Applicable Percentage (Loans) of the Eurocurrency Rate Loans in the London or other 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All of the obligations of the Obligors under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liquidity or similar requirement (including any compulsory loan requirement, insurance charge or other assessment) against assets of, deposits with or for the account of, or advances, loans or other credit extended or participated in by, any Lender or any Issuing Bank;</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impose on any Lender or any Issuing Bank any other condition, cost or expense (other than Taxes) affecting this Agreement or Loans made by such Lender or any Letter of Credit or participation therein; or</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Commitment or Loans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A certificate of a Lender or an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Section 4.08(a)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Times New Roman" w:cs="Times New Roman" w:eastAsia="Times New Roman" w:hAnsi="Times New Roman"/>
          <w:sz w:val="18"/>
          <w:szCs w:val="18"/>
          <w:u w:val="single" w:color="auto"/>
          <w:color w:val="auto"/>
        </w:rPr>
        <w:t>Section 4.08(a)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9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left="1300"/>
        <w:spacing w:after="0"/>
        <w:rPr>
          <w:sz w:val="20"/>
          <w:szCs w:val="20"/>
          <w:color w:val="auto"/>
        </w:rPr>
      </w:pPr>
      <w:r>
        <w:rPr>
          <w:rFonts w:ascii="Times New Roman" w:cs="Times New Roman" w:eastAsia="Times New Roman" w:hAnsi="Times New Roman"/>
          <w:sz w:val="18"/>
          <w:szCs w:val="18"/>
          <w:color w:val="auto"/>
        </w:rPr>
        <w:t xml:space="preserve">(e)            Each Lender requesting compensation under this Section shall comply with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All of the obligations of the Obligors under this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u w:val="single" w:color="auto"/>
          <w:color w:val="auto"/>
        </w:rPr>
        <w:t>  Determination of Exchange Rates; Cash Collateralization as a Result of Currency Fluctuations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Administrative Agent or the applicable Issuing Bank (with notice thereof to the Administrative Agent), as applicable, shall determine the Dollar Equivalent amounts of Extensions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as a result of fluctuations in the Spot Rate (which shall be calculated in accordance with the definition thereof by the Administrative Agent on each Revaluation Date) the Administrative Agent notifies the Borrowers in writing that the Total LC Exposure exceeds 105% of the Adjusted Aggregate Commitments, the Borrowers shall, within two (2) Business Days following receipt of such notice, deliver to the Administrative Agent cash collateral in an amount equal to the remaining excess after giving effect to such prepayment.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Wherever in this Agreement in connection with a borrowing, conversion, continuation or prepayment of an RFR Loan or Eurocurrency Rate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Several Liability; Agreement to Defer Exercise of Right of Contribution, Etc.</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Notwithstanding anything in this Agreement or any other Loan Documents to the contrary, with respect to each borrowing of Loans and/or each issuance of a Letter of Credit, (a) the Borrower that requests such Loans or Letter of Credit or otherwise is the applicant therefor and shall be the “</w:t>
      </w:r>
      <w:r>
        <w:rPr>
          <w:rFonts w:ascii="Times New Roman" w:cs="Times New Roman" w:eastAsia="Times New Roman" w:hAnsi="Times New Roman"/>
          <w:sz w:val="18"/>
          <w:szCs w:val="18"/>
          <w:u w:val="single" w:color="auto"/>
          <w:color w:val="auto"/>
        </w:rPr>
        <w:t>Requesting Borrower</w:t>
      </w:r>
      <w:r>
        <w:rPr>
          <w:rFonts w:ascii="Times New Roman" w:cs="Times New Roman" w:eastAsia="Times New Roman" w:hAnsi="Times New Roman"/>
          <w:sz w:val="18"/>
          <w:szCs w:val="18"/>
          <w:color w:val="auto"/>
        </w:rPr>
        <w:t>” and all Borrowers other than the Requesting Borrower shall be the “</w:t>
      </w:r>
      <w:r>
        <w:rPr>
          <w:rFonts w:ascii="Times New Roman" w:cs="Times New Roman" w:eastAsia="Times New Roman" w:hAnsi="Times New Roman"/>
          <w:sz w:val="18"/>
          <w:szCs w:val="18"/>
          <w:u w:val="single" w:color="auto"/>
          <w:color w:val="auto"/>
        </w:rPr>
        <w:t>Other Borrowers</w:t>
      </w:r>
      <w:r>
        <w:rPr>
          <w:rFonts w:ascii="Times New Roman" w:cs="Times New Roman" w:eastAsia="Times New Roman" w:hAnsi="Times New Roman"/>
          <w:sz w:val="18"/>
          <w:szCs w:val="18"/>
          <w:color w:val="auto"/>
        </w:rPr>
        <w:t xml:space="preserve">”, (b) the Requesting Borrower shall be severally (and not jointly) liable under this Agreement for the repayment, prepayment, reimbursement, cash collateral and other obligations (including fees and interest) associated with such Loans and/or Letter of Credit, and (c) no Other Borrower shall be a co-debtor with the Requesting Borrower with respect to such Loans or Letter of Credit or be in any way primarily liable under this Agreement for such Loans or Letter of Credit or the repayment, prepayment, reimbursement, cash collateral or other obligations (including fees and interest) associated with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forgoing limitations shall not affect (i) any obligations of any such Other Borrower with respect to any other Loans or Letters of Credit (and the related repayment, prepayment, reimbursement and other obligations with respect thereto) for which it is a “Requesting Borrower” or (ii) any obligations of any such Other Borrower under the Affiliate Guaranty.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Notwithstanding any payment or payments made by a Borrower (a “</w:t>
      </w:r>
      <w:r>
        <w:rPr>
          <w:rFonts w:ascii="Times New Roman" w:cs="Times New Roman" w:eastAsia="Times New Roman" w:hAnsi="Times New Roman"/>
          <w:sz w:val="18"/>
          <w:szCs w:val="18"/>
          <w:u w:val="single" w:color="auto"/>
          <w:color w:val="auto"/>
        </w:rPr>
        <w:t>Paying Borrower</w:t>
      </w:r>
      <w:r>
        <w:rPr>
          <w:rFonts w:ascii="Times New Roman" w:cs="Times New Roman" w:eastAsia="Times New Roman" w:hAnsi="Times New Roman"/>
          <w:sz w:val="18"/>
          <w:szCs w:val="18"/>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Notwithstanding any provision of any Loan Document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facility fees shall cease to accrue on the unfunded portion of the Commitment of such Defaulting Lender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the Total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described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for which such Defaulting Lender’s consent is expressly required;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(iii)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otherwise)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of any amounts owing by such Defaulting Lender to the Issuing Banks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LC Exposure of such Defaulting Lender as set forth in clause (a)(iv) below;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if so determined by the Administrative Agent and the Borrowers, to cash collateralize LC Exposure with respect to such Defaulting Lender with respect to future Letters of Credit issued under this Agreement, in accordance with </w:t>
      </w:r>
      <w:r>
        <w:rPr>
          <w:rFonts w:ascii="Times New Roman" w:cs="Times New Roman" w:eastAsia="Times New Roman" w:hAnsi="Times New Roman"/>
          <w:sz w:val="17"/>
          <w:szCs w:val="17"/>
          <w:u w:val="single" w:color="auto"/>
          <w:color w:val="auto"/>
        </w:rPr>
        <w:t>clause (a)(v)</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i w:val="1"/>
          <w:iCs w:val="1"/>
          <w:color w:val="auto"/>
        </w:rPr>
        <w:t>sixth</w:t>
      </w:r>
      <w:r>
        <w:rPr>
          <w:rFonts w:ascii="Times New Roman" w:cs="Times New Roman" w:eastAsia="Times New Roman" w:hAnsi="Times New Roman"/>
          <w:sz w:val="17"/>
          <w:szCs w:val="17"/>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cs="Times New Roman" w:eastAsia="Times New Roman" w:hAnsi="Times New Roman"/>
          <w:sz w:val="17"/>
          <w:szCs w:val="17"/>
          <w:i w:val="1"/>
          <w:iCs w:val="1"/>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17"/>
          <w:szCs w:val="17"/>
          <w:i w:val="1"/>
          <w:iCs w:val="1"/>
          <w:color w:val="auto"/>
        </w:rPr>
        <w:t>eighth</w:t>
      </w:r>
      <w:r>
        <w:rPr>
          <w:rFonts w:ascii="Times New Roman" w:cs="Times New Roman" w:eastAsia="Times New Roman" w:hAnsi="Times New Roman"/>
          <w:sz w:val="17"/>
          <w:szCs w:val="17"/>
          <w:color w:val="auto"/>
        </w:rPr>
        <w:t>, to such Defaulting Lender or as otherwise directed by a court of competent jurisdiction;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if (1) such payment is a payment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were satisfied or waived, such payment shall be applied solely to pay the Loans of, and funded participations in Letters of Credit owed to, all Non-Defaulting Lenders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funded participations in Letters of Credit owed to, such Defaulting Lender until such time as all Loans and funded and unfunded participations in Letters of Credit are held by the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 Aggregate Commitments without giving effect to </w:t>
      </w:r>
      <w:r>
        <w:rPr>
          <w:rFonts w:ascii="Times New Roman" w:cs="Times New Roman" w:eastAsia="Times New Roman" w:hAnsi="Times New Roman"/>
          <w:sz w:val="17"/>
          <w:szCs w:val="17"/>
          <w:u w:val="single" w:color="auto"/>
          <w:color w:val="auto"/>
        </w:rPr>
        <w:t>Section 4.11(a)(iv)</w:t>
      </w:r>
      <w:r>
        <w:rPr>
          <w:rFonts w:ascii="Times New Roman" w:cs="Times New Roman" w:eastAsia="Times New Roman" w:hAnsi="Times New Roman"/>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7"/>
          <w:szCs w:val="17"/>
          <w:u w:val="single" w:color="auto"/>
          <w:color w:val="auto"/>
        </w:rPr>
        <w:t>Section 4.11(a)(iii)</w:t>
      </w:r>
      <w:r>
        <w:rPr>
          <w:rFonts w:ascii="Times New Roman" w:cs="Times New Roman" w:eastAsia="Times New Roman" w:hAnsi="Times New Roman"/>
          <w:sz w:val="17"/>
          <w:szCs w:val="17"/>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if any LC Exposure exists at the time such Lender becomes a Defaulting Lender, then:</w:t>
      </w:r>
    </w:p>
    <w:p>
      <w:pPr>
        <w:spacing w:after="0" w:line="225" w:lineRule="exact"/>
        <w:rPr>
          <w:sz w:val="20"/>
          <w:szCs w:val="20"/>
          <w:color w:val="auto"/>
        </w:rPr>
      </w:pPr>
    </w:p>
    <w:p>
      <w:pPr>
        <w:jc w:val="both"/>
        <w:ind w:left="640" w:firstLine="1296"/>
        <w:spacing w:after="0" w:line="253"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or any part of LC Exposure of such Defaulting Lender shall be automatically reallocated (effective as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date such Lender becomes a Defaulting Lender) among the non-Defaulting Lenders in accordance with their respective Applicable Percentages (LCs) (provided that Revolving LC Exposure shall be so reallocated in accordance with such Lenders’ Applicable Percentage (LCs) as specified in clause (b) of the definition thereof), but only to the extent that (v) each non-Defaulting Lender’s Revolving Credit Exposure does not exceed the Revolving Credit Commitment of such non-Defaulting Lender, (w) each non-Defaulting Lender’s LC Exposure (less such Lender’s Revolving LC Exposure) does not exceed the Performance LC Commitment of such non-Defaulting Lender, (x) the sum of all non-Defaulting Lenders’ Revolving Credit Exposure does not exceed the total of all non-Defaulting Lenders’ Revolving Credit Commitments, (y) the sum of all non-Defaulting Lenders’ LC Exposure (less amounts attributable to Revolving LC Exposure) does not exceed the total of all non-Defaulting Lenders’ Performance LC Commitments and (z) no Event of Default has occurred and is continuing;</w:t>
      </w:r>
    </w:p>
    <w:p>
      <w:pPr>
        <w:spacing w:after="0" w:line="200" w:lineRule="exact"/>
        <w:rPr>
          <w:sz w:val="20"/>
          <w:szCs w:val="20"/>
          <w:color w:val="auto"/>
        </w:rPr>
      </w:pPr>
    </w:p>
    <w:p>
      <w:pPr>
        <w:spacing w:after="0" w:line="21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4" w:name="page105"/>
    <w:bookmarkEnd w:id="104"/>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reallocation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cannot, or can only partially, be effected, the Borrowers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above) in accordance with the procedures set forth in </w:t>
      </w:r>
      <w:r>
        <w:rPr>
          <w:rFonts w:ascii="Times New Roman" w:cs="Times New Roman" w:eastAsia="Times New Roman" w:hAnsi="Times New Roman"/>
          <w:sz w:val="18"/>
          <w:szCs w:val="18"/>
          <w:u w:val="single" w:color="auto"/>
          <w:color w:val="000000"/>
        </w:rPr>
        <w:t>Section 3.01(k)(i)</w:t>
      </w:r>
      <w:r>
        <w:rPr>
          <w:rFonts w:ascii="Times New Roman" w:cs="Times New Roman" w:eastAsia="Times New Roman" w:hAnsi="Times New Roman"/>
          <w:sz w:val="18"/>
          <w:szCs w:val="18"/>
          <w:color w:val="000000"/>
        </w:rPr>
        <w:t xml:space="preserve"> (and the cash so deposited shall be held, invested and applied by such Issuing Bank in a manner consistent with the investment and other procedures described in </w:t>
      </w:r>
      <w:r>
        <w:rPr>
          <w:rFonts w:ascii="Times New Roman" w:cs="Times New Roman" w:eastAsia="Times New Roman" w:hAnsi="Times New Roman"/>
          <w:sz w:val="18"/>
          <w:szCs w:val="18"/>
          <w:u w:val="single" w:color="auto"/>
          <w:color w:val="000000"/>
        </w:rPr>
        <w:t>Section 3.01(k)</w:t>
      </w:r>
      <w:r>
        <w:rPr>
          <w:rFonts w:ascii="Times New Roman" w:cs="Times New Roman" w:eastAsia="Times New Roman" w:hAnsi="Times New Roman"/>
          <w:sz w:val="18"/>
          <w:szCs w:val="18"/>
          <w:color w:val="000000"/>
        </w:rPr>
        <w:t>) for so long as such LC Exposure is outstanding;</w:t>
      </w:r>
    </w:p>
    <w:p>
      <w:pPr>
        <w:spacing w:after="0" w:line="187"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Borrowers cash collateralize any portion of such Defaulting Lender’s LC Exposure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(B)</w:t>
      </w:r>
      <w:r>
        <w:rPr>
          <w:rFonts w:ascii="Times New Roman" w:cs="Times New Roman" w:eastAsia="Times New Roman" w:hAnsi="Times New Roman"/>
          <w:sz w:val="18"/>
          <w:szCs w:val="18"/>
          <w:color w:val="000000"/>
        </w:rPr>
        <w:t xml:space="preserve"> above, the Borrowers shall not be required to pay any fees to such Defaulting Lender pursuant to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with respect to such Defaulting Lender’s LC Exposure during the period such Defaulting Lender’s LC Exposure is cash collateralized;</w:t>
      </w:r>
    </w:p>
    <w:p>
      <w:pPr>
        <w:spacing w:after="0" w:line="176" w:lineRule="exact"/>
        <w:rPr>
          <w:sz w:val="20"/>
          <w:szCs w:val="20"/>
          <w:color w:val="auto"/>
        </w:rPr>
      </w:pPr>
    </w:p>
    <w:p>
      <w:pPr>
        <w:jc w:val="both"/>
        <w:ind w:left="18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LC Exposure of the non-Defaulting Lenders is reallocated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then the Letter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Credit participation fees payable to the Lenders pursuant to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shall be adjusted in accordance with such non-Defaulting Lenders’ Applicable Percentages (LCs) after giving effect to such reallocation; and</w:t>
      </w:r>
    </w:p>
    <w:p>
      <w:pPr>
        <w:spacing w:after="0" w:line="176" w:lineRule="exact"/>
        <w:rPr>
          <w:sz w:val="20"/>
          <w:szCs w:val="20"/>
          <w:color w:val="auto"/>
        </w:rPr>
      </w:pPr>
    </w:p>
    <w:p>
      <w:pPr>
        <w:jc w:val="both"/>
        <w:ind w:left="180" w:firstLine="1296"/>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all or any portion of such Defaulting Lender’s LC Exposure is neither reallocated nor cash collateralized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above, then, without prejudice to any rights or remedies of any Issuing Bank or any other Lender hereunder, all facility fees that otherwise would have been payable to such Defaulting Lender under </w:t>
      </w:r>
      <w:r>
        <w:rPr>
          <w:rFonts w:ascii="Times New Roman" w:cs="Times New Roman" w:eastAsia="Times New Roman" w:hAnsi="Times New Roman"/>
          <w:sz w:val="18"/>
          <w:szCs w:val="18"/>
          <w:u w:val="single" w:color="auto"/>
          <w:color w:val="000000"/>
        </w:rPr>
        <w:t>Section 4.05(a)</w:t>
      </w:r>
      <w:r>
        <w:rPr>
          <w:rFonts w:ascii="Times New Roman" w:cs="Times New Roman" w:eastAsia="Times New Roman" w:hAnsi="Times New Roman"/>
          <w:sz w:val="18"/>
          <w:szCs w:val="18"/>
          <w:color w:val="000000"/>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above; and</w:t>
      </w:r>
    </w:p>
    <w:p>
      <w:pPr>
        <w:spacing w:after="0" w:line="200" w:lineRule="exact"/>
        <w:rPr>
          <w:sz w:val="20"/>
          <w:szCs w:val="20"/>
          <w:color w:val="auto"/>
        </w:rPr>
      </w:pPr>
    </w:p>
    <w:p>
      <w:pPr>
        <w:spacing w:after="0" w:line="2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5" w:name="page106"/>
    <w:bookmarkEnd w:id="105"/>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            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Times New Roman" w:cs="Times New Roman" w:eastAsia="Times New Roman" w:hAnsi="Times New Roman"/>
          <w:sz w:val="18"/>
          <w:szCs w:val="18"/>
          <w:u w:val="single" w:color="auto"/>
          <w:color w:val="auto"/>
        </w:rPr>
        <w:t>Section 4.11(a)(iv)(B)</w:t>
      </w:r>
      <w:r>
        <w:rPr>
          <w:rFonts w:ascii="Times New Roman" w:cs="Times New Roman" w:eastAsia="Times New Roman" w:hAnsi="Times New Roman"/>
          <w:sz w:val="18"/>
          <w:szCs w:val="18"/>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4.11(a)(iv)(A)</w:t>
      </w:r>
      <w:r>
        <w:rPr>
          <w:rFonts w:ascii="Times New Roman" w:cs="Times New Roman" w:eastAsia="Times New Roman" w:hAnsi="Times New Roman"/>
          <w:sz w:val="18"/>
          <w:szCs w:val="18"/>
          <w:color w:val="auto"/>
        </w:rPr>
        <w:t xml:space="preserve"> (and such Defaulting Lender shall not participate therein);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rights and remedies against, and with respect to, a Defaulting Lender under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In the event that the Administrative Agent, the Borrowers, and the Issuing Banks agree in writing that a Defaulting Lender has adequately remedied all matters that caused such Lender to be a Defaulting Lender, then the Total Credit Exposures of the Lenders shall be readjusted to reflect the inclusion of such Lender’s Commitment.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Retranching of Revolving Credit Commitments and Performance LC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Initial Retranching</w:t>
      </w:r>
      <w:r>
        <w:rPr>
          <w:rFonts w:ascii="Times New Roman" w:cs="Times New Roman" w:eastAsia="Times New Roman" w:hAnsi="Times New Roman"/>
          <w:sz w:val="18"/>
          <w:szCs w:val="18"/>
          <w:color w:val="auto"/>
        </w:rPr>
        <w:t>. Subject to the terms and conditions set forth below, at any time after the Leverage Ratio (calculated as of the last day of the most recently ended period for which financial statements are available) is less than 3.00 to 1.00 for two (2) consecutive Fiscal Quarters (commencing with the Fiscal Quarter ended June 30, 2022), the Borrowers may request, no more than four times during the term of this facility, to increase the Revolving Credit Commitments (with a corresponding dollar-for-dollar reduction of the Performance LC Commitments) by up to $50,000,000 in the aggregate (collectively, the “</w:t>
      </w:r>
      <w:r>
        <w:rPr>
          <w:rFonts w:ascii="Times New Roman" w:cs="Times New Roman" w:eastAsia="Times New Roman" w:hAnsi="Times New Roman"/>
          <w:sz w:val="18"/>
          <w:szCs w:val="18"/>
          <w:u w:val="single" w:color="auto"/>
          <w:color w:val="auto"/>
        </w:rPr>
        <w:t>Initial Retranching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minimum amount of such Initial Retranching shall be $10,000,000 (or, if less, the balance of the $50,000,000 available for Initial Retranching). The Initial Retranching will be subject to satisfaction of the following conditions: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Borrowers shall have delivered to the Administrative Agent (for prompt distribution to the Lenders) a written notice (each, a “</w:t>
      </w:r>
      <w:r>
        <w:rPr>
          <w:rFonts w:ascii="Times New Roman" w:cs="Times New Roman" w:eastAsia="Times New Roman" w:hAnsi="Times New Roman"/>
          <w:sz w:val="18"/>
          <w:szCs w:val="18"/>
          <w:u w:val="single" w:color="auto"/>
          <w:color w:val="auto"/>
        </w:rPr>
        <w:t>Retranching Request</w:t>
      </w:r>
      <w:r>
        <w:rPr>
          <w:rFonts w:ascii="Times New Roman" w:cs="Times New Roman" w:eastAsia="Times New Roman" w:hAnsi="Times New Roman"/>
          <w:sz w:val="18"/>
          <w:szCs w:val="18"/>
          <w:color w:val="auto"/>
        </w:rPr>
        <w:t>”) indicating (A) the requested effective date of the Initial Retranching (which shall be no earlier than the date that is ten (10 Business Days following delivery of the Initial Retranching Request) and (B) the requested amount of the Initial Retranching;</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no Default or Event of Default shall have occurred and be continuing immediately before and after giving effect to such Initial Retranching;</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after giving pro forma effect to the Initial Retranching,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the requested Initial Retranching date, except to the extent any such representations and warranties are expressly limited to an earlier date, in which case, on and as of the requested Initial Retranching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the Administrative Agent shall have received a certificate of a Responsible Officer of the Borrowers certifying, as of the requested date of the Initial Retranching, as to the satisfaction of the foregoing conditions in clauses (ii) through (iv), and, in the case of clause (iii), including reasonably detailed calculations demonstrating such compliance; and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            one or more of the Lenders shall have agreed to participate in the Initial Retranching in accordance with the procedures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Retranching</w:t>
      </w:r>
      <w:r>
        <w:rPr>
          <w:rFonts w:ascii="Times New Roman" w:cs="Times New Roman" w:eastAsia="Times New Roman" w:hAnsi="Times New Roman"/>
          <w:sz w:val="18"/>
          <w:szCs w:val="18"/>
          <w:color w:val="auto"/>
        </w:rPr>
        <w:t>. Subject to the terms and conditions set forth below, following the Initial Retranching, the Borrowers may request, no more than five times during the term of this facility, to increase the Revolving Credit Commitments (with a corresponding dollar-for-dollar reduction of the Performance LC Commitments) by up to an additional $50,000,000 total (collectively, the “</w:t>
      </w:r>
      <w:r>
        <w:rPr>
          <w:rFonts w:ascii="Times New Roman" w:cs="Times New Roman" w:eastAsia="Times New Roman" w:hAnsi="Times New Roman"/>
          <w:sz w:val="18"/>
          <w:szCs w:val="18"/>
          <w:u w:val="single" w:color="auto"/>
          <w:color w:val="auto"/>
        </w:rPr>
        <w:t>Additional Retranching</w:t>
      </w:r>
      <w:r>
        <w:rPr>
          <w:rFonts w:ascii="Times New Roman" w:cs="Times New Roman" w:eastAsia="Times New Roman" w:hAnsi="Times New Roman"/>
          <w:sz w:val="18"/>
          <w:szCs w:val="18"/>
          <w:color w:val="auto"/>
        </w:rPr>
        <w:t>”) if the Leverage Ratio (calculated as of the last day of the most recently ended period for which financial statements are available) is less than 3.00 to 1.00 for an additional two</w:t>
      </w:r>
    </w:p>
    <w:p>
      <w:pPr>
        <w:spacing w:after="0" w:line="3" w:lineRule="exact"/>
        <w:rPr>
          <w:sz w:val="20"/>
          <w:szCs w:val="20"/>
          <w:color w:val="auto"/>
        </w:rPr>
      </w:pPr>
    </w:p>
    <w:p>
      <w:pPr>
        <w:jc w:val="both"/>
        <w:ind w:firstLine="8"/>
        <w:spacing w:after="0" w:line="253"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Fiscal Quarters (not including, for the avoidance of doubt, the Fiscal Quarters used to qualify for the Initial Retranching);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minimum amount of such Additional Retranching shall be $10,000,000 (or, if less, the balance of the $50,000,000 available for Additional Retranching);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will the aggregate Revolving Credit Commitments exceed $200,000,000 after giving effect to all Retranchings. The Additional Retranching will be subject to satisfaction of the following conditions:</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Borrowers shall have delivered to the Administrative Agent (for prompt distribution to the Lenders) a Retranching Request indicating (A) the requested effective date of the Additional Retranching (which shall be no earlier than the date that is ten (10) Business Days following delivery of the Additional Retranching Request) and (B) the requested amount of the Additional Retranching;</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no Default or Event of Default shall have occurred and be continuing immediately before and after giving effect to such Additional Retranching;</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after giving pro forma effect to the Additional Retranching,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requested Additional Retranching date, except to the extent any such representations and warranties are expressly limited to an earlier date, in which case, on and as of the requested date of the Additional Retranching,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the Administrative Agent shall have received a certificate of a Responsible Officer of the Borrowers certifying, as of the requested date of the Additional Retranching, as to the satisfaction of the foregoing conditions in clauses (ii) through (iv), and, in the case of clause (iii), including reasonably detailed calculations demonstrating such compliance; and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            one or more of the Lenders shall have agreed to participate in the Additional Retranching in accordance with the procedures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(c)            Following receipt by the Lenders of a Retranching Request, each Lender shall promptly, and in any event within ten (10) Business Days, notify the Administrative Agent and the Borrowers whether such Lender agrees to have its Commitment retranched as requested;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be required to participate in either the Initial Retranching or the Additional Retranching (each, a “</w:t>
      </w:r>
      <w:r>
        <w:rPr>
          <w:rFonts w:ascii="Times New Roman" w:cs="Times New Roman" w:eastAsia="Times New Roman" w:hAnsi="Times New Roman"/>
          <w:sz w:val="17"/>
          <w:szCs w:val="17"/>
          <w:u w:val="single" w:color="auto"/>
          <w:color w:val="auto"/>
        </w:rPr>
        <w:t>Retranching</w:t>
      </w:r>
      <w:r>
        <w:rPr>
          <w:rFonts w:ascii="Times New Roman" w:cs="Times New Roman" w:eastAsia="Times New Roman" w:hAnsi="Times New Roman"/>
          <w:sz w:val="17"/>
          <w:szCs w:val="17"/>
          <w:color w:val="auto"/>
        </w:rPr>
        <w:t xml:space="preserve">”) without its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Lender that has not responded to such Retranching Request within ten (10) Business Days shall be deemed to have declined to participate in the Retranching described in such Retranching Request. If any Lender declines to participate in a Retranching, then the Borrowers may request, in a writing delivered to the Administrative Agent and each of the participating Lenders no later than five (5) Business Days prior to the requested date of such Retranching specified in the applicable Retranching Request (such written request, a “</w:t>
      </w:r>
      <w:r>
        <w:rPr>
          <w:rFonts w:ascii="Times New Roman" w:cs="Times New Roman" w:eastAsia="Times New Roman" w:hAnsi="Times New Roman"/>
          <w:sz w:val="17"/>
          <w:szCs w:val="17"/>
          <w:u w:val="single" w:color="auto"/>
          <w:color w:val="auto"/>
        </w:rPr>
        <w:t>Follow-On Retranching Request</w:t>
      </w:r>
      <w:r>
        <w:rPr>
          <w:rFonts w:ascii="Times New Roman" w:cs="Times New Roman" w:eastAsia="Times New Roman" w:hAnsi="Times New Roman"/>
          <w:sz w:val="17"/>
          <w:szCs w:val="17"/>
          <w:color w:val="auto"/>
        </w:rPr>
        <w:t>”), that the participating Lenders agree to participate in the balance of such Retranching, and, so long as each of the participating Lenders has been offered an opportunity to participate in at least its pro rata share of such balance (calculated solely among the participating Lenders), one or more of the participating Lenders may agree to participate in all or a portion of such balance by so indicating in writing delivered to the Administrative Agent and the Borrowers no later than three</w:t>
      </w:r>
    </w:p>
    <w:p>
      <w:pPr>
        <w:spacing w:after="0" w:line="4" w:lineRule="exact"/>
        <w:rPr>
          <w:sz w:val="20"/>
          <w:szCs w:val="20"/>
          <w:color w:val="auto"/>
        </w:rPr>
      </w:pPr>
    </w:p>
    <w:p>
      <w:pPr>
        <w:jc w:val="both"/>
        <w:ind w:firstLine="8"/>
        <w:spacing w:after="0" w:line="252" w:lineRule="auto"/>
        <w:tabs>
          <w:tab w:leader="none" w:pos="30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receipt by such Lender of a Follow-On Retranching Request. Following satisfaction of the conditions specified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as applicable, such Retranching shall become effective upon the date specified in the applicable Retranching Request, the Commitments will be reallocated among the Lenders as needed to reflect the Lenders’ participation in such Retranching and in accordance with procedures determined by the Administrative Agent to be reasonable and necessary to effect such reallocations, and, following such reallocation, the Administrative Agent shall deliver an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Borrowers and the Lenders reflecting same,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the foregoing, in connection with any Retranching, (i) all unused Performance LC Commitments, if any, will be retranched as Revolving Credit Commitments first before any LC Exposure in respect of outstanding Performance Letters of Credit is retranched under the Revolving Credit Commitments and (ii) all LC Exposure in respect of an individual Performance Letter of Credit that is to be retranched under the Revolving Credit Commitments must be retranched in whole and not in part.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Specific Incremental Commitments</w:t>
      </w:r>
      <w:r>
        <w:rPr>
          <w:rFonts w:ascii="Times New Roman" w:cs="Times New Roman" w:eastAsia="Times New Roman" w:hAnsi="Times New Roman"/>
          <w:sz w:val="18"/>
          <w:szCs w:val="18"/>
          <w:color w:val="auto"/>
        </w:rPr>
        <w:t>. Subject to the terms and conditions set forth herein, the Borrowers may by written notice to the Administrative Agent, elect to request at one or more times after the Effective Date but prior to the Maturity Date an increase to (a) the aggregate Performance LC Commitments, (b) the aggregate Revolving Credit Commitments and (c) the Financial LC-Specific Commitment (any such increase, a “</w:t>
      </w:r>
      <w:r>
        <w:rPr>
          <w:rFonts w:ascii="Times New Roman" w:cs="Times New Roman" w:eastAsia="Times New Roman" w:hAnsi="Times New Roman"/>
          <w:sz w:val="18"/>
          <w:szCs w:val="18"/>
          <w:u w:val="single" w:color="auto"/>
          <w:color w:val="auto"/>
        </w:rPr>
        <w:t>Specific Incremental Commitment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amounts of all such Specific Incremental Commitment Increases (other than any Specific Incremental Increase provided in order to give effect to any reduction and reallocation under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shall not in any event exceed (but may, in each case, be less than) (i) $30,000,000 in the aggregate and (ii) (A) with respect to the aggregate Performance LC Commitments, $25,000,000, (B) with respect to the aggregate Revolving Credit Commitments, $12,500,000 and (C) with respect to the Financial LC-Specific Commitment, $7,500,000 (such amounts, collectively, the “</w:t>
      </w:r>
      <w:r>
        <w:rPr>
          <w:rFonts w:ascii="Times New Roman" w:cs="Times New Roman" w:eastAsia="Times New Roman" w:hAnsi="Times New Roman"/>
          <w:sz w:val="18"/>
          <w:szCs w:val="18"/>
          <w:u w:val="single" w:color="auto"/>
          <w:color w:val="auto"/>
        </w:rPr>
        <w:t>Specific Incremental Commitment Cap</w:t>
      </w:r>
      <w:r>
        <w:rPr>
          <w:rFonts w:ascii="Times New Roman" w:cs="Times New Roman" w:eastAsia="Times New Roman" w:hAnsi="Times New Roman"/>
          <w:sz w:val="18"/>
          <w:szCs w:val="18"/>
          <w:color w:val="auto"/>
        </w:rPr>
        <w:t xml:space="preserve">”). Such notice shall specify (i) the date on which the Borrowers propose that such Specific Incremental Commitment Increase shall be effective, which shall be a date not less than fifteen (15) Business Days (or such shorter period as may be agreed by the Administrative Agent) after the date on which such notice is delivered to the Administrative Agent and (ii) the identity of each Person to whom the Borrowers propose any portion of such Specific Incremental Commitment Increase be allocated and the amounts of such allocations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Person shall (A) meet the requirements to be an assignee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(except that no consent of the Administrative Agent or any Issuing Bank shall be required pursuant to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with respect to the Preapproved Specific Additional Lender) and (B) deliver and, as applicable, execute all applicable forms and documents required by clauses (D), (E), (F) and (H) of Section </w:t>
      </w:r>
      <w:r>
        <w:rPr>
          <w:rFonts w:ascii="Times New Roman" w:cs="Times New Roman" w:eastAsia="Times New Roman" w:hAnsi="Times New Roman"/>
          <w:sz w:val="18"/>
          <w:szCs w:val="18"/>
          <w:u w:val="single" w:color="auto"/>
          <w:color w:val="auto"/>
        </w:rPr>
        <w:t>12.05(b)(ii)</w:t>
      </w:r>
      <w:r>
        <w:rPr>
          <w:rFonts w:ascii="Times New Roman" w:cs="Times New Roman" w:eastAsia="Times New Roman" w:hAnsi="Times New Roman"/>
          <w:sz w:val="18"/>
          <w:szCs w:val="18"/>
          <w:color w:val="auto"/>
        </w:rPr>
        <w:t xml:space="preserve"> and an Additional Lender Supplement or, if applicable, an Increasing Lender Supplement (each such Person, a “Specific Additional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existing Lender approached to provide all of or any portion of a Specific Incremental Commitment Increase may elect or decline, in its sole discretion, to provide all or any portion of such Specific Incremental Commitment Increase. Each Specific Incremental Commitment Increase shall be in an aggregate amount of $5,000,000 or any whole multiple of $1,000,000 in excess thereof (provided that the amount of a Specific Incremental Commitment Increase may be less than $5,000,000 if such amount represents all remaining availability under the Specific Incremental Commitment Cap).</w:t>
      </w:r>
    </w:p>
    <w:p>
      <w:pPr>
        <w:spacing w:after="0" w:line="191"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Each Specific Incremental Commitment Increase shall become effective on the proposed effective date set forth in the Borrowers’ request for such Specific Incremental Commitment Increase or such later date as the Administrative Agent and the Borrowers agree (the “</w:t>
      </w:r>
      <w:r>
        <w:rPr>
          <w:rFonts w:ascii="Times New Roman" w:cs="Times New Roman" w:eastAsia="Times New Roman" w:hAnsi="Times New Roman"/>
          <w:sz w:val="18"/>
          <w:szCs w:val="18"/>
          <w:u w:val="single" w:color="auto"/>
          <w:color w:val="auto"/>
        </w:rPr>
        <w:t>Specific Lender Increase Effective Date</w:t>
      </w:r>
      <w:r>
        <w:rPr>
          <w:rFonts w:ascii="Times New Roman" w:cs="Times New Roman" w:eastAsia="Times New Roman" w:hAnsi="Times New Roman"/>
          <w:sz w:val="18"/>
          <w:szCs w:val="18"/>
          <w:color w:val="auto"/>
        </w:rPr>
        <w:t>”), which in any event shall be on or after the date on which the Administrative Agent shall have received:</w:t>
      </w:r>
    </w:p>
    <w:p>
      <w:pPr>
        <w:spacing w:after="0" w:line="176"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 Additional Lender Supplement or, if applicable, an Increasing Lender Supplement for each Specific Additional Lender participating in such Specific Incremental Commitment Increase, duly executed by all parties thereto;</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(ii)            if any Specific Additional Lender participating in such Specific Incremental Commitment Increase is the Preapproved Specific Additional Lender or otherwise reasonably requests, a Canadian Borrower Joinder evidencing the accession of the applicable new Borrower to this Agreement in accordance with the terms set forth therein;</w:t>
      </w:r>
    </w:p>
    <w:p>
      <w:pPr>
        <w:spacing w:after="0" w:line="176" w:lineRule="exact"/>
        <w:rPr>
          <w:sz w:val="20"/>
          <w:szCs w:val="20"/>
          <w:color w:val="auto"/>
        </w:rPr>
      </w:pPr>
    </w:p>
    <w:p>
      <w:pPr>
        <w:jc w:val="both"/>
        <w:ind w:left="4"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(iii)            the new Borrower party to the joinder described in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(if any) shall have provided to the Administrative Agent and the Lenders, if requested at least seven (7) Business Days prior to such Specific Lender Increase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it (or a certification that such Borrower qualifies for an express exclusion from the “legal entity customer” definition under the Beneficial Ownership Regulations), at least five (5) Business Days prior to such Specific Lender Increase Effective Date;</w:t>
      </w:r>
    </w:p>
    <w:p>
      <w:pPr>
        <w:spacing w:after="0" w:line="187"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(iv)            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Specific Incremental Commitment Increase, including, if applicable, the Canadian Borrower Joinder;</w:t>
      </w:r>
    </w:p>
    <w:p>
      <w:pPr>
        <w:spacing w:after="0" w:line="176" w:lineRule="exact"/>
        <w:rPr>
          <w:sz w:val="20"/>
          <w:szCs w:val="20"/>
          <w:color w:val="auto"/>
        </w:rPr>
      </w:pPr>
    </w:p>
    <w:p>
      <w:pPr>
        <w:jc w:val="both"/>
        <w:ind w:left="4" w:firstLine="1296"/>
        <w:spacing w:after="0" w:line="266" w:lineRule="auto"/>
        <w:rPr>
          <w:sz w:val="20"/>
          <w:szCs w:val="20"/>
          <w:color w:val="auto"/>
        </w:rPr>
      </w:pPr>
      <w:r>
        <w:rPr>
          <w:rFonts w:ascii="Times New Roman" w:cs="Times New Roman" w:eastAsia="Times New Roman" w:hAnsi="Times New Roman"/>
          <w:sz w:val="18"/>
          <w:szCs w:val="18"/>
          <w:color w:val="auto"/>
        </w:rPr>
        <w:t>(v)            such evidence of appropriate corporate or other organizational authorization on the part of the Borrowers, Parent and the other Obligors (of the type consistent with those delivered on the Effective Date) with respect to such Specific Incremental Commitment Increase as the Administrative Agent may reasonably request; and</w:t>
      </w:r>
    </w:p>
    <w:p>
      <w:pPr>
        <w:spacing w:after="0" w:line="176"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(vi)            a certificate of a Responsible Officer of Parent, dated such Specific Lender Increase Effective Date, certifying that</w:t>
      </w:r>
    </w:p>
    <w:p>
      <w:pPr>
        <w:spacing w:after="0" w:line="27" w:lineRule="exact"/>
        <w:rPr>
          <w:sz w:val="20"/>
          <w:szCs w:val="20"/>
          <w:color w:val="auto"/>
        </w:rPr>
      </w:pPr>
    </w:p>
    <w:p>
      <w:pPr>
        <w:jc w:val="both"/>
        <w:ind w:left="4" w:hanging="4"/>
        <w:spacing w:after="0" w:line="251" w:lineRule="auto"/>
        <w:tabs>
          <w:tab w:leader="none" w:pos="3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Specific Lender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Specific Lender Increase Effective Date both immediately before and after giving effect to such Specific Incremental Commitment Increase.</w:t>
      </w: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0" w:name="page111"/>
    <w:bookmarkEnd w:id="11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Upon the occurrence of a Specific Lender Increase Effective Date, the Administrative Agent shall deliver an updated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to the Borrowers and the Lenders reflecting the applicable Specific Incremental Commitment Increase,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Equal and Ratable Benefit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Commitments established pursuant to this paragraph shall constitute Commitments under, and shall be entitled to all the benefits afforded by, this Agreement and the other Loan Documents, and shall, without limiting the foregoing, benefit equally and ratably from the Guaranty Agreements.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PRO RATA TREATMENT; TAXES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Except as otherwise expressly provided herein and except with respect to principal of and interest on Loans denominated in an Alternative Currency or any amounts payable in an Alternative Currency, 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otherwise) in Dollars prior to 12:00 p.m., New York City time, on the date when due, and (ii) all payments with respect to principal and interest on Loans denominated in an Alternative Currency or any amounts payable in an Alternative Currency shall be made in such Alternative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office designated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payments to be made directly to an Issuing Bank as expressly provided herein shall be made directly to such Issuing Bank, as applicable, and</w:t>
      </w:r>
    </w:p>
    <w:p>
      <w:pPr>
        <w:spacing w:after="0" w:line="6" w:lineRule="exact"/>
        <w:rPr>
          <w:sz w:val="20"/>
          <w:szCs w:val="20"/>
          <w:color w:val="auto"/>
        </w:rPr>
      </w:pPr>
    </w:p>
    <w:p>
      <w:pPr>
        <w:jc w:val="both"/>
        <w:ind w:firstLine="8"/>
        <w:spacing w:after="0" w:line="251" w:lineRule="auto"/>
        <w:tabs>
          <w:tab w:leader="none" w:pos="2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pursuant to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If, for any reason, the applicable Borrower is prohibited by any applicable law from making any required payment hereunder in an Alternative Currency, such Borrower shall make such payment in Dollars in the Dollar Equivalent of the Alternative Currency payment amount,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Loan or Letter of Credit denominated in an Alternative Currency that is not repaid to the Issuing Banks, the Administrative Agent or the Lenders, as the case may be, in the original currency. Without limiting the generality of the foregoing, the Administrative Agent may require that any payments due under this Agreement be made in the United States.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or otherwise, obtain payment in respect of any Obligation or participations in LC Disbursements resulting in such Lender receiving payment of a greater proportion of the aggregate amount of its Loans and participations in LC Disbursements and accrued interest or fees thereon (excluding any fees payable to such Lender in its role as an Issuing Bank) than the proportion received by any other Lender, then the Lender receiving such greater proportion shall purchase (for cash at face value) participations in the Loans and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5" w:lineRule="exact"/>
        <w:rPr>
          <w:sz w:val="20"/>
          <w:szCs w:val="20"/>
          <w:color w:val="auto"/>
        </w:rPr>
      </w:pPr>
    </w:p>
    <w:p>
      <w:pPr>
        <w:jc w:val="both"/>
        <w:ind w:firstLine="8"/>
        <w:spacing w:after="0" w:line="251" w:lineRule="auto"/>
        <w:tabs>
          <w:tab w:leader="none" w:pos="2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In connection with any borrowing hereunder, the Administrative Agent may assume that each Lender has made its respective share of such borrowing available on such date in accordance with </w:t>
      </w:r>
      <w:r>
        <w:rPr>
          <w:rFonts w:ascii="Times New Roman" w:cs="Times New Roman" w:eastAsia="Times New Roman" w:hAnsi="Times New Roman"/>
          <w:sz w:val="18"/>
          <w:szCs w:val="18"/>
          <w:u w:val="single" w:color="auto"/>
          <w:color w:val="auto"/>
        </w:rPr>
        <w:t>Sections 2.02(b)</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in the applicable Currency with interest thereon, for each day from and including the date such amount is made available to such Borrower to but excluding the date of payment to the Administrative Agent, at (i) in the case of a payment to be made by such Lender, the applicable Overnight Rate and (ii)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If any Lender shall fail to make any payment required to be made by it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(g)            The obligations of the Lenders under this Agreement to make the Loans, to issue or participate in Letters of Credit and to make payments under this Section,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as applicable, are several and are not joint or joint and several. The failure of any Lender to make available its Applicable Percentage (Loans) of any Loan requested by a Borrower shall not relieve it or any other Lender of its obligation, if any, hereunder to make its Applicable Percentage (Loans) of such Loan available on the borrowing date, but no Lender shall be responsible for the failure of any other Lender to make its Applicable Percentage (Loans) of such Loan available on the borrowing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Taxes/Additional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Any and all payments by or on account of any obligation of the Borrowers under any Loan Document shall be made free and clear of and without deduction or withholding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If the Administrative Agent or a Lender determines, in its sole discretion, that it has received a refund of any Taxes paid by a Borrower or with respect to which a Borrower has paid additional amounts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it shall pay over such refund to such Borrower (but only to the extent of indemnity payments made, or additional amounts paid, by such Borrower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Administrative Agent or such Lender, agrees to repay promptly the amount paid over to such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187"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(e)            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10.01(i)</w:t>
      </w:r>
      <w:r>
        <w:rPr>
          <w:rFonts w:ascii="Times New Roman" w:cs="Times New Roman" w:eastAsia="Times New Roman" w:hAnsi="Times New Roman"/>
          <w:sz w:val="18"/>
          <w:szCs w:val="18"/>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 (ii)  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5" w:name="page116"/>
    <w:bookmarkEnd w:id="11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(h)            Notwithstanding any provision of this Agreement to the contrary (including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w:t>
      </w:r>
    </w:p>
    <w:p>
      <w:pPr>
        <w:spacing w:after="0" w:line="3" w:lineRule="exact"/>
        <w:rPr>
          <w:sz w:val="20"/>
          <w:szCs w:val="20"/>
          <w:color w:val="auto"/>
        </w:rPr>
      </w:pPr>
    </w:p>
    <w:p>
      <w:pPr>
        <w:jc w:val="both"/>
        <w:ind w:firstLine="8"/>
        <w:spacing w:after="0" w:line="253" w:lineRule="auto"/>
        <w:tabs>
          <w:tab w:leader="none" w:pos="26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breaching the restrictions regarding transfers, assignments, participations, sub-participation and exposure transfers set forth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ind w:left="64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VAT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            If VAT is or becomes chargeable on any supply made by any Lender or Administrative Agent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or Administrative Agent (the “</w:t>
      </w:r>
      <w:r>
        <w:rPr>
          <w:rFonts w:ascii="Times New Roman" w:cs="Times New Roman" w:eastAsia="Times New Roman" w:hAnsi="Times New Roman"/>
          <w:sz w:val="18"/>
          <w:szCs w:val="18"/>
          <w:u w:val="single" w:color="auto"/>
          <w:color w:val="auto"/>
        </w:rPr>
        <w:t>Supply Recipient</w:t>
      </w:r>
      <w:r>
        <w:rPr>
          <w:rFonts w:ascii="Times New Roman" w:cs="Times New Roman" w:eastAsia="Times New Roman" w:hAnsi="Times New Roman"/>
          <w:sz w:val="18"/>
          <w:szCs w:val="18"/>
          <w:color w:val="auto"/>
        </w:rPr>
        <w:t>”) under a Loan Document, and any party other than the Supply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0" w:lineRule="exact"/>
        <w:rPr>
          <w:sz w:val="20"/>
          <w:szCs w:val="20"/>
          <w:color w:val="auto"/>
        </w:rPr>
      </w:pPr>
    </w:p>
    <w:p>
      <w:pPr>
        <w:jc w:val="both"/>
        <w:ind w:left="64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where the Supplier is the person required to account to the relevant Governmental Authority for the VAT,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Relevant Party must also pay to the Supplier (at the same time as paying that amount) an additional amount equal to the amount of VAT; the Supply Recipient must (where this </w:t>
      </w:r>
      <w:r>
        <w:rPr>
          <w:rFonts w:ascii="Times New Roman" w:cs="Times New Roman" w:eastAsia="Times New Roman" w:hAnsi="Times New Roman"/>
          <w:sz w:val="18"/>
          <w:szCs w:val="18"/>
          <w:u w:val="single" w:color="auto"/>
          <w:color w:val="000000"/>
        </w:rPr>
        <w:t>subsection (ii)(A)</w:t>
      </w:r>
      <w:r>
        <w:rPr>
          <w:rFonts w:ascii="Times New Roman" w:cs="Times New Roman" w:eastAsia="Times New Roman" w:hAnsi="Times New Roman"/>
          <w:sz w:val="18"/>
          <w:szCs w:val="18"/>
          <w:color w:val="000000"/>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183" w:lineRule="exact"/>
        <w:rPr>
          <w:sz w:val="20"/>
          <w:szCs w:val="20"/>
          <w:color w:val="auto"/>
        </w:rPr>
      </w:pPr>
    </w:p>
    <w:p>
      <w:pPr>
        <w:jc w:val="both"/>
        <w:ind w:left="640" w:right="2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where the Supply Recipient is the person required to account to the relevant Governmental Authority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(iii)            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(iv)            Any reference in this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200" w:lineRule="exact"/>
        <w:rPr>
          <w:sz w:val="20"/>
          <w:szCs w:val="20"/>
          <w:color w:val="auto"/>
        </w:rPr>
      </w:pPr>
    </w:p>
    <w:p>
      <w:pPr>
        <w:spacing w:after="0" w:line="20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17" w:name="page118"/>
    <w:bookmarkEnd w:id="117"/>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            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Each party’s obligations under this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if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(including for Taxes under </w:t>
      </w:r>
      <w:r>
        <w:rPr>
          <w:rFonts w:ascii="Times New Roman" w:cs="Times New Roman" w:eastAsia="Times New Roman" w:hAnsi="Times New Roman"/>
          <w:sz w:val="18"/>
          <w:szCs w:val="18"/>
          <w:u w:val="single" w:color="auto"/>
          <w:color w:val="auto"/>
        </w:rPr>
        <w:t>Section 4.08(a)(iii)</w:t>
      </w:r>
      <w:r>
        <w:rPr>
          <w:rFonts w:ascii="Times New Roman" w:cs="Times New Roman" w:eastAsia="Times New Roman" w:hAnsi="Times New Roman"/>
          <w:sz w:val="18"/>
          <w:szCs w:val="18"/>
          <w:color w:val="auto"/>
        </w:rPr>
        <w:t xml:space="preserve">) or (ii)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amount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if it does not execute and deliver an Assignment and Assumption to the Administrative Agent within one Business Day after having received a written request therefor.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Financial Assistance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If and to the extent a Swiss Obligor becomes liable under this Agreement or any other Loan Document for obligations of any other Obligor (other than the wholly owned direct or indirect subsidiaries of such Swiss Obligor) (the “</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and if complying with such obligations would constitute a repayment of capital (</w:t>
      </w:r>
      <w:r>
        <w:rPr>
          <w:rFonts w:ascii="Times New Roman" w:cs="Times New Roman" w:eastAsia="Times New Roman" w:hAnsi="Times New Roman"/>
          <w:sz w:val="18"/>
          <w:szCs w:val="18"/>
          <w:i w:val="1"/>
          <w:iCs w:val="1"/>
          <w:color w:val="auto"/>
        </w:rPr>
        <w:t>Einlagerückgewähr</w:t>
      </w:r>
      <w:r>
        <w:rPr>
          <w:rFonts w:ascii="Times New Roman" w:cs="Times New Roman" w:eastAsia="Times New Roman" w:hAnsi="Times New Roman"/>
          <w:sz w:val="18"/>
          <w:szCs w:val="18"/>
          <w:color w:val="auto"/>
        </w:rPr>
        <w:t>), a violation of the legally protected reserves (</w:t>
      </w:r>
      <w:r>
        <w:rPr>
          <w:rFonts w:ascii="Times New Roman" w:cs="Times New Roman" w:eastAsia="Times New Roman" w:hAnsi="Times New Roman"/>
          <w:sz w:val="18"/>
          <w:szCs w:val="18"/>
          <w:i w:val="1"/>
          <w:iCs w:val="1"/>
          <w:color w:val="auto"/>
        </w:rPr>
        <w:t>gesetzlich geschützte Reserven</w:t>
      </w:r>
      <w:r>
        <w:rPr>
          <w:rFonts w:ascii="Times New Roman" w:cs="Times New Roman" w:eastAsia="Times New Roman" w:hAnsi="Times New Roman"/>
          <w:sz w:val="18"/>
          <w:szCs w:val="18"/>
          <w:color w:val="auto"/>
        </w:rPr>
        <w:t>) or the payment of a (constructive) dividend (</w:t>
      </w:r>
      <w:r>
        <w:rPr>
          <w:rFonts w:ascii="Times New Roman" w:cs="Times New Roman" w:eastAsia="Times New Roman" w:hAnsi="Times New Roman"/>
          <w:sz w:val="18"/>
          <w:szCs w:val="18"/>
          <w:i w:val="1"/>
          <w:iCs w:val="1"/>
          <w:color w:val="auto"/>
        </w:rPr>
        <w:t>Gewinnausschüttung</w:t>
      </w:r>
      <w:r>
        <w:rPr>
          <w:rFonts w:ascii="Times New Roman" w:cs="Times New Roman" w:eastAsia="Times New Roman" w:hAnsi="Times New Roman"/>
          <w:sz w:val="18"/>
          <w:szCs w:val="18"/>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Times New Roman" w:cs="Times New Roman" w:eastAsia="Times New Roman" w:hAnsi="Times New Roman"/>
          <w:sz w:val="18"/>
          <w:szCs w:val="18"/>
          <w:i w:val="1"/>
          <w:iCs w:val="1"/>
          <w:color w:val="auto"/>
        </w:rPr>
        <w:t>frei verfügbares Eigenkapital</w:t>
      </w:r>
      <w:r>
        <w:rPr>
          <w:rFonts w:ascii="Times New Roman" w:cs="Times New Roman" w:eastAsia="Times New Roman" w:hAnsi="Times New Roman"/>
          <w:sz w:val="18"/>
          <w:szCs w:val="18"/>
          <w:color w:val="auto"/>
        </w:rPr>
        <w:t>) at the time it becomes liable including, without limitation, any statutory reserves which can be transferred into unrestricted, distributable reserves, in accordance with Swiss law (the “</w:t>
      </w:r>
      <w:r>
        <w:rPr>
          <w:rFonts w:ascii="Times New Roman" w:cs="Times New Roman" w:eastAsia="Times New Roman" w:hAnsi="Times New Roman"/>
          <w:sz w:val="18"/>
          <w:szCs w:val="18"/>
          <w:u w:val="single" w:color="auto"/>
          <w:color w:val="auto"/>
        </w:rPr>
        <w:t>Freely Disposable Amount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xml:space="preserve">) and (ii) reduce its share capital to the minimum allowed under then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steps are permitted under the Loan Documents.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w:t>
      </w:r>
    </w:p>
    <w:p>
      <w:pPr>
        <w:spacing w:after="0" w:line="3" w:lineRule="exact"/>
        <w:rPr>
          <w:sz w:val="20"/>
          <w:szCs w:val="20"/>
          <w:color w:val="auto"/>
        </w:rPr>
      </w:pPr>
    </w:p>
    <w:p>
      <w:pPr>
        <w:jc w:val="both"/>
        <w:ind w:firstLine="8"/>
        <w:spacing w:after="0" w:line="255" w:lineRule="auto"/>
        <w:tabs>
          <w:tab w:leader="none" w:pos="25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If so required under applicable law (including tax treaties) at the time it is required to make a payment under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Obligor:</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shall deduct the Swiss withholding tax at such rate (being 35% on the date hereof) as in force from time to time if the notification procedure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does not apply; or shall deduct the Swiss withholding tax at the reduced rate resulting after discharge of part of such tax by notification if the notification procedure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applies for a part of the Swiss withholding tax only; and shall pay within the time allowed any such taxes deducted to the Swiss Federal Tax Administration; and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            request a refund of the Swiss withholding tax under applicable law (including tax treaties),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center"/>
        <w:ind w:right="1780"/>
        <w:spacing w:after="0"/>
        <w:rPr>
          <w:sz w:val="20"/>
          <w:szCs w:val="20"/>
          <w:color w:val="auto"/>
        </w:rPr>
      </w:pPr>
      <w:r>
        <w:rPr>
          <w:rFonts w:ascii="Times New Roman" w:cs="Times New Roman" w:eastAsia="Times New Roman" w:hAnsi="Times New Roman"/>
          <w:sz w:val="18"/>
          <w:szCs w:val="18"/>
          <w:color w:val="auto"/>
        </w:rPr>
        <w:t>(ii)            pay to the Administrative Agent upon receipt any amount so refunded.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Administrative Agent shall co-operate with the Swiss Obligor to secure such refund.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(h)            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UK Limitation</w:t>
      </w:r>
      <w:r>
        <w:rPr>
          <w:rFonts w:ascii="Times New Roman" w:cs="Times New Roman" w:eastAsia="Times New Roman" w:hAnsi="Times New Roman"/>
          <w:sz w:val="18"/>
          <w:szCs w:val="18"/>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Irish Limitation</w:t>
      </w:r>
      <w:r>
        <w:rPr>
          <w:rFonts w:ascii="Times New Roman" w:cs="Times New Roman" w:eastAsia="Times New Roman" w:hAnsi="Times New Roman"/>
          <w:sz w:val="18"/>
          <w:szCs w:val="18"/>
          <w:color w:val="auto"/>
        </w:rPr>
        <w:t>. Notwithstanding anything to the contrary in this Agreement, the obligations, liabilities and undertakings provided under this Agreement by an Obligor incorporated under the laws of Ireland shall be deemed not to be undertaken or incurred to the extent that same would (a) constitute unlawful financial assistance prohibited by section 82 of the Companies Act 2014 of Ireland (as amended); or (b) constitute a breach of section 239 of the Companies Act 2014 of Ireland (as amended).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Conditions Precedent to the Effective Date</w:t>
      </w:r>
      <w:r>
        <w:rPr>
          <w:rFonts w:ascii="Times New Roman" w:cs="Times New Roman" w:eastAsia="Times New Roman" w:hAnsi="Times New Roman"/>
          <w:sz w:val="18"/>
          <w:szCs w:val="18"/>
          <w:color w:val="auto"/>
        </w:rPr>
        <w:t xml:space="preserve">. The obligation of the Lenders to close this Agreement and to make Loans or issue or participate in any Letter of Credit (including any deemed issuance of Existing Letters of Credit), on or, subject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after the Effective Date for the account of any Borrower is subject to satisfaction of the following conditions: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Administrative Agent shall have received the following, all in form and substance reasonably satisfactory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executed by each Person listed on the signature pages hereof;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1304"/>
        <w:spacing w:after="0"/>
        <w:rPr>
          <w:sz w:val="20"/>
          <w:szCs w:val="20"/>
          <w:color w:val="auto"/>
        </w:rPr>
      </w:pPr>
      <w:r>
        <w:rPr>
          <w:rFonts w:ascii="Times New Roman" w:cs="Times New Roman" w:eastAsia="Times New Roman" w:hAnsi="Times New Roman"/>
          <w:sz w:val="18"/>
          <w:szCs w:val="18"/>
          <w:color w:val="auto"/>
        </w:rPr>
        <w:t>(ii)            the Affiliate Guaranty executed by each Guarantor existing as of the Effective Date;</w:t>
      </w:r>
    </w:p>
    <w:p>
      <w:pPr>
        <w:spacing w:after="0" w:line="225" w:lineRule="exact"/>
        <w:rPr>
          <w:sz w:val="20"/>
          <w:szCs w:val="20"/>
          <w:color w:val="auto"/>
        </w:rPr>
      </w:pPr>
    </w:p>
    <w:p>
      <w:pPr>
        <w:jc w:val="both"/>
        <w:ind w:left="4" w:firstLine="1296"/>
        <w:spacing w:after="0" w:line="282" w:lineRule="auto"/>
        <w:rPr>
          <w:sz w:val="20"/>
          <w:szCs w:val="20"/>
          <w:color w:val="auto"/>
        </w:rPr>
      </w:pPr>
      <w:r>
        <w:rPr>
          <w:rFonts w:ascii="Times New Roman" w:cs="Times New Roman" w:eastAsia="Times New Roman" w:hAnsi="Times New Roman"/>
          <w:sz w:val="18"/>
          <w:szCs w:val="18"/>
          <w:color w:val="auto"/>
        </w:rPr>
        <w:t>(iii)            a joinder agreement to the Intercreditor Agreement substantially in the form of Exhibit A-1 thereto executed by each Person listed on the signature pages thereof;</w:t>
      </w:r>
    </w:p>
    <w:p>
      <w:pPr>
        <w:spacing w:after="0" w:line="162" w:lineRule="exact"/>
        <w:rPr>
          <w:sz w:val="20"/>
          <w:szCs w:val="20"/>
          <w:color w:val="auto"/>
        </w:rPr>
      </w:pPr>
    </w:p>
    <w:p>
      <w:pPr>
        <w:jc w:val="both"/>
        <w:ind w:left="4" w:firstLine="1296"/>
        <w:spacing w:after="0" w:line="253" w:lineRule="auto"/>
        <w:rPr>
          <w:sz w:val="20"/>
          <w:szCs w:val="20"/>
          <w:color w:val="auto"/>
        </w:rPr>
      </w:pPr>
      <w:r>
        <w:rPr>
          <w:rFonts w:ascii="Times New Roman" w:cs="Times New Roman" w:eastAsia="Times New Roman" w:hAnsi="Times New Roman"/>
          <w:sz w:val="18"/>
          <w:szCs w:val="18"/>
          <w:color w:val="auto"/>
        </w:rPr>
        <w:t>(iv)            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making of such Loan or the issuance (or deemed issuance) of any Letter of Credit, (C) that it and each other Obligor constitute a group of companies for the purposes of section 243 of the Companies Act 2014 of Ireland (as amended), (D) confirming that its entry into the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spacing w:after="0" w:line="194" w:lineRule="exact"/>
        <w:rPr>
          <w:sz w:val="20"/>
          <w:szCs w:val="20"/>
          <w:color w:val="auto"/>
        </w:rPr>
      </w:pPr>
    </w:p>
    <w:p>
      <w:pPr>
        <w:jc w:val="both"/>
        <w:ind w:left="4" w:firstLine="1296"/>
        <w:spacing w:after="0" w:line="276" w:lineRule="auto"/>
        <w:rPr>
          <w:sz w:val="20"/>
          <w:szCs w:val="20"/>
          <w:color w:val="auto"/>
        </w:rPr>
      </w:pPr>
      <w:r>
        <w:rPr>
          <w:rFonts w:ascii="Times New Roman" w:cs="Times New Roman" w:eastAsia="Times New Roman" w:hAnsi="Times New Roman"/>
          <w:sz w:val="17"/>
          <w:szCs w:val="17"/>
          <w:color w:val="auto"/>
        </w:rPr>
        <w:t>(v)            a certificate of the secretary or an assistant secretary or other Responsible Officer of each Obligor (other than any Obligor incorporated in England and Wales) (and in the case of a Luxembourg Obligor, a manager (</w:t>
      </w:r>
      <w:r>
        <w:rPr>
          <w:rFonts w:ascii="Times New Roman" w:cs="Times New Roman" w:eastAsia="Times New Roman" w:hAnsi="Times New Roman"/>
          <w:sz w:val="17"/>
          <w:szCs w:val="17"/>
          <w:i w:val="1"/>
          <w:iCs w:val="1"/>
          <w:color w:val="auto"/>
        </w:rPr>
        <w:t>gérant</w:t>
      </w:r>
      <w:r>
        <w:rPr>
          <w:rFonts w:ascii="Times New Roman" w:cs="Times New Roman" w:eastAsia="Times New Roman" w:hAnsi="Times New Roman"/>
          <w:sz w:val="17"/>
          <w:szCs w:val="17"/>
          <w:color w:val="auto"/>
        </w:rPr>
        <w:t>)), dated the Effective Date and certifying</w:t>
      </w:r>
    </w:p>
    <w:p>
      <w:pPr>
        <w:spacing w:after="0" w:line="1" w:lineRule="exact"/>
        <w:rPr>
          <w:sz w:val="20"/>
          <w:szCs w:val="20"/>
          <w:color w:val="auto"/>
        </w:rPr>
      </w:pPr>
    </w:p>
    <w:p>
      <w:pPr>
        <w:jc w:val="both"/>
        <w:ind w:left="4" w:hanging="4"/>
        <w:spacing w:after="0" w:line="266" w:lineRule="auto"/>
        <w:tabs>
          <w:tab w:leader="none" w:pos="3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Times New Roman" w:cs="Times New Roman" w:eastAsia="Times New Roman" w:hAnsi="Times New Roman"/>
          <w:sz w:val="17"/>
          <w:szCs w:val="17"/>
          <w:i w:val="1"/>
          <w:iCs w:val="1"/>
          <w:color w:val="auto"/>
        </w:rPr>
        <w:t>faillite</w:t>
      </w:r>
      <w:r>
        <w:rPr>
          <w:rFonts w:ascii="Times New Roman" w:cs="Times New Roman" w:eastAsia="Times New Roman" w:hAnsi="Times New Roman"/>
          <w:sz w:val="17"/>
          <w:szCs w:val="17"/>
          <w:color w:val="auto"/>
        </w:rPr>
        <w:t>), compulsory liquidation (</w:t>
      </w:r>
      <w:r>
        <w:rPr>
          <w:rFonts w:ascii="Times New Roman" w:cs="Times New Roman" w:eastAsia="Times New Roman" w:hAnsi="Times New Roman"/>
          <w:sz w:val="17"/>
          <w:szCs w:val="17"/>
          <w:i w:val="1"/>
          <w:iCs w:val="1"/>
          <w:color w:val="auto"/>
        </w:rPr>
        <w:t>liquidation judiciaire</w:t>
      </w:r>
      <w:r>
        <w:rPr>
          <w:rFonts w:ascii="Times New Roman" w:cs="Times New Roman" w:eastAsia="Times New Roman" w:hAnsi="Times New Roman"/>
          <w:sz w:val="17"/>
          <w:szCs w:val="17"/>
          <w:color w:val="auto"/>
        </w:rPr>
        <w:t>), voluntary liquidation (</w:t>
      </w:r>
      <w:r>
        <w:rPr>
          <w:rFonts w:ascii="Times New Roman" w:cs="Times New Roman" w:eastAsia="Times New Roman" w:hAnsi="Times New Roman"/>
          <w:sz w:val="17"/>
          <w:szCs w:val="17"/>
          <w:i w:val="1"/>
          <w:iCs w:val="1"/>
          <w:color w:val="auto"/>
        </w:rPr>
        <w:t>liquidation volontaire</w:t>
      </w:r>
      <w:r>
        <w:rPr>
          <w:rFonts w:ascii="Times New Roman" w:cs="Times New Roman" w:eastAsia="Times New Roman" w:hAnsi="Times New Roman"/>
          <w:sz w:val="17"/>
          <w:szCs w:val="17"/>
          <w:color w:val="auto"/>
        </w:rPr>
        <w:t>), winding-up, moratorium, composition with creditors (</w:t>
      </w:r>
      <w:r>
        <w:rPr>
          <w:rFonts w:ascii="Times New Roman" w:cs="Times New Roman" w:eastAsia="Times New Roman" w:hAnsi="Times New Roman"/>
          <w:sz w:val="17"/>
          <w:szCs w:val="17"/>
          <w:i w:val="1"/>
          <w:iCs w:val="1"/>
          <w:color w:val="auto"/>
        </w:rPr>
        <w:t>gestion contrôlé</w:t>
      </w:r>
      <w:r>
        <w:rPr>
          <w:rFonts w:ascii="Times New Roman" w:cs="Times New Roman" w:eastAsia="Times New Roman" w:hAnsi="Times New Roman"/>
          <w:sz w:val="17"/>
          <w:szCs w:val="17"/>
          <w:color w:val="auto"/>
        </w:rPr>
        <w:t>), suspension of payments (</w:t>
      </w:r>
      <w:r>
        <w:rPr>
          <w:rFonts w:ascii="Times New Roman" w:cs="Times New Roman" w:eastAsia="Times New Roman" w:hAnsi="Times New Roman"/>
          <w:sz w:val="17"/>
          <w:szCs w:val="17"/>
          <w:i w:val="1"/>
          <w:iCs w:val="1"/>
          <w:color w:val="auto"/>
        </w:rPr>
        <w:t>sursis de paiement</w:t>
      </w:r>
      <w:r>
        <w:rPr>
          <w:rFonts w:ascii="Times New Roman" w:cs="Times New Roman" w:eastAsia="Times New Roman" w:hAnsi="Times New Roman"/>
          <w:sz w:val="17"/>
          <w:szCs w:val="17"/>
          <w:color w:val="auto"/>
        </w:rPr>
        <w:t>), voluntary arrangement with creditors (</w:t>
      </w:r>
      <w:r>
        <w:rPr>
          <w:rFonts w:ascii="Times New Roman" w:cs="Times New Roman" w:eastAsia="Times New Roman" w:hAnsi="Times New Roman"/>
          <w:sz w:val="17"/>
          <w:szCs w:val="17"/>
          <w:i w:val="1"/>
          <w:iCs w:val="1"/>
          <w:color w:val="auto"/>
        </w:rPr>
        <w:t>concordate préventif de la faillite</w:t>
      </w:r>
      <w:r>
        <w:rPr>
          <w:rFonts w:ascii="Times New Roman" w:cs="Times New Roman" w:eastAsia="Times New Roman" w:hAnsi="Times New Roman"/>
          <w:sz w:val="17"/>
          <w:szCs w:val="17"/>
          <w:color w:val="auto"/>
        </w:rPr>
        <w:t xml:space="preserve">),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Times New Roman" w:cs="Times New Roman" w:eastAsia="Times New Roman" w:hAnsi="Times New Roman"/>
          <w:sz w:val="17"/>
          <w:szCs w:val="17"/>
          <w:u w:val="single" w:color="auto"/>
          <w:color w:val="auto"/>
        </w:rPr>
        <w:t>Section 6.01(a)(i)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6.01(a)(xi)</w:t>
      </w:r>
      <w:r>
        <w:rPr>
          <w:rFonts w:ascii="Times New Roman" w:cs="Times New Roman" w:eastAsia="Times New Roman" w:hAnsi="Times New Roman"/>
          <w:sz w:val="17"/>
          <w:szCs w:val="17"/>
          <w:color w:val="auto"/>
        </w:rPr>
        <w:t xml:space="preserve"> is correct, complete and in full force and effect as at a date no earlier than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2" w:name="page123"/>
    <w:bookmarkEnd w:id="122"/>
    <w:p>
      <w:pPr>
        <w:jc w:val="both"/>
        <w:ind w:left="4" w:firstLine="1296"/>
        <w:spacing w:after="0" w:line="252" w:lineRule="auto"/>
        <w:rPr>
          <w:sz w:val="20"/>
          <w:szCs w:val="20"/>
          <w:color w:val="auto"/>
        </w:rPr>
      </w:pPr>
      <w:r>
        <w:rPr>
          <w:rFonts w:ascii="Times New Roman" w:cs="Times New Roman" w:eastAsia="Times New Roman" w:hAnsi="Times New Roman"/>
          <w:sz w:val="18"/>
          <w:szCs w:val="18"/>
          <w:color w:val="auto"/>
        </w:rPr>
        <w:t xml:space="preserve">(vi)            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Times New Roman" w:cs="Times New Roman" w:eastAsia="Times New Roman" w:hAnsi="Times New Roman"/>
          <w:sz w:val="18"/>
          <w:szCs w:val="18"/>
          <w:u w:val="single" w:color="auto"/>
          <w:color w:val="auto"/>
        </w:rPr>
        <w:t>paragraph (vi)</w:t>
      </w:r>
      <w:r>
        <w:rPr>
          <w:rFonts w:ascii="Times New Roman" w:cs="Times New Roman" w:eastAsia="Times New Roman" w:hAnsi="Times New Roman"/>
          <w:sz w:val="18"/>
          <w:szCs w:val="18"/>
          <w:color w:val="auto"/>
        </w:rPr>
        <w:t xml:space="preserve"> is correct, complete and (to the extent executed) in full force and effect and has not been amended or superseded as at a date no earlier than the Effective Date;</w:t>
      </w:r>
    </w:p>
    <w:p>
      <w:pPr>
        <w:spacing w:after="0" w:line="197" w:lineRule="exact"/>
        <w:rPr>
          <w:sz w:val="20"/>
          <w:szCs w:val="20"/>
          <w:color w:val="auto"/>
        </w:rPr>
      </w:pPr>
    </w:p>
    <w:p>
      <w:pPr>
        <w:jc w:val="both"/>
        <w:ind w:left="4" w:firstLine="1296"/>
        <w:spacing w:after="0" w:line="268" w:lineRule="auto"/>
        <w:rPr>
          <w:sz w:val="20"/>
          <w:szCs w:val="20"/>
          <w:color w:val="auto"/>
        </w:rPr>
      </w:pPr>
      <w:r>
        <w:rPr>
          <w:rFonts w:ascii="Times New Roman" w:cs="Times New Roman" w:eastAsia="Times New Roman" w:hAnsi="Times New Roman"/>
          <w:sz w:val="17"/>
          <w:szCs w:val="17"/>
          <w:color w:val="auto"/>
        </w:rPr>
        <w:t>(vii)            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certain of the Obligors, (C) Baker McKenzie Switzerland (GVA) SA, in Geneva, special Swiss counsel to certain of the Obligors, (D) Matheson LLP, special Irish counsel to certain of the Obligors, (E) Dentons Canada LLP, special British Columbia, Alberta and Ontario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certain of the Obligors, (J) Norton Rose Fulbright, special Australian counsel to the Administrative Agent, (K) BAHR, special Norwegian counsel to the Administrative Agent,</w:t>
      </w:r>
    </w:p>
    <w:p>
      <w:pPr>
        <w:jc w:val="both"/>
        <w:ind w:left="4" w:hanging="4"/>
        <w:spacing w:after="0" w:line="253" w:lineRule="auto"/>
        <w:tabs>
          <w:tab w:leader="none" w:pos="29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&amp; McKenzie Amsterdam N.V., special Dutch counsel to certain of the Obligors, (M) Holland &amp; Hart LLP, special Nevada counsel to certain of the Obligors, (N) Baker McKenzie, Rechtsanwaltsgesellschaft mbH von Rechtsanwälten und Steuerberatern, special German counsel to certain of the Obligors, (O) Arias, Fábrega &amp; Fábrega, special Panamanian counsel to certain of the Obligors, (P) Baker &amp; McKenzie Abogados, S.C., special Mexican counsel to certain of the Obligors, (Q) Brons &amp; Salas, special Argentine counsel to certain of the Obligors, and (R) Veirano, special Brazilian counsel to certain of the Obligors, in each case, given upon the express instruction of the applicable Obligor(s), as applicable;</w:t>
      </w:r>
    </w:p>
    <w:p>
      <w:pPr>
        <w:spacing w:after="0" w:line="200" w:lineRule="exact"/>
        <w:rPr>
          <w:sz w:val="20"/>
          <w:szCs w:val="20"/>
          <w:color w:val="auto"/>
        </w:rPr>
      </w:pPr>
    </w:p>
    <w:p>
      <w:pPr>
        <w:spacing w:after="0" w:line="20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3" w:name="page124"/>
    <w:bookmarkEnd w:id="12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(viii)            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16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(ix)            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xml:space="preserve">) in Luxembourg and it does not have an “establishment” (as that term is used in article 2(10) of the European Insolvency Regulation) in any other jurisdiction), (C) to the extent not covered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Times New Roman" w:cs="Times New Roman" w:eastAsia="Times New Roman" w:hAnsi="Times New Roman"/>
          <w:sz w:val="18"/>
          <w:szCs w:val="18"/>
          <w:i w:val="1"/>
          <w:iCs w:val="1"/>
          <w:color w:val="auto"/>
        </w:rPr>
        <w:t>Registre de Commerce et des Sociétés</w:t>
      </w:r>
      <w:r>
        <w:rPr>
          <w:rFonts w:ascii="Times New Roman" w:cs="Times New Roman" w:eastAsia="Times New Roman" w:hAnsi="Times New Roman"/>
          <w:sz w:val="18"/>
          <w:szCs w:val="18"/>
          <w:color w:val="auto"/>
        </w:rPr>
        <w:t>) in Luxembourg (the “</w:t>
      </w:r>
      <w:r>
        <w:rPr>
          <w:rFonts w:ascii="Times New Roman" w:cs="Times New Roman" w:eastAsia="Times New Roman" w:hAnsi="Times New Roman"/>
          <w:sz w:val="18"/>
          <w:szCs w:val="18"/>
          <w:u w:val="single" w:color="auto"/>
          <w:color w:val="auto"/>
        </w:rPr>
        <w:t>RCS</w:t>
      </w:r>
      <w:r>
        <w:rPr>
          <w:rFonts w:ascii="Times New Roman" w:cs="Times New Roman" w:eastAsia="Times New Roman" w:hAnsi="Times New Roman"/>
          <w:sz w:val="18"/>
          <w:szCs w:val="18"/>
          <w:color w:val="auto"/>
        </w:rPr>
        <w:t>”) as at a date no earlier than the Effective Date and an up-to-date, true and complete electronic excerpt of the RCS as at a date no earlier than the Effective Date;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an Irish law agency assignment agreement in respect of any Irish law security documents;</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4" w:name="page125"/>
    <w:bookmarkEnd w:id="124"/>
    <w:p>
      <w:pPr>
        <w:ind w:left="1300"/>
        <w:spacing w:after="0"/>
        <w:rPr>
          <w:sz w:val="20"/>
          <w:szCs w:val="20"/>
          <w:color w:val="auto"/>
        </w:rPr>
      </w:pPr>
      <w:r>
        <w:rPr>
          <w:rFonts w:ascii="Times New Roman" w:cs="Times New Roman" w:eastAsia="Times New Roman" w:hAnsi="Times New Roman"/>
          <w:sz w:val="18"/>
          <w:szCs w:val="18"/>
          <w:color w:val="auto"/>
        </w:rPr>
        <w:t>(xi)            an Irish law deed of confirmation in respect of any Irish law security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the U.S. Security Agreement, dated as of the Effective Date, executed by each Obligor listed on the 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pages 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[reserved];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(xiv)         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(xv)          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         [reserved];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(xvii)         a certificate of a director of Weatherford Australia Pty Limited, dated the Effective Date and confirming that (A) the resolutions referred to in </w:t>
      </w:r>
      <w:r>
        <w:rPr>
          <w:rFonts w:ascii="Times New Roman" w:cs="Times New Roman" w:eastAsia="Times New Roman" w:hAnsi="Times New Roman"/>
          <w:sz w:val="18"/>
          <w:szCs w:val="18"/>
          <w:u w:val="single" w:color="auto"/>
          <w:color w:val="auto"/>
        </w:rPr>
        <w:t>Section 6.01(a)(v)</w:t>
      </w:r>
      <w:r>
        <w:rPr>
          <w:rFonts w:ascii="Times New Roman" w:cs="Times New Roman" w:eastAsia="Times New Roman" w:hAnsi="Times New Roman"/>
          <w:sz w:val="18"/>
          <w:szCs w:val="18"/>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(xviii)        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3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5" w:name="page126"/>
    <w:bookmarkEnd w:id="125"/>
    <w:p>
      <w:pPr>
        <w:ind w:left="1960"/>
        <w:spacing w:after="0"/>
        <w:rPr>
          <w:sz w:val="20"/>
          <w:szCs w:val="20"/>
          <w:color w:val="auto"/>
        </w:rPr>
      </w:pPr>
      <w:r>
        <w:rPr>
          <w:rFonts w:ascii="Times New Roman" w:cs="Times New Roman" w:eastAsia="Times New Roman" w:hAnsi="Times New Roman"/>
          <w:sz w:val="18"/>
          <w:szCs w:val="18"/>
          <w:color w:val="auto"/>
        </w:rPr>
        <w:t>(xix)          to the extent available in the applicable jurisdiction(s) and reasonably requested by the Administrative Agent,</w:t>
      </w:r>
    </w:p>
    <w:p>
      <w:pPr>
        <w:spacing w:after="0" w:line="27" w:lineRule="exact"/>
        <w:rPr>
          <w:sz w:val="20"/>
          <w:szCs w:val="20"/>
          <w:color w:val="auto"/>
        </w:rPr>
      </w:pPr>
    </w:p>
    <w:p>
      <w:pPr>
        <w:jc w:val="both"/>
        <w:ind w:left="660" w:hanging="4"/>
        <w:spacing w:after="0" w:line="253" w:lineRule="auto"/>
        <w:tabs>
          <w:tab w:leader="none" w:pos="9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Administrative Agent shall have received evidence reasonably satisfactory to it that all material consents of (i) each Governmental Authority and (ii) each other Person, if any,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There shall be no adversary proceeding or litigation seeking to enjoin or prevent the financing or the transactions contemplated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The Lenders shall have received (i) audited consolidated financial statements of Parent for the Fiscal Years ended December 31, 2020 and December 31, 2021,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2021,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or any other Loan Document.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Effective Date.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ind w:left="1300"/>
        <w:spacing w:after="0"/>
        <w:rPr>
          <w:sz w:val="20"/>
          <w:szCs w:val="20"/>
          <w:color w:val="auto"/>
        </w:rPr>
      </w:pPr>
      <w:r>
        <w:rPr>
          <w:rFonts w:ascii="Times New Roman" w:cs="Times New Roman" w:eastAsia="Times New Roman" w:hAnsi="Times New Roman"/>
          <w:sz w:val="18"/>
          <w:szCs w:val="18"/>
          <w:color w:val="auto"/>
        </w:rPr>
        <w:t>(h)            Certificates of insurance (other than for any Obligor incorporated in England and Wales) listing the Administrative Agent as</w:t>
      </w:r>
    </w:p>
    <w:p>
      <w:pPr>
        <w:spacing w:after="0" w:line="27"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payee for the property casualty insurance policies of the Obligors (other than the UK Obligors), together with loss payable endorsements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6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insured with respect to the liability insurance of the Obligors (other than the UK Obligors), together with additional insured endorsements, shall have been provided.</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Conditions Precedent to All Credit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the obligation of any Lender to make or participate in any Extensions of Credit and/or any Issuing Bank to issue, amend, renew or extend (including deemed issuance) any Letter of Credit on or after the Effective Date is subject to the further conditions precedent that, on the date of the relevant borrowing or issuance, amendment, renewal or extension of such Letter of Credit: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Extension of Credit or issuance, amendment, renewal or extension of such Letter of Credit, except to the extent any such representations and warranties are expressly limited to an earlier date, in which case, on and as of the date of such Extension of Credit or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In the case of a borrowing of Loans, the Administrative Agent shall have received a Notice of Borrowing and (ii) with respect to any Letter of Credit, the Administrative Agent and the applicable Issuing Bank shall have received (A) in the case of an issuance, amendment, renewal or extension of a Letter of Credit, a Letter of Credit Request as required by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by the time and on the Business Day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and (B)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After giving effect to such borrowing or the issuance, amendment, renewal or extension of such Letter of Credit, the Total Credit Exposure shall not exceed the Aggregate Commitments and the Revolving Credit Outstandings shall not exceed the total Revolving Credit Commitments.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To the extent a Defaulting Lender exists at the time of such issuance, amendment, renewal or extension, such Defaulting Lender’s LC Exposure in respect of such Letter of Credit shall be cash collateralized to the extent required by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this Agreement, or otherwise secured to the reasonable satisfaction of the applicable Issuing Bank.</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No Default or Event of Default shall have occurred and be continuing or would result from such borrowing or the issuance, amendment, renewal or extension of such Letter of Credit.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In the case of any Loan or Letter of Credit to be denominated in an Alternative Currency, the Administrative Agent and/or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the Administrative Agent or such applicable Issuing Bank, would make it impractical for such Loans and/or Letter of Credit to be denominated in the relevant Alternative Currency.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acceptance of the benefits of each Loan and/or Letter of Credit and any amendment, renewal, or extension of any Letter of Credit shall constitute a representation and warranty by each of the Obligors to each of the Lenders that all of the conditions specified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have been satisfied as of that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8" w:name="page129"/>
    <w:bookmarkEnd w:id="128"/>
    <w:p>
      <w:pPr>
        <w:jc w:val="both"/>
        <w:ind w:firstLine="648"/>
        <w:spacing w:after="0" w:line="270" w:lineRule="auto"/>
        <w:rPr>
          <w:sz w:val="20"/>
          <w:szCs w:val="20"/>
          <w:color w:val="auto"/>
        </w:rPr>
      </w:pPr>
      <w:r>
        <w:rPr>
          <w:rFonts w:ascii="Times New Roman" w:cs="Times New Roman" w:eastAsia="Times New Roman" w:hAnsi="Times New Roman"/>
          <w:sz w:val="17"/>
          <w:szCs w:val="17"/>
          <w:color w:val="auto"/>
        </w:rPr>
        <w:t>SECTION 7.02     </w:t>
      </w:r>
      <w:r>
        <w:rPr>
          <w:rFonts w:ascii="Times New Roman" w:cs="Times New Roman" w:eastAsia="Times New Roman" w:hAnsi="Times New Roman"/>
          <w:sz w:val="17"/>
          <w:szCs w:val="17"/>
          <w:u w:val="single" w:color="auto"/>
          <w:color w:val="auto"/>
        </w:rPr>
        <w:t>  Authorization, Validity, Etc</w:t>
      </w:r>
      <w:r>
        <w:rPr>
          <w:rFonts w:ascii="Times New Roman" w:cs="Times New Roman" w:eastAsia="Times New Roman" w:hAnsi="Times New Roman"/>
          <w:sz w:val="17"/>
          <w:szCs w:val="17"/>
          <w:color w:val="auto"/>
        </w:rPr>
        <w:t>. Each Obligor has the corporate and, as applicable, any other power and authority to execute, deliver and perform its obligations hereunder and under the other Loan Documents to which it is a party and to borrow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the valid and legally binding agreement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rescue process,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7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Governmental Consents, Etc</w:t>
      </w:r>
      <w:r>
        <w:rPr>
          <w:rFonts w:ascii="Times New Roman" w:cs="Times New Roman" w:eastAsia="Times New Roman" w:hAnsi="Times New Roman"/>
          <w:sz w:val="18"/>
          <w:szCs w:val="18"/>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No Breach or Violation of Law or Agreements</w:t>
      </w:r>
      <w:r>
        <w:rPr>
          <w:rFonts w:ascii="Times New Roman" w:cs="Times New Roman" w:eastAsia="Times New Roman" w:hAnsi="Times New Roman"/>
          <w:sz w:val="18"/>
          <w:szCs w:val="18"/>
          <w:color w:val="auto"/>
        </w:rPr>
        <w:t xml:space="preserve">.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Exit Senior Notes or the Exit Senior Notes Indenture, the Senior Secured Notes or the Senior Secured Notes Indenture or the Senior Notes or the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that collectively for the Obligors would not have a Material Adverse Effect, or (c) will violate any provision of the organizational documents or by-laws of any Obligor.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7.05</w:t>
      </w:r>
      <w:r>
        <w:rPr>
          <w:rFonts w:ascii="Times New Roman" w:cs="Times New Roman" w:eastAsia="Times New Roman" w:hAnsi="Times New Roman"/>
          <w:sz w:val="18"/>
          <w:szCs w:val="18"/>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  Information;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Parent has heretofore furnished to the Lenders its consolidated balance sheet and statements of income, stockholders equity and cash flows as of and for the Fiscal Years ended December 31, 2020 and December 31, 2021,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As of the Effective Date, all of the information included in the Beneficial Ownership Certification, to the extent required to be delivered, is true and correct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There has been no material adverse change since December 31, 2021 in the financial condition, business, assets or operations of Parent and its Restricted Subsidiaries, taken as a whole.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7.07     </w:t>
      </w:r>
      <w:r>
        <w:rPr>
          <w:rFonts w:ascii="Times New Roman" w:cs="Times New Roman" w:eastAsia="Times New Roman" w:hAnsi="Times New Roman"/>
          <w:sz w:val="18"/>
          <w:szCs w:val="18"/>
          <w:u w:val="single" w:color="auto"/>
          <w:color w:val="auto"/>
        </w:rPr>
        <w:t>  Investment Company Act;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Neither any Obligor nor any of its Restricted Subsidiaries is, or is regulated as, an “investment company”, as such term is defined in the Investment Company Act of 1940 (as adopted in the United States), as amended.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Neither any Obligor nor any of its Restricted Subsidiaries is engaged principally, or as one of its important activities, in the business of extending credit for the purpose of purchasing or carrying any “margin stock” as defined in Regulation U. No part of the proceeds of any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7.08     </w:t>
      </w:r>
      <w:r>
        <w:rPr>
          <w:rFonts w:ascii="Times New Roman" w:cs="Times New Roman" w:eastAsia="Times New Roman" w:hAnsi="Times New Roman"/>
          <w:sz w:val="18"/>
          <w:szCs w:val="18"/>
          <w:u w:val="single" w:color="auto"/>
          <w:color w:val="auto"/>
        </w:rPr>
        <w:t>  ERISA; Canadian Defined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0" w:name="page131"/>
    <w:bookmarkEnd w:id="13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No ERISA Event has occurred or is reasonably expected to occur that, when taken together with all other such ERISA Events that are reasonably expected to occur, could reasonably be expected to have a Material Adverse Effect.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None of the assets of the Obligors constitute “plan assets” (within the meaning of the Plan Asset Regulations).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No Obligor sponsors, administers, participates in or contributes to, or has any liabilities or obligations in respect of, any Canadian Defined Benefit Plan.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7.09     </w:t>
      </w:r>
      <w:r>
        <w:rPr>
          <w:rFonts w:ascii="Times New Roman" w:cs="Times New Roman" w:eastAsia="Times New Roman" w:hAnsi="Times New Roman"/>
          <w:sz w:val="18"/>
          <w:szCs w:val="18"/>
          <w:u w:val="single" w:color="auto"/>
          <w:color w:val="auto"/>
        </w:rPr>
        <w:t>  Tax Returns and Payments</w:t>
      </w:r>
      <w:r>
        <w:rPr>
          <w:rFonts w:ascii="Times New Roman" w:cs="Times New Roman" w:eastAsia="Times New Roman" w:hAnsi="Times New Roman"/>
          <w:sz w:val="18"/>
          <w:szCs w:val="18"/>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As of the Effective Date, the information included in the Beneficial Ownership Certification (if any such certificate was required to be delivered by any Borrower under the Beneficial Ownership Regulation) is true and correct in all respects.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ind w:left="660"/>
        <w:spacing w:after="0"/>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is a Sanctioned Person. No use of proceeds of any Extension of Credit or any other transaction contemplated by this Agreement will violate any Anti-Corruption Laws or any Sanctions applicable to any party hereto.</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To the extent that any representation contained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made by any Obligor incorporated or organized under the laws of Germany or a resident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Auβenwirtschaftgesetz</w:t>
      </w:r>
      <w:r>
        <w:rPr>
          <w:rFonts w:ascii="Times New Roman" w:cs="Times New Roman" w:eastAsia="Times New Roman" w:hAnsi="Times New Roman"/>
          <w:sz w:val="18"/>
          <w:szCs w:val="18"/>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(in connection with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Each of Parent and its Restricted Subsidiaries has good and marketable title to, or valid leasehold interests in, all its real and personal property material to its business, except for (i)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7.14     </w:t>
      </w:r>
      <w:r>
        <w:rPr>
          <w:rFonts w:ascii="Times New Roman" w:cs="Times New Roman" w:eastAsia="Times New Roman" w:hAnsi="Times New Roman"/>
          <w:sz w:val="18"/>
          <w:szCs w:val="18"/>
          <w:u w:val="single" w:color="auto"/>
          <w:color w:val="auto"/>
        </w:rPr>
        <w:t>  No Restrictive Agreements</w:t>
      </w:r>
      <w:r>
        <w:rPr>
          <w:rFonts w:ascii="Times New Roman" w:cs="Times New Roman" w:eastAsia="Times New Roman" w:hAnsi="Times New Roman"/>
          <w:sz w:val="18"/>
          <w:szCs w:val="18"/>
          <w:color w:val="auto"/>
        </w:rPr>
        <w:t xml:space="preserve">. Parent and its Restricted Subsidiaries are not subject to any Restrictive Agreements other than Restrictive Agreements permitted by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7.15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the consummation of the Transactions to occur on the Effective Date, Parent and its Subsidiaries, taken as a whole, are and will be Solvent.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7.16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7.17     </w:t>
      </w:r>
      <w:r>
        <w:rPr>
          <w:rFonts w:ascii="Times New Roman" w:cs="Times New Roman" w:eastAsia="Times New Roman" w:hAnsi="Times New Roman"/>
          <w:sz w:val="18"/>
          <w:szCs w:val="18"/>
          <w:u w:val="single" w:color="auto"/>
          <w:color w:val="auto"/>
        </w:rPr>
        <w:t>  Rank of Obligations</w:t>
      </w:r>
      <w:r>
        <w:rPr>
          <w:rFonts w:ascii="Times New Roman" w:cs="Times New Roman" w:eastAsia="Times New Roman" w:hAnsi="Times New Roman"/>
          <w:sz w:val="18"/>
          <w:szCs w:val="18"/>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7.18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xml:space="preserve">. There are no Liens on any of the assets of Parent or any Restricted Subsidiary other than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Liens that are being released on the Effective Date.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7.19     </w:t>
      </w:r>
      <w:r>
        <w:rPr>
          <w:rFonts w:ascii="Times New Roman" w:cs="Times New Roman" w:eastAsia="Times New Roman" w:hAnsi="Times New Roman"/>
          <w:sz w:val="18"/>
          <w:szCs w:val="18"/>
          <w:u w:val="single" w:color="auto"/>
          <w:color w:val="auto"/>
        </w:rPr>
        <w:t>  Security Interest in Collateral</w:t>
      </w:r>
      <w:r>
        <w:rPr>
          <w:rFonts w:ascii="Times New Roman" w:cs="Times New Roman" w:eastAsia="Times New Roman" w:hAnsi="Times New Roman"/>
          <w:sz w:val="18"/>
          <w:szCs w:val="18"/>
          <w:color w:val="auto"/>
        </w:rPr>
        <w:t>.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recordation and notices of security contemplated by the Collateral Documents, in each case, in the appropriate filing offices or to the appropriate recipient), and having priority over all other Liens on the Collateral except in the case of</w:t>
      </w:r>
    </w:p>
    <w:p>
      <w:pPr>
        <w:spacing w:after="0" w:line="5" w:lineRule="exact"/>
        <w:rPr>
          <w:sz w:val="20"/>
          <w:szCs w:val="20"/>
          <w:color w:val="auto"/>
        </w:rPr>
      </w:pPr>
    </w:p>
    <w:p>
      <w:pPr>
        <w:ind w:firstLine="8"/>
        <w:spacing w:after="0" w:line="260" w:lineRule="auto"/>
        <w:tabs>
          <w:tab w:leader="none" w:pos="28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(b) Liens perfected only by possession (including possession of any certificate of title) to the extent the Administrative Agent has not obtained or does not maintain possession of such Collateral.</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7.20     </w:t>
      </w:r>
      <w:r>
        <w:rPr>
          <w:rFonts w:ascii="Times New Roman" w:cs="Times New Roman" w:eastAsia="Times New Roman" w:hAnsi="Times New Roman"/>
          <w:sz w:val="18"/>
          <w:szCs w:val="18"/>
          <w:u w:val="single" w:color="auto"/>
          <w:color w:val="auto"/>
        </w:rPr>
        <w:t>  Capital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6.20(a)</w:t>
      </w:r>
      <w:r>
        <w:rPr>
          <w:rFonts w:ascii="Times New Roman" w:cs="Times New Roman" w:eastAsia="Times New Roman" w:hAnsi="Times New Roman"/>
          <w:sz w:val="18"/>
          <w:szCs w:val="18"/>
          <w:color w:val="auto"/>
        </w:rPr>
        <w:t xml:space="preserve"> sets forth a complete and accurate description of the authorized Capital Stock of Parent as of the Effective Date immediately after giving effect to the Transactions to occur on the Effective Date, by class, and, as of the Effective Date immediately after giving effect to the Transactions to occur on the Effective Date, a description of the number of shares of each such class that are issued and outstanding. </w:t>
      </w:r>
      <w:r>
        <w:rPr>
          <w:rFonts w:ascii="Times New Roman" w:cs="Times New Roman" w:eastAsia="Times New Roman" w:hAnsi="Times New Roman"/>
          <w:sz w:val="18"/>
          <w:szCs w:val="18"/>
          <w:u w:val="single" w:color="auto"/>
          <w:color w:val="auto"/>
        </w:rPr>
        <w:t>Schedule 6.20(b)</w:t>
      </w:r>
      <w:r>
        <w:rPr>
          <w:rFonts w:ascii="Times New Roman" w:cs="Times New Roman" w:eastAsia="Times New Roman" w:hAnsi="Times New Roman"/>
          <w:sz w:val="18"/>
          <w:szCs w:val="18"/>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and (ii) the number and the percentage of the outstanding shares of each class of Capital Stock owned directly by the parent (or parents) of each such Obligor. All of the outstanding Capital Stock of each Obligor has been validly issued and is fully paid and non-assessable.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SECTION 7.21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Obligor is an Affected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7.22     </w:t>
      </w:r>
      <w:r>
        <w:rPr>
          <w:rFonts w:ascii="Times New Roman" w:cs="Times New Roman" w:eastAsia="Times New Roman" w:hAnsi="Times New Roman"/>
          <w:sz w:val="18"/>
          <w:szCs w:val="18"/>
          <w:u w:val="single" w:color="auto"/>
          <w:color w:val="auto"/>
        </w:rPr>
        <w:t>  Compliance with the Swiss Non-Bank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Swiss Obligor is in compliance with the Swiss Non-Bank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Swiss Obligor shall not be in breach of this representation if the permitted number of Swiss Non-Qualifying Lenders is exceeded solely by reason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a failure by one or more Lenders or Participants to comply with their obligations under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 confirmation made by one or more Lenders or Participants to be one single Swiss Non-Qualifying Lender is incorrect;</w:t>
      </w:r>
    </w:p>
    <w:p>
      <w:pPr>
        <w:spacing w:after="0" w:line="23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one or more Lenders or Participants ceasing to be a Swiss Qualifying Lender (to the extent such Lender or Participant is confirmed to be a Swiss Qualifying Lender) as a result of any reason attributable to such Lender or Participant; or</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(iv)            an assignment or participation of any Commitments or LC Exposure under this Agreement to a Swiss Non-Qualifying Lender after the occurrence of an Event of Default.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For the purposes of this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 each Swiss Obligor shall assume that the aggregate number of Lenders or Participants under this Agreement which are Swiss Non-Qualifying Lenders is ten (10).</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SECTION 7.23     </w:t>
      </w:r>
      <w:r>
        <w:rPr>
          <w:rFonts w:ascii="Times New Roman" w:cs="Times New Roman" w:eastAsia="Times New Roman" w:hAnsi="Times New Roman"/>
          <w:sz w:val="18"/>
          <w:szCs w:val="18"/>
          <w:u w:val="single" w:color="auto"/>
          <w:color w:val="auto"/>
        </w:rPr>
        <w:t>  Dutch Fiscal Unity</w:t>
      </w:r>
      <w:r>
        <w:rPr>
          <w:rFonts w:ascii="Times New Roman" w:cs="Times New Roman" w:eastAsia="Times New Roman" w:hAnsi="Times New Roman"/>
          <w:sz w:val="18"/>
          <w:szCs w:val="18"/>
          <w:color w:val="auto"/>
        </w:rPr>
        <w:t>. Any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of which an Obligor forms part consists of Obligors and/or Restricted Subsidiaries only.</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7.24     </w:t>
      </w:r>
      <w:r>
        <w:rPr>
          <w:rFonts w:ascii="Times New Roman" w:cs="Times New Roman" w:eastAsia="Times New Roman" w:hAnsi="Times New Roman"/>
          <w:sz w:val="18"/>
          <w:szCs w:val="18"/>
          <w:u w:val="single" w:color="auto"/>
          <w:color w:val="auto"/>
        </w:rPr>
        <w:t>  Tax Residency</w:t>
      </w:r>
      <w:r>
        <w:rPr>
          <w:rFonts w:ascii="Times New Roman" w:cs="Times New Roman" w:eastAsia="Times New Roman" w:hAnsi="Times New Roman"/>
          <w:sz w:val="18"/>
          <w:szCs w:val="18"/>
          <w:color w:val="auto"/>
        </w:rPr>
        <w:t>. Each Obligor organized under the laws of the Netherlands is resident for tax purposes in the Netherlands only and does not have a permanent establishment or other taxable presence outside the Netherlands, unless with the prior written consent of the Administrative Agent.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7.25     </w:t>
      </w:r>
      <w:r>
        <w:rPr>
          <w:rFonts w:ascii="Times New Roman" w:cs="Times New Roman" w:eastAsia="Times New Roman" w:hAnsi="Times New Roman"/>
          <w:sz w:val="18"/>
          <w:szCs w:val="18"/>
          <w:u w:val="single" w:color="auto"/>
          <w:color w:val="auto"/>
        </w:rPr>
        <w:t>  Status as a Holding Company</w:t>
      </w:r>
      <w:r>
        <w:rPr>
          <w:rFonts w:ascii="Times New Roman" w:cs="Times New Roman" w:eastAsia="Times New Roman" w:hAnsi="Times New Roman"/>
          <w:sz w:val="18"/>
          <w:szCs w:val="18"/>
          <w:color w:val="auto"/>
        </w:rPr>
        <w:t>. Parent does not have any operating assets or engage in any business other than any customary business of a holding company and ordinary course business operations of Parent in existence prior to the Effective Date.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Obligor Parties covenant and agree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Information Covenants</w:t>
      </w:r>
      <w:r>
        <w:rPr>
          <w:rFonts w:ascii="Times New Roman" w:cs="Times New Roman" w:eastAsia="Times New Roman" w:hAnsi="Times New Roman"/>
          <w:sz w:val="18"/>
          <w:szCs w:val="18"/>
          <w:color w:val="auto"/>
        </w:rPr>
        <w:t>. Each Obligor Party shall furnish or cause to be furnished to the Administrative Agent: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upon the earlier to occur of (i) five Business Days after being filed with the SEC and (ii) the date that is the deadline to file with the SEC, the quarterly report on Form 10-Q, or its equivalent, of Parent for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Obligor Parties shall be deemed to have furnished said quarterly report on Form 10-Q for purposes of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Obligor Parties shall be deemed to have furnished said annual report on Form 10-K for purposes of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promptly, and in any event within five (5) Business Days after:</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any Obligor Party obtains knowledge of the occurrence of any event or condition which constitutes a Default or an Event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Default; or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any Obligor Party obtains knowledge of the occurrence of a Change of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such event, condition, occurrence or development, specifying the nature thereof;</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within five (5) Business Days after the delivery of the financial statements provided for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promptly, and in any event within 30 days after any Responsible Officer of such Obligor Party obtains knowledge thereof,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occurrence or expected occurrence of (A) any ERISA Event with respect to any Plan or any Multiemployer Plan, (B) 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76"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(h)            (i) within 30 days after the consummation of any Collateral Transfer resulting in Book Value of Assets of greater than $25,000,000 ceasing to be LC Priority Collateral, (A) written notice of such Collateral Transfer (including the book value of the LC Priority Collateral so transferred),</w:t>
      </w:r>
    </w:p>
    <w:p>
      <w:pPr>
        <w:spacing w:after="0" w:line="1" w:lineRule="exact"/>
        <w:rPr>
          <w:sz w:val="20"/>
          <w:szCs w:val="20"/>
          <w:color w:val="auto"/>
        </w:rPr>
      </w:pPr>
    </w:p>
    <w:p>
      <w:pPr>
        <w:jc w:val="both"/>
        <w:ind w:firstLine="8"/>
        <w:spacing w:after="0" w:line="253" w:lineRule="auto"/>
        <w:tabs>
          <w:tab w:leader="none" w:pos="2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Principal Financial Officer of an Obligor Party, certifying that after giving effect to such Collateral Transfer, the Book Value of Assets with respect to all remaining LC Priority Collateral is no less than $1,000,000,000 and (C) a reasonably detailed calculation demonstrating Parent’s calculation of such Book Value of Assets and (ii) within five Business Days after the delivery of the financial statements provided for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a calculation of the Book Value of Assets as of the end of the fiscal period covered by such financial statements;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promptly, and in any event within five (5) Business Days after, notices of default sent to or from the Obligors in connection with the Senior Secured Notes, Exit Senior Notes or Senior Notes or any amendment, supplement or other modification to the Senior Secured Notes Indenture, the Exit Senior Notes Indenture, the Senior Notes Indenture or any documents related to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promptly after either Moody’s or S&amp;P shall have announced a change in its Corporate Rating, written notice of such rating change;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(k)            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pursuant to such request shall be treated as confidential information in accordance with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Books, Records and Inspections</w:t>
      </w:r>
      <w:r>
        <w:rPr>
          <w:rFonts w:ascii="Times New Roman" w:cs="Times New Roman" w:eastAsia="Times New Roman" w:hAnsi="Times New Roman"/>
          <w:sz w:val="18"/>
          <w:szCs w:val="18"/>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during any such visitation, inspection, examination or discussion shall be treated as confidential information in accordance with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1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Payment of Taxes and other Claims</w:t>
      </w:r>
      <w:r>
        <w:rPr>
          <w:rFonts w:ascii="Times New Roman" w:cs="Times New Roman" w:eastAsia="Times New Roman" w:hAnsi="Times New Roman"/>
          <w:sz w:val="18"/>
          <w:szCs w:val="18"/>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w:t>
      </w:r>
    </w:p>
    <w:p>
      <w:pPr>
        <w:spacing w:after="0" w:line="1" w:lineRule="exact"/>
        <w:rPr>
          <w:sz w:val="20"/>
          <w:szCs w:val="20"/>
          <w:color w:val="auto"/>
        </w:rPr>
      </w:pPr>
    </w:p>
    <w:p>
      <w:pPr>
        <w:jc w:val="both"/>
        <w:ind w:firstLine="8"/>
        <w:spacing w:after="0" w:line="255" w:lineRule="auto"/>
        <w:tabs>
          <w:tab w:leader="none" w:pos="2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Existence</w:t>
      </w:r>
      <w:r>
        <w:rPr>
          <w:rFonts w:ascii="Times New Roman" w:cs="Times New Roman" w:eastAsia="Times New Roman" w:hAnsi="Times New Roman"/>
          <w:sz w:val="18"/>
          <w:szCs w:val="18"/>
          <w:color w:val="auto"/>
        </w:rPr>
        <w:t xml:space="preserve">. Except as expressly permitted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Compliance with Laws and Material Contractual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the extent that any obligation contained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made by any Obligor incorporated or organized under the laws of Germany or a resident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Auβenwirtschaftgesetz</w:t>
      </w:r>
      <w:r>
        <w:rPr>
          <w:rFonts w:ascii="Times New Roman" w:cs="Times New Roman" w:eastAsia="Times New Roman" w:hAnsi="Times New Roman"/>
          <w:sz w:val="18"/>
          <w:szCs w:val="18"/>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18"/>
          <w:szCs w:val="18"/>
          <w:i w:val="1"/>
          <w:iCs w:val="1"/>
          <w:u w:val="single" w:color="auto"/>
          <w:color w:val="auto"/>
        </w:rPr>
        <w:t>Außenwirtschaftsverordnung</w:t>
      </w:r>
      <w:r>
        <w:rPr>
          <w:rFonts w:ascii="Times New Roman" w:cs="Times New Roman" w:eastAsia="Times New Roman" w:hAnsi="Times New Roman"/>
          <w:sz w:val="18"/>
          <w:szCs w:val="18"/>
          <w:color w:val="auto"/>
        </w:rPr>
        <w:t>) (in connection with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(AWG)) or any similar anti-boycott statute, such Obligor shall implement procedures to mitigate any such conflict or violation to the reasonable satisfaction of the Required Lenders.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Additional Guarantors; Additional Specified Jurisdictions; Additional 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If (i) as of the time of delivery of a Compliance Certificate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or any other third party Indebtedness for borrowed money of an Obligor in an aggregate principal amount in excess of $20,000,000, Parent shall (A) with respect to a determination made pursuant to </w:t>
      </w:r>
      <w:r>
        <w:rPr>
          <w:rFonts w:ascii="Times New Roman" w:cs="Times New Roman" w:eastAsia="Times New Roman" w:hAnsi="Times New Roman"/>
          <w:sz w:val="18"/>
          <w:szCs w:val="18"/>
          <w:u w:val="single" w:color="auto"/>
          <w:color w:val="auto"/>
        </w:rPr>
        <w:t>Section 8.08(a)(i)</w:t>
      </w:r>
      <w:r>
        <w:rPr>
          <w:rFonts w:ascii="Times New Roman" w:cs="Times New Roman" w:eastAsia="Times New Roman" w:hAnsi="Times New Roman"/>
          <w:sz w:val="18"/>
          <w:szCs w:val="18"/>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as such time period may be extended by the Administrative Agent in its sole discretion), or (B) with respect to any Guarantee provided pursuant to </w:t>
      </w:r>
      <w:r>
        <w:rPr>
          <w:rFonts w:ascii="Times New Roman" w:cs="Times New Roman" w:eastAsia="Times New Roman" w:hAnsi="Times New Roman"/>
          <w:sz w:val="18"/>
          <w:szCs w:val="18"/>
          <w:u w:val="single" w:color="auto"/>
          <w:color w:val="auto"/>
        </w:rPr>
        <w:t>Section 8.08(a)(ii)</w:t>
      </w:r>
      <w:r>
        <w:rPr>
          <w:rFonts w:ascii="Times New Roman" w:cs="Times New Roman" w:eastAsia="Times New Roman" w:hAnsi="Times New Roman"/>
          <w:sz w:val="18"/>
          <w:szCs w:val="18"/>
          <w:color w:val="auto"/>
        </w:rPr>
        <w:t xml:space="preserve">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If, in the most recent Compliance Certificate delivered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As promptly as possible but in any event within 45 days (or such later date as may be agreed upon by the Administrative Agent) after any Person becomes an Obligor pursuant to </w:t>
      </w:r>
      <w:r>
        <w:rPr>
          <w:rFonts w:ascii="Times New Roman" w:cs="Times New Roman" w:eastAsia="Times New Roman" w:hAnsi="Times New Roman"/>
          <w:sz w:val="18"/>
          <w:szCs w:val="18"/>
          <w:u w:val="single" w:color="auto"/>
          <w:color w:val="auto"/>
        </w:rPr>
        <w:t>Section 8.08(a)</w:t>
      </w:r>
      <w:r>
        <w:rPr>
          <w:rFonts w:ascii="Times New Roman" w:cs="Times New Roman" w:eastAsia="Times New Roman" w:hAnsi="Times New Roman"/>
          <w:sz w:val="18"/>
          <w:szCs w:val="18"/>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w:t>
      </w:r>
    </w:p>
    <w:p>
      <w:pPr>
        <w:spacing w:after="0" w:line="3" w:lineRule="exact"/>
        <w:rPr>
          <w:sz w:val="20"/>
          <w:szCs w:val="20"/>
          <w:color w:val="auto"/>
        </w:rPr>
      </w:pPr>
    </w:p>
    <w:p>
      <w:pPr>
        <w:jc w:val="both"/>
        <w:ind w:firstLine="8"/>
        <w:spacing w:after="0" w:line="252" w:lineRule="auto"/>
        <w:tabs>
          <w:tab w:leader="none" w:pos="27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to the extent not covered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Times New Roman" w:cs="Times New Roman" w:eastAsia="Times New Roman" w:hAnsi="Times New Roman"/>
          <w:sz w:val="18"/>
          <w:szCs w:val="18"/>
          <w:u w:val="single" w:color="auto"/>
          <w:color w:val="auto"/>
        </w:rPr>
        <w:t>Section 8.08(f)</w:t>
      </w:r>
      <w:r>
        <w:rPr>
          <w:rFonts w:ascii="Times New Roman" w:cs="Times New Roman" w:eastAsia="Times New Roman" w:hAnsi="Times New Roman"/>
          <w:sz w:val="18"/>
          <w:szCs w:val="18"/>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Material Real Property shall be taken as Collateral unless Lenders receive 45 days advance notice and each Lender confirms to the Administrative Agent that it has completed all flood due diligence, received copies of all flood insurance documentation and confirmed flood insurance compliance as required by the Flood Laws or as otherwise reasonably satisfactory to such Lender.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(g)            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Times New Roman" w:cs="Times New Roman" w:eastAsia="Times New Roman" w:hAnsi="Times New Roman"/>
          <w:sz w:val="18"/>
          <w:szCs w:val="18"/>
          <w:u w:val="single" w:color="auto"/>
          <w:color w:val="auto"/>
        </w:rPr>
        <w:t>Added Guarantor</w:t>
      </w:r>
      <w:r>
        <w:rPr>
          <w:rFonts w:ascii="Times New Roman" w:cs="Times New Roman" w:eastAsia="Times New Roman" w:hAnsi="Times New Roman"/>
          <w:sz w:val="18"/>
          <w:szCs w:val="18"/>
          <w:color w:val="auto"/>
        </w:rPr>
        <w:t>”). Notwithstanding anything to the contrary herein, no Added Guarantor shall become a party to any Collateral Document except as elected by Parent and consented to by the Administrative Agent.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(j)            Notwithstanding anything to the contrary contained herein (including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delays with respect to the delivery, execution or effectiveness of any Loan Document or other deliverable caused by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w:t>
      </w:r>
    </w:p>
    <w:p>
      <w:pPr>
        <w:spacing w:after="0" w:line="5" w:lineRule="exact"/>
        <w:rPr>
          <w:sz w:val="20"/>
          <w:szCs w:val="20"/>
          <w:color w:val="auto"/>
        </w:rPr>
      </w:pPr>
    </w:p>
    <w:p>
      <w:pPr>
        <w:ind w:left="260" w:hanging="252"/>
        <w:spacing w:after="0"/>
        <w:tabs>
          <w:tab w:leader="none" w:pos="260" w:val="left"/>
        </w:tabs>
        <w:numPr>
          <w:ilvl w:val="0"/>
          <w:numId w:val="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constitute a Default or an Event of Default.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Times New Roman" w:cs="Times New Roman" w:eastAsia="Times New Roman" w:hAnsi="Times New Roman"/>
          <w:sz w:val="18"/>
          <w:szCs w:val="18"/>
          <w:u w:val="single" w:color="auto"/>
          <w:color w:val="auto"/>
        </w:rPr>
        <w:t>Insurance Act</w:t>
      </w:r>
      <w:r>
        <w:rPr>
          <w:rFonts w:ascii="Times New Roman" w:cs="Times New Roman" w:eastAsia="Times New Roman" w:hAnsi="Times New Roman"/>
          <w:sz w:val="18"/>
          <w:szCs w:val="18"/>
          <w:color w:val="auto"/>
        </w:rPr>
        <w:t>”) and remains in compliance with sections 31A through 31C of the Insurance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Designation of Unrestricted Subsidiaries; Redesignation of Unrestricted Subsidiaries as 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Unless designated as an Unrestricted Subsidiary pursuant to this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each Subsidiary shall be classified as a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If Parent designates any Subsidiary as an Unrestricted Subsidiary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Parent may designate, by written notice to the Administrative Agent, any Subsidiary to be an Unrestricted Subsidiary if (i) before and after giving effect to such designation, no Default or Event of Default shall exist, (ii) Parent shall be in pro forma compliance with the Financial Covenants both before and after giving effect to such designation, (iii) the deemed Investment by Parent in such Unrestricted Subsidiary resulting from such designation would be permitted to be made at the time of such designation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(iv) after giving effect to such designation,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and (v) such Subsidiary otherwise meets the requirements set forth in the definition of “Unrestricted Subsidiary”. Such written notice shall be accompanied by a certificate of a Responsible Officer, certifying as to the matters set forth in the preceding sentence.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(iv) any Liens on assets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 xml:space="preserve"> (in addition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any other relevant provisions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Notwithstanding the foregoing or anything to the contrary contained herein, no Obligor may be an Unrestricted Subsidiary.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Compliance with the Swiss Non-Bank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Swiss Obligor shall comply with the Swiss Non-Bank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Swiss Obligor shall not be in breach of this covenant if the permitted number of Swiss Non-Qualifying Lenders is exceeded solely by reason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a failure by one or more Lenders or Participants to comply with their obligations under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 confirmation made by one or more Lenders or Participants to be one single Swiss Non-Qualifying Lender is incorrect;</w:t>
      </w:r>
    </w:p>
    <w:p>
      <w:pPr>
        <w:spacing w:after="0" w:line="225"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assignment or participation of any Commitments or LC Exposure under this Agreement to a Swiss Non-Qualifying Lender after the occurrence of an Event of Default.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For the purposes of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each Swiss Obligor shall assume that the aggregate number of Lenders and Participants under this Agreement which are Swiss Non-Qualifying Lenders is ten.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Post-Closing Grant and Perfection Requirements Matters</w:t>
      </w:r>
      <w:r>
        <w:rPr>
          <w:rFonts w:ascii="Times New Roman" w:cs="Times New Roman" w:eastAsia="Times New Roman" w:hAnsi="Times New Roman"/>
          <w:sz w:val="18"/>
          <w:szCs w:val="18"/>
          <w:color w:val="auto"/>
        </w:rPr>
        <w:t xml:space="preserve">. Parent shall, and shall cause each Restricted Subsidiary to, satisfy each requirement set forth on </w:t>
      </w:r>
      <w:r>
        <w:rPr>
          <w:rFonts w:ascii="Times New Roman" w:cs="Times New Roman" w:eastAsia="Times New Roman" w:hAnsi="Times New Roman"/>
          <w:sz w:val="18"/>
          <w:szCs w:val="18"/>
          <w:u w:val="single" w:color="auto"/>
          <w:color w:val="auto"/>
        </w:rPr>
        <w:t>Schedule 8.11</w:t>
      </w:r>
      <w:r>
        <w:rPr>
          <w:rFonts w:ascii="Times New Roman" w:cs="Times New Roman" w:eastAsia="Times New Roman" w:hAnsi="Times New Roman"/>
          <w:sz w:val="18"/>
          <w:szCs w:val="18"/>
          <w:color w:val="auto"/>
        </w:rPr>
        <w:t xml:space="preserve"> on or before the applicable date set forth on such Schedule (or such later date as the Administrative Agent may agree in its sole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Status as a Holding Company</w:t>
      </w:r>
      <w:r>
        <w:rPr>
          <w:rFonts w:ascii="Times New Roman" w:cs="Times New Roman" w:eastAsia="Times New Roman" w:hAnsi="Times New Roman"/>
          <w:sz w:val="18"/>
          <w:szCs w:val="18"/>
          <w:color w:val="auto"/>
        </w:rPr>
        <w:t>. Parent shall not have any operating assets or engage in any business other than any customary business of a holding company and ordinary course business operations of Parent in existence prior to the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Lender Meeting</w:t>
      </w:r>
      <w:r>
        <w:rPr>
          <w:rFonts w:ascii="Times New Roman" w:cs="Times New Roman" w:eastAsia="Times New Roman" w:hAnsi="Times New Roman"/>
          <w:sz w:val="18"/>
          <w:szCs w:val="18"/>
          <w:color w:val="auto"/>
        </w:rPr>
        <w:t xml:space="preserve">.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 may be satisfied by public earnings calls for all shareholders that are open to the Administrative Agent and the Lenders.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8.14     </w:t>
      </w:r>
      <w:r>
        <w:rPr>
          <w:rFonts w:ascii="Times New Roman" w:cs="Times New Roman" w:eastAsia="Times New Roman" w:hAnsi="Times New Roman"/>
          <w:sz w:val="18"/>
          <w:szCs w:val="18"/>
          <w:u w:val="single" w:color="auto"/>
          <w:color w:val="auto"/>
        </w:rPr>
        <w:t>  Maintenance of Properties</w:t>
      </w:r>
      <w:r>
        <w:rPr>
          <w:rFonts w:ascii="Times New Roman" w:cs="Times New Roman" w:eastAsia="Times New Roman" w:hAnsi="Times New Roman"/>
          <w:sz w:val="18"/>
          <w:szCs w:val="18"/>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excepted (except where the failure to so maintain and preserve assets could not reasonably be expected to result in a Material Adverse Effect).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Obligor Parties covenant and agree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Parent shall not, and shall not permit any Restricted Subsidiary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Secured Obligations (other than Standalone Performance LCs);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Indebtedness in respect of Standalone Performance LCs in an aggregate outstanding amount not to exceed $100,000,000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Permitted Existing Indebtedness and Permitted Refinancing Indebtedness in respect thereof;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 the aggregate amount of all such loans (by type, not by the borrower) made from and after the Effective Date, together with all such loans made from and after the Effective Date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 the aggregate amount of all such loans (by type, not by the borrower) made from and after the Effective Date, together with all such loans made from and after the Effective Date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does not exceed $55,000,000 outstanding at any one time, and (B) at the time of the making of such loan, no Event of Default has occurred and is continuing or would result therefrom;</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unsecured guarantees with respect to the Indebtedness of any Obligor or one of their Restricted Subsidiaries, to the extent that the Person that is obligated under such guaranty could have incurred such underlying Indebtedness;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Indebtedness does not at any time exceed $200,000,000;</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Unsecured Specified Senior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as a condition to incurring any such Specified Senior Indebtedness,</w:t>
      </w:r>
    </w:p>
    <w:p>
      <w:pPr>
        <w:spacing w:after="0" w:line="27" w:lineRule="exact"/>
        <w:rPr>
          <w:sz w:val="20"/>
          <w:szCs w:val="20"/>
          <w:color w:val="auto"/>
        </w:rPr>
      </w:pPr>
    </w:p>
    <w:p>
      <w:pPr>
        <w:jc w:val="both"/>
        <w:ind w:firstLine="8"/>
        <w:spacing w:after="0" w:line="252" w:lineRule="auto"/>
        <w:tabs>
          <w:tab w:leader="none" w:pos="30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shall have occurred and be continuing at the time of and immediately after giving pro forma effect to the incurrence of such Indebtedness, (B) the aggregate principal amount of all Indebtedness incurred pursuant to this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would not exceed $200,000,000 at any time, and (C)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and (ii) as of the date of incurrence, such Indebtedness shall have a stated maturity date no sooner than 91 days after the Maturity Date;</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unsecured Indebtedness incurred by an Obligor or Restricted Subsidiary, including pursuant to the Senior Notes Indenture and, in each case, Permitted Refinancing Indebtedness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xml:space="preserve"> and (iii) except with respect to Indebtedness in an aggregate amount not to exceed $45,000,000 at any time, as of the date of incurrence, such Indebtedness shall have a stated maturity date no sooner than 91 days after the Maturity Date;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(j)            unsecured Subordinated Indebtedness of any Obligor (other than Subordinated Indebtedness consisting of Guarantees by any Obligor of Indebtedness incurred pursuant to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(k)            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Times New Roman" w:cs="Times New Roman" w:eastAsia="Times New Roman" w:hAnsi="Times New Roman"/>
          <w:sz w:val="18"/>
          <w:szCs w:val="18"/>
          <w:u w:val="single" w:color="auto"/>
          <w:color w:val="auto"/>
        </w:rPr>
        <w:t>Section 9.01(k)</w:t>
      </w:r>
      <w:r>
        <w:rPr>
          <w:rFonts w:ascii="Times New Roman" w:cs="Times New Roman" w:eastAsia="Times New Roman" w:hAnsi="Times New Roman"/>
          <w:sz w:val="18"/>
          <w:szCs w:val="18"/>
          <w:color w:val="auto"/>
        </w:rPr>
        <w:t xml:space="preserve"> shall not at any time exceed $175,000,000;</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Indebtedness incurred to finance insurance premiums of any Restricted Subsidiary in the ordinary course of business in an aggregate principal amount not to exceed the amount of such insurance premiums;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(n)            other Indebtedness in an aggregate principal amount at any time outstanding pursuant to this </w:t>
      </w:r>
      <w:r>
        <w:rPr>
          <w:rFonts w:ascii="Times New Roman" w:cs="Times New Roman" w:eastAsia="Times New Roman" w:hAnsi="Times New Roman"/>
          <w:sz w:val="18"/>
          <w:szCs w:val="18"/>
          <w:u w:val="single" w:color="auto"/>
          <w:color w:val="auto"/>
        </w:rPr>
        <w:t>Section 9.01(n)</w:t>
      </w:r>
      <w:r>
        <w:rPr>
          <w:rFonts w:ascii="Times New Roman" w:cs="Times New Roman" w:eastAsia="Times New Roman" w:hAnsi="Times New Roman"/>
          <w:sz w:val="18"/>
          <w:szCs w:val="18"/>
          <w:color w:val="auto"/>
        </w:rPr>
        <w:t xml:space="preserve"> not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(p)            Indebtedness of any Obligor in the form of bonds, including pursuant to the Senior Secured Notes Indenture and, in each case, Permitted Refinancing Indebtedness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as in effect at such time, (iii) as of the date of incurrence, such Indebtedness shall not provide for any payment of principal or any scheduled or mandatory prepayments or redemptions on any date sooner than 91 days after the Maturity Date as in effect at such time (other than any change of control offer, customary offers or prepayments for bonds or customary acceleration rights after an event of default),</w:t>
      </w:r>
    </w:p>
    <w:p>
      <w:pPr>
        <w:spacing w:after="0" w:line="5" w:lineRule="exact"/>
        <w:rPr>
          <w:sz w:val="20"/>
          <w:szCs w:val="20"/>
          <w:color w:val="auto"/>
        </w:rPr>
      </w:pPr>
    </w:p>
    <w:p>
      <w:pPr>
        <w:jc w:val="both"/>
        <w:ind w:firstLine="8"/>
        <w:spacing w:after="0" w:line="253" w:lineRule="auto"/>
        <w:tabs>
          <w:tab w:leader="none" w:pos="3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secured Indebtedness incurred pursuant to this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may only be secured by a lien on the Collateral pursuant to an intercreditor agreement in form and substance reasonably satisfactory to the Administrative Agent (it being understood that the Intercreditor Agreement described in clause (a) of the definition of “Intercreditor Agreement” is reasonably satisfactory to the Administrative Agent), and (v) the aggregate principal amount of all Indebtedness incurred pursuant to this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including any outstanding notes issued pursuant to the Senior Secured Notes Indenture, would not exceed $600,000,000 at any time;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(q)            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w:t>
      </w:r>
    </w:p>
    <w:p>
      <w:pPr>
        <w:spacing w:after="0" w:line="1" w:lineRule="exact"/>
        <w:rPr>
          <w:sz w:val="20"/>
          <w:szCs w:val="20"/>
          <w:color w:val="auto"/>
        </w:rPr>
      </w:pPr>
    </w:p>
    <w:p>
      <w:pPr>
        <w:ind w:firstLine="8"/>
        <w:spacing w:after="0" w:line="260" w:lineRule="auto"/>
        <w:tabs>
          <w:tab w:leader="none" w:pos="27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Indebtedness in the form of Permitted Intercompany Treasury Management Transactions;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(s)            Indebtedness in the form of Permitted Intercompany Specified Transactions, so long as at the time of incurrence, no Default or Event of Default then exists or would arise as a result of the applicable transaction;</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            secured Indebtedness incurred by an Obligor or Restricted Subsidiary in an aggregate amount not to exceed $100,000,000 and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xml:space="preserve">, (iii) as of the date of incurrence, such Indebtedness shall have a stated maturity date no sooner than 91 days after the Maturity Date and (iv) Liens securing any Indebtedness incurred pursuant to this </w:t>
      </w:r>
      <w:r>
        <w:rPr>
          <w:rFonts w:ascii="Times New Roman" w:cs="Times New Roman" w:eastAsia="Times New Roman" w:hAnsi="Times New Roman"/>
          <w:sz w:val="18"/>
          <w:szCs w:val="18"/>
          <w:u w:val="single" w:color="auto"/>
          <w:color w:val="auto"/>
        </w:rPr>
        <w:t>Section 9.01(t)</w:t>
      </w:r>
      <w:r>
        <w:rPr>
          <w:rFonts w:ascii="Times New Roman" w:cs="Times New Roman" w:eastAsia="Times New Roman" w:hAnsi="Times New Roman"/>
          <w:sz w:val="18"/>
          <w:szCs w:val="18"/>
          <w:color w:val="auto"/>
        </w:rPr>
        <w:t xml:space="preserve"> shall not encumber any of the Collateral; and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Indebtedness in connection with Supply Chain Transactions.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in the case of a Person that is an Unrestricted Subsidiary immediately prior to such merger, consolidation or amalgamation,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8" w:name="page149"/>
    <w:bookmarkEnd w:id="14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the foregoing provisions,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prohibit any Redomestication;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 Redomestication of Parent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Parent shall not, and shall not permit any Restricted Subsidiary to, wind up,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Times New Roman" w:cs="Times New Roman" w:eastAsia="Times New Roman" w:hAnsi="Times New Roman"/>
          <w:sz w:val="18"/>
          <w:szCs w:val="18"/>
          <w:u w:val="single" w:color="auto"/>
          <w:color w:val="auto"/>
        </w:rPr>
        <w:t>Section 8.08(d)</w:t>
      </w:r>
      <w:r>
        <w:rPr>
          <w:rFonts w:ascii="Times New Roman" w:cs="Times New Roman" w:eastAsia="Times New Roman" w:hAnsi="Times New Roman"/>
          <w:sz w:val="18"/>
          <w:szCs w:val="18"/>
          <w:color w:val="auto"/>
        </w:rPr>
        <w:t>) and (4) such other documentation as the Administrative Agent may reasonably request.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Material Change in Business</w:t>
      </w:r>
      <w:r>
        <w:rPr>
          <w:rFonts w:ascii="Times New Roman" w:cs="Times New Roman" w:eastAsia="Times New Roman" w:hAnsi="Times New Roman"/>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2021, and any business reasonably related, ancillary or complementary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Parent shall not, and shall not permit any Restricted Subsidiary to, create, incur, assume or permit to exist any Lien on any property or asset now owned or hereafter acquired by it, except: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Liens created pursuant to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in respect of Standalone Performance LCs secured by such Liens shall not at any time exceed $100,000,000;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any Lien on any property or asset of Parent or any Restricted Subsidiary existing on the date hereof and set forth in </w:t>
      </w:r>
      <w:r>
        <w:rPr>
          <w:rFonts w:ascii="Times New Roman" w:cs="Times New Roman" w:eastAsia="Times New Roman" w:hAnsi="Times New Roman"/>
          <w:sz w:val="18"/>
          <w:szCs w:val="18"/>
          <w:u w:val="single" w:color="auto"/>
          <w:color w:val="auto"/>
        </w:rPr>
        <w:t>Schedule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Parent or any Restricted Subsidiary and (ii) such Lien shall secure only those obligations that it secures on the date hereof and Permitted Refinancing Indebtedness in respect thereof;</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(e)            precautionary Liens on Receivables and Receivables Related Security arising in connection with Permitted Factoring Transactions;</w:t>
      </w:r>
    </w:p>
    <w:p>
      <w:pPr>
        <w:spacing w:after="0" w:line="2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pro forma effect to the application of such Lien, Parent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Liens in accordance with, and securing Indebtedness permitted by,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Liens on assets so long as the aggregate principal amount of the Indebtedness and other obligations secured by such Liens does not at any time exceed $20,000,000;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ind w:left="1300"/>
        <w:spacing w:after="0"/>
        <w:rPr>
          <w:sz w:val="20"/>
          <w:szCs w:val="20"/>
          <w:color w:val="auto"/>
        </w:rPr>
      </w:pPr>
      <w:r>
        <w:rPr>
          <w:rFonts w:ascii="Times New Roman" w:cs="Times New Roman" w:eastAsia="Times New Roman" w:hAnsi="Times New Roman"/>
          <w:sz w:val="18"/>
          <w:szCs w:val="18"/>
          <w:color w:val="auto"/>
        </w:rPr>
        <w:t xml:space="preserve">(i)             Liens in accordance with, and securing Indebtedness permitted by, </w:t>
      </w:r>
      <w:r>
        <w:rPr>
          <w:rFonts w:ascii="Times New Roman" w:cs="Times New Roman" w:eastAsia="Times New Roman" w:hAnsi="Times New Roman"/>
          <w:sz w:val="18"/>
          <w:szCs w:val="18"/>
          <w:u w:val="single" w:color="auto"/>
          <w:color w:val="auto"/>
        </w:rPr>
        <w:t>Section 9.01(t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Liens in connection with Supply Chain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Asset Dispositions</w:t>
      </w:r>
      <w:r>
        <w:rPr>
          <w:rFonts w:ascii="Times New Roman" w:cs="Times New Roman" w:eastAsia="Times New Roman" w:hAnsi="Times New Roman"/>
          <w:sz w:val="18"/>
          <w:szCs w:val="18"/>
          <w:color w:val="auto"/>
        </w:rPr>
        <w:t>. Parent shall not, and shall not permit any Restricted Subsidiary to, Dispose of any assets to any Person, except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Obligor may Dispose of assets to any Obligor that is a Wholly-Owned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Restricted Subsidiary that is not an Obligor may Dispose of assets to any Obligor or any Restricted Subsidiary;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any Obligor may Dispose of assets to any other Obligor that is not a Wholly-Owned Subsidiary and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value of all assets Disposed of in reliance on this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 xml:space="preserve"> (net of the value of any such assets subsequently transferred to any Obligor by an Obligor that is not a Wholly-Owned Subsidiary) since the Effective Date shall not exceed (i) $25,000,000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up to an additional $25,000,000 so long as, at the time of such Disposition, no Default or Event of Default shall have occurred and be continuing;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any Specified Disposition shall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fair market value of all property Disposed of pursuant to this Section 9.05(d) does not exceed $15,000,000;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Parent and its Restricted Subsidiaries may Dispose of inventory or obsolete or worn-out property in the ordinary course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Parent and its Restricted Subsidiaries may make Investments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in each case to the extent constituting Dispositions;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any Disposition of assets resulting from a casualty event or condemnation proceeding, expropriation or other involuntary taking by a Governmental Authority shall be permitted;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Parent and its Restricted Subsidiaries may grant in the ordinary course of business any license of Intellectual Property that does not interfere in any material respect with the business of Parent or any of its Restricted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1" w:name="page152"/>
    <w:bookmarkEnd w:id="151"/>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(j)             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Responsible Officer of Parent, and if requested by the Administrative Agent (acting reasonably), Parent shall deliver a certificate of a Responsible Officer of Parent certifying as to the foregoing), and (iv) after giving pro forma effect to such Disposition,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(k)            Dispositions of surplus property in the ordinary course of business shall be permitted so long as the aggregate fair market value of all such surplus property Disposed of pursuant to this </w:t>
      </w:r>
      <w:r>
        <w:rPr>
          <w:rFonts w:ascii="Times New Roman" w:cs="Times New Roman" w:eastAsia="Times New Roman" w:hAnsi="Times New Roman"/>
          <w:sz w:val="18"/>
          <w:szCs w:val="18"/>
          <w:u w:val="single" w:color="auto"/>
          <w:color w:val="auto"/>
        </w:rPr>
        <w:t>Section 9.05(k)</w:t>
      </w:r>
      <w:r>
        <w:rPr>
          <w:rFonts w:ascii="Times New Roman" w:cs="Times New Roman" w:eastAsia="Times New Roman" w:hAnsi="Times New Roman"/>
          <w:sz w:val="18"/>
          <w:szCs w:val="18"/>
          <w:color w:val="auto"/>
        </w:rPr>
        <w:t xml:space="preserve"> does not exceed $25,000,000 during any Fiscal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leases of real or personal property in the ordinary course of business shall be permitted;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Permitted Intercompany Treasury Management Transactions shall be permitted;</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            Dispositions constituting Permitted Intercompany Specified Transactions shall be permitted, so long as at the time of such Disposition, no Default or Event of Default then exists or would arise as a result of the applicable transaction;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Parent and its Restricted Subsidiaries may Dispose of any personal or real property with a fair market value not in excess of $5,000,000 in any Fiscal Year;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(q)            other Dispositions shall be permitted so long as (i) the aggregate fair market value of all assets Disposed of in reliance on this </w:t>
      </w:r>
      <w:r>
        <w:rPr>
          <w:rFonts w:ascii="Times New Roman" w:cs="Times New Roman" w:eastAsia="Times New Roman" w:hAnsi="Times New Roman"/>
          <w:sz w:val="18"/>
          <w:szCs w:val="18"/>
          <w:u w:val="single" w:color="auto"/>
          <w:color w:val="auto"/>
        </w:rPr>
        <w:t>Section 9.05(q)</w:t>
      </w:r>
      <w:r>
        <w:rPr>
          <w:rFonts w:ascii="Times New Roman" w:cs="Times New Roman" w:eastAsia="Times New Roman" w:hAnsi="Times New Roman"/>
          <w:sz w:val="18"/>
          <w:szCs w:val="18"/>
          <w:color w:val="auto"/>
        </w:rPr>
        <w:t xml:space="preserve"> since the Effective Date shall not exceed $35,000,000 and (ii) no Default or Event of Default shall have occurred and be continuing.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Investments</w:t>
      </w:r>
      <w:r>
        <w:rPr>
          <w:rFonts w:ascii="Times New Roman" w:cs="Times New Roman" w:eastAsia="Times New Roman" w:hAnsi="Times New Roman"/>
          <w:sz w:val="18"/>
          <w:szCs w:val="18"/>
          <w:color w:val="auto"/>
        </w:rPr>
        <w:t>. Parent shall not, and shall not permit any Restricted Subsidiary to, make any Investments in any Person, except: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Equivalents;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Permitted Acquisitions;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(i) Investments in Subsidiaries in existence on the Effective Date and (ii) other Investments in existence on the Effective Date and described on </w:t>
      </w:r>
      <w:r>
        <w:rPr>
          <w:rFonts w:ascii="Times New Roman" w:cs="Times New Roman" w:eastAsia="Times New Roman" w:hAnsi="Times New Roman"/>
          <w:sz w:val="18"/>
          <w:szCs w:val="18"/>
          <w:u w:val="single" w:color="auto"/>
          <w:color w:val="auto"/>
        </w:rPr>
        <w:t>Schedule 9.06</w:t>
      </w:r>
      <w:r>
        <w:rPr>
          <w:rFonts w:ascii="Times New Roman" w:cs="Times New Roman" w:eastAsia="Times New Roman" w:hAnsi="Times New Roman"/>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ind w:left="1300"/>
        <w:spacing w:after="0"/>
        <w:rPr>
          <w:sz w:val="20"/>
          <w:szCs w:val="20"/>
          <w:color w:val="auto"/>
        </w:rPr>
      </w:pPr>
      <w:r>
        <w:rPr>
          <w:rFonts w:ascii="Times New Roman" w:cs="Times New Roman" w:eastAsia="Times New Roman" w:hAnsi="Times New Roman"/>
          <w:sz w:val="18"/>
          <w:szCs w:val="18"/>
          <w:color w:val="auto"/>
        </w:rPr>
        <w:t>(d)            Investments by any Obligor in any other Obligor that is a Wholly-Owned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Investments by any Restricted Subsidiary that is not an Obligor in any Obligor or any Restricted Subsidiary;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(i) Investments in Unrestricted Subsidiaries, and (ii) Investments by any Obligor in any Obligor that is not a Wholly-Owned Subsidiary and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pursuant to this </w:t>
      </w:r>
      <w:r>
        <w:rPr>
          <w:rFonts w:ascii="Times New Roman" w:cs="Times New Roman" w:eastAsia="Times New Roman" w:hAnsi="Times New Roman"/>
          <w:sz w:val="18"/>
          <w:szCs w:val="18"/>
          <w:u w:val="single" w:color="auto"/>
          <w:color w:val="auto"/>
        </w:rPr>
        <w:t>Section 9.06(f)</w:t>
      </w:r>
      <w:r>
        <w:rPr>
          <w:rFonts w:ascii="Times New Roman" w:cs="Times New Roman" w:eastAsia="Times New Roman" w:hAnsi="Times New Roman"/>
          <w:sz w:val="18"/>
          <w:szCs w:val="18"/>
          <w:color w:val="auto"/>
        </w:rPr>
        <w:t xml:space="preserve"> shall not exceed $25,000,000 at any time outstanding;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Investments by any Obligor or Restricted Subsidiary in overnight time deposits in Argentina;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shall not exceed $50,000,000 at any time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subject to the limitations set forth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Section, Guarantees permitted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Investments received in consideration for a Disposition permitted by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(k)            loans or advances to directors, officers and employees of any Restricted Subsidiary for expenses or other payments incident to such Person’s employment or association with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advances and loans shall not exceed $2,500,000 at any time outstanding;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(m)            Investments consisting of Swap Agreements permitted under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additional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thereof and immediately after giving effect thereto, (i) the aggregate outstanding amount of such Investments made pursuant to this </w:t>
      </w:r>
      <w:r>
        <w:rPr>
          <w:rFonts w:ascii="Times New Roman" w:cs="Times New Roman" w:eastAsia="Times New Roman" w:hAnsi="Times New Roman"/>
          <w:sz w:val="18"/>
          <w:szCs w:val="18"/>
          <w:u w:val="single" w:color="auto"/>
          <w:color w:val="auto"/>
        </w:rPr>
        <w:t>Section 9.06(n)</w:t>
      </w:r>
      <w:r>
        <w:rPr>
          <w:rFonts w:ascii="Times New Roman" w:cs="Times New Roman" w:eastAsia="Times New Roman" w:hAnsi="Times New Roman"/>
          <w:sz w:val="18"/>
          <w:szCs w:val="18"/>
          <w:color w:val="auto"/>
        </w:rPr>
        <w:t xml:space="preserve"> shall not exceed $200,000,000 at any time outstanding and (ii) no Default or Event of Default shall have occurred and be continuing;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Investments constituting Permitted Intercompany Treasury Management Transactions;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3" w:name="page154"/>
    <w:bookmarkEnd w:id="15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Investments constituting Permitted Intercompany Specified Transactions, so long as at the time of such Investment, no Default or Event of Default then exists or would arise as a result of the applicable transaction;</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(q)            Investments constituting Specified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9.06(q)</w:t>
      </w:r>
      <w:r>
        <w:rPr>
          <w:rFonts w:ascii="Times New Roman" w:cs="Times New Roman" w:eastAsia="Times New Roman" w:hAnsi="Times New Roman"/>
          <w:sz w:val="18"/>
          <w:szCs w:val="18"/>
          <w:color w:val="auto"/>
        </w:rPr>
        <w:t xml:space="preserve"> shall not exceed $55,000,000 at any time outstanding;</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(r)            Investments in business units, Capital Stock and other assets Disposed of in accordance with </w:t>
      </w:r>
      <w:r>
        <w:rPr>
          <w:rFonts w:ascii="Times New Roman" w:cs="Times New Roman" w:eastAsia="Times New Roman" w:hAnsi="Times New Roman"/>
          <w:sz w:val="18"/>
          <w:szCs w:val="18"/>
          <w:u w:val="single" w:color="auto"/>
          <w:color w:val="auto"/>
        </w:rPr>
        <w:t>Section 9.05(q)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9.06(r)</w:t>
      </w:r>
      <w:r>
        <w:rPr>
          <w:rFonts w:ascii="Times New Roman" w:cs="Times New Roman" w:eastAsia="Times New Roman" w:hAnsi="Times New Roman"/>
          <w:sz w:val="18"/>
          <w:szCs w:val="18"/>
          <w:color w:val="auto"/>
        </w:rPr>
        <w:t xml:space="preserve"> shall not exceed $35,000,000;</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            Investments constituting Permitted ESG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9.06(s)</w:t>
      </w:r>
      <w:r>
        <w:rPr>
          <w:rFonts w:ascii="Times New Roman" w:cs="Times New Roman" w:eastAsia="Times New Roman" w:hAnsi="Times New Roman"/>
          <w:sz w:val="18"/>
          <w:szCs w:val="18"/>
          <w:color w:val="auto"/>
        </w:rPr>
        <w:t xml:space="preserve"> shall not exceed $50,000,000 at any time outstanding; and</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            Investments (other than Hostile Acquisitions) by Parent or any Restricted Subsidiary made with Capital Stock (other than Disqualified Capital Stock) of, or from issuances of Capital Stock (other than Disqualified Capital Stock)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the time of and immediately after giving effect thereto, (i) no Default or Event of Default has occurred and is continuing or would result therefrom and (ii) Parent and its Restricted Subsidiaries are in compliance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(b) all actions required to be taken under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with respect to any Subsidiary acquired or newly formed under this Section 9.06(u) (if any) shall have been taken or will be taken within the time periods set forth therein and (c) if any such acquisition involves a merger, consolidation or amalgamation of Parent or a Restricted Subsidiary with any other Person, such acquisition is permitted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the amount of any Investment, such amount shall be deemed to be the amount of the Investment when made, purchased or acquired (without adjustement for subsequent increases or decreases in the value of such Investment) to the extent such Investment remains outstanding at the time of such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color w:val="auto"/>
        </w:rPr>
        <w:t>. Parent shall not, and shall not permit any Restricted Subsidiary to, enter into any Swap Agreement, except</w:t>
      </w:r>
    </w:p>
    <w:p>
      <w:pPr>
        <w:spacing w:after="0" w:line="27" w:lineRule="exact"/>
        <w:rPr>
          <w:sz w:val="20"/>
          <w:szCs w:val="20"/>
          <w:color w:val="auto"/>
        </w:rPr>
      </w:pPr>
    </w:p>
    <w:p>
      <w:pPr>
        <w:jc w:val="both"/>
        <w:ind w:firstLine="8"/>
        <w:spacing w:after="0" w:line="253" w:lineRule="auto"/>
        <w:tabs>
          <w:tab w:leader="none" w:pos="24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and (d) Swap Agreements related to Supply Chain Transactions.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4" w:name="page155"/>
    <w:bookmarkEnd w:id="1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Parent shall not, and shall not permit any Restricted Subsidiary to, declare or make, or agree to pay or make, directly or indirectly, any Restricted Payment, except: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Parent may declare and pay dividends on its Capital Stock payable solely in additional Capital Stock (other than Disqualified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Parent and its Restricted Subsidiaries may make any prepayments under this Agreement in accordance with the terms 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so long as no Default or Event of Default has occurred and is continuing at the time thereof or immediately after giving effect thereto, Parent and its Restricted Subsidiaries may (a) Redeem any Senior Secured Notes, Exit Senior Notes, Senior Notes or other senior notes and make additional Restricted Payments in the amount of accrued and unpaid interest, premiums and reasonable expenses in respect of any such Redemptions, in each case, (i) with the proceeds of (A) Permitted Refinancing Indebtedness or (B) Indebtedness incurred under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(ii) with the net proceeds of any substantially concurrent issuance (other than to a Subsidiary) of additional Capital Stock of Parent (other than Disqualified Capital Stock) so long as such net proceeds are further contributed to the Obligor consummating such redemption and (iii) in the principal amount of such senior notes that have been converted into or exchanged for Capital Stock of Parent (other than Disqualified Capital Stock) and (b) make additional Restricted Payments in the amount of accrued and unpaid interest, premiums and reasonable expenses in respect of any such Redemptions, so long as in the case of this clause (b), (i) no Loan proceeds are used for such Restricted Payments and (ii) at the time thereof and immediately after giving effect thereto, the Aggregate Liquidity is at least $350,000,000;</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any case, that the aggregate cash consideration paid for all such redemptions, repurchases or other acquisitions or retirements shall not exceed $10,000,000 during any calendar year;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(g)            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Parent and each Restricted Subsidiary may make payments of cash in lieu of issuing fractional Capital Stock;</w:t>
      </w:r>
    </w:p>
    <w:p>
      <w:pPr>
        <w:spacing w:after="0" w:line="225"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 xml:space="preserve">(i)             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Times New Roman" w:cs="Times New Roman" w:eastAsia="Times New Roman" w:hAnsi="Times New Roman"/>
          <w:sz w:val="17"/>
          <w:szCs w:val="17"/>
          <w:u w:val="single" w:color="auto"/>
          <w:color w:val="auto"/>
        </w:rPr>
        <w:t>Sections 9.02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9.05</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Restricted Payments constituting Permitted Intercompany Specified Transactions, so long as at the time of such Restricted Payment no Default or Event of Default then exists or would arise as a result of the applicable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Restricted Payments constituting Permitted Intercompany Treasury Management Transactions;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Parent and its Restricted Subsidiaries may make other Restricted Payments described in clause (c) of the definition thereof, it being understood that no equity or dividend payments or other distributions in respect of Capital Stock may be made pursuant to this </w:t>
      </w:r>
      <w:r>
        <w:rPr>
          <w:rFonts w:ascii="Times New Roman" w:cs="Times New Roman" w:eastAsia="Times New Roman" w:hAnsi="Times New Roman"/>
          <w:sz w:val="18"/>
          <w:szCs w:val="18"/>
          <w:u w:val="single" w:color="auto"/>
          <w:color w:val="auto"/>
        </w:rPr>
        <w:t>Section 9.08(l)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thereof and immediately after giving effect thereto, (i) the amount of all such Restricted Payments made pursuant to this </w:t>
      </w:r>
      <w:r>
        <w:rPr>
          <w:rFonts w:ascii="Times New Roman" w:cs="Times New Roman" w:eastAsia="Times New Roman" w:hAnsi="Times New Roman"/>
          <w:sz w:val="18"/>
          <w:szCs w:val="18"/>
          <w:u w:val="single" w:color="auto"/>
          <w:color w:val="auto"/>
        </w:rPr>
        <w:t>Section 9.08(l)</w:t>
      </w:r>
      <w:r>
        <w:rPr>
          <w:rFonts w:ascii="Times New Roman" w:cs="Times New Roman" w:eastAsia="Times New Roman" w:hAnsi="Times New Roman"/>
          <w:sz w:val="18"/>
          <w:szCs w:val="18"/>
          <w:color w:val="auto"/>
        </w:rPr>
        <w:t xml:space="preserve"> in the aggregate shall not exceed $500,000,000 (together with the amount of accrued and unpaid interest, premiums and reasonable expenses paid in connection with such Restricted Payments), (ii) no Default or Event of Default shall have occurred and be continuing and (iii) the Aggregate Liquidity is at least $350,000,000;</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(m)           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            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60"/>
        <w:spacing w:after="0"/>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Minimum Liquidity</w:t>
      </w:r>
      <w:r>
        <w:rPr>
          <w:rFonts w:ascii="Times New Roman" w:cs="Times New Roman" w:eastAsia="Times New Roman" w:hAnsi="Times New Roman"/>
          <w:sz w:val="18"/>
          <w:szCs w:val="18"/>
          <w:color w:val="auto"/>
        </w:rPr>
        <w:t>. Parent shall not, at any time, permit Aggregate Liquidity to be less than $250,000,000.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Minimum Interest Coverage</w:t>
      </w:r>
      <w:r>
        <w:rPr>
          <w:rFonts w:ascii="Times New Roman" w:cs="Times New Roman" w:eastAsia="Times New Roman" w:hAnsi="Times New Roman"/>
          <w:sz w:val="18"/>
          <w:szCs w:val="18"/>
          <w:color w:val="auto"/>
        </w:rPr>
        <w:t>. Parent shall not permit the Interest Coverage Ratio as of the last day of any Fiscal Quarter to be less than (i) for the Testing Period ending September 30, 2022, 2.00 to 1.00 and (ii) for any Testing Period ending thereafter, 2.50 to 1.00.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Maximum Leverage</w:t>
      </w:r>
      <w:r>
        <w:rPr>
          <w:rFonts w:ascii="Times New Roman" w:cs="Times New Roman" w:eastAsia="Times New Roman" w:hAnsi="Times New Roman"/>
          <w:sz w:val="18"/>
          <w:szCs w:val="18"/>
          <w:color w:val="auto"/>
        </w:rPr>
        <w:t>. Commencing with the Fiscal Quarter ending September 30, 2022, Parent shall not permit the Leverage Ratio as of the last day of any Fiscal Quarter to exceed (i) for any Testing Period ending prior to June 30, 2023, 4.00 to 1.00 and (ii) for any Testing Period ending on or after June 30, 2023, 3.50 to 1.00.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Limitation on Transactions with Affiliates</w:t>
      </w:r>
      <w:r>
        <w:rPr>
          <w:rFonts w:ascii="Times New Roman" w:cs="Times New Roman" w:eastAsia="Times New Roman" w:hAnsi="Times New Roman"/>
          <w:sz w:val="18"/>
          <w:szCs w:val="18"/>
          <w:color w:val="auto"/>
        </w:rPr>
        <w:t xml:space="preserve">.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(ii) the payment of reasonable and customary regular fees to directors of an Obligor or a Restricted Subsidiary of such Obligor who are not employees of such Obligor;</w:t>
      </w:r>
    </w:p>
    <w:p>
      <w:pPr>
        <w:spacing w:after="0" w:line="1" w:lineRule="exact"/>
        <w:rPr>
          <w:sz w:val="20"/>
          <w:szCs w:val="20"/>
          <w:color w:val="auto"/>
        </w:rPr>
      </w:pPr>
    </w:p>
    <w:p>
      <w:pPr>
        <w:jc w:val="both"/>
        <w:ind w:firstLine="8"/>
        <w:spacing w:after="0" w:line="250" w:lineRule="auto"/>
        <w:tabs>
          <w:tab w:leader="none" w:pos="32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w:t>
      </w:r>
    </w:p>
    <w:p>
      <w:pPr>
        <w:jc w:val="both"/>
        <w:ind w:firstLine="8"/>
        <w:spacing w:after="0" w:line="255" w:lineRule="auto"/>
        <w:tabs>
          <w:tab w:leader="none" w:pos="34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18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Restrictive Agreements</w:t>
      </w:r>
      <w:r>
        <w:rPr>
          <w:rFonts w:ascii="Times New Roman" w:cs="Times New Roman" w:eastAsia="Times New Roman" w:hAnsi="Times New Roman"/>
          <w:sz w:val="18"/>
          <w:szCs w:val="18"/>
          <w:color w:val="auto"/>
        </w:rPr>
        <w:t>. Parent shall not, and shall not permit any Restricted Subsidiary to, directly or indirectly, enter into, incur, create or permit to exist any Restrictive Agreement, except for:</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limitations or restrictions contained in any Loan Document, the Senior Secured Notes Indenture, the Exit Senior Notes Indenture or the Senior Notes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limitations or restrictions existing under or by reason of any Requirement of Law;</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apply only to the Restricted Subsidiary that is, or assets that are, the subject of such Disposition and such Disposition is permitted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limitations or restrictions contained in contracts and agreements outstanding on the Effective Date and renewals, extensions, refinancings or replacements thereof identified on </w:t>
      </w:r>
      <w:r>
        <w:rPr>
          <w:rFonts w:ascii="Times New Roman" w:cs="Times New Roman" w:eastAsia="Times New Roman" w:hAnsi="Times New Roman"/>
          <w:sz w:val="18"/>
          <w:szCs w:val="18"/>
          <w:u w:val="single" w:color="auto"/>
          <w:color w:val="auto"/>
        </w:rPr>
        <w:t>Schedule 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set forth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(i) the definition of “Restrictive Agreements” shall not apply to restrictions or conditions imposed by any agreement relating to secured Indebtedness permitted by this Agreement or Liens permitted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customary restrictions and conditions contained in Permitted Factoring Transaction Documents;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limitations or restrictions contained in the definitive documentation for any Indebtedness permitted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limitations and restrictions, taken as a whole, are not materially more restrictive than those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Parent and the Borrowers shall not, and Parent shall not permit any of its other Subsidiaries to, arrange for any Extension of Credit for any purpose other than general corporate purposes of Parent and its Restricted Subsidiaries (to the extent otherwise permitted hereunder).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58" w:name="page159"/>
    <w:bookmarkEnd w:id="15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Parent shall not, nor shall it permit any of its Subsidiaries to, use any Letter of Credit or the proceeds of any of the Loans or Letter of Credit under this Agreement directly or indirectly for the purpose of buying or carrying any “margin stock” within the meaning of Regulation U (herein called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No Borrower will request any Extension of Credit, and Parent shall not use or otherwise make available, and shall procure that its Subsidiaries and its or their respective directors, officers, employees and agents shall not use or otherwise make available,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Changes to Fiscal Year</w:t>
      </w:r>
      <w:r>
        <w:rPr>
          <w:rFonts w:ascii="Times New Roman" w:cs="Times New Roman" w:eastAsia="Times New Roman" w:hAnsi="Times New Roman"/>
          <w:sz w:val="18"/>
          <w:szCs w:val="18"/>
          <w:color w:val="auto"/>
        </w:rPr>
        <w:t>. Parent will not change its Fiscal Year from the basis in effect on the Effective Date.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Amendments to Documents Governing Certain Indebtedness</w:t>
      </w:r>
      <w:r>
        <w:rPr>
          <w:rFonts w:ascii="Times New Roman" w:cs="Times New Roman" w:eastAsia="Times New Roman" w:hAnsi="Times New Roman"/>
          <w:sz w:val="18"/>
          <w:szCs w:val="18"/>
          <w:color w:val="auto"/>
        </w:rPr>
        <w:t xml:space="preserve">. Parent shall not, and shall not permit any Restricted Subsidiary to, amend or otherwise modify any of the documentation governing (a) (i) the Senior Secured Notes or any Permitted Refinancing Indebtedness in respect thereof, (ii) any Exit Senior Notes or Permitted Refinancing Indebtedness in respect thereof, (iii) any Senior Notes or Permitted Refinancing Indebtedness in respect thereof or (iv) any Permitted Refinancing Indebtedness in respect thereof, in each case to the extent that any such amendment or other modification, taken as a whole, would be materially adverse to the Lenders, (b) except as permitted by </w:t>
      </w:r>
      <w:r>
        <w:rPr>
          <w:rFonts w:ascii="Times New Roman" w:cs="Times New Roman" w:eastAsia="Times New Roman" w:hAnsi="Times New Roman"/>
          <w:sz w:val="18"/>
          <w:szCs w:val="18"/>
          <w:u w:val="single" w:color="auto"/>
          <w:color w:val="auto"/>
        </w:rPr>
        <w:t>Section 9.01(i)(iii)</w:t>
      </w:r>
      <w:r>
        <w:rPr>
          <w:rFonts w:ascii="Times New Roman" w:cs="Times New Roman" w:eastAsia="Times New Roman" w:hAnsi="Times New Roman"/>
          <w:sz w:val="18"/>
          <w:szCs w:val="18"/>
          <w:color w:val="auto"/>
        </w:rPr>
        <w:t xml:space="preserve">, any unsecured Indebtedness incurred pursuant to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to reduce the stated maturity of any such Indebtedness to be sooner than 91 days after the Maturity Date or (c) any Subordinated Indebtedness incurred pursuant to </w:t>
      </w:r>
      <w:r>
        <w:rPr>
          <w:rFonts w:ascii="Times New Roman" w:cs="Times New Roman" w:eastAsia="Times New Roman" w:hAnsi="Times New Roman"/>
          <w:sz w:val="18"/>
          <w:szCs w:val="18"/>
          <w:u w:val="single" w:color="auto"/>
          <w:color w:val="auto"/>
        </w:rPr>
        <w:t>Section 9.01(j)</w:t>
      </w:r>
      <w:r>
        <w:rPr>
          <w:rFonts w:ascii="Times New Roman" w:cs="Times New Roman" w:eastAsia="Times New Roman" w:hAnsi="Times New Roman"/>
          <w:sz w:val="18"/>
          <w:szCs w:val="18"/>
          <w:color w:val="auto"/>
        </w:rPr>
        <w:t xml:space="preserve"> to amend or otherwise modify the subordination terms of such Indebtedness in a manner adverse to the Lenders.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Limitation on Equity Issuances</w:t>
      </w:r>
      <w:r>
        <w:rPr>
          <w:rFonts w:ascii="Times New Roman" w:cs="Times New Roman" w:eastAsia="Times New Roman" w:hAnsi="Times New Roman"/>
          <w:sz w:val="18"/>
          <w:szCs w:val="18"/>
          <w:color w:val="auto"/>
        </w:rPr>
        <w:t>. Parent will not issue or sell any of its Capital Stock, except for the issuance or sale of Qualified Capital Stock.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Book Value of Assets</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Parent shall not, and shall not 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or any of the transactions contemplated by </w:t>
      </w:r>
      <w:r>
        <w:rPr>
          <w:rFonts w:ascii="Times New Roman" w:cs="Times New Roman" w:eastAsia="Times New Roman" w:hAnsi="Times New Roman"/>
          <w:sz w:val="18"/>
          <w:szCs w:val="18"/>
          <w:u w:val="single" w:color="auto"/>
          <w:color w:val="auto"/>
        </w:rPr>
        <w:t>Section 9.01(d)(iv)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9.02(c)(ii)</w:t>
      </w:r>
      <w:r>
        <w:rPr>
          <w:rFonts w:ascii="Times New Roman" w:cs="Times New Roman" w:eastAsia="Times New Roman" w:hAnsi="Times New Roman"/>
          <w:sz w:val="18"/>
          <w:szCs w:val="18"/>
          <w:color w:val="auto"/>
        </w:rPr>
        <w:t xml:space="preserve"> (other than in the case of any winding up, liquidation or dissolution of a Restricted Subsidiary all of the Capital Stock of which is directly owned by one or more Obligors), </w:t>
      </w:r>
      <w:r>
        <w:rPr>
          <w:rFonts w:ascii="Times New Roman" w:cs="Times New Roman" w:eastAsia="Times New Roman" w:hAnsi="Times New Roman"/>
          <w:sz w:val="18"/>
          <w:szCs w:val="18"/>
          <w:u w:val="single" w:color="auto"/>
          <w:color w:val="auto"/>
        </w:rPr>
        <w:t>9.02(c)(ii)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9.05(j)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9.05(n)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9.08(m)</w:t>
      </w:r>
      <w:r>
        <w:rPr>
          <w:rFonts w:ascii="Times New Roman" w:cs="Times New Roman" w:eastAsia="Times New Roman" w:hAnsi="Times New Roman"/>
          <w:sz w:val="18"/>
          <w:szCs w:val="18"/>
          <w:color w:val="auto"/>
        </w:rPr>
        <w:t xml:space="preserve"> if, after giving effect thereto, the Book Value of Assets would be less than $1,000,000,000.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Events of Default and Remedies</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 A Borrower shall default in any payment of principal of any Loan or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or (ii) any interest on any Obligation, any fee or any other amount (other than an amount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payable hereunder or any other Loan Document shall not be paid within five (5) Business Days following the date on which the payment of such interest, fee or other amount is due; or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any representation or warranty made or, for purposes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any Obligor shall fail to (i) perform or observe any covenant, condition or agreement contained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(with respect to the existence of any Obligor) or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(ii) fail to give any notice required by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(i) any Obligor shall fail to give any notice required by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(other than with respect to the existence of any Obligor),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Parent or any Obligor shall fail to perform or observe any other term, covenant or agreement contained in this Agreement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10.01(d)</w:t>
      </w:r>
      <w:r>
        <w:rPr>
          <w:rFonts w:ascii="Times New Roman" w:cs="Times New Roman" w:eastAsia="Times New Roman" w:hAnsi="Times New Roman"/>
          <w:sz w:val="18"/>
          <w:szCs w:val="18"/>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(i)(A) any Obligor or its Restricted Subsidiary shall fail to make any payment (whether of principal, interest or otherwise and regardless of amount) in respect of any Material Indebtedness, when and as the same shall become due and payable, after giving effect to any grace period with respect thereto or (B) there is an event of default with respect to any Material Indebtedness and such default results in a right by the holder of such Material Indebtedness, irrespective of whether exercised, to accelerate the maturity of such Obligor’s or its Restricted Subsidiary’s obligations thereunder, or (ii) an event of default under (A) the Senior Secured Notes Indenture, (B) the Exit Senior Notes Indenture or (C) the Senior Notes Indenture;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 Insolvency Proceeding is commenced by an Obligor or any of its Material Subsidiaries; or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(j)             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a Material Subsidiary, or (e) an order for relief shall have been issued or entered therein; or</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(k)            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judgment or order provides for any Obligor or any Restricted Subsidiary to make periodic payments over time, no Event of Default shall arise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(l)             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(m)           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            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            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a Change of Control shall occur, whether directly or indirectly;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any Obligor described in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terminate the Commitments and the LC Commitments, and thereupon the Commitments and the LC Commitments shall terminate immediately, and terminate all obligations of the Lenders to make Loans and each Issuing Bank to issue, amend or extend any Letter of Credit;</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require the Borrowers deposit in the LC Collateral Account an additional amount in immediately available funds in cash equal to (a) 103% of the Total LC Exposure in respect of Letters of Credit denominated in Dollars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105% of the Dollar Equivalent Total LC Exposure in respect of Letters of Credit denominated in Alternative Currencies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And in case of any event with respect to any Obligor described in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Other Remedies</w:t>
      </w:r>
      <w:r>
        <w:rPr>
          <w:rFonts w:ascii="Times New Roman" w:cs="Times New Roman" w:eastAsia="Times New Roman" w:hAnsi="Times New Roman"/>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Application of Moneys During Continuation of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be distributed by the Administrative Agent and the LC Australian Collateral Agent (as applicable) on the dates selected by the Administrative Agent and the LC Australian Collateral Agent (as applicable) as follows:</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the unreimbursed expenses of the Administrative Agent and the LC Australian Collateral Agent (as applicable) to be reimbursed under the Loan Documents, or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to any unpaid fees owing under the Loan Documents by the Obligors to the Administrative Agent and the LC Australian Collateral Agent (as applicable) including under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the unreimbursed expenses for which any Lender is to be reimbursed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ratable payment of all accrued and unpaid interest and fees on the Total Credit Exposure;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left="1300"/>
        <w:spacing w:after="0" w:line="258"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ratably, to the payment of the portion of the Secured Obligations constituting unpaid principal of the Loans and unreimbursed LC Disbursements, to secure the repayment and discharge of the outstanding amount of all Total LC Exposure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and to the payment of the portion of the Secured Obligations constituting Banking Services Obligations, Swap Obligations and obligations in respect of Standalone Performance LCs, until all such principal, LC Exposure, Banking Services Obligations, Swap Obligations and obligations in respect of Standalone Performance LCs shall have been paid in full;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ratable payment of all other Secured Obligations, until all Secured Obligations shall have been paid in full; and</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to payment to the Obligors, or their respective successors or assigns, or as a court of competent jurisdiction may direct, of any surplus then remaining from such proceeds.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term “unpaid” as used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mean all relevant Secured Obligations outstanding as of any such distribution date as to which prior distributions have not been made, after giving effect to any adjustments which are made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which the Administrative Agent shall have been notified.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u w:val="single" w:color="auto"/>
          <w:color w:val="auto"/>
        </w:rPr>
        <w:t>  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Each of the Lenders hereby irrevocably authorizes and appoints the Administrative Agent and Wilmington Trust, National Association as their agents (</w:t>
      </w:r>
      <w:r>
        <w:rPr>
          <w:rFonts w:ascii="Times New Roman" w:cs="Times New Roman" w:eastAsia="Times New Roman" w:hAnsi="Times New Roman"/>
          <w:sz w:val="18"/>
          <w:szCs w:val="18"/>
          <w:i w:val="1"/>
          <w:iCs w:val="1"/>
          <w:color w:val="auto"/>
        </w:rPr>
        <w:t>comisionistas</w:t>
      </w:r>
      <w:r>
        <w:rPr>
          <w:rFonts w:ascii="Times New Roman" w:cs="Times New Roman" w:eastAsia="Times New Roman" w:hAnsi="Times New Roman"/>
          <w:sz w:val="18"/>
          <w:szCs w:val="18"/>
          <w:color w:val="auto"/>
        </w:rPr>
        <w:t>) in accordance with Articles 273 and 274 of the Mexican Commerce Code (</w:t>
      </w:r>
      <w:r>
        <w:rPr>
          <w:rFonts w:ascii="Times New Roman" w:cs="Times New Roman" w:eastAsia="Times New Roman" w:hAnsi="Times New Roman"/>
          <w:sz w:val="18"/>
          <w:szCs w:val="18"/>
          <w:i w:val="1"/>
          <w:iCs w:val="1"/>
          <w:color w:val="auto"/>
        </w:rPr>
        <w:t>Código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Comercio</w:t>
      </w:r>
      <w:r>
        <w:rPr>
          <w:rFonts w:ascii="Times New Roman" w:cs="Times New Roman" w:eastAsia="Times New Roman" w:hAnsi="Times New Roman"/>
          <w:sz w:val="18"/>
          <w:szCs w:val="18"/>
          <w:color w:val="auto"/>
        </w:rPr>
        <w:t>). The provisions of this Article are solely for the benefit of the Administrative Agent and the Lenders, and neither the Borrowers nor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In relation to Collateral which is subject to a Swiss Security Document, the Administrative Agent has caused the Foreign Collateral Agent to, subject to and in accordance with the provisions of the Intercreditor Agreement:</w:t>
      </w:r>
    </w:p>
    <w:p>
      <w:pPr>
        <w:spacing w:after="0" w:line="160" w:lineRule="exact"/>
        <w:rPr>
          <w:sz w:val="20"/>
          <w:szCs w:val="20"/>
          <w:color w:val="auto"/>
        </w:rPr>
      </w:pPr>
    </w:p>
    <w:p>
      <w:pPr>
        <w:jc w:val="both"/>
        <w:ind w:left="660" w:firstLine="1296"/>
        <w:spacing w:after="0" w:line="284" w:lineRule="auto"/>
        <w:rPr>
          <w:sz w:val="20"/>
          <w:szCs w:val="20"/>
          <w:color w:val="auto"/>
        </w:rPr>
      </w:pPr>
      <w:r>
        <w:rPr>
          <w:rFonts w:ascii="Times New Roman" w:cs="Times New Roman" w:eastAsia="Times New Roman" w:hAnsi="Times New Roman"/>
          <w:sz w:val="18"/>
          <w:szCs w:val="18"/>
          <w:color w:val="auto"/>
        </w:rPr>
        <w:t>(i)             hold and administer any non-accessory Collateral (</w:t>
      </w:r>
      <w:r>
        <w:rPr>
          <w:rFonts w:ascii="Times New Roman" w:cs="Times New Roman" w:eastAsia="Times New Roman" w:hAnsi="Times New Roman"/>
          <w:sz w:val="18"/>
          <w:szCs w:val="18"/>
          <w:i w:val="1"/>
          <w:iCs w:val="1"/>
          <w:color w:val="auto"/>
        </w:rPr>
        <w:t>nicht-akzessorische Sicherheit</w:t>
      </w:r>
      <w:r>
        <w:rPr>
          <w:rFonts w:ascii="Times New Roman" w:cs="Times New Roman" w:eastAsia="Times New Roman" w:hAnsi="Times New Roman"/>
          <w:sz w:val="18"/>
          <w:szCs w:val="18"/>
          <w:color w:val="auto"/>
        </w:rPr>
        <w:t>) governed by Swiss law as fiduciary (</w:t>
      </w:r>
      <w:r>
        <w:rPr>
          <w:rFonts w:ascii="Times New Roman" w:cs="Times New Roman" w:eastAsia="Times New Roman" w:hAnsi="Times New Roman"/>
          <w:sz w:val="18"/>
          <w:szCs w:val="18"/>
          <w:i w:val="1"/>
          <w:iCs w:val="1"/>
          <w:color w:val="auto"/>
        </w:rPr>
        <w:t>treuhänderisch</w:t>
      </w:r>
      <w:r>
        <w:rPr>
          <w:rFonts w:ascii="Times New Roman" w:cs="Times New Roman" w:eastAsia="Times New Roman" w:hAnsi="Times New Roman"/>
          <w:sz w:val="18"/>
          <w:szCs w:val="18"/>
          <w:color w:val="auto"/>
        </w:rPr>
        <w:t>) in its own name but for the benefit of the Secured Parties; and</w:t>
      </w:r>
    </w:p>
    <w:p>
      <w:pPr>
        <w:spacing w:after="0" w:line="158" w:lineRule="exact"/>
        <w:rPr>
          <w:sz w:val="20"/>
          <w:szCs w:val="20"/>
          <w:color w:val="auto"/>
        </w:rPr>
      </w:pPr>
    </w:p>
    <w:p>
      <w:pPr>
        <w:jc w:val="both"/>
        <w:ind w:left="660" w:right="20" w:firstLine="1296"/>
        <w:spacing w:after="0" w:line="284" w:lineRule="auto"/>
        <w:rPr>
          <w:sz w:val="20"/>
          <w:szCs w:val="20"/>
          <w:color w:val="auto"/>
        </w:rPr>
      </w:pPr>
      <w:r>
        <w:rPr>
          <w:rFonts w:ascii="Times New Roman" w:cs="Times New Roman" w:eastAsia="Times New Roman" w:hAnsi="Times New Roman"/>
          <w:sz w:val="18"/>
          <w:szCs w:val="18"/>
          <w:color w:val="auto"/>
        </w:rPr>
        <w:t>(ii)            hold and administer any accessory Collateral (</w:t>
      </w:r>
      <w:r>
        <w:rPr>
          <w:rFonts w:ascii="Times New Roman" w:cs="Times New Roman" w:eastAsia="Times New Roman" w:hAnsi="Times New Roman"/>
          <w:sz w:val="18"/>
          <w:szCs w:val="18"/>
          <w:i w:val="1"/>
          <w:iCs w:val="1"/>
          <w:color w:val="auto"/>
        </w:rPr>
        <w:t>akzessorische Sicherheit</w:t>
      </w:r>
      <w:r>
        <w:rPr>
          <w:rFonts w:ascii="Times New Roman" w:cs="Times New Roman" w:eastAsia="Times New Roman" w:hAnsi="Times New Roman"/>
          <w:sz w:val="18"/>
          <w:szCs w:val="18"/>
          <w:color w:val="auto"/>
        </w:rPr>
        <w:t>) governed by Swiss law as direct representative (</w:t>
      </w:r>
      <w:r>
        <w:rPr>
          <w:rFonts w:ascii="Times New Roman" w:cs="Times New Roman" w:eastAsia="Times New Roman" w:hAnsi="Times New Roman"/>
          <w:sz w:val="18"/>
          <w:szCs w:val="18"/>
          <w:i w:val="1"/>
          <w:iCs w:val="1"/>
          <w:color w:val="auto"/>
        </w:rPr>
        <w:t>direkter Stellvertrete</w:t>
      </w:r>
      <w:r>
        <w:rPr>
          <w:rFonts w:ascii="Times New Roman" w:cs="Times New Roman" w:eastAsia="Times New Roman" w:hAnsi="Times New Roman"/>
          <w:sz w:val="18"/>
          <w:szCs w:val="18"/>
          <w:color w:val="auto"/>
        </w:rPr>
        <w:t>r) in the name and on behalf of the Secured Parties.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Each Secured Party has appointed and hereby appoints the Foreign Collateral Agent as its direct representative (</w:t>
      </w:r>
      <w:r>
        <w:rPr>
          <w:rFonts w:ascii="Times New Roman" w:cs="Times New Roman" w:eastAsia="Times New Roman" w:hAnsi="Times New Roman"/>
          <w:sz w:val="18"/>
          <w:szCs w:val="18"/>
          <w:i w:val="1"/>
          <w:iCs w:val="1"/>
          <w:color w:val="auto"/>
        </w:rPr>
        <w:t>direkter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Stellvertreter</w:t>
      </w:r>
      <w:r>
        <w:rPr>
          <w:rFonts w:ascii="Times New Roman" w:cs="Times New Roman" w:eastAsia="Times New Roman" w:hAnsi="Times New Roman"/>
          <w:sz w:val="18"/>
          <w:szCs w:val="18"/>
          <w:color w:val="auto"/>
        </w:rPr>
        <w:t>) authorizing the Foreign Collateral Agent (whether or not by or through employees or agents) to:</w:t>
      </w:r>
    </w:p>
    <w:p>
      <w:pPr>
        <w:spacing w:after="0" w:line="207"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take such action on its behalf as may from time to time be authorized under or in accordance with the relevant Swiss Security Documents; and</w:t>
      </w:r>
    </w:p>
    <w:p>
      <w:pPr>
        <w:spacing w:after="0" w:line="160"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accept, enter into and execute as its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any amendments, confirmations and/or alterations to any Swiss Security Document which creates a pledge or any other accessory security right (</w:t>
      </w:r>
      <w:r>
        <w:rPr>
          <w:rFonts w:ascii="Times New Roman" w:cs="Times New Roman" w:eastAsia="Times New Roman" w:hAnsi="Times New Roman"/>
          <w:sz w:val="18"/>
          <w:szCs w:val="18"/>
          <w:i w:val="1"/>
          <w:iCs w:val="1"/>
          <w:color w:val="auto"/>
        </w:rPr>
        <w:t>akzessorische Sicherheit</w:t>
      </w:r>
      <w:r>
        <w:rPr>
          <w:rFonts w:ascii="Times New Roman" w:cs="Times New Roman" w:eastAsia="Times New Roman" w:hAnsi="Times New Roman"/>
          <w:sz w:val="18"/>
          <w:szCs w:val="18"/>
          <w:color w:val="auto"/>
        </w:rPr>
        <w:t>) including the release or confirmation of release of such Collateral, all subject to the provisions of the Intercreditor Agreement.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u w:val="single" w:color="auto"/>
          <w:color w:val="auto"/>
        </w:rPr>
        <w:t>  Liability of Agents</w:t>
      </w:r>
      <w:r>
        <w:rPr>
          <w:rFonts w:ascii="Times New Roman" w:cs="Times New Roman" w:eastAsia="Times New Roman" w:hAnsi="Times New Roman"/>
          <w:sz w:val="18"/>
          <w:szCs w:val="18"/>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elsewhere herein, other than those conditions requiring delivery of items expressly required to be delivered to the Administrative Agent.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u w:val="single" w:color="auto"/>
          <w:color w:val="auto"/>
        </w:rPr>
        <w:t>  Reliance by Agents</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provide a copy of any notice of Default or Event of Default provided to the Borrowers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to each sub-agent.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u w:val="single" w:color="auto"/>
          <w:color w:val="auto"/>
        </w:rPr>
        <w:t>  Successor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In addition, in the event that (i) the Person serving as the Administrative Agent is a Defaulting Lender, (ii) such Person has been replaced in its capacity as a Lender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and (iii) if such Person is an Issuing Bank, (A) the LC Commitment of such Person, as an Issuing Bank, has been terminated pursuant to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successor Administrative Agent selected by the Required Lenders, in consultation with the Borrowers, shall be appointed concurrently with such removal.</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Times New Roman" w:cs="Times New Roman" w:eastAsia="Times New Roman" w:hAnsi="Times New Roman"/>
          <w:sz w:val="18"/>
          <w:szCs w:val="18"/>
          <w:u w:val="single" w:color="auto"/>
          <w:color w:val="auto"/>
        </w:rPr>
        <w:t>Sections 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u w:val="single" w:color="auto"/>
          <w:color w:val="auto"/>
        </w:rPr>
        <w:t>  Credit Decision</w:t>
      </w:r>
      <w:r>
        <w:rPr>
          <w:rFonts w:ascii="Times New Roman" w:cs="Times New Roman" w:eastAsia="Times New Roman" w:hAnsi="Times New Roman"/>
          <w:sz w:val="18"/>
          <w:szCs w:val="18"/>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ind w:left="660"/>
        <w:spacing w:after="0"/>
        <w:rPr>
          <w:sz w:val="20"/>
          <w:szCs w:val="20"/>
          <w:color w:val="auto"/>
        </w:rPr>
      </w:pPr>
      <w:r>
        <w:rPr>
          <w:rFonts w:ascii="Times New Roman" w:cs="Times New Roman" w:eastAsia="Times New Roman" w:hAnsi="Times New Roman"/>
          <w:sz w:val="18"/>
          <w:szCs w:val="18"/>
          <w:color w:val="auto"/>
        </w:rPr>
        <w:t>SECTION 11.07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11.08     </w:t>
      </w:r>
      <w:r>
        <w:rPr>
          <w:rFonts w:ascii="Times New Roman" w:cs="Times New Roman" w:eastAsia="Times New Roman" w:hAnsi="Times New Roman"/>
          <w:sz w:val="18"/>
          <w:szCs w:val="18"/>
          <w:u w:val="single" w:color="auto"/>
          <w:color w:val="auto"/>
        </w:rPr>
        <w:t>  No Joint Venture</w:t>
      </w:r>
      <w:r>
        <w:rPr>
          <w:rFonts w:ascii="Times New Roman" w:cs="Times New Roman" w:eastAsia="Times New Roman" w:hAnsi="Times New Roman"/>
          <w:sz w:val="18"/>
          <w:szCs w:val="18"/>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11.09     </w:t>
      </w:r>
      <w:r>
        <w:rPr>
          <w:rFonts w:ascii="Times New Roman" w:cs="Times New Roman" w:eastAsia="Times New Roman" w:hAnsi="Times New Roman"/>
          <w:sz w:val="18"/>
          <w:szCs w:val="18"/>
          <w:u w:val="single" w:color="auto"/>
          <w:color w:val="auto"/>
        </w:rPr>
        <w:t>  Secured Party</w:t>
      </w:r>
      <w:r>
        <w:rPr>
          <w:rFonts w:ascii="Times New Roman" w:cs="Times New Roman" w:eastAsia="Times New Roman" w:hAnsi="Times New Roman"/>
          <w:sz w:val="18"/>
          <w:szCs w:val="18"/>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Collateral Documents governed by the laws of Australia, the Administrative Agent need not act in its own name or for the benefit of the Secured Parties nor as representative of the Secured Parties but may rather act through a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jurisdiction in which the Administrative Agent is not able under applicable law or regulations to perform any of its duties as Administrative Agent or exercise its rights or powers as Administrative Agent under any Loan Document, the Administrative Agent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to release any Lien granted to or held by the Administrative Agent or, as applicable, any such sub-agent upon any Collateral (i) as described in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Administrative Agent May File Proofs of Claim</w:t>
      </w:r>
      <w:r>
        <w:rPr>
          <w:rFonts w:ascii="Times New Roman" w:cs="Times New Roman" w:eastAsia="Times New Roman" w:hAnsi="Times New Roman"/>
          <w:sz w:val="18"/>
          <w:szCs w:val="18"/>
          <w:color w:val="auto"/>
        </w:rPr>
        <w:t>. In case of the pendency of any proceeding with respect to any Obligor under any federal, state or foreign bankruptcy, insolvency, receivership, administration, examinership, rescue process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allowed in such judicial proceeding;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administrator, examiner, process adviser,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Sections 12‎.03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-36830</wp:posOffset>
            </wp:positionV>
            <wp:extent cx="6724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2465" cy="8890"/>
                    </a:xfrm>
                    <a:prstGeom prst="rect">
                      <a:avLst/>
                    </a:prstGeom>
                    <a:noFill/>
                  </pic:spPr>
                </pic:pic>
              </a:graphicData>
            </a:graphic>
          </wp:anchor>
        </w:drawing>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1" w:name="page172"/>
    <w:bookmarkEnd w:id="1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Foreign Collateral Matters</w:t>
      </w:r>
      <w:r>
        <w:rPr>
          <w:rFonts w:ascii="Times New Roman" w:cs="Times New Roman" w:eastAsia="Times New Roman" w:hAnsi="Times New Roman"/>
          <w:sz w:val="18"/>
          <w:szCs w:val="18"/>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 the event of the resignation of the Administrative Agent (which shall include its resignation as the Hypothecary Representative)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 successor Administrative Agent, such successor Administrative Agent shall also act as the Hypothecary Representative, as contemplated above.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Scottish Appointment Matters.</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The Administrative Agent confirms and declares that it holds and shall hold in trust for the Secured Parties, on the terms contained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Without prejudice to the other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Credit Bid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Without limiting the authority granted to the Administrative Agent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Lender (including each Person that becomes a Lender hereunder pursuant to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Certain ERISA Matters; Lender Representations</w:t>
      </w:r>
      <w:r>
        <w:rPr>
          <w:rFonts w:ascii="Times New Roman" w:cs="Times New Roman" w:eastAsia="Times New Roman" w:hAnsi="Times New Roman"/>
          <w:sz w:val="18"/>
          <w:szCs w:val="18"/>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80"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the Plan Asset Regulations) of one or more Benefit Plans in connection with the Letters of Credit or the Commitments,</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w:t>
      </w:r>
    </w:p>
    <w:p>
      <w:pPr>
        <w:spacing w:after="0" w:line="3" w:lineRule="exact"/>
        <w:rPr>
          <w:sz w:val="20"/>
          <w:szCs w:val="20"/>
          <w:color w:val="auto"/>
        </w:rPr>
      </w:pPr>
    </w:p>
    <w:p>
      <w:pPr>
        <w:jc w:val="both"/>
        <w:ind w:left="660" w:hanging="4"/>
        <w:spacing w:after="0" w:line="255" w:lineRule="auto"/>
        <w:tabs>
          <w:tab w:leader="none" w:pos="9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86"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5" w:lineRule="auto"/>
        <w:tabs>
          <w:tab w:leader="none" w:pos="26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8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Intercreditor Agreement</w:t>
      </w:r>
      <w:r>
        <w:rPr>
          <w:rFonts w:ascii="Times New Roman" w:cs="Times New Roman" w:eastAsia="Times New Roman" w:hAnsi="Times New Roman"/>
          <w:sz w:val="18"/>
          <w:szCs w:val="18"/>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Agreement and to subject the Liens on the Collateral securing the Secured Obligations to the provisions thereof and (c) hereby authorizes and instructs the Administrative Agent to enter into any new Intercreditor Agreement or any amendment, restatement, amendment and restatement, supplement, joinder or other modification to any existing Intercreditor Agreement, in each case, as deemed reasonably necessary by the Administrative Agent for purposes of establishing or maintaining the priority of the Liens required hereby and/or establishing or preserving the rights of the Secured Parties in respect of such Liens and the Collateral.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Filings</w:t>
      </w:r>
      <w:r>
        <w:rPr>
          <w:rFonts w:ascii="Times New Roman" w:cs="Times New Roman" w:eastAsia="Times New Roman" w:hAnsi="Times New Roman"/>
          <w:sz w:val="18"/>
          <w:szCs w:val="18"/>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u w:val="single" w:color="auto"/>
          <w:color w:val="auto"/>
        </w:rPr>
        <w:t>  No Risk of Funds</w:t>
      </w:r>
      <w:r>
        <w:rPr>
          <w:rFonts w:ascii="Times New Roman" w:cs="Times New Roman" w:eastAsia="Times New Roman" w:hAnsi="Times New Roman"/>
          <w:sz w:val="18"/>
          <w:szCs w:val="18"/>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u w:val="single" w:color="auto"/>
          <w:color w:val="auto"/>
        </w:rPr>
        <w:t>  No Discretion</w:t>
      </w:r>
      <w:r>
        <w:rPr>
          <w:rFonts w:ascii="Times New Roman" w:cs="Times New Roman" w:eastAsia="Times New Roman" w:hAnsi="Times New Roman"/>
          <w:sz w:val="18"/>
          <w:szCs w:val="18"/>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Times New Roman" w:cs="Times New Roman" w:eastAsia="Times New Roman" w:hAnsi="Times New Roman"/>
          <w:sz w:val="18"/>
          <w:szCs w:val="18"/>
          <w:u w:val="single" w:color="auto"/>
          <w:color w:val="auto"/>
        </w:rPr>
        <w:t>Relevant Lenders</w:t>
      </w:r>
      <w:r>
        <w:rPr>
          <w:rFonts w:ascii="Times New Roman" w:cs="Times New Roman" w:eastAsia="Times New Roman" w:hAnsi="Times New Roman"/>
          <w:sz w:val="18"/>
          <w:szCs w:val="18"/>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11.19     </w:t>
      </w:r>
      <w:r>
        <w:rPr>
          <w:rFonts w:ascii="Times New Roman" w:cs="Times New Roman" w:eastAsia="Times New Roman" w:hAnsi="Times New Roman"/>
          <w:sz w:val="18"/>
          <w:szCs w:val="18"/>
          <w:u w:val="single" w:color="auto"/>
          <w:color w:val="auto"/>
        </w:rPr>
        <w:t>  Special, Consequential and Indirect Damages</w:t>
      </w:r>
      <w:r>
        <w:rPr>
          <w:rFonts w:ascii="Times New Roman" w:cs="Times New Roman" w:eastAsia="Times New Roman" w:hAnsi="Times New Roman"/>
          <w:sz w:val="18"/>
          <w:szCs w:val="18"/>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7" w:name="page178"/>
    <w:bookmarkEnd w:id="1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11.20    </w:t>
      </w:r>
      <w:r>
        <w:rPr>
          <w:rFonts w:ascii="Times New Roman" w:cs="Times New Roman" w:eastAsia="Times New Roman" w:hAnsi="Times New Roman"/>
          <w:sz w:val="18"/>
          <w:szCs w:val="18"/>
          <w:u w:val="single" w:color="auto"/>
          <w:color w:val="auto"/>
        </w:rPr>
        <w:t>  No Environmental Liability</w:t>
      </w:r>
      <w:r>
        <w:rPr>
          <w:rFonts w:ascii="Times New Roman" w:cs="Times New Roman" w:eastAsia="Times New Roman" w:hAnsi="Times New Roman"/>
          <w:sz w:val="18"/>
          <w:szCs w:val="18"/>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11.21    </w:t>
      </w:r>
      <w:r>
        <w:rPr>
          <w:rFonts w:ascii="Times New Roman" w:cs="Times New Roman" w:eastAsia="Times New Roman" w:hAnsi="Times New Roman"/>
          <w:sz w:val="18"/>
          <w:szCs w:val="18"/>
          <w:u w:val="single" w:color="auto"/>
          <w:color w:val="auto"/>
        </w:rPr>
        <w:t>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(or any portion thereof)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11.21(a),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Payment Recipient agrees that, in the case of clause (a)(ii) above, it shall promptly notify the Administrative Agent in writing of such occurrence.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Obligor, except, in each case, to the extent such Erroneous Payment is, and solely with respect to the amount of such Erroneous Payment that is, comprised of funds received directly or indirectly by the Administrative Agent from the Borrowers or any other Obligor (including proceeds of Collateral)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9" w:name="page180"/>
    <w:bookmarkEnd w:id="17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Each party’s obligations under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Nothing in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12.01   </w:t>
      </w:r>
      <w:r>
        <w:rPr>
          <w:rFonts w:ascii="Times New Roman" w:cs="Times New Roman" w:eastAsia="Times New Roman" w:hAnsi="Times New Roman"/>
          <w:sz w:val="18"/>
          <w:szCs w:val="18"/>
          <w:u w:val="single" w:color="auto"/>
          <w:color w:val="auto"/>
        </w:rPr>
        <w:t>  Waiver; Amendments; Joinder; Release of Guarantors; Release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any Loan and/or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5.01(c)</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liability for the Obligations, without the written consent of each Lender (other than Defaulting Lenders), (vii) except in accordance with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or in any Collateral Document or the Intercreditor Agreement, release all or substantially all of the Collateral without the written consent of each Lender, (viii) change or waive any provisions of this Agreement or the Loan Documents (it being understood that only the Required Lenders shall be required to waive or amend Sections 9.01(b) and 9.04(a) or any change to the definition of “Standalone Performance LCs”)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(in each case, as in effect on the Effective Date)), without the written consent of each Lender (other than Defaulting Lenders), (ix) change or waive any provisions of this Agreement or the Loan Documents (it being understood that only the Required Lenders shall be required to waive or amend Sections 9.01(b) and 9.04(a) or any change to the definition of “Standalone Performance LCs”)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(in each case, as in effect on the Effective Date)) without the written consent of each Lender (other than Defaulting Lenders),</w:t>
      </w:r>
    </w:p>
    <w:p>
      <w:pPr>
        <w:spacing w:after="0" w:line="6" w:lineRule="exact"/>
        <w:rPr>
          <w:sz w:val="20"/>
          <w:szCs w:val="20"/>
          <w:color w:val="auto"/>
        </w:rPr>
      </w:pPr>
    </w:p>
    <w:p>
      <w:pPr>
        <w:jc w:val="both"/>
        <w:ind w:firstLine="8"/>
        <w:spacing w:after="0" w:line="252" w:lineRule="auto"/>
        <w:tabs>
          <w:tab w:leader="none" w:pos="2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or (xi) release all or substantially all of the value of the Guaranty Agreements, collectively,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any provision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without the consent of the Administrative Agent, each Issuing Bank and the Required Lenders. Subject to the foregoing, the waiver, amendment or modification of any provision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may be effected with the consent of the Required Lenders. Notwithstanding anything to the contrary herein, this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xml:space="preserve"> shall, in respect of a Defaulting Lender, be subject to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Lenders hereby irrevocably agree that any Lien on any assets or property granted to or held by the Administrative Agent or the LC Australian Collateral Agent under any Loan Document shall be automatically released (i) upon Payment in Full, (ii) 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in any case set forth above, promptly upon receipt of a written request therefor from the Borrower, the Administrative Agent will execute and deliver all documents as may reasonably be requested to evidence such release;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any Lien be automatically released from its obligations pursuant to this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solely as a result of a Disposition of less than all of the equity interests in an Obligor to an Affiliate of Parent.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amend and restate, supplement or modify any Intercreditor Agreement as permitted pursuant to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Promptly upon receipt of a written request therefor from the Borrowers, the Administrative Agent will execute and deliver all documents as may reasonably be requested to effect a release of a Guarantor that ceases to exist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Borrowers hereby, jointly and severally, agree to pay all reasonable costs and expenses incurred by the Administrative Agent in connection with any such release of a Guarantor.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any Loan Document, without the consent of any other party hereto or to any other Loan Document, including any other Credit Party, the Administrative Agent and the applicable Obligors may (and, in the case of the Administrative Agent, is hereby authorized by the Lenders and any other applicable parties hereto to) enter into any agreement amending any Loan Document if reasonably required, in the reasonable discretion of the Administrative Agent or Borrowers, to appropriately reflect the joinder of a new Borrower pursuant to the terms of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including (i) the addition of the Canadian Dollar as an Alternative Currency hereunder, (ii) the designation of the Canadian Dollar Offered Rate as a Eurocurrency Rate hereunder together with provisions related to the administration of Loans and other extensions of credit benchmarked to the Canadian Dollar Offered Rate and (iii) the addition of customary benchmark replacement provisions with respect to the Canadian Dollar Offered Rate that take into account (A) any evolving or then-prevailing market convention for such benchmark replacement provisions and (B), to the extent available, the reccomendation of the Canadian Alternative Reference Rate working group at the time such amendment becomes effective. Any such amendment shall become effective in accordance with the terms thereof and without any further action or consent from any party hereto or to any other Loan Document, other than the Administrative Agent and the applicable Obligors.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auto"/>
        </w:rPr>
        <w:t>SECTION 12.02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any Borrower or Guarantor,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LegalWeatherford@weatherford.com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Vice President and Treasurer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Max.Kricorian@weatherford.com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Administrative Agent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No.: (704) 590-2706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(844) 879-5899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Agencyservices.requests@wellsfargo.com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840"/>
        <w:spacing w:after="0"/>
        <w:rPr>
          <w:sz w:val="20"/>
          <w:szCs w:val="20"/>
          <w:color w:val="auto"/>
        </w:rPr>
      </w:pPr>
      <w:r>
        <w:rPr>
          <w:rFonts w:ascii="Times New Roman" w:cs="Times New Roman" w:eastAsia="Times New Roman" w:hAnsi="Times New Roman"/>
          <w:sz w:val="18"/>
          <w:szCs w:val="18"/>
          <w:color w:val="auto"/>
        </w:rPr>
        <w:t>(iii)            if to Barclays, in its capacity as an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 Churchill Place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London E14 5HP</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+44 (0) 20 7773 2190</w:t>
      </w:r>
    </w:p>
    <w:p>
      <w:pPr>
        <w:spacing w:after="0" w:line="9" w:lineRule="exact"/>
        <w:rPr>
          <w:sz w:val="20"/>
          <w:szCs w:val="20"/>
          <w:color w:val="auto"/>
        </w:rPr>
      </w:pPr>
    </w:p>
    <w:p>
      <w:pPr>
        <w:ind w:left="840" w:right="839"/>
        <w:spacing w:after="0" w:line="260" w:lineRule="auto"/>
        <w:rPr>
          <w:sz w:val="20"/>
          <w:szCs w:val="20"/>
          <w:color w:val="auto"/>
        </w:rPr>
      </w:pPr>
      <w:r>
        <w:rPr>
          <w:rFonts w:ascii="Times New Roman" w:cs="Times New Roman" w:eastAsia="Times New Roman" w:hAnsi="Times New Roman"/>
          <w:sz w:val="18"/>
          <w:szCs w:val="18"/>
          <w:color w:val="auto"/>
        </w:rPr>
        <w:t>Email: mark.pope@barclays.com, matthew.x.jackson@barclays.com, Daniel.scoines1@barclays.com, Edwin.lau@barclays.com, Yokaira.peralta@barclays.com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(iv)            if to Wells Fargo,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ind w:left="840"/>
        <w:spacing w:after="0" w:line="205" w:lineRule="auto"/>
        <w:rPr>
          <w:sz w:val="20"/>
          <w:szCs w:val="20"/>
          <w:color w:val="auto"/>
        </w:rPr>
      </w:pPr>
      <w:r>
        <w:rPr>
          <w:rFonts w:ascii="Times New Roman" w:cs="Times New Roman" w:eastAsia="Times New Roman" w:hAnsi="Times New Roman"/>
          <w:sz w:val="18"/>
          <w:szCs w:val="18"/>
          <w:color w:val="auto"/>
        </w:rPr>
        <w:t>1700 Lincoln Street,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Denver, CO 80203</w:t>
      </w:r>
    </w:p>
    <w:p>
      <w:pPr>
        <w:spacing w:after="0" w:line="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(303) 863-5576</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DENLCFX@wellsfargo.com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            if to Deutsche Bank,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Trade Finance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(212) 250-9633, (212) 250-8321, (212) 250-8462, (212) 250-5427</w:t>
      </w:r>
    </w:p>
    <w:p>
      <w:pPr>
        <w:spacing w:after="0" w:line="9" w:lineRule="exact"/>
        <w:rPr>
          <w:sz w:val="20"/>
          <w:szCs w:val="20"/>
          <w:color w:val="auto"/>
        </w:rPr>
      </w:pPr>
    </w:p>
    <w:p>
      <w:pPr>
        <w:ind w:left="840" w:right="419"/>
        <w:spacing w:after="0" w:line="260" w:lineRule="auto"/>
        <w:rPr>
          <w:sz w:val="20"/>
          <w:szCs w:val="20"/>
          <w:color w:val="auto"/>
        </w:rPr>
      </w:pPr>
      <w:r>
        <w:rPr>
          <w:rFonts w:ascii="Times New Roman" w:cs="Times New Roman" w:eastAsia="Times New Roman" w:hAnsi="Times New Roman"/>
          <w:sz w:val="18"/>
          <w:szCs w:val="18"/>
          <w:color w:val="auto"/>
        </w:rPr>
        <w:t>Email: jack.leong@db.com, gaurav.mathur@db.com, konstanze.geppert@db.com, michelle.hsiao@db.com, tfcs.newyork@db.com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            if to Citibank, N.A.,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811 Main Street, Suite 4000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Ivan Davey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(713) 821-4709</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ivan.davey@citi.com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(vii)            if to Morgan Stanley,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1300 Thames Street, 4th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Thames Street Wharf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(443) 627-4555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Fax: (212) 507-5010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MSB.LOC@morganstanley.com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84" w:name="page185"/>
    <w:bookmarkEnd w:id="184"/>
    <w:p>
      <w:pPr>
        <w:ind w:left="1960"/>
        <w:spacing w:after="0"/>
        <w:rPr>
          <w:sz w:val="20"/>
          <w:szCs w:val="20"/>
          <w:color w:val="auto"/>
        </w:rPr>
      </w:pPr>
      <w:r>
        <w:rPr>
          <w:rFonts w:ascii="Times New Roman" w:cs="Times New Roman" w:eastAsia="Times New Roman" w:hAnsi="Times New Roman"/>
          <w:sz w:val="18"/>
          <w:szCs w:val="18"/>
          <w:color w:val="auto"/>
        </w:rPr>
        <w:t>(viii)            if to Nordea Bank Abp, New York Branch, in its capacity as Issuing Bank,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Nordea Bank Abp, New York Branch</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1211 Avenue of the Americas, 23rd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 318-9305</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abdul.khail@nordea.com</w:t>
      </w:r>
    </w:p>
    <w:p>
      <w:pPr>
        <w:spacing w:after="0" w:line="20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(ix)            if to any other Issuing Bank, to it at such address (or facsimile number) as shall be specified in the Issuing Bank Agreement to which such Issuing Bank shall be a party;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if to any Lender, to it at its address (or facsimile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said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the Issuing Banks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firstLine="1296"/>
        <w:spacing w:after="0" w:line="282" w:lineRule="auto"/>
        <w:rPr>
          <w:sz w:val="20"/>
          <w:szCs w:val="20"/>
          <w:color w:val="auto"/>
        </w:rPr>
      </w:pPr>
      <w:r>
        <w:rPr>
          <w:rFonts w:ascii="Times New Roman" w:cs="Times New Roman" w:eastAsia="Times New Roman" w:hAnsi="Times New Roman"/>
          <w:sz w:val="18"/>
          <w:szCs w:val="18"/>
          <w:color w:val="auto"/>
        </w:rPr>
        <w:t>(c)            Any party hereto may change its address or telecopy number for notices and other communications hereunder by notice to the other parties hereto.</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(d)            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Electronic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76"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12.03     </w:t>
      </w:r>
      <w:r>
        <w:rPr>
          <w:rFonts w:ascii="Times New Roman" w:cs="Times New Roman" w:eastAsia="Times New Roman" w:hAnsi="Times New Roman"/>
          <w:sz w:val="18"/>
          <w:szCs w:val="18"/>
          <w:u w:val="single" w:color="auto"/>
          <w:color w:val="auto"/>
        </w:rPr>
        <w:t>  Expenses, Etc</w:t>
      </w:r>
      <w:r>
        <w:rPr>
          <w:rFonts w:ascii="Times New Roman" w:cs="Times New Roman" w:eastAsia="Times New Roman" w:hAnsi="Times New Roman"/>
          <w:sz w:val="18"/>
          <w:szCs w:val="18"/>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the reasonable and documented or invoiced fees, charges and disbursements of Simpson Thacher &amp; Bartlett LLP (and including one local counsel in each applicable jurisdiction), in connection with the syndication and distribution (including via the Internet or through a service such as Intralinks) of the Credit Facility,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Facility,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Loans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Defaulting Lender will not be reimbursed for its costs and expenses related to the replacement of such Defaulting Lender or other matters incidental thereto.</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ind w:left="660"/>
        <w:spacing w:after="0"/>
        <w:rPr>
          <w:sz w:val="20"/>
          <w:szCs w:val="20"/>
          <w:color w:val="auto"/>
        </w:rPr>
      </w:pPr>
      <w:r>
        <w:rPr>
          <w:rFonts w:ascii="Times New Roman" w:cs="Times New Roman" w:eastAsia="Times New Roman" w:hAnsi="Times New Roman"/>
          <w:sz w:val="18"/>
          <w:szCs w:val="18"/>
          <w:color w:val="auto"/>
        </w:rPr>
        <w:t>SECTION 12.04     </w:t>
      </w:r>
      <w:r>
        <w:rPr>
          <w:rFonts w:ascii="Times New Roman" w:cs="Times New Roman" w:eastAsia="Times New Roman" w:hAnsi="Times New Roman"/>
          <w:sz w:val="18"/>
          <w:szCs w:val="18"/>
          <w:u w:val="single" w:color="auto"/>
          <w:color w:val="auto"/>
        </w:rPr>
        <w:t>  Indemnity and 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The Borrowers shall indemnify the Administrative Agent (and any sub-agent thereof), each Joint Lead Arranger, each Issuing Bank and each Lender, and each Affiliate and Related Party of each of the foregoing, and their respective directors, officers, employees, advisors and agents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relating to this Agreement, any Loan or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WIL-Delaware, Parent or any of their Subsidiaries, or any Environmental Liability related in any way to WIL-Bermuda, WIL-Delaware,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WIL-Delaware,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 (ii) 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 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SURVIVE THE TERMINATION OF THIS AGREEMENT AND THE OTHER LOAN DOCUMENTS AND THE PAYMENT OF THE OTHER OBLIGATIONS.</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With respect to an Obligor incorporated in Germany as (x) a limited liability company (</w:t>
      </w:r>
      <w:r>
        <w:rPr>
          <w:rFonts w:ascii="Times New Roman" w:cs="Times New Roman" w:eastAsia="Times New Roman" w:hAnsi="Times New Roman"/>
          <w:sz w:val="18"/>
          <w:szCs w:val="18"/>
          <w:i w:val="1"/>
          <w:iCs w:val="1"/>
          <w:color w:val="auto"/>
        </w:rPr>
        <w:t>Gesellschaft mit beschränkter Haftung - GmbH</w:t>
      </w:r>
      <w:r>
        <w:rPr>
          <w:rFonts w:ascii="Times New Roman" w:cs="Times New Roman" w:eastAsia="Times New Roman" w:hAnsi="Times New Roman"/>
          <w:sz w:val="18"/>
          <w:szCs w:val="18"/>
          <w:color w:val="auto"/>
        </w:rPr>
        <w:t>) or (y) a limited partnership (</w:t>
      </w:r>
      <w:r>
        <w:rPr>
          <w:rFonts w:ascii="Times New Roman" w:cs="Times New Roman" w:eastAsia="Times New Roman" w:hAnsi="Times New Roman"/>
          <w:sz w:val="18"/>
          <w:szCs w:val="18"/>
          <w:i w:val="1"/>
          <w:iCs w:val="1"/>
          <w:color w:val="auto"/>
        </w:rPr>
        <w:t>Kommanditgesellschaft</w:t>
      </w:r>
      <w:r>
        <w:rPr>
          <w:rFonts w:ascii="Times New Roman" w:cs="Times New Roman" w:eastAsia="Times New Roman" w:hAnsi="Times New Roman"/>
          <w:sz w:val="18"/>
          <w:szCs w:val="18"/>
          <w:color w:val="auto"/>
        </w:rPr>
        <w:t xml:space="preserve">) with a limited liability company as general partner, the limitations pursuant to Section 30 of the Affiliate Guaranty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obligations set out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8" w:name="page189"/>
    <w:bookmarkEnd w:id="18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the extent that any Borrower fails to pay any amount required to be paid by it to the Administrative Agent or any Issuing Bank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shall apply).</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No Indemnitee referred to in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payable not later than ten (10) Business Days after written demand therefor and presentation of any documents required to be delivered in connection therewith.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12.05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subparagraph (b)(ii)</w:t>
      </w:r>
      <w:r>
        <w:rPr>
          <w:rFonts w:ascii="Times New Roman" w:cs="Times New Roman" w:eastAsia="Times New Roman" w:hAnsi="Times New Roman"/>
          <w:sz w:val="18"/>
          <w:szCs w:val="18"/>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delayed or conditioned) of:</w:t>
      </w:r>
    </w:p>
    <w:p>
      <w:pPr>
        <w:spacing w:after="0" w:line="180"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Borrowers,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no consent of the Borrowers shall be required for an assignment to a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such Lender is a U.S. Qualifying Lender), an Affiliate of a Lender (provided such Affiliate is a U.S. Qualifying Lender), an Approved Fund (provided such Approved Fund is a U.S. Qualifying Lender) or, if an Event of Default has occurred and is continuing, any other assignee;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it shall be reasonable for the Borrowers to withhold consent to any assignment under this </w:t>
      </w:r>
      <w:r>
        <w:rPr>
          <w:rFonts w:ascii="Times New Roman" w:cs="Times New Roman" w:eastAsia="Times New Roman" w:hAnsi="Times New Roman"/>
          <w:sz w:val="18"/>
          <w:szCs w:val="18"/>
          <w:u w:val="single" w:color="auto"/>
          <w:color w:val="000000"/>
        </w:rPr>
        <w:t>Section 12.05(b)(i)</w:t>
      </w:r>
      <w:r>
        <w:rPr>
          <w:rFonts w:ascii="Times New Roman" w:cs="Times New Roman" w:eastAsia="Times New Roman" w:hAnsi="Times New Roman"/>
          <w:sz w:val="18"/>
          <w:szCs w:val="18"/>
          <w:color w:val="000000"/>
        </w:rPr>
        <w:t xml:space="preserve"> in connection with compliance with the terms of any agreement or instrument governing Material Indebtedness; and</w:t>
      </w:r>
    </w:p>
    <w:p>
      <w:pPr>
        <w:spacing w:after="0" w:line="183"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no consent of the Administrative Agent shall be required for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to a Lender, an Affiliate of a Lender, an Approved Fund immediately prior to giving effect to such assignment; and</w:t>
      </w:r>
    </w:p>
    <w:p>
      <w:pPr>
        <w:spacing w:after="0" w:line="16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Issuing Bank;</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consent to an assignment required by the Borrowers under this </w:t>
      </w:r>
      <w:r>
        <w:rPr>
          <w:rFonts w:ascii="Times New Roman" w:cs="Times New Roman" w:eastAsia="Times New Roman" w:hAnsi="Times New Roman"/>
          <w:sz w:val="18"/>
          <w:szCs w:val="18"/>
          <w:u w:val="single" w:color="auto"/>
          <w:color w:val="auto"/>
        </w:rPr>
        <w:t>Section 12.05(b)(i)</w:t>
      </w:r>
      <w:r>
        <w:rPr>
          <w:rFonts w:ascii="Times New Roman" w:cs="Times New Roman" w:eastAsia="Times New Roman" w:hAnsi="Times New Roman"/>
          <w:sz w:val="18"/>
          <w:szCs w:val="18"/>
          <w:color w:val="auto"/>
        </w:rPr>
        <w:t xml:space="preserve"> shall be deemed to have been given by the Borrowers unless the Borrowers shall have objected thereto by written notice to the Administrative Agent within ten (10) Business Days after receiving a written request for its consent to such assignment.</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300" w:firstLine="1296"/>
        <w:spacing w:after="0" w:line="27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except in the case of an assignment to a Lender, an Affiliate of a Lender or an Approved Fund or an assignment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no such consent of the Borrowers shall be required if an Event of Default has occurred and is continuing;</w:t>
      </w:r>
    </w:p>
    <w:p>
      <w:pPr>
        <w:spacing w:after="0" w:line="168"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partial assignment shall be made as an assignment of a proportionate part of all the assigning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rights and obligations under this Agreement;</w:t>
      </w:r>
    </w:p>
    <w:p>
      <w:pPr>
        <w:spacing w:after="0" w:line="162" w:lineRule="exact"/>
        <w:rPr>
          <w:sz w:val="20"/>
          <w:szCs w:val="20"/>
          <w:color w:val="auto"/>
        </w:rPr>
      </w:pPr>
    </w:p>
    <w:p>
      <w:pPr>
        <w:jc w:val="both"/>
        <w:ind w:left="1300" w:right="2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parties to each assignment shall execute and deliver to the Administrative Agent an Assignment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Assumption, together with a processing and recordation fee of $3,500;</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left="640"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assignee, if it shall not be a Lender, shall deliver to the Administrative Agent an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except in connection with assignments made while an Event of Default has occurred and is continuing,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prospective assignees of a Lender shall be required, as a condition to the effectiveness of such assignment, to execute and deliver the forms required under </w:t>
      </w:r>
      <w:r>
        <w:rPr>
          <w:rFonts w:ascii="Times New Roman" w:cs="Times New Roman" w:eastAsia="Times New Roman" w:hAnsi="Times New Roman"/>
          <w:sz w:val="18"/>
          <w:szCs w:val="18"/>
          <w:u w:val="single" w:color="auto"/>
          <w:color w:val="000000"/>
        </w:rPr>
        <w:t>Section 5.02(c)</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5.02(e)</w:t>
      </w:r>
      <w:r>
        <w:rPr>
          <w:rFonts w:ascii="Times New Roman" w:cs="Times New Roman" w:eastAsia="Times New Roman" w:hAnsi="Times New Roman"/>
          <w:sz w:val="18"/>
          <w:szCs w:val="18"/>
          <w:color w:val="000000"/>
        </w:rPr>
        <w:t xml:space="preserve"> for any Lender, and no assignment shall be effective in connection herewith unless and until such forms are so delivered;</w:t>
      </w:r>
    </w:p>
    <w:p>
      <w:pPr>
        <w:spacing w:after="0" w:line="180" w:lineRule="exact"/>
        <w:rPr>
          <w:sz w:val="20"/>
          <w:szCs w:val="20"/>
          <w:color w:val="auto"/>
        </w:rPr>
      </w:pPr>
    </w:p>
    <w:p>
      <w:pPr>
        <w:jc w:val="both"/>
        <w:ind w:left="640"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except in the case when no consent of the Borrowers is required because an Event of Default has occurred and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no assignment shall be made to any such assignee unless such assignee is a U.S. Qualifying Lender;</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 assignment shall be made to an Ineligible Institution; and</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assignee, if it shall not be a Lender, shall deliver to Parent and the Administrative Agent an Assignee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Times New Roman" w:cs="Times New Roman" w:eastAsia="Times New Roman" w:hAnsi="Times New Roman"/>
          <w:sz w:val="18"/>
          <w:szCs w:val="18"/>
          <w:u w:val="single" w:color="auto"/>
          <w:color w:val="auto"/>
        </w:rPr>
        <w:t>Section 12.05(b)(ii)(E)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Barclays Bank PLC may assign its Commitments hereunder to Barclays Bank Ireland PLC.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39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1" w:name="page192"/>
    <w:bookmarkEnd w:id="19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w:t>
      </w:r>
      <w:r>
        <w:rPr>
          <w:rFonts w:ascii="Times New Roman" w:cs="Times New Roman" w:eastAsia="Times New Roman" w:hAnsi="Times New Roman"/>
          <w:sz w:val="18"/>
          <w:szCs w:val="18"/>
          <w:u w:val="single" w:color="auto"/>
          <w:color w:val="auto"/>
        </w:rPr>
        <w:t>subparagraph (b)(iv)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(iv)           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Loans and LC Disbursements owing by each Borrower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200" w:lineRule="exact"/>
        <w:rPr>
          <w:sz w:val="20"/>
          <w:szCs w:val="20"/>
          <w:color w:val="auto"/>
        </w:rPr>
      </w:pPr>
    </w:p>
    <w:p>
      <w:pPr>
        <w:spacing w:after="0" w:line="20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2" w:name="page193"/>
    <w:bookmarkEnd w:id="192"/>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           Upon its receipt of a duly completed Assignment and Assumption executed by an assigning Lender and an assignee permitted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such assignee’s completed Administrative Questionnaire (unless such assignee shall already be a Lender hereunder),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any written consent to such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such assignee shall have failed to make any payment required to be made by it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12.04(a)</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sz w:val="20"/>
          <w:szCs w:val="20"/>
          <w:color w:val="auto"/>
        </w:rPr>
      </w:pPr>
    </w:p>
    <w:p>
      <w:pPr>
        <w:jc w:val="both"/>
        <w:ind w:firstLine="8"/>
        <w:spacing w:after="0" w:line="250" w:lineRule="auto"/>
        <w:tabs>
          <w:tab w:leader="none" w:pos="29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subparagraph (c)(ii)</w:t>
      </w:r>
      <w:r>
        <w:rPr>
          <w:rFonts w:ascii="Times New Roman" w:cs="Times New Roman" w:eastAsia="Times New Roman" w:hAnsi="Times New Roman"/>
          <w:sz w:val="18"/>
          <w:szCs w:val="18"/>
          <w:color w:val="auto"/>
        </w:rPr>
        <w:t xml:space="preserve"> of this Section, each Borrower agrees that each Participant shall be entitled to the benefits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and to deliver the forms required by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5.02(h)</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(including, but not limited to, </w:t>
      </w:r>
      <w:r>
        <w:rPr>
          <w:rFonts w:ascii="Times New Roman" w:cs="Times New Roman" w:eastAsia="Times New Roman" w:hAnsi="Times New Roman"/>
          <w:sz w:val="18"/>
          <w:szCs w:val="18"/>
          <w:u w:val="single" w:color="auto"/>
          <w:color w:val="auto"/>
        </w:rPr>
        <w:t>Section 12.05(c)(ii)</w:t>
      </w:r>
      <w:r>
        <w:rPr>
          <w:rFonts w:ascii="Times New Roman" w:cs="Times New Roman" w:eastAsia="Times New Roman" w:hAnsi="Times New Roman"/>
          <w:sz w:val="18"/>
          <w:szCs w:val="18"/>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A Participant shall not be entitled to receive any greater payment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Times New Roman" w:cs="Times New Roman" w:eastAsia="Times New Roman" w:hAnsi="Times New Roman"/>
          <w:sz w:val="18"/>
          <w:szCs w:val="18"/>
          <w:u w:val="single" w:color="auto"/>
          <w:color w:val="auto"/>
        </w:rPr>
        <w:t>Sections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as though it were a Lender. A Participant that fails to comply with the preceding sentence shall not be entitled to any of the benefits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12.06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w:t>
      </w:r>
    </w:p>
    <w:p>
      <w:pPr>
        <w:spacing w:after="0" w:line="5" w:lineRule="exact"/>
        <w:rPr>
          <w:sz w:val="20"/>
          <w:szCs w:val="20"/>
          <w:color w:val="auto"/>
        </w:rPr>
      </w:pPr>
    </w:p>
    <w:p>
      <w:pPr>
        <w:jc w:val="both"/>
        <w:ind w:firstLine="8"/>
        <w:spacing w:after="0" w:line="251" w:lineRule="auto"/>
        <w:tabs>
          <w:tab w:leader="none" w:pos="27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Facility or (ii) the CUSIP Service Bureau or any similar agency in connection with the issuance and monitoring of CUSIP numbers with respect to the Credit Facility.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18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12.07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and/or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and remain in full force and in effect regardless of the consummation of the transactions contemplated hereby, the repayment of the Obligations, the expiration or termination of the Loans, Letters of Credit and Commitments or the termination of this Agreement or any provision hereof.</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12.08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12.09     </w:t>
      </w:r>
      <w:r>
        <w:rPr>
          <w:rFonts w:ascii="Times New Roman" w:cs="Times New Roman" w:eastAsia="Times New Roman" w:hAnsi="Times New Roman"/>
          <w:sz w:val="18"/>
          <w:szCs w:val="18"/>
          <w:u w:val="single" w:color="auto"/>
          <w:color w:val="auto"/>
        </w:rPr>
        <w:t>  Independence of Covenants</w:t>
      </w:r>
      <w:r>
        <w:rPr>
          <w:rFonts w:ascii="Times New Roman" w:cs="Times New Roman" w:eastAsia="Times New Roman" w:hAnsi="Times New Roman"/>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12.10     </w:t>
      </w:r>
      <w:r>
        <w:rPr>
          <w:rFonts w:ascii="Times New Roman" w:cs="Times New Roman" w:eastAsia="Times New Roman" w:hAnsi="Times New Roman"/>
          <w:sz w:val="18"/>
          <w:szCs w:val="18"/>
          <w:u w:val="single" w:color="auto"/>
          <w:color w:val="auto"/>
        </w:rPr>
        <w:t>  Counterparts; Integration; Effectiveness; Electronic Execution</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12.12     </w:t>
      </w:r>
      <w:r>
        <w:rPr>
          <w:rFonts w:ascii="Times New Roman" w:cs="Times New Roman" w:eastAsia="Times New Roman" w:hAnsi="Times New Roman"/>
          <w:sz w:val="18"/>
          <w:szCs w:val="18"/>
          <w:u w:val="single" w:color="auto"/>
          <w:color w:val="auto"/>
        </w:rPr>
        <w:t>  Conflicts Between This Agreement and the Other Loan Documents</w:t>
      </w:r>
      <w:r>
        <w:rPr>
          <w:rFonts w:ascii="Times New Roman" w:cs="Times New Roman" w:eastAsia="Times New Roman" w:hAnsi="Times New Roman"/>
          <w:sz w:val="18"/>
          <w:szCs w:val="18"/>
          <w:color w:val="auto"/>
        </w:rPr>
        <w:t>. In the event of any conflict between, or inconsistency with, the terms of this Agreement and the terms of any of the other Loan Documents, the terms of this Agreement shall control.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12.13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12.14     </w:t>
      </w:r>
      <w:r>
        <w:rPr>
          <w:rFonts w:ascii="Times New Roman" w:cs="Times New Roman" w:eastAsia="Times New Roman" w:hAnsi="Times New Roman"/>
          <w:sz w:val="18"/>
          <w:szCs w:val="18"/>
          <w:u w:val="single" w:color="auto"/>
          <w:color w:val="auto"/>
        </w:rPr>
        <w:t>  Limitation of Interest</w:t>
      </w:r>
      <w:r>
        <w:rPr>
          <w:rFonts w:ascii="Times New Roman" w:cs="Times New Roman" w:eastAsia="Times New Roman" w:hAnsi="Times New Roman"/>
          <w:sz w:val="18"/>
          <w:szCs w:val="18"/>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Overnight Rate to the date of repayment, shall have been received by such Lender.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ind w:left="660"/>
        <w:spacing w:after="0"/>
        <w:rPr>
          <w:sz w:val="20"/>
          <w:szCs w:val="20"/>
          <w:color w:val="auto"/>
        </w:rPr>
      </w:pPr>
      <w:r>
        <w:rPr>
          <w:rFonts w:ascii="Times New Roman" w:cs="Times New Roman" w:eastAsia="Times New Roman" w:hAnsi="Times New Roman"/>
          <w:sz w:val="18"/>
          <w:szCs w:val="18"/>
          <w:color w:val="auto"/>
        </w:rPr>
        <w:t>SECTION 12.15     </w:t>
      </w:r>
      <w:r>
        <w:rPr>
          <w:rFonts w:ascii="Times New Roman" w:cs="Times New Roman" w:eastAsia="Times New Roman" w:hAnsi="Times New Roman"/>
          <w:sz w:val="18"/>
          <w:szCs w:val="18"/>
          <w:u w:val="single" w:color="auto"/>
          <w:color w:val="auto"/>
        </w:rPr>
        <w:t>  Submission to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Each Obligor irrevocably and unconditionally agrees that it will not commence any action, litigation or proceeding of any kind or description, whether in law or equity, whether in contract or in tort or otherwise, against the Administrative Agent, the Joint Lead Arrangers, any Issuing Bank, any Lender or any of their respective Related Parties in any way relating to this Agreement or any other Loan Document or the transactions relating hereto or thereto, in any forum other than the United States District Court for the Southern District of New York sitting in the Borough of Manhattan (or the state courts sitting in the Borough of Manhattan in the event the Southern District of New York lacks subject matter jurisdiction), and any appellate court from any thereof, and each of the parties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19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Each Obligor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other than by facsimile or by e-mail.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28 Liberty Street, New York, New York 10005,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Times New Roman" w:cs="Times New Roman" w:eastAsia="Times New Roman" w:hAnsi="Times New Roman"/>
          <w:sz w:val="18"/>
          <w:szCs w:val="18"/>
          <w:i w:val="1"/>
          <w:iCs w:val="1"/>
          <w:color w:val="auto"/>
        </w:rPr>
        <w:t>poder para pleitos y cobranzas</w:t>
      </w:r>
      <w:r>
        <w:rPr>
          <w:rFonts w:ascii="Times New Roman" w:cs="Times New Roman" w:eastAsia="Times New Roman" w:hAnsi="Times New Roman"/>
          <w:sz w:val="18"/>
          <w:szCs w:val="18"/>
          <w:color w:val="auto"/>
        </w:rPr>
        <w:t>) in terms of the first and fourth paragraphs of Articles 2554 and 2596 of the Federal Civil Code (</w:t>
      </w:r>
      <w:r>
        <w:rPr>
          <w:rFonts w:ascii="Times New Roman" w:cs="Times New Roman" w:eastAsia="Times New Roman" w:hAnsi="Times New Roman"/>
          <w:sz w:val="18"/>
          <w:szCs w:val="18"/>
          <w:i w:val="1"/>
          <w:iCs w:val="1"/>
          <w:color w:val="auto"/>
        </w:rPr>
        <w:t>Código Civil Federal)</w:t>
      </w:r>
      <w:r>
        <w:rPr>
          <w:rFonts w:ascii="Times New Roman" w:cs="Times New Roman" w:eastAsia="Times New Roman" w:hAnsi="Times New Roman"/>
          <w:sz w:val="18"/>
          <w:szCs w:val="18"/>
          <w:color w:val="auto"/>
        </w:rPr>
        <w:t xml:space="preserve"> of Mexico and the respective provisions of the Civil Codes of the States of Mexico (or any successor provisions) granted before a Mexican notary public, in form and substance reasonably satisfactory to the Administrative Agent.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12.16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12.17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The obligation of each Obligor to make payments on any Obligation to the Lenders, to any Issuing Bank or to the Administrative Agent hereunder in any currency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12.18     </w:t>
      </w:r>
      <w:r>
        <w:rPr>
          <w:rFonts w:ascii="Times New Roman" w:cs="Times New Roman" w:eastAsia="Times New Roman" w:hAnsi="Times New Roman"/>
          <w:sz w:val="18"/>
          <w:szCs w:val="18"/>
          <w:u w:val="single" w:color="auto"/>
          <w:color w:val="auto"/>
        </w:rPr>
        <w:t>  No Fiduciary Duty, etc</w:t>
      </w:r>
      <w:r>
        <w:rPr>
          <w:rFonts w:ascii="Times New Roman" w:cs="Times New Roman" w:eastAsia="Times New Roman" w:hAnsi="Times New Roman"/>
          <w:sz w:val="18"/>
          <w:szCs w:val="18"/>
          <w:color w:val="auto"/>
        </w:rPr>
        <w:t>.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 or in the other Loan Documents, and the Credit Parties shall have no responsibility or liability to the Borrowers or Parent with respect thereto.</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(b)            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12.19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(a) Each Lender that is subject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 and the Beneficial Ownership Regulation.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12.20     </w:t>
      </w:r>
      <w:r>
        <w:rPr>
          <w:rFonts w:ascii="Times New Roman" w:cs="Times New Roman" w:eastAsia="Times New Roman" w:hAnsi="Times New Roman"/>
          <w:sz w:val="18"/>
          <w:szCs w:val="18"/>
          <w:u w:val="single" w:color="auto"/>
          <w:color w:val="auto"/>
        </w:rPr>
        <w:t>  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12.21     </w:t>
      </w:r>
      <w:r>
        <w:rPr>
          <w:rFonts w:ascii="Times New Roman" w:cs="Times New Roman" w:eastAsia="Times New Roman" w:hAnsi="Times New Roman"/>
          <w:sz w:val="18"/>
          <w:szCs w:val="18"/>
          <w:u w:val="single" w:color="auto"/>
          <w:color w:val="auto"/>
        </w:rPr>
        <w:t>  Payments Set Aside</w:t>
      </w:r>
      <w:r>
        <w:rPr>
          <w:rFonts w:ascii="Times New Roman" w:cs="Times New Roman" w:eastAsia="Times New Roman" w:hAnsi="Times New Roman"/>
          <w:sz w:val="18"/>
          <w:szCs w:val="18"/>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process adviser,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applicable Overnight Rate. The obligations of the Lenders and the Issuing Banks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12.22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xml:space="preserve">. The Credit Parties and their respective Affiliates (collectively, solely for purposes of this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12.23     </w:t>
      </w:r>
      <w:r>
        <w:rPr>
          <w:rFonts w:ascii="Times New Roman" w:cs="Times New Roman" w:eastAsia="Times New Roman" w:hAnsi="Times New Roman"/>
          <w:sz w:val="18"/>
          <w:szCs w:val="18"/>
          <w:u w:val="single" w:color="auto"/>
          <w:color w:val="auto"/>
        </w:rPr>
        <w:t>  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w:t>
      </w:r>
    </w:p>
    <w:p>
      <w:pPr>
        <w:spacing w:after="0" w:line="1" w:lineRule="exact"/>
        <w:rPr>
          <w:sz w:val="20"/>
          <w:szCs w:val="20"/>
          <w:color w:val="auto"/>
        </w:rPr>
      </w:pPr>
    </w:p>
    <w:p>
      <w:pPr>
        <w:jc w:val="both"/>
        <w:ind w:firstLine="8"/>
        <w:spacing w:after="0" w:line="252" w:lineRule="auto"/>
        <w:tabs>
          <w:tab w:leader="none" w:pos="32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a Guarantor be automatically released from its obligations pursuant to this </w:t>
      </w:r>
      <w:r>
        <w:rPr>
          <w:rFonts w:ascii="Times New Roman" w:cs="Times New Roman" w:eastAsia="Times New Roman" w:hAnsi="Times New Roman"/>
          <w:sz w:val="18"/>
          <w:szCs w:val="18"/>
          <w:u w:val="single" w:color="auto"/>
          <w:color w:val="auto"/>
        </w:rPr>
        <w:t>Section 12.23(a)</w:t>
      </w:r>
      <w:r>
        <w:rPr>
          <w:rFonts w:ascii="Times New Roman" w:cs="Times New Roman" w:eastAsia="Times New Roman" w:hAnsi="Times New Roman"/>
          <w:sz w:val="18"/>
          <w:szCs w:val="18"/>
          <w:color w:val="auto"/>
        </w:rPr>
        <w:t xml:space="preserve"> solely as a result of a Disposition of less than all of the equity interests in such Guarantor to an Affiliate of Parent.</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12.24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Bail-In Action in relation to any such liability, including (without limitation):</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 reduction, in full or in part, in the principal amount, or outstanding amount due (including any accrued but unpaid interest) in respect of any such liability;</w:t>
      </w:r>
    </w:p>
    <w:p>
      <w:pPr>
        <w:spacing w:after="0" w:line="162"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a conversion of all, or part of, any such liability into shares or other instruments of ownership that may be issued to, or conferred on, it;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 cancellation of any such liability;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variation of any term of any Loan Document to the extent necessary to give effect to any Bail-In Action in relation to any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12.25     </w:t>
      </w:r>
      <w:r>
        <w:rPr>
          <w:rFonts w:ascii="Times New Roman" w:cs="Times New Roman" w:eastAsia="Times New Roman" w:hAnsi="Times New Roman"/>
          <w:sz w:val="18"/>
          <w:szCs w:val="18"/>
          <w:u w:val="single" w:color="auto"/>
          <w:color w:val="auto"/>
        </w:rPr>
        <w:t>  Confirmation of Lender’s Status as a Swiss Qualifying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Lender confirms that, as of the Effective Date, unless notified in writing to Parent and the Administrative Agent prior to the Effective Date, such Lender is a Swiss Qualifying Lender and has not entered into a participation arrangement with respect to this Agreement with any Person that is a Swiss Non-Qualifying Lender.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Without limitation to any consent or other rights provided for in this Agreement (including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76"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it is a Swiss Qualifying Lender and has not entered into a participation (including sub-participation) arrangement with respect to this Agreement with any Person that is a Swiss Non-Qualifying Lender; or</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if it is a Swiss Non-Qualifying Lender, it counts as one single creditor for purposes of the Swiss Non-Bank Rules (taking into account any participations and sub-participations).</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(c)            Each Lender or Participant (including sub-participants) shall promptly notify Parent and the Administrative Agent if for any reason it ceases to be a Swiss Qualifying Lender.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12.26     </w:t>
      </w:r>
      <w:r>
        <w:rPr>
          <w:rFonts w:ascii="Times New Roman" w:cs="Times New Roman" w:eastAsia="Times New Roman" w:hAnsi="Times New Roman"/>
          <w:sz w:val="18"/>
          <w:szCs w:val="18"/>
          <w:u w:val="single" w:color="auto"/>
          <w:color w:val="auto"/>
        </w:rPr>
        <w:t>  Joint Lead Arrangers and Joint Book Runners</w:t>
      </w:r>
      <w:r>
        <w:rPr>
          <w:rFonts w:ascii="Times New Roman" w:cs="Times New Roman" w:eastAsia="Times New Roman" w:hAnsi="Times New Roman"/>
          <w:sz w:val="18"/>
          <w:szCs w:val="18"/>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12.27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12.28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12.29     </w:t>
      </w:r>
      <w:r>
        <w:rPr>
          <w:rFonts w:ascii="Times New Roman" w:cs="Times New Roman" w:eastAsia="Times New Roman" w:hAnsi="Times New Roman"/>
          <w:sz w:val="18"/>
          <w:szCs w:val="18"/>
          <w:u w:val="single" w:color="auto"/>
          <w:color w:val="auto"/>
        </w:rPr>
        <w:t>  Amendment and Restatement; No Novation</w:t>
      </w:r>
      <w:r>
        <w:rPr>
          <w:rFonts w:ascii="Times New Roman" w:cs="Times New Roman" w:eastAsia="Times New Roman" w:hAnsi="Times New Roman"/>
          <w:sz w:val="18"/>
          <w:szCs w:val="18"/>
          <w:color w:val="auto"/>
        </w:rPr>
        <w:t>. This Agreement constitutes an amendment and restatement of the Existing Credit Agreement, effective from and after the Effective Date. The execution and delivery of this Agreement shall not constitute a novation of any indebtedness or other obligations owing to the Lenders or the Administrative Agent under the Existing Credit Agreement. On or prior to the Effective Date, (i) the agency transfer contemplated by the Agency and Liens Assignment Agreement shall be effective in accordance with the terms thereof and (ii) the credit facility described in the Existing Credit Agreement, shall be amended, supplemented, modified and restated in their entirety by the Credit Facility, and all obligations of the Borrowers outstanding as of such date under the Existing Credit Agreement, shall continue to exist and shall be subject to the provisions of this Agreement, thereby deemed to be obligations outstanding under the corresponding facilities described herein, without any further action by any Person.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color w:val="auto"/>
        </w:rPr>
        <w:t>IN WITNESS WHEREOF, the parties hereto have caused this Agreement to be executed and delivered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w:t>
            </w: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r>
              <w:rPr>
                <w:rFonts w:ascii="Times New Roman" w:cs="Times New Roman" w:eastAsia="Times New Roman" w:hAnsi="Times New Roman"/>
                <w:sz w:val="18"/>
                <w:szCs w:val="18"/>
                <w:color w:val="auto"/>
              </w:rPr>
              <w:t>,</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 Bermuda exempted company limited by shares</w:t>
            </w:r>
          </w:p>
        </w:tc>
      </w:tr>
      <w:tr>
        <w:trPr>
          <w:trHeight w:val="432"/>
        </w:trPr>
        <w:tc>
          <w:tcPr>
            <w:tcW w:w="3420" w:type="dxa"/>
            <w:vAlign w:val="bottom"/>
          </w:tcPr>
          <w:p>
            <w:pPr>
              <w:spacing w:after="0"/>
              <w:rPr>
                <w:sz w:val="24"/>
                <w:szCs w:val="24"/>
                <w:color w:val="auto"/>
              </w:rPr>
            </w:pPr>
          </w:p>
        </w:tc>
        <w:tc>
          <w:tcPr>
            <w:tcW w:w="26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Morrison</w:t>
            </w:r>
          </w:p>
        </w:tc>
      </w:tr>
      <w:tr>
        <w:trPr>
          <w:trHeight w:val="191"/>
        </w:trPr>
        <w:tc>
          <w:tcPr>
            <w:tcW w:w="3420" w:type="dxa"/>
            <w:vAlign w:val="bottom"/>
          </w:tcPr>
          <w:p>
            <w:pPr>
              <w:spacing w:after="0"/>
              <w:rPr>
                <w:sz w:val="16"/>
                <w:szCs w:val="16"/>
                <w:color w:val="auto"/>
              </w:rPr>
            </w:pPr>
          </w:p>
        </w:tc>
        <w:tc>
          <w:tcPr>
            <w:tcW w:w="7820" w:type="dxa"/>
            <w:vAlign w:val="bottom"/>
            <w:gridSpan w:val="2"/>
          </w:tcPr>
          <w:p>
            <w:pPr>
              <w:ind w:left="2180"/>
              <w:spacing w:after="0" w:line="191" w:lineRule="exact"/>
              <w:rPr>
                <w:sz w:val="20"/>
                <w:szCs w:val="20"/>
                <w:color w:val="auto"/>
              </w:rPr>
            </w:pPr>
            <w:r>
              <w:rPr>
                <w:rFonts w:ascii="Times New Roman" w:cs="Times New Roman" w:eastAsia="Times New Roman" w:hAnsi="Times New Roman"/>
                <w:sz w:val="18"/>
                <w:szCs w:val="18"/>
                <w:color w:val="auto"/>
              </w:rPr>
              <w:t>Name:Christine M. Morrison</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Title: Vice President and Assistant Secretary</w:t>
            </w:r>
          </w:p>
        </w:tc>
      </w:tr>
      <w:tr>
        <w:trPr>
          <w:trHeight w:val="414"/>
        </w:trPr>
        <w:tc>
          <w:tcPr>
            <w:tcW w:w="3420" w:type="dxa"/>
            <w:vAlign w:val="bottom"/>
          </w:tcPr>
          <w:p>
            <w:pPr>
              <w:spacing w:after="0"/>
              <w:rPr>
                <w:sz w:val="24"/>
                <w:szCs w:val="24"/>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tc>
      </w:tr>
      <w:tr>
        <w:trPr>
          <w:trHeight w:val="234"/>
        </w:trPr>
        <w:tc>
          <w:tcPr>
            <w:tcW w:w="3420" w:type="dxa"/>
            <w:vAlign w:val="bottom"/>
          </w:tcPr>
          <w:p>
            <w:pPr>
              <w:spacing w:after="0"/>
              <w:rPr>
                <w:sz w:val="20"/>
                <w:szCs w:val="20"/>
                <w:color w:val="auto"/>
              </w:rPr>
            </w:pPr>
          </w:p>
        </w:tc>
        <w:tc>
          <w:tcPr>
            <w:tcW w:w="782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2"/>
        </w:trPr>
        <w:tc>
          <w:tcPr>
            <w:tcW w:w="3420" w:type="dxa"/>
            <w:vAlign w:val="bottom"/>
          </w:tcPr>
          <w:p>
            <w:pPr>
              <w:spacing w:after="0"/>
              <w:rPr>
                <w:sz w:val="24"/>
                <w:szCs w:val="24"/>
                <w:color w:val="auto"/>
              </w:rPr>
            </w:pPr>
          </w:p>
        </w:tc>
        <w:tc>
          <w:tcPr>
            <w:tcW w:w="26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 Christine M. Morrison</w:t>
            </w:r>
          </w:p>
        </w:tc>
      </w:tr>
    </w:tbl>
    <w:p>
      <w:pPr>
        <w:ind w:left="5600"/>
        <w:spacing w:after="0"/>
        <w:rPr>
          <w:sz w:val="20"/>
          <w:szCs w:val="20"/>
          <w:color w:val="auto"/>
        </w:rPr>
      </w:pPr>
      <w:r>
        <w:rPr>
          <w:rFonts w:ascii="Times New Roman" w:cs="Times New Roman" w:eastAsia="Times New Roman" w:hAnsi="Times New Roman"/>
          <w:sz w:val="18"/>
          <w:szCs w:val="18"/>
          <w:color w:val="auto"/>
        </w:rPr>
        <w:t>Name:Christine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00"/>
        <w:spacing w:after="0"/>
        <w:rPr>
          <w:sz w:val="20"/>
          <w:szCs w:val="20"/>
          <w:color w:val="auto"/>
        </w:rPr>
      </w:pPr>
      <w:r>
        <w:rPr>
          <w:rFonts w:ascii="Times New Roman" w:cs="Times New Roman" w:eastAsia="Times New Roman" w:hAnsi="Times New Roman"/>
          <w:sz w:val="18"/>
          <w:szCs w:val="18"/>
          <w:color w:val="auto"/>
        </w:rPr>
        <w:t>Title: Vice President and Secretary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 and on behalf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lawfully appointed attorney: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presence of:</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Lauren T. Nguyen</w:t>
            </w:r>
          </w:p>
        </w:tc>
        <w:tc>
          <w:tcPr>
            <w:tcW w:w="3720" w:type="dxa"/>
            <w:vAlign w:val="bottom"/>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C. Weatherholt</w:t>
            </w: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3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846"/>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Lauren T. Nguyen</w:t>
            </w:r>
          </w:p>
        </w:tc>
        <w:tc>
          <w:tcPr>
            <w:tcW w:w="3720" w:type="dxa"/>
            <w:vAlign w:val="bottom"/>
          </w:tcPr>
          <w:p>
            <w:pPr>
              <w:spacing w:after="0"/>
              <w:rPr>
                <w:sz w:val="24"/>
                <w:szCs w:val="24"/>
                <w:color w:val="auto"/>
              </w:rPr>
            </w:pP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Scott C. Weatherholt</w:t>
            </w: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Witness</w:t>
            </w:r>
          </w:p>
        </w:tc>
        <w:tc>
          <w:tcPr>
            <w:tcW w:w="37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Attorney</w:t>
            </w:r>
          </w:p>
        </w:tc>
      </w:tr>
      <w:tr>
        <w:trPr>
          <w:trHeight w:val="611"/>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2000 Saint James Place</w:t>
            </w:r>
          </w:p>
        </w:tc>
        <w:tc>
          <w:tcPr>
            <w:tcW w:w="37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4"/>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Houston, TX 77056</w:t>
            </w:r>
          </w:p>
        </w:tc>
        <w:tc>
          <w:tcPr>
            <w:tcW w:w="37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Address of Witness</w:t>
            </w:r>
          </w:p>
        </w:tc>
        <w:tc>
          <w:tcPr>
            <w:tcW w:w="372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630"/>
        </w:trPr>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Corporate Legal Assistant</w:t>
            </w:r>
          </w:p>
        </w:tc>
        <w:tc>
          <w:tcPr>
            <w:tcW w:w="37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8"/>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Occupation of Witness</w:t>
            </w:r>
          </w:p>
        </w:tc>
        <w:tc>
          <w:tcPr>
            <w:tcW w:w="372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414"/>
        </w:trPr>
        <w:tc>
          <w:tcPr>
            <w:tcW w:w="3820" w:type="dxa"/>
            <w:vAlign w:val="bottom"/>
          </w:tcPr>
          <w:p>
            <w:pPr>
              <w:spacing w:after="0"/>
              <w:rPr>
                <w:sz w:val="24"/>
                <w:szCs w:val="24"/>
                <w:color w:val="auto"/>
              </w:rPr>
            </w:pPr>
          </w:p>
        </w:tc>
        <w:tc>
          <w:tcPr>
            <w:tcW w:w="7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[Signature Page — A&amp;R Credit Agreement]</w:t>
            </w:r>
          </w:p>
        </w:tc>
      </w:tr>
      <w:tr>
        <w:trPr>
          <w:trHeight w:val="675"/>
        </w:trPr>
        <w:tc>
          <w:tcPr>
            <w:tcW w:w="38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07" w:name="page208"/>
    <w:bookmarkEnd w:id="207"/>
    <w:p>
      <w:pPr>
        <w:ind w:left="4480"/>
        <w:spacing w:after="0"/>
        <w:rPr>
          <w:sz w:val="20"/>
          <w:szCs w:val="20"/>
          <w:color w:val="auto"/>
        </w:rPr>
      </w:pPr>
      <w:r>
        <w:rPr>
          <w:rFonts w:ascii="Times New Roman" w:cs="Times New Roman" w:eastAsia="Times New Roman" w:hAnsi="Times New Roman"/>
          <w:sz w:val="17"/>
          <w:szCs w:val="17"/>
          <w:b w:val="1"/>
          <w:bCs w:val="1"/>
          <w:color w:val="auto"/>
        </w:rPr>
        <w:t>WELLS FARGO BANK, NATIONAL ASSOCIATION,</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Administrative Agent, Issuing Bank and Lender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Name:Michael Janak</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8" w:name="page209"/>
    <w:bookmarkEnd w:id="208"/>
    <w:p>
      <w:pPr>
        <w:ind w:left="448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an Issuing Bank and Lender</w:t>
      </w:r>
    </w:p>
    <w:p>
      <w:pPr>
        <w:spacing w:after="0" w:line="234"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Adrian Adduci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Name:Adrian Adduci</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Signed in New York.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09" w:name="page210"/>
    <w:bookmarkEnd w:id="209"/>
    <w:p>
      <w:pPr>
        <w:ind w:left="4480"/>
        <w:spacing w:after="0"/>
        <w:rPr>
          <w:sz w:val="20"/>
          <w:szCs w:val="20"/>
          <w:color w:val="auto"/>
        </w:rPr>
      </w:pPr>
      <w:r>
        <w:rPr>
          <w:rFonts w:ascii="Times New Roman" w:cs="Times New Roman" w:eastAsia="Times New Roman" w:hAnsi="Times New Roman"/>
          <w:sz w:val="17"/>
          <w:szCs w:val="17"/>
          <w:b w:val="1"/>
          <w:bCs w:val="1"/>
          <w:color w:val="auto"/>
        </w:rPr>
        <w:t>Morgan Stanley Senior Funding, Inc.,</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an Issuing Bank and Lender</w:t>
      </w:r>
    </w:p>
    <w:p>
      <w:pPr>
        <w:spacing w:after="0" w:line="234"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Name:Michael King</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0" w:name="page211"/>
    <w:bookmarkEnd w:id="210"/>
    <w:p>
      <w:pPr>
        <w:ind w:left="4480"/>
        <w:spacing w:after="0"/>
        <w:rPr>
          <w:sz w:val="20"/>
          <w:szCs w:val="20"/>
          <w:color w:val="auto"/>
        </w:rPr>
      </w:pPr>
      <w:r>
        <w:rPr>
          <w:rFonts w:ascii="Times New Roman" w:cs="Times New Roman" w:eastAsia="Times New Roman" w:hAnsi="Times New Roman"/>
          <w:sz w:val="17"/>
          <w:szCs w:val="17"/>
          <w:b w:val="1"/>
          <w:bCs w:val="1"/>
          <w:color w:val="auto"/>
        </w:rPr>
        <w:t>STANDARD CHARTERED BANK,</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 Lender</w:t>
      </w:r>
    </w:p>
    <w:p>
      <w:pPr>
        <w:spacing w:after="0" w:line="234"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Kristopher Tracy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Name:Kristopher Tracy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Director, Financing Solutions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1" w:name="page212"/>
    <w:bookmarkEnd w:id="211"/>
    <w:p>
      <w:pPr>
        <w:ind w:left="448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an Issuing Bank and Lender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Name:Philip Tancorra</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Name:Suzan Onal</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Deutsche Bank AG New York Branch,</w:t>
      </w:r>
    </w:p>
    <w:p>
      <w:pPr>
        <w:spacing w:after="0" w:line="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an Issuing Bank and Lender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Gaurav Mathur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Name:Gaurav Mathur</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Sal Vitale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Name:Sal Vitale</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2" w:name="page213"/>
    <w:bookmarkEnd w:id="212"/>
    <w:p>
      <w:pPr>
        <w:ind w:left="448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as an Issuing Bank and Lender</w:t>
      </w:r>
    </w:p>
    <w:p>
      <w:pPr>
        <w:spacing w:after="0" w:line="207" w:lineRule="exact"/>
        <w:rPr>
          <w:sz w:val="20"/>
          <w:szCs w:val="20"/>
          <w:color w:val="auto"/>
        </w:rPr>
      </w:pPr>
    </w:p>
    <w:p>
      <w:pPr>
        <w:ind w:left="4480"/>
        <w:spacing w:after="0"/>
        <w:tabs>
          <w:tab w:leader="none" w:pos="4940" w:val="left"/>
        </w:tabs>
        <w:rPr>
          <w:sz w:val="20"/>
          <w:szCs w:val="20"/>
          <w:color w:val="auto"/>
        </w:rPr>
      </w:pPr>
      <w:r>
        <w:rPr>
          <w:rFonts w:ascii="Times New Roman" w:cs="Times New Roman" w:eastAsia="Times New Roman" w:hAnsi="Times New Roman"/>
          <w:sz w:val="18"/>
          <w:szCs w:val="18"/>
          <w:color w:val="auto"/>
        </w:rPr>
        <w:t>By:</w:t>
        <w:tab/>
        <w:t>/s/ Ivan Davey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327469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Name:Ivan Davey</w:t>
      </w:r>
    </w:p>
    <w:p>
      <w:pPr>
        <w:spacing w:after="0" w:line="2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[Signature Page — A&amp;R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464185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440180" cy="6597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4401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Enters into $370 Million Amended and Restated 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HOUSTON, October 18, 2022 -- Weatherford International plc (NASDAQ: WFRD) (“Weatherford” or the “Company”) announced that on October 17, 2022 certain of its wholly owned subsidiaries entered into a credit agreement, which amended and restated the Company’s existing secured letter of credit agreement, dated December 13, 2019, as amended (the “Credit Facility”).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aggregate commitments under the Credit Facility are $370 million, of which $45 million is available for revolving loans. The amount available for revolving loans can be increased by up to an additional $100 million as the Company meets certain leverage ratios and subject to lenders’ consent. The Credit Facility will allow the Company to transfer certain cash collateralized letters of credit to the Credit Facility, resulting in lower aggregate cash collateral requirements. The Credit Facility also provides the Company the flexibility, upon satisfaction of certain conditions, to request incremental increases in the aggregate commitments under the Credit Facility to not more than $600 million. The maturity date under the Credit Facility is October 17, 2026, subject to certain conditions.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Girish Saligram, President and Chief Executive Officer, commented, “We are pleased to complete this Credit Facility with our banking partners, a transaction which underscores the significant progress we have made to strengthen our operating profile supported by the continued growth of our differentiated portfolio. While we do not expect to draw upon the revolving loan capacity, the Facility allows us greater flexibility to improve our overall capital structure, and drive growth and scale into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Weatherford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Topiwala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+1 713-836-7777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Kelley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+1 713-836-4193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media@weatherford.com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concerning, among other things, the Company's expectations regarding business outlook, expectations regarding future financial results, and expectations regarding future indebtedness and liquidity, and are also generally identified by the words "believe," "expect," "anticipate," "may," "should," "could," "will," "would," "will be," "will continue," "resulting in,"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cybersecurity issues, as we may experience a higher rate of cybersecurity attacks, intrusions or incidents in the current environment of remote connectivity;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more fully described in Weatherford's reports and registration statements filed with the SEC, including the risk factors described in the Company's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440180" cy="6597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401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Weatherford Announces Redemption of $125 Million Principal Amount of its 11.0% Senior Notes due December 1, 2024</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HOUSTON, October 18, 2022 -- Weatherford International plc (NASDAQ: WFRD) (“Weatherford” or the “Company”) today announced it intends to use cash on hand to redeem $125 million principal amount of its 11.0% senior notes due December 1, 2024 on November 17, 2022 (the "Unsecured Notes").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Girish Saligram, President and Chief Executive Officer, commented, “I continue to be extremely proud of the progress we have made to strengthen our Company and our balance sheet. Our focus on free cash flow generation, coupled with the announcement of our Revolving Credit Facility, allows us to take another important and significant step towards improving our capital structure efficiency. With this paydown, we will generate $13.8 million in annualized interest savings, further enhancing our Free Cash Flow profile in 2023 and beyond.”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Weatherford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Weatherford is a leading global energy services company. Operating in approximately 75 countries, the Company answers the challenges of the energy industry with its global talent network of approximately 17,000 team members and approximately 350 operating locations, including manufacturing, research and development, service, and training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Mohammed Topiwala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+1 713-836-7777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investor.relations@weatherford.com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Kelley Hughes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Global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+1 713-836-4193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media@weatherford.com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concerning, among other things, the Company’s strategy and financing plans and goals. These forward-looking statements are also generally identified by the words “intends”, “believe,” “project,” “expect,” “anticipate,” “estimate,” “strategy,” “plan,” “may,” “should,” “could,” “will,” “would,”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including: the price and price volatility of oil and natural gas; various effects from the Russia Ukraine conflict including, but not limited to, extended business interruptions, sanctions imposed by various countries, associated operational and logistical challenges, and impacts to the overall global energy supply; demand for oil and gas and fluctuations in commodity prices; general global economic repercussions related to U.S. and global inflationary pressures; the macroeconomic outlook for the oil and gas industry; operational challenges relating the COVID-19 pandemic and efforts to mitigate the spread of the COVID-19 virus and COVID-19 variants, including logistical challenges, protecting the health and well-being of our employees, remote work arrangements, performance of contracts and supply chain disruptions; our ability to generate cash flow from operations to fund our operations; and the realization of additional cost savings and operational efficiencies. Forward-looking statements are also affected by the risk factors described in the Company’s Annual Report on Form 10-K for the year ended December 31, 2021, and those set forth from time-to-time in the Company’s other filings with the Securities and Exchange Commission. The Company undertakes no obligation to correct or update any forward-looking statement, whether as a result of new information, future events, or otherwise, except to the extent required under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1)"/>
      <w:numFmt w:val="lowerLetter"/>
      <w:start w:val="4"/>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lowerRoman"/>
      <w:start w:val="5"/>
    </w:lvl>
  </w:abstractNum>
  <w:abstractNum w:abstractNumId="4">
    <w:nsid w:val="153EA438"/>
    <w:multiLevelType w:val="hybridMultilevel"/>
    <w:lvl w:ilvl="0">
      <w:lvlJc w:val="left"/>
      <w:lvlText w:val="(%1)"/>
      <w:numFmt w:val="lowerLetter"/>
      <w:start w:val="2"/>
    </w:lvl>
  </w:abstractNum>
  <w:abstractNum w:abstractNumId="5">
    <w:nsid w:val="3855585C"/>
    <w:multiLevelType w:val="hybridMultilevel"/>
    <w:lvl w:ilvl="0">
      <w:lvlJc w:val="left"/>
      <w:lvlText w:val="(%1)."/>
      <w:numFmt w:val="lowerLetter"/>
      <w:start w:val="9"/>
    </w:lvl>
  </w:abstractNum>
  <w:abstractNum w:abstractNumId="6">
    <w:nsid w:val="70A64E2A"/>
    <w:multiLevelType w:val="hybridMultilevel"/>
    <w:lvl w:ilvl="0">
      <w:lvlJc w:val="left"/>
      <w:lvlText w:val="(%1)"/>
      <w:numFmt w:val="lowerRoman"/>
      <w:start w:val="1"/>
    </w:lvl>
  </w:abstractNum>
  <w:abstractNum w:abstractNumId="7">
    <w:nsid w:val="6A2342EC"/>
    <w:multiLevelType w:val="hybridMultilevel"/>
    <w:lvl w:ilvl="0">
      <w:lvlJc w:val="left"/>
      <w:lvlText w:val="(%1)"/>
      <w:numFmt w:val="lowerLetter"/>
      <w:start w:val="25"/>
    </w:lvl>
  </w:abstractNum>
  <w:abstractNum w:abstractNumId="8">
    <w:nsid w:val="2A487CB0"/>
    <w:multiLevelType w:val="hybridMultilevel"/>
    <w:lvl w:ilvl="0">
      <w:lvlJc w:val="left"/>
      <w:lvlText w:val="(%1)"/>
      <w:numFmt w:val="lowerLetter"/>
      <w:start w:val="1"/>
    </w:lvl>
  </w:abstractNum>
  <w:abstractNum w:abstractNumId="9">
    <w:nsid w:val="1D4ED43B"/>
    <w:multiLevelType w:val="hybridMultilevel"/>
    <w:lvl w:ilvl="0">
      <w:lvlJc w:val="left"/>
      <w:lvlText w:val="(%1)"/>
      <w:numFmt w:val="lowerLetter"/>
      <w:start w:val="24"/>
    </w:lvl>
  </w:abstractNum>
  <w:abstractNum w:abstractNumId="10">
    <w:nsid w:val="725A06FB"/>
    <w:multiLevelType w:val="hybridMultilevel"/>
    <w:lvl w:ilvl="0">
      <w:lvlJc w:val="left"/>
      <w:lvlText w:val="(%1)"/>
      <w:numFmt w:val="lowerLetter"/>
      <w:start w:val="9"/>
    </w:lvl>
  </w:abstractNum>
  <w:abstractNum w:abstractNumId="11">
    <w:nsid w:val="2CD89A32"/>
    <w:multiLevelType w:val="hybridMultilevel"/>
    <w:lvl w:ilvl="0">
      <w:lvlJc w:val="left"/>
      <w:lvlText w:val="(%1)"/>
      <w:numFmt w:val="upperLetter"/>
      <w:start w:val="1"/>
    </w:lvl>
  </w:abstractNum>
  <w:abstractNum w:abstractNumId="12">
    <w:nsid w:val="57E4CCAF"/>
    <w:multiLevelType w:val="hybridMultilevel"/>
    <w:lvl w:ilvl="0">
      <w:lvlJc w:val="left"/>
      <w:lvlText w:val="(%1)"/>
      <w:numFmt w:val="lowerLetter"/>
      <w:start w:val="2"/>
    </w:lvl>
  </w:abstractNum>
  <w:abstractNum w:abstractNumId="13">
    <w:nsid w:val="7A6D8D3C"/>
    <w:multiLevelType w:val="hybridMultilevel"/>
    <w:lvl w:ilvl="0">
      <w:lvlJc w:val="left"/>
      <w:lvlText w:val="(%1)"/>
      <w:numFmt w:val="lowerLetter"/>
      <w:start w:val="4"/>
    </w:lvl>
  </w:abstractNum>
  <w:abstractNum w:abstractNumId="14">
    <w:nsid w:val="4B588F54"/>
    <w:multiLevelType w:val="hybridMultilevel"/>
    <w:lvl w:ilvl="0">
      <w:lvlJc w:val="left"/>
      <w:lvlText w:val="(%1)"/>
      <w:numFmt w:val="lowerLetter"/>
      <w:start w:val="2"/>
    </w:lvl>
  </w:abstractNum>
  <w:abstractNum w:abstractNumId="15">
    <w:nsid w:val="542289EC"/>
    <w:multiLevelType w:val="hybridMultilevel"/>
    <w:lvl w:ilvl="0">
      <w:lvlJc w:val="left"/>
      <w:lvlText w:val="(%1)"/>
      <w:numFmt w:val="lowerLetter"/>
      <w:start w:val="4"/>
    </w:lvl>
  </w:abstractNum>
  <w:abstractNum w:abstractNumId="16">
    <w:nsid w:val="6DE91B18"/>
    <w:multiLevelType w:val="hybridMultilevel"/>
    <w:lvl w:ilvl="0">
      <w:lvlJc w:val="left"/>
      <w:lvlText w:val="(%1)"/>
      <w:numFmt w:val="lowerLetter"/>
      <w:start w:val="1"/>
    </w:lvl>
  </w:abstractNum>
  <w:abstractNum w:abstractNumId="17">
    <w:nsid w:val="38437FDB"/>
    <w:multiLevelType w:val="hybridMultilevel"/>
    <w:lvl w:ilvl="0">
      <w:lvlJc w:val="left"/>
      <w:lvlText w:val="(%1)"/>
      <w:numFmt w:val="lowerLetter"/>
      <w:start w:val="1"/>
    </w:lvl>
  </w:abstractNum>
  <w:abstractNum w:abstractNumId="18">
    <w:nsid w:val="7644A45C"/>
    <w:multiLevelType w:val="hybridMultilevel"/>
    <w:lvl w:ilvl="0">
      <w:lvlJc w:val="left"/>
      <w:lvlText w:val="(%1)"/>
      <w:numFmt w:val="lowerLetter"/>
      <w:start w:val="5"/>
    </w:lvl>
  </w:abstractNum>
  <w:abstractNum w:abstractNumId="19">
    <w:nsid w:val="32FFF902"/>
    <w:multiLevelType w:val="hybridMultilevel"/>
    <w:lvl w:ilvl="0">
      <w:lvlJc w:val="left"/>
      <w:lvlText w:val="(%1)"/>
      <w:numFmt w:val="lowerLetter"/>
      <w:start w:val="3"/>
    </w:lvl>
  </w:abstractNum>
  <w:abstractNum w:abstractNumId="20">
    <w:nsid w:val="684A481A"/>
    <w:multiLevelType w:val="hybridMultilevel"/>
    <w:lvl w:ilvl="0">
      <w:lvlJc w:val="left"/>
      <w:lvlText w:val="(%1)"/>
      <w:numFmt w:val="lowerLetter"/>
      <w:start w:val="7"/>
    </w:lvl>
  </w:abstractNum>
  <w:abstractNum w:abstractNumId="21">
    <w:nsid w:val="579478FE"/>
    <w:multiLevelType w:val="hybridMultilevel"/>
    <w:lvl w:ilvl="0">
      <w:lvlJc w:val="left"/>
      <w:lvlText w:val="(%1)"/>
      <w:numFmt w:val="lowerLetter"/>
      <w:start w:val="1"/>
    </w:lvl>
  </w:abstractNum>
  <w:abstractNum w:abstractNumId="22">
    <w:nsid w:val="749ABB43"/>
    <w:multiLevelType w:val="hybridMultilevel"/>
    <w:lvl w:ilvl="0">
      <w:lvlJc w:val="left"/>
      <w:lvlText w:val="(%1)"/>
      <w:numFmt w:val="lowerLetter"/>
      <w:start w:val="1"/>
    </w:lvl>
  </w:abstractNum>
  <w:abstractNum w:abstractNumId="23">
    <w:nsid w:val="3DC240FB"/>
    <w:multiLevelType w:val="hybridMultilevel"/>
    <w:lvl w:ilvl="0">
      <w:lvlJc w:val="left"/>
      <w:lvlText w:val="(%1)"/>
      <w:numFmt w:val="lowerLetter"/>
      <w:start w:val="2"/>
    </w:lvl>
  </w:abstractNum>
  <w:abstractNum w:abstractNumId="24">
    <w:nsid w:val="1BA026FA"/>
    <w:multiLevelType w:val="hybridMultilevel"/>
    <w:lvl w:ilvl="0">
      <w:lvlJc w:val="left"/>
      <w:lvlText w:val="(%1)"/>
      <w:numFmt w:val="lowerLetter"/>
      <w:start w:val="4"/>
    </w:lvl>
  </w:abstractNum>
  <w:abstractNum w:abstractNumId="25">
    <w:nsid w:val="79A1DEAA"/>
    <w:multiLevelType w:val="hybridMultilevel"/>
    <w:lvl w:ilvl="0">
      <w:lvlJc w:val="left"/>
      <w:lvlText w:val="(%1)"/>
      <w:numFmt w:val="lowerRoman"/>
      <w:start w:val="2"/>
    </w:lvl>
  </w:abstractNum>
  <w:abstractNum w:abstractNumId="26">
    <w:nsid w:val="75C6C33A"/>
    <w:multiLevelType w:val="hybridMultilevel"/>
    <w:lvl w:ilvl="0">
      <w:lvlJc w:val="left"/>
      <w:lvlText w:val="(%1)"/>
      <w:numFmt w:val="lowerLetter"/>
      <w:start w:val="3"/>
    </w:lvl>
  </w:abstractNum>
  <w:abstractNum w:abstractNumId="27">
    <w:nsid w:val="12E685FB"/>
    <w:multiLevelType w:val="hybridMultilevel"/>
    <w:lvl w:ilvl="0">
      <w:lvlJc w:val="left"/>
      <w:lvlText w:val="(%1)"/>
      <w:numFmt w:val="lowerRoman"/>
      <w:start w:val="2"/>
    </w:lvl>
  </w:abstractNum>
  <w:abstractNum w:abstractNumId="28">
    <w:nsid w:val="70C6A529"/>
    <w:multiLevelType w:val="hybridMultilevel"/>
    <w:lvl w:ilvl="0">
      <w:lvlJc w:val="left"/>
      <w:lvlText w:val="(%1)"/>
      <w:numFmt w:val="lowerLetter"/>
      <w:start w:val="1"/>
    </w:lvl>
  </w:abstractNum>
  <w:abstractNum w:abstractNumId="29">
    <w:nsid w:val="520EEDD1"/>
    <w:multiLevelType w:val="hybridMultilevel"/>
    <w:lvl w:ilvl="0">
      <w:lvlJc w:val="left"/>
      <w:lvlText w:val="(%1)"/>
      <w:numFmt w:val="lowerLetter"/>
      <w:start w:val="3"/>
    </w:lvl>
  </w:abstractNum>
  <w:abstractNum w:abstractNumId="30">
    <w:nsid w:val="374A3FE6"/>
    <w:multiLevelType w:val="hybridMultilevel"/>
    <w:lvl w:ilvl="0">
      <w:lvlJc w:val="left"/>
      <w:lvlText w:val="(%1)"/>
      <w:numFmt w:val="lowerLetter"/>
      <w:start w:val="3"/>
    </w:lvl>
  </w:abstractNum>
  <w:abstractNum w:abstractNumId="31">
    <w:nsid w:val="4F4EF005"/>
    <w:multiLevelType w:val="hybridMultilevel"/>
    <w:lvl w:ilvl="0">
      <w:lvlJc w:val="left"/>
      <w:lvlText w:val="(%1)"/>
      <w:numFmt w:val="lowerLetter"/>
      <w:start w:val="1"/>
    </w:lvl>
  </w:abstractNum>
  <w:abstractNum w:abstractNumId="32">
    <w:nsid w:val="23F9C13C"/>
    <w:multiLevelType w:val="hybridMultilevel"/>
    <w:lvl w:ilvl="0">
      <w:lvlJc w:val="left"/>
      <w:lvlText w:val="(%1)"/>
      <w:numFmt w:val="lowerLetter"/>
      <w:start w:val="1"/>
    </w:lvl>
  </w:abstractNum>
  <w:abstractNum w:abstractNumId="33">
    <w:nsid w:val="649BB77C"/>
    <w:multiLevelType w:val="hybridMultilevel"/>
    <w:lvl w:ilvl="0">
      <w:lvlJc w:val="left"/>
      <w:lvlText w:val="(%1)"/>
      <w:numFmt w:val="lowerLetter"/>
      <w:start w:val="5"/>
    </w:lvl>
  </w:abstractNum>
  <w:abstractNum w:abstractNumId="34">
    <w:nsid w:val="275AC794"/>
    <w:multiLevelType w:val="hybridMultilevel"/>
    <w:lvl w:ilvl="0">
      <w:lvlJc w:val="left"/>
      <w:lvlText w:val="(%1)"/>
      <w:numFmt w:val="lowerLetter"/>
      <w:start w:val="12"/>
    </w:lvl>
  </w:abstractNum>
  <w:abstractNum w:abstractNumId="35">
    <w:nsid w:val="39386575"/>
    <w:multiLevelType w:val="hybridMultilevel"/>
    <w:lvl w:ilvl="0">
      <w:lvlJc w:val="left"/>
      <w:lvlText w:val="(%1)"/>
      <w:numFmt w:val="lowerLetter"/>
      <w:start w:val="14"/>
    </w:lvl>
  </w:abstractNum>
  <w:abstractNum w:abstractNumId="36">
    <w:nsid w:val="1CF10FD8"/>
    <w:multiLevelType w:val="hybridMultilevel"/>
    <w:lvl w:ilvl="0">
      <w:lvlJc w:val="left"/>
      <w:lvlText w:val="(%1)"/>
      <w:numFmt w:val="lowerLetter"/>
      <w:start w:val="21"/>
    </w:lvl>
  </w:abstractNum>
  <w:abstractNum w:abstractNumId="37">
    <w:nsid w:val="180115BE"/>
    <w:multiLevelType w:val="hybridMultilevel"/>
    <w:lvl w:ilvl="0">
      <w:lvlJc w:val="left"/>
      <w:lvlText w:val="(%1)"/>
      <w:numFmt w:val="lowerLetter"/>
      <w:start w:val="25"/>
    </w:lvl>
  </w:abstractNum>
  <w:abstractNum w:abstractNumId="38">
    <w:nsid w:val="235BA861"/>
    <w:multiLevelType w:val="hybridMultilevel"/>
    <w:lvl w:ilvl="0">
      <w:lvlJc w:val="left"/>
      <w:lvlText w:val="(%1)"/>
      <w:numFmt w:val="lowerRoman"/>
      <w:start w:val="2"/>
    </w:lvl>
  </w:abstractNum>
  <w:abstractNum w:abstractNumId="39">
    <w:nsid w:val="47398C89"/>
    <w:multiLevelType w:val="hybridMultilevel"/>
    <w:lvl w:ilvl="0">
      <w:lvlJc w:val="left"/>
      <w:lvlText w:val="(%1)"/>
      <w:numFmt w:val="lowerLetter"/>
      <w:start w:val="25"/>
    </w:lvl>
  </w:abstractNum>
  <w:abstractNum w:abstractNumId="40">
    <w:nsid w:val="354FE9F9"/>
    <w:multiLevelType w:val="hybridMultilevel"/>
    <w:lvl w:ilvl="0">
      <w:lvlJc w:val="left"/>
      <w:lvlText w:val="(%1)"/>
      <w:numFmt w:val="lowerLetter"/>
      <w:start w:val="2"/>
    </w:lvl>
  </w:abstractNum>
  <w:abstractNum w:abstractNumId="41">
    <w:nsid w:val="15B5AF5C"/>
    <w:multiLevelType w:val="hybridMultilevel"/>
    <w:lvl w:ilvl="0">
      <w:lvlJc w:val="left"/>
      <w:lvlText w:val="(%1)"/>
      <w:numFmt w:val="lowerRoman"/>
      <w:start w:val="1"/>
    </w:lvl>
  </w:abstractNum>
  <w:abstractNum w:abstractNumId="42">
    <w:nsid w:val="741226BB"/>
    <w:multiLevelType w:val="hybridMultilevel"/>
    <w:lvl w:ilvl="0">
      <w:lvlJc w:val="left"/>
      <w:lvlText w:val="(%1)"/>
      <w:numFmt w:val="lowerRoman"/>
      <w:start w:val="10"/>
    </w:lvl>
  </w:abstractNum>
  <w:abstractNum w:abstractNumId="43">
    <w:nsid w:val="D34B6A8"/>
    <w:multiLevelType w:val="hybridMultilevel"/>
    <w:lvl w:ilvl="0">
      <w:lvlJc w:val="left"/>
      <w:lvlText w:val="(%1)"/>
      <w:numFmt w:val="upperLetter"/>
      <w:start w:val="1"/>
    </w:lvl>
  </w:abstractNum>
  <w:abstractNum w:abstractNumId="44">
    <w:nsid w:val="10233C99"/>
    <w:multiLevelType w:val="hybridMultilevel"/>
    <w:lvl w:ilvl="0">
      <w:lvlJc w:val="left"/>
      <w:lvlText w:val="(%1)"/>
      <w:numFmt w:val="lowerRoman"/>
      <w:start w:val="1"/>
    </w:lvl>
  </w:abstractNum>
  <w:abstractNum w:abstractNumId="45">
    <w:nsid w:val="3F6AB60F"/>
    <w:multiLevelType w:val="hybridMultilevel"/>
    <w:lvl w:ilvl="0">
      <w:lvlJc w:val="left"/>
      <w:lvlText w:val="(%1)"/>
      <w:numFmt w:val="upperLetter"/>
      <w:start w:val="35"/>
    </w:lvl>
  </w:abstractNum>
  <w:abstractNum w:abstractNumId="46">
    <w:nsid w:val="61574095"/>
    <w:multiLevelType w:val="hybridMultilevel"/>
    <w:lvl w:ilvl="0">
      <w:lvlJc w:val="left"/>
      <w:lvlText w:val="(%1)"/>
      <w:numFmt w:val="lowerLetter"/>
      <w:start w:val="3"/>
    </w:lvl>
  </w:abstractNum>
  <w:abstractNum w:abstractNumId="47">
    <w:nsid w:val="7E0C57B1"/>
    <w:multiLevelType w:val="hybridMultilevel"/>
    <w:lvl w:ilvl="0">
      <w:lvlJc w:val="left"/>
      <w:lvlText w:val="(%1)"/>
      <w:numFmt w:val="lowerRoman"/>
      <w:start w:val="1"/>
    </w:lvl>
  </w:abstractNum>
  <w:abstractNum w:abstractNumId="48">
    <w:nsid w:val="77AE35EB"/>
    <w:multiLevelType w:val="hybridMultilevel"/>
    <w:lvl w:ilvl="0">
      <w:lvlJc w:val="left"/>
      <w:lvlText w:val="(%1)"/>
      <w:numFmt w:val="lowerRoman"/>
      <w:start w:val="3"/>
    </w:lvl>
  </w:abstractNum>
  <w:abstractNum w:abstractNumId="49">
    <w:nsid w:val="579BE4F1"/>
    <w:multiLevelType w:val="hybridMultilevel"/>
    <w:lvl w:ilvl="0">
      <w:lvlJc w:val="left"/>
      <w:lvlText w:val="(%1)"/>
      <w:numFmt w:val="lowerRoman"/>
      <w:start w:val="3"/>
    </w:lvl>
  </w:abstractNum>
  <w:abstractNum w:abstractNumId="50">
    <w:nsid w:val="310C50B3"/>
    <w:multiLevelType w:val="hybridMultilevel"/>
    <w:lvl w:ilvl="0">
      <w:lvlJc w:val="left"/>
      <w:lvlText w:val="(%1)"/>
      <w:numFmt w:val="decimal"/>
      <w:start w:val="2"/>
    </w:lvl>
  </w:abstractNum>
  <w:abstractNum w:abstractNumId="51">
    <w:nsid w:val="5FF87E05"/>
    <w:multiLevelType w:val="hybridMultilevel"/>
    <w:lvl w:ilvl="0">
      <w:lvlJc w:val="left"/>
      <w:lvlText w:val="(%1)"/>
      <w:numFmt w:val="decimal"/>
      <w:start w:val="3"/>
    </w:lvl>
  </w:abstractNum>
  <w:abstractNum w:abstractNumId="52">
    <w:nsid w:val="2F305DEF"/>
    <w:multiLevelType w:val="hybridMultilevel"/>
    <w:lvl w:ilvl="0">
      <w:lvlJc w:val="left"/>
      <w:lvlText w:val="(%1)"/>
      <w:numFmt w:val="upperLetter"/>
      <w:start w:val="1"/>
    </w:lvl>
  </w:abstractNum>
  <w:abstractNum w:abstractNumId="53">
    <w:nsid w:val="25A70BF7"/>
    <w:multiLevelType w:val="hybridMultilevel"/>
    <w:lvl w:ilvl="0">
      <w:lvlJc w:val="left"/>
      <w:lvlText w:val="(%1)"/>
      <w:numFmt w:val="lowerRoman"/>
      <w:start w:val="2"/>
    </w:lvl>
  </w:abstractNum>
  <w:abstractNum w:abstractNumId="54">
    <w:nsid w:val="1DBABF00"/>
    <w:multiLevelType w:val="hybridMultilevel"/>
    <w:lvl w:ilvl="0">
      <w:lvlJc w:val="left"/>
      <w:lvlText w:val="(%1)"/>
      <w:numFmt w:val="lowerRoman"/>
      <w:start w:val="1"/>
    </w:lvl>
  </w:abstractNum>
  <w:abstractNum w:abstractNumId="55">
    <w:nsid w:val="4AD084E9"/>
    <w:multiLevelType w:val="hybridMultilevel"/>
    <w:lvl w:ilvl="0">
      <w:lvlJc w:val="left"/>
      <w:lvlText w:val="(%1)"/>
      <w:numFmt w:val="lowerRoman"/>
      <w:start w:val="2"/>
    </w:lvl>
  </w:abstractNum>
  <w:abstractNum w:abstractNumId="56">
    <w:nsid w:val="1F48EAA1"/>
    <w:multiLevelType w:val="hybridMultilevel"/>
    <w:lvl w:ilvl="0">
      <w:lvlJc w:val="left"/>
      <w:lvlText w:val="(%1)"/>
      <w:numFmt w:val="lowerRoman"/>
      <w:start w:val="5"/>
    </w:lvl>
  </w:abstractNum>
  <w:abstractNum w:abstractNumId="57">
    <w:nsid w:val="1381823A"/>
    <w:multiLevelType w:val="hybridMultilevel"/>
    <w:lvl w:ilvl="0">
      <w:lvlJc w:val="left"/>
      <w:lvlText w:val="(%1)"/>
      <w:numFmt w:val="upperLetter"/>
      <w:start w:val="1"/>
    </w:lvl>
  </w:abstractNum>
  <w:abstractNum w:abstractNumId="58">
    <w:nsid w:val="5DB70AE5"/>
    <w:multiLevelType w:val="hybridMultilevel"/>
    <w:lvl w:ilvl="0">
      <w:lvlJc w:val="left"/>
      <w:lvlText w:val="(%1)"/>
      <w:numFmt w:val="upperLetter"/>
      <w:start w:val="12"/>
    </w:lvl>
  </w:abstractNum>
  <w:abstractNum w:abstractNumId="59">
    <w:nsid w:val="100F8FCA"/>
    <w:multiLevelType w:val="hybridMultilevel"/>
    <w:lvl w:ilvl="0">
      <w:lvlJc w:val="left"/>
      <w:lvlText w:val="(%1)"/>
      <w:numFmt w:val="upperLetter"/>
      <w:start w:val="9"/>
    </w:lvl>
  </w:abstractNum>
  <w:abstractNum w:abstractNumId="60">
    <w:nsid w:val="6590700B"/>
    <w:multiLevelType w:val="hybridMultilevel"/>
    <w:lvl w:ilvl="0">
      <w:lvlJc w:val="left"/>
      <w:lvlText w:val="(%1)"/>
      <w:numFmt w:val="lowerLetter"/>
      <w:start w:val="24"/>
    </w:lvl>
  </w:abstractNum>
  <w:abstractNum w:abstractNumId="61">
    <w:nsid w:val="15014ACB"/>
    <w:multiLevelType w:val="hybridMultilevel"/>
    <w:lvl w:ilvl="0">
      <w:lvlJc w:val="left"/>
      <w:lvlText w:val="(%1)"/>
      <w:numFmt w:val="lowerLetter"/>
      <w:start w:val="1"/>
    </w:lvl>
  </w:abstractNum>
  <w:abstractNum w:abstractNumId="62">
    <w:nsid w:val="5F5E7FD0"/>
    <w:multiLevelType w:val="hybridMultilevel"/>
    <w:lvl w:ilvl="0">
      <w:lvlJc w:val="left"/>
      <w:lvlText w:val="(%1)"/>
      <w:numFmt w:val="upperLetter"/>
      <w:start w:val="2"/>
    </w:lvl>
  </w:abstractNum>
  <w:abstractNum w:abstractNumId="63">
    <w:nsid w:val="98A3148"/>
    <w:multiLevelType w:val="hybridMultilevel"/>
    <w:lvl w:ilvl="0">
      <w:lvlJc w:val="left"/>
      <w:lvlText w:val="(%1)"/>
      <w:numFmt w:val="lowerRoman"/>
      <w:start w:val="1"/>
    </w:lvl>
  </w:abstractNum>
  <w:abstractNum w:abstractNumId="64">
    <w:nsid w:val="799D0247"/>
    <w:multiLevelType w:val="hybridMultilevel"/>
    <w:lvl w:ilvl="0">
      <w:lvlJc w:val="left"/>
      <w:lvlText w:val="(%1)"/>
      <w:numFmt w:val="lowerRoman"/>
      <w:start w:val="2"/>
    </w:lvl>
  </w:abstractNum>
  <w:abstractNum w:abstractNumId="65">
    <w:nsid w:val="6B94764"/>
    <w:multiLevelType w:val="hybridMultilevel"/>
    <w:lvl w:ilvl="0">
      <w:lvlJc w:val="left"/>
      <w:lvlText w:val="(%1)"/>
      <w:numFmt w:val="lowerLetter"/>
      <w:start w:val="25"/>
    </w:lvl>
  </w:abstractNum>
  <w:abstractNum w:abstractNumId="66">
    <w:nsid w:val="42C296BD"/>
    <w:multiLevelType w:val="hybridMultilevel"/>
    <w:lvl w:ilvl="0">
      <w:lvlJc w:val="left"/>
      <w:lvlText w:val="(%1)"/>
      <w:numFmt w:val="upperLetter"/>
      <w:start w:val="1"/>
    </w:lvl>
  </w:abstractNum>
  <w:abstractNum w:abstractNumId="67">
    <w:nsid w:val="168E121F"/>
    <w:multiLevelType w:val="hybridMultilevel"/>
    <w:lvl w:ilvl="0">
      <w:lvlJc w:val="left"/>
      <w:lvlText w:val="(%1)"/>
      <w:numFmt w:val="lowerRoman"/>
      <w:start w:val="4"/>
    </w:lvl>
  </w:abstractNum>
  <w:abstractNum w:abstractNumId="68">
    <w:nsid w:val="1EBA5D23"/>
    <w:multiLevelType w:val="hybridMultilevel"/>
    <w:lvl w:ilvl="0">
      <w:lvlJc w:val="left"/>
      <w:lvlText w:val="(%1)"/>
      <w:numFmt w:val="lowerRoman"/>
      <w:start w:val="2"/>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lowerRoman"/>
      <w:start w:val="3"/>
    </w:lvl>
  </w:abstractNum>
  <w:abstractNum w:abstractNumId="71">
    <w:nsid w:val="540A471C"/>
    <w:multiLevelType w:val="hybridMultilevel"/>
    <w:lvl w:ilvl="0">
      <w:lvlJc w:val="left"/>
      <w:lvlText w:val="(%1)"/>
      <w:numFmt w:val="lowerLetter"/>
      <w:start w:val="2"/>
    </w:lvl>
  </w:abstractNum>
  <w:abstractNum w:abstractNumId="72">
    <w:nsid w:val="7BD3EE7B"/>
    <w:multiLevelType w:val="hybridMultilevel"/>
    <w:lvl w:ilvl="0">
      <w:lvlJc w:val="left"/>
      <w:lvlText w:val="(%1)"/>
      <w:numFmt w:val="lowerRoman"/>
      <w:start w:val="10"/>
    </w:lvl>
  </w:abstractNum>
  <w:abstractNum w:abstractNumId="73">
    <w:nsid w:val="51D9C564"/>
    <w:multiLevelType w:val="hybridMultilevel"/>
    <w:lvl w:ilvl="0">
      <w:lvlJc w:val="left"/>
      <w:lvlText w:val="(%1)"/>
      <w:numFmt w:val="lowerRoman"/>
      <w:start w:val="10"/>
    </w:lvl>
  </w:abstractNum>
  <w:abstractNum w:abstractNumId="74">
    <w:nsid w:val="613EFDC5"/>
    <w:multiLevelType w:val="hybridMultilevel"/>
    <w:lvl w:ilvl="0">
      <w:lvlJc w:val="left"/>
      <w:lvlText w:val="(%1)"/>
      <w:numFmt w:val="upperLetter"/>
      <w:start w:val="1"/>
    </w:lvl>
  </w:abstractNum>
  <w:abstractNum w:abstractNumId="75">
    <w:nsid w:val="BF72B14"/>
    <w:multiLevelType w:val="hybridMultilevel"/>
    <w:lvl w:ilvl="0">
      <w:lvlJc w:val="left"/>
      <w:lvlText w:val="(%1)"/>
      <w:numFmt w:val="lowerLetter"/>
      <w:start w:val="5"/>
    </w:lvl>
  </w:abstractNum>
  <w:abstractNum w:abstractNumId="76">
    <w:nsid w:val="11447B73"/>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2022-10-18T06:35:51Z</dcterms:created>
  <dcterms:modified xsi:type="dcterms:W3CDTF">2022-10-18T06:35:51Z</dcterms:modified>
</cp:coreProperties>
</file>