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612140</wp:posOffset>
            </wp:positionH>
            <wp:positionV relativeFrom="page">
              <wp:posOffset>628650</wp:posOffset>
            </wp:positionV>
            <wp:extent cx="6791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1960" cy="8255"/>
                    </a:xfrm>
                    <a:prstGeom prst="rect">
                      <a:avLst/>
                    </a:prstGeom>
                    <a:noFill/>
                  </pic:spPr>
                </pic:pic>
              </a:graphicData>
            </a:graphic>
          </wp:anchor>
        </w:drawing>
        <w:t>UNITED STATES</w:t>
      </w:r>
    </w:p>
    <w:p>
      <w:pPr>
        <w:spacing w:after="0" w:line="27"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9"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0" w:lineRule="exact"/>
        <w:rPr>
          <w:sz w:val="24"/>
          <w:szCs w:val="24"/>
          <w:color w:val="auto"/>
        </w:rPr>
      </w:pPr>
    </w:p>
    <w:p>
      <w:pPr>
        <w:ind w:left="380"/>
        <w:spacing w:after="0"/>
        <w:tabs>
          <w:tab w:leader="none" w:pos="534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25" w:lineRule="exact"/>
        <w:rPr>
          <w:sz w:val="24"/>
          <w:szCs w:val="24"/>
          <w:color w:val="auto"/>
        </w:rPr>
      </w:pPr>
    </w:p>
    <w:p>
      <w:pPr>
        <w:ind w:left="700" w:hanging="357"/>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8" w:lineRule="exact"/>
        <w:rPr>
          <w:sz w:val="24"/>
          <w:szCs w:val="24"/>
          <w:color w:val="auto"/>
        </w:rPr>
      </w:pPr>
    </w:p>
    <w:p>
      <w:pPr>
        <w:ind w:left="700"/>
        <w:spacing w:after="0"/>
        <w:tabs>
          <w:tab w:leader="none" w:pos="366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7"/>
          <w:szCs w:val="17"/>
          <w:color w:val="auto"/>
        </w:rPr>
        <w:t>March 31, 2026</w:t>
      </w:r>
    </w:p>
    <w:p>
      <w:pPr>
        <w:spacing w:after="0" w:line="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or</w:t>
      </w:r>
    </w:p>
    <w:p>
      <w:pPr>
        <w:spacing w:after="0" w:line="19" w:lineRule="exact"/>
        <w:rPr>
          <w:sz w:val="24"/>
          <w:szCs w:val="24"/>
          <w:color w:val="auto"/>
        </w:rPr>
      </w:pPr>
    </w:p>
    <w:p>
      <w:pPr>
        <w:ind w:left="700" w:hanging="357"/>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5" w:lineRule="exact"/>
        <w:rPr>
          <w:sz w:val="24"/>
          <w:szCs w:val="24"/>
          <w:color w:val="auto"/>
        </w:rPr>
      </w:pPr>
    </w:p>
    <w:tbl>
      <w:tblPr>
        <w:tblLayout w:type="fixed"/>
        <w:tblInd w:w="700" w:type="dxa"/>
        <w:tblCellMar>
          <w:top w:w="0" w:type="dxa"/>
          <w:left w:w="0" w:type="dxa"/>
          <w:bottom w:w="0" w:type="dxa"/>
          <w:right w:w="0" w:type="dxa"/>
        </w:tblCellMar>
      </w:tblP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6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6" w:lineRule="exact"/>
        <w:rPr>
          <w:sz w:val="24"/>
          <w:szCs w:val="24"/>
          <w:color w:val="auto"/>
        </w:rPr>
      </w:pPr>
    </w:p>
    <w:tbl>
      <w:tblPr>
        <w:tblLayout w:type="fixed"/>
        <w:tblInd w:w="440" w:type="dxa"/>
        <w:tblCellMar>
          <w:top w:w="0" w:type="dxa"/>
          <w:left w:w="0" w:type="dxa"/>
          <w:bottom w:w="0" w:type="dxa"/>
          <w:right w:w="0" w:type="dxa"/>
        </w:tblCellMar>
      </w:tblPr>
      <w:tr>
        <w:trPr>
          <w:trHeight w:val="233"/>
        </w:trPr>
        <w:tc>
          <w:tcPr>
            <w:tcW w:w="7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40" w:type="dxa"/>
            <w:vAlign w:val="bottom"/>
          </w:tcPr>
          <w:p>
            <w:pPr>
              <w:jc w:val="right"/>
              <w:ind w:right="1251"/>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79"/>
        </w:trPr>
        <w:tc>
          <w:tcPr>
            <w:tcW w:w="71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540" w:type="dxa"/>
            <w:vAlign w:val="bottom"/>
          </w:tcPr>
          <w:p>
            <w:pPr>
              <w:jc w:val="right"/>
              <w:ind w:right="145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3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16510</wp:posOffset>
            </wp:positionV>
            <wp:extent cx="6173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3470" cy="8255"/>
                    </a:xfrm>
                    <a:prstGeom prst="rect">
                      <a:avLst/>
                    </a:prstGeom>
                    <a:noFill/>
                  </pic:spPr>
                </pic:pic>
              </a:graphicData>
            </a:graphic>
          </wp:anchor>
        </w:drawing>
      </w: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3" w:lineRule="exact"/>
        <w:rPr>
          <w:sz w:val="24"/>
          <w:szCs w:val="24"/>
          <w:color w:val="auto"/>
        </w:rPr>
      </w:pPr>
    </w:p>
    <w:tbl>
      <w:tblPr>
        <w:tblLayout w:type="fixed"/>
        <w:tblInd w:w="400" w:type="dxa"/>
        <w:tblCellMar>
          <w:top w:w="0" w:type="dxa"/>
          <w:left w:w="0" w:type="dxa"/>
          <w:bottom w:w="0" w:type="dxa"/>
          <w:right w:w="0" w:type="dxa"/>
        </w:tblCellMar>
      </w:tblPr>
      <w:tr>
        <w:trPr>
          <w:trHeight w:val="233"/>
        </w:trPr>
        <w:tc>
          <w:tcPr>
            <w:tcW w:w="38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386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4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WFRD</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36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20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300" w:type="dxa"/>
        <w:tblCellMar>
          <w:top w:w="0" w:type="dxa"/>
          <w:left w:w="0" w:type="dxa"/>
          <w:bottom w:w="0" w:type="dxa"/>
          <w:right w:w="0" w:type="dxa"/>
        </w:tblCellMar>
      </w:tblPr>
      <w:tr>
        <w:trPr>
          <w:trHeight w:val="26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42" w:lineRule="exact"/>
        <w:tabs>
          <w:tab w:leader="none" w:pos="87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16, 2026, there were 71,925,332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373380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First Quarter Ended March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7"/>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6"/>
        </w:trPr>
        <w:tc>
          <w:tcPr>
            <w:tcW w:w="340" w:type="dxa"/>
            <w:vAlign w:val="bottom"/>
            <w:tcBorders>
              <w:right w:val="single" w:sz="8" w:color="CCEEFF"/>
            </w:tcBorders>
          </w:tcPr>
          <w:p>
            <w:pPr>
              <w:spacing w:after="0"/>
              <w:rPr>
                <w:sz w:val="16"/>
                <w:szCs w:val="16"/>
                <w:color w:val="auto"/>
              </w:rPr>
            </w:pPr>
          </w:p>
        </w:tc>
        <w:tc>
          <w:tcPr>
            <w:tcW w:w="9940" w:type="dxa"/>
            <w:vAlign w:val="bottom"/>
            <w:gridSpan w:val="16"/>
            <w:shd w:val="clear" w:color="auto" w:fill="CCEEFF"/>
          </w:tcPr>
          <w:p>
            <w:pPr>
              <w:spacing w:after="0" w:line="166"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7"/>
          </w:tcPr>
          <w:p>
            <w:pPr>
              <w:spacing w:after="0" w:line="186"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1020" w:type="dxa"/>
            <w:vAlign w:val="bottom"/>
            <w:tcBorders>
              <w:top w:val="single" w:sz="8" w:color="0000FF"/>
            </w:tcBorders>
            <w:gridSpan w:val="5"/>
          </w:tcPr>
          <w:p>
            <w:pPr>
              <w:spacing w:after="0"/>
              <w:rPr>
                <w:sz w:val="17"/>
                <w:szCs w:val="17"/>
                <w:color w:val="auto"/>
              </w:rPr>
            </w:pPr>
          </w:p>
        </w:tc>
        <w:tc>
          <w:tcPr>
            <w:tcW w:w="6840" w:type="dxa"/>
            <w:vAlign w:val="bottom"/>
            <w:tcBorders>
              <w:top w:val="single" w:sz="8" w:color="CCEEFF"/>
            </w:tcBorders>
            <w:gridSpan w:val="4"/>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994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60" w:type="dxa"/>
            <w:vAlign w:val="bottom"/>
            <w:gridSpan w:val="5"/>
            <w:shd w:val="clear" w:color="auto" w:fill="CCEEFF"/>
          </w:tcPr>
          <w:p>
            <w:pPr>
              <w:jc w:val="center"/>
              <w:ind w:left="211"/>
              <w:spacing w:after="0" w:line="196" w:lineRule="exact"/>
              <w:rPr>
                <w:sz w:val="20"/>
                <w:szCs w:val="20"/>
                <w:color w:val="auto"/>
              </w:rPr>
            </w:pPr>
            <w:r>
              <w:rPr>
                <w:rFonts w:ascii="Times New Roman" w:cs="Times New Roman" w:eastAsia="Times New Roman" w:hAnsi="Times New Roman"/>
                <w:sz w:val="18"/>
                <w:szCs w:val="18"/>
                <w:color w:val="0000FF"/>
                <w:w w:val="99"/>
              </w:rPr>
              <w:t>18</w:t>
            </w:r>
          </w:p>
        </w:tc>
        <w:tc>
          <w:tcPr>
            <w:tcW w:w="100" w:type="dxa"/>
            <w:vAlign w:val="bottom"/>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040" w:type="dxa"/>
            <w:vAlign w:val="bottom"/>
            <w:tcBorders>
              <w:top w:val="single" w:sz="8" w:color="0000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994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960" w:type="dxa"/>
            <w:vAlign w:val="bottom"/>
            <w:gridSpan w:val="5"/>
            <w:shd w:val="clear" w:color="auto" w:fill="CCEEFF"/>
          </w:tcPr>
          <w:p>
            <w:pPr>
              <w:jc w:val="center"/>
              <w:ind w:left="211"/>
              <w:spacing w:after="0" w:line="196" w:lineRule="exact"/>
              <w:rPr>
                <w:sz w:val="20"/>
                <w:szCs w:val="20"/>
                <w:color w:val="auto"/>
              </w:rPr>
            </w:pPr>
            <w:r>
              <w:rPr>
                <w:rFonts w:ascii="Times New Roman" w:cs="Times New Roman" w:eastAsia="Times New Roman" w:hAnsi="Times New Roman"/>
                <w:sz w:val="18"/>
                <w:szCs w:val="18"/>
                <w:color w:val="0000FF"/>
                <w:w w:val="99"/>
              </w:rPr>
              <w:t>30</w:t>
            </w: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6"/>
        </w:trPr>
        <w:tc>
          <w:tcPr>
            <w:tcW w:w="340" w:type="dxa"/>
            <w:vAlign w:val="bottom"/>
            <w:tcBorders>
              <w:right w:val="single" w:sz="8" w:color="CCEEFF"/>
            </w:tcBorders>
          </w:tcPr>
          <w:p>
            <w:pPr>
              <w:spacing w:after="0"/>
              <w:rPr>
                <w:sz w:val="17"/>
                <w:szCs w:val="17"/>
                <w:color w:val="auto"/>
              </w:rPr>
            </w:pPr>
          </w:p>
        </w:tc>
        <w:tc>
          <w:tcPr>
            <w:tcW w:w="2820" w:type="dxa"/>
            <w:vAlign w:val="bottom"/>
            <w:tcBorders>
              <w:bottom w:val="single" w:sz="8" w:color="0000FF"/>
            </w:tcBorders>
            <w:gridSpan w:val="10"/>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7120" w:type="dxa"/>
            <w:vAlign w:val="bottom"/>
            <w:tcBorders>
              <w:bottom w:val="single" w:sz="8" w:color="CCEEFF"/>
            </w:tcBorders>
            <w:gridSpan w:val="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9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Item 1. Legal Proceedings.</w:t>
            </w:r>
          </w:p>
        </w:tc>
        <w:tc>
          <w:tcPr>
            <w:tcW w:w="960" w:type="dxa"/>
            <w:vAlign w:val="bottom"/>
            <w:gridSpan w:val="5"/>
          </w:tcPr>
          <w:p>
            <w:pPr>
              <w:jc w:val="center"/>
              <w:ind w:left="211"/>
              <w:spacing w:after="0" w:line="186" w:lineRule="exact"/>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1620" w:type="dxa"/>
            <w:vAlign w:val="bottom"/>
            <w:tcBorders>
              <w:top w:val="single" w:sz="8" w:color="0000FF"/>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1A. Risk Factors.</w:t>
            </w:r>
          </w:p>
        </w:tc>
        <w:tc>
          <w:tcPr>
            <w:tcW w:w="2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040" w:type="dxa"/>
            <w:vAlign w:val="bottom"/>
            <w:tcBorders>
              <w:bottom w:val="single" w:sz="8" w:color="CCEEFF"/>
            </w:tcBorders>
            <w:gridSpan w:val="1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99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960" w:type="dxa"/>
            <w:vAlign w:val="bottom"/>
            <w:gridSpan w:val="5"/>
          </w:tcPr>
          <w:p>
            <w:pPr>
              <w:jc w:val="center"/>
              <w:ind w:left="211"/>
              <w:spacing w:after="0" w:line="186" w:lineRule="exact"/>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Item 3.</w:t>
            </w:r>
          </w:p>
        </w:tc>
        <w:tc>
          <w:tcPr>
            <w:tcW w:w="2360" w:type="dxa"/>
            <w:vAlign w:val="bottom"/>
            <w:tcBorders>
              <w:top w:val="single" w:sz="8" w:color="0000FF"/>
              <w:bottom w:val="single" w:sz="8" w:color="0000FF"/>
            </w:tcBorders>
            <w:gridSpan w:val="1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19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5080" w:type="dxa"/>
            <w:vAlign w:val="bottom"/>
            <w:tcBorders>
              <w:bottom w:val="single" w:sz="8" w:color="CCEEFF"/>
            </w:tcBorders>
            <w:gridSpan w:val="3"/>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7"/>
              </w:rPr>
              <w:t>Item 4.</w:t>
            </w:r>
          </w:p>
        </w:tc>
        <w:tc>
          <w:tcPr>
            <w:tcW w:w="9420" w:type="dxa"/>
            <w:vAlign w:val="bottom"/>
            <w:gridSpan w:val="15"/>
          </w:tcPr>
          <w:p>
            <w:pPr>
              <w:ind w:left="2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960" w:type="dxa"/>
            <w:vAlign w:val="bottom"/>
            <w:gridSpan w:val="5"/>
          </w:tcPr>
          <w:p>
            <w:pPr>
              <w:jc w:val="center"/>
              <w:ind w:left="211"/>
              <w:spacing w:after="0" w:line="186" w:lineRule="exact"/>
              <w:rPr>
                <w:sz w:val="20"/>
                <w:szCs w:val="20"/>
                <w:color w:val="auto"/>
              </w:rPr>
            </w:pPr>
            <w:r>
              <w:rPr>
                <w:rFonts w:ascii="Times New Roman" w:cs="Times New Roman" w:eastAsia="Times New Roman" w:hAnsi="Times New Roman"/>
                <w:sz w:val="18"/>
                <w:szCs w:val="18"/>
                <w:color w:val="0000FF"/>
                <w:w w:val="99"/>
              </w:rPr>
              <w:t>31</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Item 5.</w:t>
            </w:r>
          </w:p>
        </w:tc>
        <w:tc>
          <w:tcPr>
            <w:tcW w:w="1760" w:type="dxa"/>
            <w:vAlign w:val="bottom"/>
            <w:tcBorders>
              <w:top w:val="single" w:sz="8" w:color="0000FF"/>
            </w:tcBorders>
            <w:gridSpan w:val="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8"/>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20" w:type="dxa"/>
            <w:vAlign w:val="bottom"/>
            <w:tcBorders>
              <w:top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7"/>
              </w:rPr>
              <w:t>Item 6.</w:t>
            </w:r>
          </w:p>
        </w:tc>
        <w:tc>
          <w:tcPr>
            <w:tcW w:w="1360" w:type="dxa"/>
            <w:vAlign w:val="bottom"/>
            <w:tcBorders>
              <w:top w:val="single" w:sz="8" w:color="0000FF"/>
            </w:tcBorders>
            <w:gridSpan w:val="4"/>
          </w:tcPr>
          <w:p>
            <w:pPr>
              <w:ind w:left="20"/>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8060" w:type="dxa"/>
            <w:vAlign w:val="bottom"/>
            <w:tcBorders>
              <w:top w:val="single" w:sz="8" w:color="CCEEFF"/>
            </w:tcBorders>
            <w:gridSpan w:val="11"/>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1180" w:type="dxa"/>
            <w:vAlign w:val="bottom"/>
            <w:tcBorders>
              <w:top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760" w:type="dxa"/>
            <w:vAlign w:val="bottom"/>
            <w:gridSpan w:val="13"/>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91"/>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40" w:type="dxa"/>
            <w:vAlign w:val="bottom"/>
            <w:tcBorders>
              <w:top w:val="single" w:sz="8" w:color="CCEEFF"/>
            </w:tcBorders>
            <w:gridSpan w:val="13"/>
          </w:tcPr>
          <w:p>
            <w:pPr>
              <w:jc w:val="right"/>
              <w:ind w:right="1440"/>
              <w:spacing w:after="0"/>
              <w:rPr>
                <w:sz w:val="20"/>
                <w:szCs w:val="20"/>
                <w:color w:val="auto"/>
              </w:rPr>
            </w:pPr>
            <w:r>
              <w:rPr>
                <w:rFonts w:ascii="Times New Roman" w:cs="Times New Roman" w:eastAsia="Times New Roman" w:hAnsi="Times New Roman"/>
                <w:sz w:val="18"/>
                <w:szCs w:val="18"/>
                <w:color w:val="auto"/>
              </w:rPr>
              <w:t>1</w:t>
            </w:r>
          </w:p>
        </w:tc>
        <w:tc>
          <w:tcPr>
            <w:tcW w:w="30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2"/>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88"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226"/>
        </w:trPr>
        <w:tc>
          <w:tcPr>
            <w:tcW w:w="6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3"/>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6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r>
      <w:tr>
        <w:trPr>
          <w:trHeight w:val="219"/>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6"/>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6"/>
        </w:trPr>
        <w:tc>
          <w:tcPr>
            <w:tcW w:w="6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9"/>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2"/>
        </w:trPr>
        <w:tc>
          <w:tcPr>
            <w:tcW w:w="6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6"/>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6"/>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6"/>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Charges,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19"/>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39"/>
        </w:trPr>
        <w:tc>
          <w:tcPr>
            <w:tcW w:w="6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2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6"/>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Net of Interest Income of $10, $11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(26)</w:t>
            </w:r>
          </w:p>
        </w:tc>
      </w:tr>
      <w:tr>
        <w:trPr>
          <w:trHeight w:val="226"/>
        </w:trPr>
        <w:tc>
          <w:tcPr>
            <w:tcW w:w="6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4"/>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66"/>
        </w:trPr>
        <w:tc>
          <w:tcPr>
            <w:tcW w:w="6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819"/>
          </w:cols>
          <w:pgMar w:left="640" w:top="46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580" w:right="660" w:firstLine="1495"/>
        <w:spacing w:after="0" w:line="285" w:lineRule="auto"/>
        <w:rPr>
          <w:sz w:val="20"/>
          <w:szCs w:val="20"/>
          <w:color w:val="auto"/>
        </w:rPr>
      </w:pPr>
      <w:r>
        <w:rPr>
          <w:rFonts w:ascii="Times New Roman" w:cs="Times New Roman" w:eastAsia="Times New Roman" w:hAnsi="Times New Roman"/>
          <w:sz w:val="17"/>
          <w:szCs w:val="17"/>
          <w:b w:val="1"/>
          <w:bCs w:val="1"/>
          <w:color w:val="auto"/>
        </w:rPr>
        <w:t>WEATHERFORD INTERNATIONAL PLC AND SUBSIDIARIES CONDENSED CONSOLIDATED STATEMENTS OF COMPREHENSIVE INCOME (UNAUDITED)</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26"/>
        </w:trPr>
        <w:tc>
          <w:tcPr>
            <w:tcW w:w="5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3"/>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5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r>
      <w:tr>
        <w:trPr>
          <w:trHeight w:val="21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6"/>
        </w:trPr>
        <w:tc>
          <w:tcPr>
            <w:tcW w:w="5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4"/>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000"/>
          </w:cols>
          <w:pgMar w:left="640" w:top="466" w:right="1259" w:bottom="1440" w:gutter="0" w:footer="0" w:header="0"/>
        </w:sectPr>
      </w:pPr>
    </w:p>
    <w:bookmarkStart w:id="4" w:name="page5"/>
    <w:bookmarkEnd w:id="4"/>
    <w:p>
      <w:pPr>
        <w:ind w:left="2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7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73"/>
        </w:trPr>
        <w:tc>
          <w:tcPr>
            <w:tcW w:w="7220" w:type="dxa"/>
            <w:vAlign w:val="bottom"/>
          </w:tcPr>
          <w:p>
            <w:pPr>
              <w:ind w:left="100"/>
              <w:spacing w:after="0" w:line="173"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$12 at March 31, 2026 and $10 at</w:t>
            </w: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39"/>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6"/>
        </w:trPr>
        <w:tc>
          <w:tcPr>
            <w:tcW w:w="7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9"/>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166"/>
        </w:trPr>
        <w:tc>
          <w:tcPr>
            <w:tcW w:w="7220" w:type="dxa"/>
            <w:vAlign w:val="bottom"/>
          </w:tcPr>
          <w:p>
            <w:pPr>
              <w:ind w:left="100"/>
              <w:spacing w:after="0" w:line="166" w:lineRule="exact"/>
              <w:rPr>
                <w:sz w:val="20"/>
                <w:szCs w:val="20"/>
                <w:color w:val="auto"/>
              </w:rPr>
            </w:pPr>
            <w:r>
              <w:rPr>
                <w:rFonts w:ascii="Times New Roman" w:cs="Times New Roman" w:eastAsia="Times New Roman" w:hAnsi="Times New Roman"/>
                <w:sz w:val="18"/>
                <w:szCs w:val="18"/>
                <w:color w:val="auto"/>
                <w:w w:val="99"/>
              </w:rPr>
              <w:t>Property, Plant and Equipment, Net of Accumulated Depreciation of $1,189 at March 31, 2026 and</w:t>
            </w: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39"/>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$1,150 at December 31, 2025</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173"/>
        </w:trPr>
        <w:tc>
          <w:tcPr>
            <w:tcW w:w="722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8"/>
                <w:szCs w:val="18"/>
                <w:color w:val="auto"/>
              </w:rPr>
              <w:t>Intangibles, Net of Accumulated Amortization of $842 at March 31, 2026 and $828 at December</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39"/>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31, 2025</w:t>
            </w: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7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9"/>
        </w:trPr>
        <w:tc>
          <w:tcPr>
            <w:tcW w:w="7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6"/>
        </w:trPr>
        <w:tc>
          <w:tcPr>
            <w:tcW w:w="7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9"/>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19"/>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6"/>
        </w:trPr>
        <w:tc>
          <w:tcPr>
            <w:tcW w:w="7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26"/>
        </w:trPr>
        <w:tc>
          <w:tcPr>
            <w:tcW w:w="7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r>
      <w:tr>
        <w:trPr>
          <w:trHeight w:val="226"/>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73"/>
        </w:trPr>
        <w:tc>
          <w:tcPr>
            <w:tcW w:w="7220" w:type="dxa"/>
            <w:vAlign w:val="bottom"/>
            <w:shd w:val="clear" w:color="auto" w:fill="CCEEFF"/>
          </w:tcPr>
          <w:p>
            <w:pPr>
              <w:ind w:left="100"/>
              <w:spacing w:after="0" w:line="173" w:lineRule="exact"/>
              <w:rPr>
                <w:sz w:val="20"/>
                <w:szCs w:val="20"/>
                <w:color w:val="auto"/>
              </w:rPr>
            </w:pPr>
            <w:r>
              <w:rPr>
                <w:rFonts w:ascii="Times New Roman" w:cs="Times New Roman" w:eastAsia="Times New Roman" w:hAnsi="Times New Roman"/>
                <w:sz w:val="18"/>
                <w:szCs w:val="18"/>
                <w:color w:val="auto"/>
                <w:w w:val="98"/>
              </w:rPr>
              <w:t>Ordinary Shares - Par Value $0.001; Authorized 1,356 shares, Issued and Outstanding 71.9 shares at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39"/>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31, 2026 and 71.6 at December 31, 2025</w:t>
            </w:r>
          </w:p>
        </w:tc>
        <w:tc>
          <w:tcPr>
            <w:tcW w:w="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26"/>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6"/>
        </w:trPr>
        <w:tc>
          <w:tcPr>
            <w:tcW w:w="7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26"/>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9"/>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19"/>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46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(Gains) Losses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 Benefits: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5"/>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Changes, Net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 Vested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6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1 – Basis of Presentation and Summary of Significant Accounting Policies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2025 (“2025 Form 10-K”).</w:t>
      </w:r>
    </w:p>
    <w:p>
      <w:pPr>
        <w:spacing w:after="0" w:line="21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7"/>
          <w:szCs w:val="17"/>
          <w:color w:val="auto"/>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2025 Form 10-K for the discussion on our significant accounting policies.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2025 Form 10-K for the discussion on accounting pronouncements that have been issued but not yet effective for the interim periods presented that are not expected to have a material impact on our financial position or results of operations.</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2025 Form 10-K. We have three reportable segments: (1) Drilling and Evaluation “DRE,” (2) Well Construction and Completions “WCC,” and (3) Production and Intervention “PRI.”</w:t>
      </w:r>
    </w:p>
    <w:p>
      <w:pPr>
        <w:spacing w:after="0" w:line="20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Company’s chief operating decision maker (“CODM”), our chief executive officer,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2026</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DRE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WCC</w:t>
            </w:r>
          </w:p>
        </w:tc>
        <w:tc>
          <w:tcPr>
            <w:tcW w:w="940" w:type="dxa"/>
            <w:vAlign w:val="bottom"/>
            <w:tcBorders>
              <w:bottom w:val="single" w:sz="8" w:color="auto"/>
              <w:right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6"/>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6"/>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6"/>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6"/>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6"/>
        </w:trPr>
        <w:tc>
          <w:tcPr>
            <w:tcW w:w="55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13</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6"/>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720" w:hanging="236"/>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4" w:lineRule="exact"/>
        <w:rPr>
          <w:rFonts w:ascii="Times New Roman" w:cs="Times New Roman" w:eastAsia="Times New Roman" w:hAnsi="Times New Roman"/>
          <w:sz w:val="16"/>
          <w:szCs w:val="16"/>
          <w:color w:val="auto"/>
        </w:rPr>
      </w:pPr>
    </w:p>
    <w:p>
      <w:pPr>
        <w:ind w:left="720" w:hanging="236"/>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8" w:name="page9"/>
    <w:bookmarkEnd w:id="8"/>
    <w:tbl>
      <w:tblPr>
        <w:tblLayout w:type="fixed"/>
        <w:tblInd w:w="32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62"/>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2025</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DRE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WCC</w:t>
            </w:r>
          </w:p>
        </w:tc>
        <w:tc>
          <w:tcPr>
            <w:tcW w:w="940" w:type="dxa"/>
            <w:vAlign w:val="bottom"/>
            <w:tcBorders>
              <w:bottom w:val="single" w:sz="8" w:color="auto"/>
              <w:right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6"/>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6"/>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6"/>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6"/>
        </w:trPr>
        <w:tc>
          <w:tcPr>
            <w:tcW w:w="55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720" w:hanging="236"/>
        <w:spacing w:after="0"/>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4" w:lineRule="exact"/>
        <w:rPr>
          <w:rFonts w:ascii="Times New Roman" w:cs="Times New Roman" w:eastAsia="Times New Roman" w:hAnsi="Times New Roman"/>
          <w:sz w:val="16"/>
          <w:szCs w:val="16"/>
          <w:color w:val="auto"/>
        </w:rPr>
      </w:pPr>
    </w:p>
    <w:p>
      <w:pPr>
        <w:ind w:left="720" w:hanging="236"/>
        <w:spacing w:after="0"/>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 w:type="dxa"/>
            <w:vAlign w:val="bottom"/>
          </w:tcPr>
          <w:p>
            <w:pPr>
              <w:spacing w:after="0"/>
              <w:rPr>
                <w:sz w:val="20"/>
                <w:szCs w:val="20"/>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r>
      <w:tr>
        <w:trPr>
          <w:trHeight w:val="226"/>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r>
      <w:tr>
        <w:trPr>
          <w:trHeight w:val="22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44"/>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0"/>
                <w:szCs w:val="20"/>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2"/>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Borders>
              <w:bottom w:val="single" w:sz="8" w:color="auto"/>
            </w:tcBorders>
          </w:tcPr>
          <w:p>
            <w:pPr>
              <w:spacing w:after="0"/>
              <w:rPr>
                <w:sz w:val="24"/>
                <w:szCs w:val="24"/>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tcPr>
          <w:p>
            <w:pPr>
              <w:spacing w:after="0"/>
              <w:rPr>
                <w:sz w:val="19"/>
                <w:szCs w:val="19"/>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60" w:type="dxa"/>
            <w:vAlign w:val="bottom"/>
            <w:shd w:val="clear" w:color="auto" w:fill="CCEEFF"/>
          </w:tcPr>
          <w:p>
            <w:pPr>
              <w:spacing w:after="0"/>
              <w:rPr>
                <w:sz w:val="19"/>
                <w:szCs w:val="19"/>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60" w:type="dxa"/>
            <w:vAlign w:val="bottom"/>
          </w:tcPr>
          <w:p>
            <w:pPr>
              <w:spacing w:after="0"/>
              <w:rPr>
                <w:sz w:val="19"/>
                <w:szCs w:val="19"/>
                <w:color w:val="auto"/>
              </w:rPr>
            </w:pPr>
          </w:p>
        </w:tc>
      </w:tr>
      <w:tr>
        <w:trPr>
          <w:trHeight w:val="226"/>
        </w:trPr>
        <w:tc>
          <w:tcPr>
            <w:tcW w:w="522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60" w:type="dxa"/>
            <w:vAlign w:val="bottom"/>
            <w:tcBorders>
              <w:bottom w:val="single" w:sz="8" w:color="auto"/>
            </w:tcBorders>
            <w:shd w:val="clear" w:color="auto" w:fill="CCEEFF"/>
          </w:tcPr>
          <w:p>
            <w:pPr>
              <w:spacing w:after="0"/>
              <w:rPr>
                <w:sz w:val="19"/>
                <w:szCs w:val="19"/>
                <w:color w:val="auto"/>
              </w:rPr>
            </w:pPr>
          </w:p>
        </w:tc>
      </w:tr>
      <w:tr>
        <w:trPr>
          <w:trHeight w:val="219"/>
        </w:trPr>
        <w:tc>
          <w:tcPr>
            <w:tcW w:w="5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60" w:type="dxa"/>
            <w:vAlign w:val="bottom"/>
            <w:tcBorders>
              <w:bottom w:val="single" w:sz="8" w:color="auto"/>
            </w:tcBorders>
          </w:tcPr>
          <w:p>
            <w:pPr>
              <w:spacing w:after="0"/>
              <w:rPr>
                <w:sz w:val="19"/>
                <w:szCs w:val="19"/>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ind w:left="180" w:right="1480" w:hanging="156"/>
        <w:spacing w:after="0" w:line="213" w:lineRule="auto"/>
        <w:tabs>
          <w:tab w:leader="none" w:pos="192"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other total assets primarily include cash and cash equivalents, certain intangible assets, and centrally managed or shared facilities.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20"/>
          </w:cols>
          <w:pgMar w:left="320" w:top="466" w:right="105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49"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U.S. accounted for 22% and 23%, respectively, and the Kingdom of Saudi Arabia accounted for 13% in each period, of our PP&amp;E, Net and operating lease assets identifiable by geography. No other country accounted for more than 10% of our PP&amp;E, Net and operating lease assets identifiable by geography as of March 31, 2026 and December 31, 2025. We had no PP&amp;E, Net and operating lease assets in our country of domicile (Ireland) as of March 31, 2026 and December 31, 2025.</w:t>
      </w: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47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(a)</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88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8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6"/>
        </w:trPr>
        <w:tc>
          <w:tcPr>
            <w:tcW w:w="4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8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4"/>
        </w:trPr>
        <w:tc>
          <w:tcPr>
            <w:tcW w:w="470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3"/>
                <w:szCs w:val="23"/>
                <w:color w:val="auto"/>
                <w:vertAlign w:val="superscript"/>
              </w:rPr>
              <w:t>(b)</w:t>
            </w:r>
          </w:p>
        </w:tc>
        <w:tc>
          <w:tcPr>
            <w:tcW w:w="8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ind w:left="440" w:hanging="177"/>
        <w:spacing w:after="0" w:line="205" w:lineRule="auto"/>
        <w:tabs>
          <w:tab w:leader="none" w:pos="4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14" w:lineRule="exact"/>
        <w:rPr>
          <w:rFonts w:ascii="Times New Roman" w:cs="Times New Roman" w:eastAsia="Times New Roman" w:hAnsi="Times New Roman"/>
          <w:sz w:val="23"/>
          <w:szCs w:val="23"/>
          <w:color w:val="auto"/>
          <w:vertAlign w:val="superscript"/>
        </w:rPr>
      </w:pPr>
    </w:p>
    <w:p>
      <w:pPr>
        <w:ind w:left="440" w:hanging="177"/>
        <w:spacing w:after="0" w:line="200" w:lineRule="auto"/>
        <w:tabs>
          <w:tab w:leader="none" w:pos="44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assets not allocated by geography are excluded from this total.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disaggregates our revenue from contracts with customers by geographic area and includes equipment rental revenue. Equipment rental revenues were $18 million in the three months ended March 31, 2026, and $35 million for the three months ended March 31, 2025.</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2026, the U.S. and the Kingdom of Saudi Arabia accounted for 13% and 10% of total revenue, respectively. During the three months ended March 31, 2025, the U.S. and the Kingdom of Saudi Arabia accounted for 16% and 11% of total revenue in each period, respectively. No other country accounted for more than 10% of our revenue in the periods presented.</w:t>
      </w:r>
    </w:p>
    <w:p>
      <w:pPr>
        <w:spacing w:after="0" w:line="96" w:lineRule="exact"/>
        <w:rPr>
          <w:sz w:val="20"/>
          <w:szCs w:val="20"/>
          <w:color w:val="auto"/>
        </w:rPr>
      </w:pPr>
    </w:p>
    <w:tbl>
      <w:tblPr>
        <w:tblLayout w:type="fixed"/>
        <w:tblInd w:w="154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2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1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6020" w:type="dxa"/>
            <w:vAlign w:val="bottom"/>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(a)</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66"/>
        </w:trPr>
        <w:tc>
          <w:tcPr>
            <w:tcW w:w="6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6"/>
        </w:trPr>
        <w:tc>
          <w:tcPr>
            <w:tcW w:w="6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720" w:hanging="162"/>
        <w:spacing w:after="0"/>
        <w:tabs>
          <w:tab w:leader="none" w:pos="17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North America consists of the U.S. and Canada.</w:t>
      </w: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9"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results in the recording of accounts receivable, contract assets, and contract liabilities. The following table summarizes these balances as of March 31, 2026 and December 31, 2025:</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26"/>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4"/>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60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2"/>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 Restructuring Charges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Restructuring charges were $13 million and $29 million in the three months ended March 31, 2026 and March 31, 2025, respectively, and are presented as “Restructuring Charges” on the accompanying Condensed Consolidated Statements of Operations. These charges were related to optimization and efficiency initiatives throughout the organization and primarily relate to severance expenses.</w:t>
      </w:r>
    </w:p>
    <w:p>
      <w:pPr>
        <w:spacing w:after="0" w:line="20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Restructuring liabilities were $24 million as of March 31, 2026 and $22 million as of December 31, 2025, respectively. Of the restructuring liabilities, $21 million and $19 million are recorded in “Other Current Liabilities” on the accompanying Condensed Consolidated Balance Sheets as of March 31, 2026 and December 31, 2025, respectively. The remaining $3 million at both March 31, 2026 and December 31, 2025 is recorded in “Other Non-Current Liabilities” on the accompanying Consolidated Balance Sheets. Changes in the liabilities are primarily driven by restructuring charges and cash payments.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total restructuring charges by segment and Corporate and Other in the three months ended March 31, 2026 and 2025:</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1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5 – Inventories, Net</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Inventories are reported net of reserves of $124 million and $118 million as of March 31, 2026 and December 31, 2025, respectively, and are presented by category in the table below:</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233"/>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6"/>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4"/>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recorded in “Cost of Products” on our Condensed Consolidated Statements of Operations in the amount of $11 million and $5 million during the three months ended March 31, 2026 and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2" w:name="page13"/>
    <w:bookmarkEnd w:id="12"/>
    <w:tbl>
      <w:tblPr>
        <w:tblLayout w:type="fixed"/>
        <w:tblInd w:w="320" w:type="dxa"/>
        <w:tblCellMar>
          <w:top w:w="0" w:type="dxa"/>
          <w:left w:w="0" w:type="dxa"/>
          <w:bottom w:w="0" w:type="dxa"/>
          <w:right w:w="0" w:type="dxa"/>
        </w:tblCellMar>
      </w:tblPr>
      <w:tr>
        <w:trPr>
          <w:trHeight w:val="23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82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 Intangibles, Net</w:t>
            </w: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44"/>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66"/>
        </w:trPr>
        <w:tc>
          <w:tcPr>
            <w:tcW w:w="680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w w:val="99"/>
              </w:rPr>
              <w:t>Developed and Acquired Technology, Net of Accumulated Amortization of $589 at March 31,</w:t>
            </w:r>
          </w:p>
        </w:tc>
        <w:tc>
          <w:tcPr>
            <w:tcW w:w="4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$586 at December 31, 2025</w:t>
            </w:r>
          </w:p>
        </w:tc>
        <w:tc>
          <w:tcPr>
            <w:tcW w:w="4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173"/>
        </w:trPr>
        <w:tc>
          <w:tcPr>
            <w:tcW w:w="68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Trade Names, Net of Accumulated Amortization of $253 at March 31, 2026 and $242 at</w:t>
            </w: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9"/>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166"/>
        </w:trPr>
        <w:tc>
          <w:tcPr>
            <w:tcW w:w="6800" w:type="dxa"/>
            <w:vAlign w:val="bottom"/>
            <w:shd w:val="clear" w:color="auto" w:fill="CCEEFF"/>
          </w:tcPr>
          <w:p>
            <w:pPr>
              <w:ind w:left="100"/>
              <w:spacing w:after="0" w:line="166" w:lineRule="exact"/>
              <w:rPr>
                <w:sz w:val="20"/>
                <w:szCs w:val="20"/>
                <w:color w:val="auto"/>
              </w:rPr>
            </w:pPr>
            <w:r>
              <w:rPr>
                <w:rFonts w:ascii="Times New Roman" w:cs="Times New Roman" w:eastAsia="Times New Roman" w:hAnsi="Times New Roman"/>
                <w:sz w:val="18"/>
                <w:szCs w:val="18"/>
                <w:color w:val="auto"/>
              </w:rPr>
              <w:t>Intangibles, Net of Accumulated Amortization of $842 at March 31, 2026 and $828 at</w:t>
            </w:r>
          </w:p>
        </w:tc>
        <w:tc>
          <w:tcPr>
            <w:tcW w:w="4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64"/>
        </w:trPr>
        <w:tc>
          <w:tcPr>
            <w:tcW w:w="68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2025</w:t>
            </w:r>
          </w:p>
        </w:tc>
        <w:tc>
          <w:tcPr>
            <w:tcW w:w="4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Amortization expense was $15 million and $14 million for the three months ended March 31, 2026, and March 31, 2025, respectively, and is reported in “Selling, General and Administrative” on our Condensed Consolidated Statements of Operations.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Borrowings and Other Debt Obligations</w:t>
            </w:r>
          </w:p>
        </w:tc>
        <w:tc>
          <w:tcPr>
            <w:tcW w:w="1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44"/>
        </w:trPr>
        <w:tc>
          <w:tcPr>
            <w:tcW w:w="20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20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9"/>
        </w:trPr>
        <w:tc>
          <w:tcPr>
            <w:tcW w:w="20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6"/>
        </w:trPr>
        <w:tc>
          <w:tcPr>
            <w:tcW w:w="2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6.75% Senior Notes due 2033 “2033 Senior Notes”</w:t>
            </w:r>
          </w:p>
        </w:tc>
        <w:tc>
          <w:tcPr>
            <w:tcW w:w="1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26"/>
        </w:trPr>
        <w:tc>
          <w:tcPr>
            <w:tcW w:w="20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16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6"/>
        </w:trPr>
        <w:tc>
          <w:tcPr>
            <w:tcW w:w="20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6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4"/>
        </w:trPr>
        <w:tc>
          <w:tcPr>
            <w:tcW w:w="200" w:type="dxa"/>
            <w:vAlign w:val="bottom"/>
          </w:tcPr>
          <w:p>
            <w:pPr>
              <w:spacing w:after="0"/>
              <w:rPr>
                <w:sz w:val="20"/>
                <w:szCs w:val="20"/>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0"/>
        </w:trPr>
        <w:tc>
          <w:tcPr>
            <w:tcW w:w="200" w:type="dxa"/>
            <w:vAlign w:val="bottom"/>
          </w:tcPr>
          <w:p>
            <w:pPr>
              <w:spacing w:after="0" w:line="20" w:lineRule="exact"/>
              <w:rPr>
                <w:sz w:val="1"/>
                <w:szCs w:val="1"/>
                <w:color w:val="auto"/>
              </w:rPr>
            </w:pPr>
          </w:p>
        </w:tc>
        <w:tc>
          <w:tcPr>
            <w:tcW w:w="5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7" w:lineRule="exact"/>
        <w:rPr>
          <w:sz w:val="20"/>
          <w:szCs w:val="20"/>
          <w:color w:val="auto"/>
        </w:rPr>
      </w:pPr>
    </w:p>
    <w:p>
      <w:pPr>
        <w:jc w:val="both"/>
        <w:ind w:right="20" w:firstLine="319"/>
        <w:spacing w:after="0" w:line="252" w:lineRule="auto"/>
        <w:rPr>
          <w:sz w:val="20"/>
          <w:szCs w:val="20"/>
          <w:color w:val="auto"/>
        </w:rPr>
      </w:pPr>
      <w:r>
        <w:rPr>
          <w:rFonts w:ascii="Times New Roman" w:cs="Times New Roman" w:eastAsia="Times New Roman" w:hAnsi="Times New Roman"/>
          <w:sz w:val="18"/>
          <w:szCs w:val="18"/>
          <w:color w:val="auto"/>
        </w:rPr>
        <w:t>On October 27, 2021, Weatherford International Ltd. “(Weatherford Bermuda”) issued 8.625% senior notes in aggregate principal amount of $1.6 billion maturing April 30, 2030 (the “2030 Senior Notes”). Interest on the 2030 Senior Notes is payable semiannually on June 1 and December 1 of each year, and commenced on June 1, 2022. On December 1, 2022, the indenture related to our 2030 Senior Notes was amended and supplemented to add Weatherford International, LLC (now Weatherford US Holding, LLC following a name change effective March 19, 2026, “Weatherford Delaware”) as co-issuer and co-obligor, and concurrently release the guarantee of Weatherford Delaware. At March 31, 2026 and December 31, 2025, the carrying value represented the remaining unpaid principal of $236 million, offset by unamortized deferred issuance cost of $2 million.</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2033 Senior Notes</w:t>
      </w:r>
    </w:p>
    <w:p>
      <w:pPr>
        <w:spacing w:after="0" w:line="247" w:lineRule="exact"/>
        <w:rPr>
          <w:sz w:val="20"/>
          <w:szCs w:val="20"/>
          <w:color w:val="auto"/>
        </w:rPr>
      </w:pPr>
    </w:p>
    <w:p>
      <w:pPr>
        <w:jc w:val="both"/>
        <w:ind w:right="20" w:firstLine="319"/>
        <w:spacing w:after="0" w:line="253" w:lineRule="auto"/>
        <w:rPr>
          <w:sz w:val="20"/>
          <w:szCs w:val="20"/>
          <w:color w:val="auto"/>
        </w:rPr>
      </w:pPr>
      <w:r>
        <w:rPr>
          <w:rFonts w:ascii="Times New Roman" w:cs="Times New Roman" w:eastAsia="Times New Roman" w:hAnsi="Times New Roman"/>
          <w:sz w:val="18"/>
          <w:szCs w:val="18"/>
          <w:color w:val="auto"/>
        </w:rPr>
        <w:t>On October 6, 2025, Weatherford Bermuda issued 6.75% senior notes in aggregate principal amount of $1.2 billion maturing on October 15, 2033 (the “2033 Senior Notes”). Interest on the 2033 Senior Notes is payable semiannually on April 15th and October 15th of each year, beginning on April 15, 2026. On October 24, 2025, the indenture related to our 2033 Senior Notes was amended and supplemented to add Weatherford Delaware as co-issuer and co-obligor, and concurrently released the guarantee of Weatherford Delaware. At March 31, 2026 and December 31, 2025, the carrying value represented the remaining unpaid principal of $1.2 billion, offset by unamortized deferred issuance cost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466" w:right="31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7" w:lineRule="exact"/>
        <w:rPr>
          <w:sz w:val="20"/>
          <w:szCs w:val="20"/>
          <w:color w:val="auto"/>
        </w:rPr>
      </w:pPr>
    </w:p>
    <w:p>
      <w:pPr>
        <w:jc w:val="both"/>
        <w:ind w:right="100" w:firstLine="319"/>
        <w:spacing w:after="0" w:line="249"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March 31, 2026 and December 31, 2025, the Credit Agreement allowed for a total commitment amount of $1 billion, maturing on the earlier of (a) September 18, 2030 and (b) to the extent that more than $200 million of 2030 Senior Notes or Permitted Refinancing Indebtedness in respect thereof is outstanding on such date, the date that is 91 days prior to the stated maturity date of the 2030 Senior Notes or any Permitted Refinancing Indebtedness in respect thereof.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9"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As of March 31, 2026, under the Credit Agreement we had zero borrowings, $7 million in financial letters of credit and $257 million in performance letters of credit outstanding. Additionally as of March 31, 2026, we had $193 million letters of credit under various uncommitted bi-lateral facilities ($32 million of which was cash collateral held and recorded in “Restricted Cash” on the Condensed Consolidated Balance Sheets).</w:t>
      </w:r>
    </w:p>
    <w:p>
      <w:pPr>
        <w:spacing w:after="0" w:line="204"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As of December 31, 2025, under the Credit Agreement we had zero borrowings, $7 million in financial letters of credit and $245 million in performance letters of credit outstanding. Additionally as of December 31, 2025, we had $207 million of letters of credit under various uncommitted bi-lateral facilities ($47 million of which was cash collateral held and recorded in “Restricted Cash” on the Condensed Consolidated Balance Sheets).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7" w:lineRule="exact"/>
        <w:rPr>
          <w:sz w:val="20"/>
          <w:szCs w:val="20"/>
          <w:color w:val="auto"/>
        </w:rPr>
      </w:pPr>
    </w:p>
    <w:p>
      <w:pPr>
        <w:jc w:val="both"/>
        <w:ind w:right="100" w:firstLine="319"/>
        <w:spacing w:after="0" w:line="253"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4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9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80" w:type="dxa"/>
            <w:vAlign w:val="bottom"/>
          </w:tcPr>
          <w:p>
            <w:pPr>
              <w:spacing w:after="0"/>
              <w:rPr>
                <w:sz w:val="19"/>
                <w:szCs w:val="19"/>
                <w:color w:val="auto"/>
              </w:rPr>
            </w:pPr>
          </w:p>
        </w:tc>
        <w:tc>
          <w:tcPr>
            <w:tcW w:w="13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9"/>
                <w:szCs w:val="19"/>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80" w:type="dxa"/>
            <w:vAlign w:val="bottom"/>
          </w:tcPr>
          <w:p>
            <w:pPr>
              <w:spacing w:after="0"/>
              <w:rPr>
                <w:sz w:val="19"/>
                <w:szCs w:val="19"/>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6"/>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6.75% Senior Notes due 2033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44"/>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8 – Disputes, Litigation and Legal Contingencies</w:t>
      </w:r>
    </w:p>
    <w:p>
      <w:pPr>
        <w:spacing w:after="0" w:line="247" w:lineRule="exact"/>
        <w:rPr>
          <w:sz w:val="20"/>
          <w:szCs w:val="20"/>
          <w:color w:val="auto"/>
        </w:rPr>
      </w:pPr>
    </w:p>
    <w:p>
      <w:pPr>
        <w:jc w:val="both"/>
        <w:ind w:right="100" w:firstLine="319"/>
        <w:spacing w:after="0" w:line="253"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9 – Shareholders’ Equity</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Shares issued and outstanding on our Condensed Consolidated Balance Sheets increased from 71.6 million as of December 31, 2025 to 71.9 million as of March 31, 2026. The increase was due to the issuance of 0.4 million of our ordinary shares for equity awards vested and delivered, net of shares withheld for taxes, partially offset by the cancellation of 0.1 million of our ordinary shares repurchased for $10 million.</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2026, we declared and paid $20 million in dividends and accrued an immaterial amount of dividend equivalent rights on share-based awards.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shareholders’ equity activity for the three months ended March 31, 2026 and 2025:</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9"/>
        </w:trPr>
        <w:tc>
          <w:tcPr>
            <w:tcW w:w="2660" w:type="dxa"/>
            <w:vAlign w:val="bottom"/>
          </w:tcPr>
          <w:p>
            <w:pPr>
              <w:spacing w:after="0"/>
              <w:rPr>
                <w:sz w:val="13"/>
                <w:szCs w:val="13"/>
                <w:color w:val="auto"/>
              </w:rPr>
            </w:pPr>
          </w:p>
        </w:tc>
        <w:tc>
          <w:tcPr>
            <w:tcW w:w="9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3"/>
                <w:szCs w:val="13"/>
                <w:color w:val="auto"/>
              </w:rPr>
            </w:pPr>
          </w:p>
        </w:tc>
        <w:tc>
          <w:tcPr>
            <w:tcW w:w="1320" w:type="dxa"/>
            <w:vAlign w:val="bottom"/>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940" w:type="dxa"/>
            <w:vAlign w:val="bottom"/>
            <w:vMerge w:val="continue"/>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100" w:type="dxa"/>
            <w:vAlign w:val="bottom"/>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Excess of Par</w:t>
            </w: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1"/>
        </w:trPr>
        <w:tc>
          <w:tcPr>
            <w:tcW w:w="26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71.6</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6"/>
                <w:szCs w:val="16"/>
                <w:color w:val="auto"/>
                <w:w w:val="99"/>
              </w:rPr>
              <w:t>13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210"/>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8"/>
                <w:szCs w:val="18"/>
                <w:color w:val="auto"/>
              </w:rPr>
            </w:pPr>
          </w:p>
        </w:tc>
        <w:tc>
          <w:tcPr>
            <w:tcW w:w="1320" w:type="dxa"/>
            <w:vAlign w:val="bottom"/>
          </w:tcPr>
          <w:p>
            <w:pPr>
              <w:jc w:val="center"/>
              <w:ind w:left="8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3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8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center"/>
              <w:ind w:left="8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Declared ($0.275 per share)</w:t>
            </w:r>
          </w:p>
        </w:tc>
        <w:tc>
          <w:tcPr>
            <w:tcW w:w="9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8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39"/>
        </w:trPr>
        <w:tc>
          <w:tcPr>
            <w:tcW w:w="266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11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center"/>
              <w:ind w:left="820"/>
              <w:spacing w:after="0"/>
              <w:rPr>
                <w:sz w:val="20"/>
                <w:szCs w:val="20"/>
                <w:color w:val="auto"/>
              </w:rPr>
            </w:pPr>
            <w:r>
              <w:rPr>
                <w:rFonts w:ascii="Times New Roman" w:cs="Times New Roman" w:eastAsia="Times New Roman" w:hAnsi="Times New Roman"/>
                <w:sz w:val="16"/>
                <w:szCs w:val="16"/>
                <w:color w:val="auto"/>
                <w:w w:val="97"/>
              </w:rPr>
              <w:t>(13)</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2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8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71.9</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2,799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(1,041)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0" w:type="dxa"/>
            <w:vAlign w:val="bottom"/>
          </w:tcPr>
          <w:p>
            <w:pPr>
              <w:spacing w:after="0"/>
              <w:rPr>
                <w:sz w:val="1"/>
                <w:szCs w:val="1"/>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-16510</wp:posOffset>
            </wp:positionV>
            <wp:extent cx="6889750" cy="151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9750" cy="151765"/>
                    </a:xfrm>
                    <a:prstGeom prst="rect">
                      <a:avLst/>
                    </a:prstGeom>
                    <a:noFill/>
                  </pic:spPr>
                </pic:pic>
              </a:graphicData>
            </a:graphic>
          </wp:anchor>
        </w:drawing>
      </w:r>
    </w:p>
    <w:p>
      <w:pPr>
        <w:ind w:left="500" w:hanging="157"/>
        <w:spacing w:after="0" w:line="216" w:lineRule="auto"/>
        <w:tabs>
          <w:tab w:leader="none" w:pos="5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9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80" w:type="dxa"/>
            <w:vAlign w:val="bottom"/>
          </w:tcPr>
          <w:p>
            <w:pPr>
              <w:spacing w:after="0"/>
              <w:rPr>
                <w:sz w:val="13"/>
                <w:szCs w:val="13"/>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Par</w:t>
            </w: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3"/>
                <w:szCs w:val="13"/>
                <w:color w:val="auto"/>
              </w:rPr>
            </w:pPr>
          </w:p>
        </w:tc>
        <w:tc>
          <w:tcPr>
            <w:tcW w:w="1380" w:type="dxa"/>
            <w:vAlign w:val="bottom"/>
          </w:tcPr>
          <w:p>
            <w:pPr>
              <w:jc w:val="center"/>
              <w:ind w:right="140"/>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60"/>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Excess of Par</w:t>
            </w: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2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60" w:type="dxa"/>
            <w:vAlign w:val="bottom"/>
            <w:tcBorders>
              <w:bottom w:val="single" w:sz="8" w:color="CCEEFF"/>
            </w:tcBorders>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ind w:left="360"/>
              <w:spacing w:after="0" w:line="139"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32"/>
        </w:trPr>
        <w:tc>
          <w:tcPr>
            <w:tcW w:w="2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56"/>
        <w:spacing w:after="0" w:line="216" w:lineRule="auto"/>
        <w:tabs>
          <w:tab w:leader="none" w:pos="18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7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income (loss) by component for the three months ended March 31, 2026 and 2025:</w:t>
      </w:r>
    </w:p>
    <w:p>
      <w:pPr>
        <w:spacing w:after="0" w:line="54"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5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Currency Translation</w:t>
            </w:r>
          </w:p>
        </w:tc>
        <w:tc>
          <w:tcPr>
            <w:tcW w:w="160" w:type="dxa"/>
            <w:vAlign w:val="bottom"/>
          </w:tcPr>
          <w:p>
            <w:pPr>
              <w:spacing w:after="0"/>
              <w:rPr>
                <w:sz w:val="17"/>
                <w:szCs w:val="17"/>
                <w:color w:val="auto"/>
              </w:rPr>
            </w:pPr>
          </w:p>
        </w:tc>
        <w:tc>
          <w:tcPr>
            <w:tcW w:w="146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400" w:type="dxa"/>
            <w:vAlign w:val="bottom"/>
          </w:tcPr>
          <w:p>
            <w:pPr>
              <w:spacing w:after="0"/>
              <w:rPr>
                <w:sz w:val="17"/>
                <w:szCs w:val="17"/>
                <w:color w:val="auto"/>
              </w:rPr>
            </w:pPr>
          </w:p>
        </w:tc>
        <w:tc>
          <w:tcPr>
            <w:tcW w:w="1300" w:type="dxa"/>
            <w:vAlign w:val="bottom"/>
            <w:vMerge w:val="restart"/>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auto"/>
            </w:tcBorders>
            <w:vMerge w:val="continue"/>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 – Income per Share</w:t>
      </w: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number of shares used for the basic and diluted income per share calculation was as follows:</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6"/>
        </w:trPr>
        <w:tc>
          <w:tcPr>
            <w:tcW w:w="6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6"/>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4"/>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66"/>
        </w:trPr>
        <w:tc>
          <w:tcPr>
            <w:tcW w:w="6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61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9"/>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available to shareholders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 Income Taxes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recognized a tax benefit of $4 million for the three months ended March 31, 2026, compared to the three months ended March 31, 2025 where we recognized a tax expense of $10 million. Income tax expense was lower in the three months ended March 31, 2026 compared to the first quarter of 2025 primarily due to increased recognition of benefits from previously uncertain tax positions. The recognized amounts for first quarters of 2026 and 2025 were $44 million and $26 million, respectively. We calculate our income tax provision using the estimated annual effective tax rate method in accordance with Accounting Standards Codification “ASC” 740 - Income Taxes.</w:t>
      </w:r>
    </w:p>
    <w:p>
      <w:pPr>
        <w:spacing w:after="0" w:line="211"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a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spacing w:after="0" w:line="19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and cannot predict the timing or outcome regarding the resolutions or if they will have a material impact on our financial statements.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 – Subsequent Events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Declaration of cash dividend</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April 16, 2026, our Board of Directors declared a cash dividend of $0.275 per share of the Company’s ordinary shares, payable on June 4, 2026 to shareholders of record as of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On April 2, 2026, the Company announced its proposal to reorganize the Company’s corporate structure through a redomestication of the parent company from Ireland to the United States as a Texas corporation (“Redomestication”). The proposed redomestication is subject to a number of conditions, including but not limited to the approval by the Company’s shareholders, as well as the sanction of the High Court of Ireland. If approved, the proposed redomestication is expected to take place during the third quarter of 2026.</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20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295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200"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6"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6"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conventional and unconventional wells, deep water, and aging reservoirs. The primary offerings are intervention services &amp; drilling tools, artificial lift, digital solutions, sub-sea intervention and pressure pumping services in select markets.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04"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can be significantly affected by oil and natural gas prices as well as rig counts. As shown in the following tables, as of three months ended March 31, 2026, the average WTI oil price was flat compared to three months ended March 31, 2025 while the average Brent crude oil and Henry Hub natural gas prices were higher than during the three months ended March 31, 2025. Average rig counts decreased during the three months ended March 31, 2026 compared to the three months ended March 31, 2025. Oil and natural gas prices have experienced increased volatility and upward pressure in response to escalating geopolitical conflict involving Iran, the U.S. and Israel (“Iran Conflict”). The Iran Conflict, which began on February 28, 2026, has caused the WTI oil price to increase from $66.96 per barrel on February 27, 2026 to $102.86 per barrel on March 31, 2026 averaging $90.84 per barrel for the month of March and Brent crude oil price to increase from $71.32 per barrel on February 27, 2026 to $126.69 per barrel on March 31, 2026 averaging $102.01 per barrel for the month of March. Despite the higher oil prices, the Iran Conflict may have an adverse impact on exploration and production spending in the Middle East during the period of the conflict and could lead to significant disruption of global energy supplies, adversely affect global supply chains, energy markets and overall macroeconomic conditions.</w:t>
      </w:r>
    </w:p>
    <w:p>
      <w:pPr>
        <w:spacing w:after="0" w:line="20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Developments in global trade policy, tariffs, geopolitical conflicts, sanctions, and regulation have affected and may continue to affect our industry. In February 2026, the U.S. Supreme Court ruled that certain tariffs were unlawful, invalidating the statutory basis for certain incremental tariffs enacted since February 2025, and remanded related matters to the Court of International Trade. Following this ruling, the U.S. presidential administration announced new tariffs under alternative authorities, furthering uncertainty regarding the scope, duration, and potential modification or suspension of existing and future tariffs, as well as possible retaliatory actions. We have filed a claim for a refund of certain tariffs with the Court of International Trade and are monitoring the situation closely for further information about how the U.S. government intends to proceed. Our first quarter 2026 financial results do not include potential benefits of a refund being received related to the forementioned tariffs.</w:t>
      </w:r>
    </w:p>
    <w:p>
      <w:pPr>
        <w:spacing w:after="0" w:line="211"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Brent North Sea (“Brent”) crude oil and Henry Hub natural gas.</w:t>
      </w:r>
    </w:p>
    <w:p>
      <w:pPr>
        <w:spacing w:after="0" w:line="1" w:lineRule="exact"/>
        <w:rPr>
          <w:sz w:val="20"/>
          <w:szCs w:val="20"/>
          <w:color w:val="auto"/>
        </w:rPr>
      </w:pPr>
    </w:p>
    <w:tbl>
      <w:tblPr>
        <w:tblLayout w:type="fixed"/>
        <w:tblInd w:w="2620" w:type="dxa"/>
        <w:tblCellMar>
          <w:top w:w="0" w:type="dxa"/>
          <w:left w:w="0" w:type="dxa"/>
          <w:bottom w:w="0" w:type="dxa"/>
          <w:right w:w="0" w:type="dxa"/>
        </w:tblCellMar>
      </w:tblPr>
      <w:tr>
        <w:trPr>
          <w:trHeight w:val="226"/>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3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r>
      <w:tr>
        <w:trPr>
          <w:trHeight w:val="219"/>
        </w:trPr>
        <w:tc>
          <w:tcPr>
            <w:tcW w:w="3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37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26"/>
        </w:trPr>
        <w:tc>
          <w:tcPr>
            <w:tcW w:w="37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26"/>
        </w:trPr>
        <w:tc>
          <w:tcPr>
            <w:tcW w:w="372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bl>
    <w:p>
      <w:pPr>
        <w:ind w:left="2800" w:hanging="160"/>
        <w:spacing w:after="0" w:line="216" w:lineRule="auto"/>
        <w:tabs>
          <w:tab w:leader="none" w:pos="28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Oil price measured in dollars per barrel (rounded to the nearest $0.01)</w:t>
      </w:r>
    </w:p>
    <w:p>
      <w:pPr>
        <w:spacing w:after="0" w:line="22" w:lineRule="exact"/>
        <w:rPr>
          <w:rFonts w:ascii="Times New Roman" w:cs="Times New Roman" w:eastAsia="Times New Roman" w:hAnsi="Times New Roman"/>
          <w:sz w:val="20"/>
          <w:szCs w:val="20"/>
          <w:color w:val="auto"/>
          <w:vertAlign w:val="superscript"/>
        </w:rPr>
      </w:pPr>
    </w:p>
    <w:p>
      <w:pPr>
        <w:ind w:left="2800" w:right="2460" w:hanging="160"/>
        <w:spacing w:after="0" w:line="208" w:lineRule="auto"/>
        <w:tabs>
          <w:tab w:leader="none" w:pos="2801"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Natural gas price measured in dollars per million British thermal units (rounded to the nearest $0.01)</w:t>
      </w:r>
    </w:p>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8" w:lineRule="exact"/>
        <w:rPr>
          <w:sz w:val="20"/>
          <w:szCs w:val="20"/>
          <w:color w:val="auto"/>
        </w:rPr>
      </w:pPr>
    </w:p>
    <w:tbl>
      <w:tblPr>
        <w:tblLayout w:type="fixed"/>
        <w:tblInd w:w="2560" w:type="dxa"/>
        <w:tblCellMar>
          <w:top w:w="0" w:type="dxa"/>
          <w:left w:w="0" w:type="dxa"/>
          <w:bottom w:w="0" w:type="dxa"/>
          <w:right w:w="0" w:type="dxa"/>
        </w:tblCellMar>
      </w:tblPr>
      <w:tr>
        <w:trPr>
          <w:trHeight w:val="219"/>
        </w:trPr>
        <w:tc>
          <w:tcPr>
            <w:tcW w:w="384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749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6"/>
        </w:trPr>
        <w:tc>
          <w:tcPr>
            <w:tcW w:w="4680" w:type="dxa"/>
            <w:vAlign w:val="bottom"/>
            <w:tcBorders>
              <w:bottom w:val="single" w:sz="8" w:color="auto"/>
            </w:tcBorders>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(1)</w:t>
            </w: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93"/>
              </w:rPr>
              <w:t>1,083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44"/>
        </w:trPr>
        <w:tc>
          <w:tcPr>
            <w:tcW w:w="4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6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3"/>
              </w:rPr>
              <w:t>1,832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ind w:left="2580" w:right="2460" w:firstLine="34"/>
        <w:spacing w:after="0" w:line="206" w:lineRule="auto"/>
        <w:tabs>
          <w:tab w:leader="none" w:pos="27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period international rig count figures were retroactively adjusted by Baker Hughes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Iran Conflict</w:t>
      </w:r>
    </w:p>
    <w:p>
      <w:pPr>
        <w:spacing w:after="0" w:line="247" w:lineRule="exact"/>
        <w:rPr>
          <w:sz w:val="20"/>
          <w:szCs w:val="20"/>
          <w:color w:val="auto"/>
        </w:rPr>
      </w:pPr>
    </w:p>
    <w:p>
      <w:pPr>
        <w:jc w:val="both"/>
        <w:ind w:firstLine="319"/>
        <w:spacing w:after="0" w:line="216" w:lineRule="exact"/>
        <w:rPr>
          <w:sz w:val="20"/>
          <w:szCs w:val="20"/>
          <w:color w:val="auto"/>
        </w:rPr>
      </w:pPr>
      <w:r>
        <w:rPr>
          <w:rFonts w:ascii="Times New Roman" w:cs="Times New Roman" w:eastAsia="Times New Roman" w:hAnsi="Times New Roman"/>
          <w:sz w:val="17"/>
          <w:szCs w:val="17"/>
          <w:color w:val="auto"/>
        </w:rPr>
        <w:t>The Iran Conflict, which began in February 2026, has and could continue to significantly disrupt the global oil and gas supply-demand balance, increase commodity price volatility and heighten uncertainty in regional operating conditions. We continue to evaluate our operations and business exposure, with a priority on the safety and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being of our employees, operating in compliance with applicable laws and sanctions, and performing under existing contracts with customers in the region. Disruptions to transportation routes, higher logistics and insurance costs, and changes in customer activity levels or project timing could affect our operating results, liquidity, and cash flows, particularly if conditions persist or escalate. While the situation remains fluid, adverse impacts can continue in future periods. We will continue to monitor developments and assess potential impacts on our business and financial position.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Revenues in Russia were approximately 7% of our total revenues for the three months ended March 31, 2026, compared to 6% of our total revenue for the three months ended March 31, 2025. As of March 31, 2026, our Russia operations included $106 million in cash, $149 million in other current assets, $100 million in property, plant and equipment, net and other non-current assets, and $82 million in liabilities. As of December 31, 2025, our Russia operations included $107 million in cash, $152 million in other current assets, $91 million in property, plant and equipment, net and other non-current assets, and $80 million in liabilities.</w:t>
      </w:r>
    </w:p>
    <w:p>
      <w:pPr>
        <w:spacing w:after="0" w:line="21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04" w:lineRule="exact"/>
        <w:rPr>
          <w:sz w:val="20"/>
          <w:szCs w:val="20"/>
          <w:color w:val="auto"/>
        </w:rPr>
      </w:pPr>
    </w:p>
    <w:p>
      <w:pPr>
        <w:ind w:left="1280" w:hanging="31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00" w:hanging="318"/>
        <w:spacing w:after="0" w:line="246" w:lineRule="auto"/>
        <w:tabs>
          <w:tab w:leader="none" w:pos="1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ind w:left="1280" w:hanging="31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318"/>
        <w:spacing w:after="0" w:line="246" w:lineRule="auto"/>
        <w:tabs>
          <w:tab w:leader="none" w:pos="1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ind w:left="1280" w:hanging="31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Summary</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Revenues of $1.15 billion in the three months ended March 31, 2026, decreased 3% compared to $1.19 billion in the three months ended March 31, 2025. Year-over-year in the first quarter, product revenues decreased 2% and service revenues decreased 4%. For the same period, revenues declined in the PRI segment by 11% and in the DRE segment by 8%, while remaining largely flat in the WCC segment. Integrated services and projects experienced an increase in activity with revenues increasing by 35%.</w:t>
      </w:r>
    </w:p>
    <w:p>
      <w:pPr>
        <w:spacing w:after="0" w:line="20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Geographically, the year-over-year first quarter revenue decrease was led by declines in North America of 12%, Middle East/North Africa/Asia of 5% and Latin America of 7% and partly offset by a revenue increase of 17% in the Europe/Sub-Sahara Africa/Russia region. Year-over-year revenue decreases were primarily driven by the divestiture of the pressure pumping business in Argentina in the second quarter of 2025 and also impacted by market disruption caused by the Iran Conflict.</w:t>
      </w:r>
    </w:p>
    <w:p>
      <w:pPr>
        <w:spacing w:after="0" w:line="20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Operating income of $123 million in the three months ended March 31, 2026, decreased 13% compared to $142 million in the three months ended March 31, 2025. The first quarter year-over-year decrease was due to the decline in revenue driven by the divestiture of the pressure pumping business in Argentina and market disruptions caused by the Iran Conflict, with a partial offset from lower restructuring and research and development costs.</w:t>
      </w:r>
    </w:p>
    <w:p>
      <w:pPr>
        <w:spacing w:after="0" w:line="20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Cost of products and services of $812 million in the three months ended March 31, 2026, decreased 1% compared to $819 million in the three months ended March 31, 2025. The year-over-year decrease was primarily due to a decline in product sales and a reduction in headcount leading to lower personnel costs. The decrease was partly offset by an increase in depreciation expenses. Our cost of products and services as a percentage of revenues was 71% in the three months ended March 31, 2026 compared to 69% in the three months ended March 31, 2025. The higher cost ratio was primarily due to fixed costs decreasing at a slower rate than revenues.</w:t>
      </w:r>
    </w:p>
    <w:p>
      <w:pPr>
        <w:spacing w:after="0" w:line="21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$189 million in the three months ended March 31, 2026, decreased 1% compared to $190 million in the three months ended March 31, 2025. Selling, general, administrative and research and development costs as a percentage of revenues was 16% in both the three months ended March 31, 2026 and the three months ended March 31, 2025.</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Restructuring charges were $13 million in the three months ended March 31, 2026 and $29 million in the three months ended March 31, 2025. See “Note 4 – Restructuring Charges” for additional information.</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Other Charges, Net were $15 million in the three months ended March 31, 2026 and $13 million in the three months ended March 31, 2025. Other Charges, Net primarily included legal fees related to the Redomestication in the three months ended March 31, 2026 and primarily included fees to third-party financial institutions related to collections of certain receivables from our largest customer in Mexico in the three months ended March 31, 2025.</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Interest Expense, Net was $17 million in the three months ended March 31, 2026 and $26 million in the three months ended March 31, 2025. Interest Expense, Net is interest expense net of interest income.</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Interest expense was $27 million in the three months ended March 31, 2026 and $37 million in the three months ended March 31, 2025. The decrease was primarily due to a lower interest rate following the refinancing of long-term debt in the fourth quarter of 2025 and the reduction in our outstanding long-term debt. Interest income was $10 million in the three months ended March 31, 2026 and $11 million in the three months ended March 31, 2025.</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Other Expense, Net was $1 million in the three months ended March 31, 2026 and $20 million in the three months ended March 31, 2025. Other Expense, Net primarily represents foreign exchange gains and losses in countries with no or limited markets to hedge, letter of credit fees and other financing charges, including bond redemption premiums partially offset by certain investment gains and losses. When economically advantageous, we enter into foreign currency forward contracts to</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mitigate the risk of future cash flows denominated in a foreign currency.</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11 – Income Taxes” to our Condensed Consolidated Financial Statements for additional details.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91"/>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2026</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DRE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WCC</w:t>
            </w:r>
          </w:p>
        </w:tc>
        <w:tc>
          <w:tcPr>
            <w:tcW w:w="940" w:type="dxa"/>
            <w:vAlign w:val="bottom"/>
            <w:tcBorders>
              <w:bottom w:val="single" w:sz="8" w:color="auto"/>
              <w:right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6"/>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6"/>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6"/>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6"/>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6"/>
        </w:trPr>
        <w:tc>
          <w:tcPr>
            <w:tcW w:w="55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13</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6"/>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720" w:hanging="236"/>
        <w:spacing w:after="0"/>
        <w:tabs>
          <w:tab w:leader="none" w:pos="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4" w:lineRule="exact"/>
        <w:rPr>
          <w:rFonts w:ascii="Times New Roman" w:cs="Times New Roman" w:eastAsia="Times New Roman" w:hAnsi="Times New Roman"/>
          <w:sz w:val="16"/>
          <w:szCs w:val="16"/>
          <w:color w:val="auto"/>
        </w:rPr>
      </w:pPr>
    </w:p>
    <w:p>
      <w:pPr>
        <w:ind w:left="720" w:hanging="236"/>
        <w:spacing w:after="0"/>
        <w:tabs>
          <w:tab w:leader="none" w:pos="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3" w:name="page24"/>
    <w:bookmarkEnd w:id="23"/>
    <w:tbl>
      <w:tblPr>
        <w:tblLayout w:type="fixed"/>
        <w:tblInd w:w="32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2025</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DRE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WCC</w:t>
            </w:r>
          </w:p>
        </w:tc>
        <w:tc>
          <w:tcPr>
            <w:tcW w:w="940" w:type="dxa"/>
            <w:vAlign w:val="bottom"/>
            <w:tcBorders>
              <w:bottom w:val="single" w:sz="8" w:color="auto"/>
              <w:right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6"/>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6"/>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6"/>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6"/>
        </w:trPr>
        <w:tc>
          <w:tcPr>
            <w:tcW w:w="55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6"/>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720" w:hanging="236"/>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4" w:lineRule="exact"/>
        <w:rPr>
          <w:rFonts w:ascii="Times New Roman" w:cs="Times New Roman" w:eastAsia="Times New Roman" w:hAnsi="Times New Roman"/>
          <w:sz w:val="16"/>
          <w:szCs w:val="16"/>
          <w:color w:val="auto"/>
        </w:rPr>
      </w:pPr>
    </w:p>
    <w:p>
      <w:pPr>
        <w:ind w:left="720" w:hanging="236"/>
        <w:spacing w:after="0"/>
        <w:tabs>
          <w:tab w:leader="none" w:pos="7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32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DRE Results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91"/>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740" w:type="dxa"/>
            <w:vAlign w:val="bottom"/>
            <w:gridSpan w:val="3"/>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9"/>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6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bps</w:t>
            </w:r>
          </w:p>
        </w:tc>
      </w:tr>
    </w:tbl>
    <w:p>
      <w:pPr>
        <w:spacing w:after="0" w:line="30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DRE revenues of $321 million in the three months ended March 31, 2026, decreased $29 million or 8% compared to $350 million in the three months ended March 31, 2025, respectively.</w:t>
      </w:r>
    </w:p>
    <w:p>
      <w:pPr>
        <w:spacing w:after="0" w:line="190"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Of the first quarter year-over-year revenue decrease, approximately 55% of the decrease was from lower activity in managed pressure drilling and approximately 45% of the decrease from lower activity in wireline. Geographically, within the regions with revenue decreases, approximately 40% of the revenue decrease was from Latin America, approximately 35% of the decrease was from Middle East/North Africa/Asia and approximately 25% of the revenue was from the North America region. This was partly offset by revenue increase in Europe/Sub-Sahara Africa/Russia.</w:t>
      </w:r>
    </w:p>
    <w:p>
      <w:pPr>
        <w:spacing w:after="0" w:line="20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DRE segment adjusted EBITDA of $72 million in the three months ended March 31, 2026, decreased $2 million or 3%, compared to $74 million in the three months ended March 31, 2025, respectively. DRE segment adjusted EBITDA margin was 22.4% in the three months ended March 31, 2026 compared to 21.1% in the three months ended March 31, 2025. The first quarter segment adjusted EBITDA decreased year-over-year primarily due to a decline in overall activity. In the first quarter, both direct costs and other expense decreased along with the decrease in activity. The rate of decrease for direct costs and other expense were higher than the rate of decrease in revenue, contributing to the increase in margin.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24" w:name="page25"/>
    <w:bookmarkEnd w:id="24"/>
    <w:tbl>
      <w:tblPr>
        <w:tblLayout w:type="fixed"/>
        <w:tblInd w:w="3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WCC Results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91"/>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62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6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9"/>
                <w:szCs w:val="19"/>
                <w:color w:val="auto"/>
              </w:rPr>
            </w:pPr>
          </w:p>
        </w:tc>
        <w:tc>
          <w:tcPr>
            <w:tcW w:w="14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bps</w:t>
            </w: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WCC revenues of $443 million in the three months ended March 31, 2026, increased $2 million, or largely flat year over year, compared to $441 million in the three months ended March 31, 2025.</w:t>
      </w:r>
    </w:p>
    <w:p>
      <w:pPr>
        <w:spacing w:after="0" w:line="190"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first quarter year-over-year increase was primarily due to increase of activity in liner hangers which was responsible for approximately 80% of the increase within product lines with revenue increases. This increase was partly offset by a revenue decrease in well services. Geographically, within the regions with revenue increases, approximately 50% of the increase was from North America and approximately 35% of the increase was from the Latin America region. This increase was mostly offset by a revenue decrease in the Middle East/North Africa/Asia region.</w:t>
      </w:r>
    </w:p>
    <w:p>
      <w:pPr>
        <w:spacing w:after="0" w:line="20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WCC segment adjusted EBITDA of $110 million in the three months ended March 31, 2026, decreased $18 million or 14%, compared to $128 million in the three months ended March 31, 2025. WCC segment adjusted EBITDA margin was 24.8% in the three months ended March 31, 2026, compared to 29.0% in the three months ended March 31, 2025. The first quarter segment adjusted EBITDA decreased year-over-year primarily due to an increase in direct operating costs. In the first quarter, both direct costs and other expense increased along with a modest increase in revenue. However, the rate of increase in direct costs and other expense was higher than the rate of increase in revenue, contributing to the decrease in margin.</w:t>
      </w:r>
    </w:p>
    <w:p>
      <w:pPr>
        <w:spacing w:after="0" w:line="20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 Results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91"/>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1600" w:type="dxa"/>
            <w:vAlign w:val="bottom"/>
            <w:gridSpan w:val="3"/>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6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bps</w:t>
            </w:r>
          </w:p>
        </w:tc>
      </w:tr>
    </w:tbl>
    <w:p>
      <w:pPr>
        <w:spacing w:after="0" w:line="30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PRI revenues of $296 million in the three months ended March 31, 2026, decreased $38 million or 11% compared to $334 million in the three months ended March 31, 2025.</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Of the first quarter year-over-year revenue decrease, approximately 65% of the decrease was from lower activity in pressure pumping and approximately 40% of the decrease was attributable to a decline in activity for intervention services and drilling tools. The sale of our pressure pumping business in Argentina in the second quarter of 2025 was the primary contributor to the decline in pressure pumping activity. The decrease in revenue was partly offset by a revenue increase from sub-sea intervention activity. Geographically, within the regions with revenue decreases, approximately 55% of the revenue decrease was from North America and approximately 40% of the revenue decrease was from Latin America. This was partly offset by revenue increase in the Europe/Sub-Sahara Africa/Russia region.</w:t>
      </w:r>
    </w:p>
    <w:p>
      <w:pPr>
        <w:spacing w:after="0" w:line="21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PRI segment adjusted EBITDA of $54 million in the three months ended March 31, 2026, decreased $8 million or 13% compared to $62 million in the three months ended March 31, 2025. PRI segment adjusted EBITDA margin was 18.2% in the three months ended March 31, 2026, compared to 18.6% in the three months ended March 31, 2025. The first quarter segment adjusted EBITDA decreased year-over-year primarily due to a decline in overall activity. Both direct costs and other expense decreased along with the decrease in activity. The rate of decrease for direct costs was higher than the rate of decrease in revenue. However, the rate of decrease in other expense was lower than rate of decrease in revenue, contributing to the decrease</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 margin.</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All Other results were from non-core business activities that do not individually meet the criteria for segment reporting, including integrated services and projects, which includes pass-through and project management services.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All Other revenues were $92 million in the three months ended March 31, 2026, compared to $68 million in the three months ended March 31, 2025. The year-over-year increase was due to higher international activity for integrated services and projects.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Corporate incurred net expense was $16 million in the three months ended March 31, 2026 compared to $15 million in the three months ended March 31, 2025.</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was $70 million in the three months ended March 31, 2026 compared to $62 million in the three months ended March 31, 2025. The year-over-year increase was primarily due to a larger asset base.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recognized $12 million of share-based compensation in the three months ended March 31, 2026 compared to $7 million in the three months ended March 31, 2025. The year-over-year increase was primarily due to the timing of equity grants and increased expense related to performance-based awards.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7"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Growth and spending in the energy services industry is highly dependent on many external factors. These include but are not limited to; the impact from geopolitical conflicts; our customers’ capital expenditures; environmental, social and other sustainability policies and initiatives; world economic, political, trade, and weather conditions; the price of oil, natural gas, and alternatives; member-country quota compliance within the Organization of Petroleum Exporting Countries and the expanded alliance (OPEC+); and, non-OPEC+ investments and project timing. Imbalances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w:t>
      </w:r>
    </w:p>
    <w:p>
      <w:pPr>
        <w:spacing w:after="0" w:line="19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we look forward to the second quarter, market conditions remain uncertain due to evolving trade and tariff policies, geopolitical instability and changes in global supply. During the three months ended March 31, 2026, the conflict in Iran contributed to disruption in the Middle East, including activity delays and higher logistics and transportation costs, and higher commodity prices. We expect the conflict to negatively impact operating income results in the first half of 2026. However, in the event the Iran Conflict is completed by the end of the second quarter, we expect activity to improve in the second half of 2026. As the market works through supply chain constraints, lead times and logistical bottlenecks associated with the conflict, we expect the resulting impacts to become more apparent over the near term, with activity improving as conditions normalize.</w:t>
      </w:r>
    </w:p>
    <w:p>
      <w:pPr>
        <w:spacing w:after="0" w:line="21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Over the mid to long-term, we believe the industry is entering a period of tighter physical oil and gas markets, and we are well positioned to benefit as customers prioritize energy security, capacity additions, redundancy and infrastructure hardening, and as service intensity supports a tightening services environment. While we remain cautious on our activity profile as we calibrate macroeconomic conditions with customer demand, we are confident that our differentiated technologies and market penetration will provide a pathway to long-cycle growth. We continue to closely monitor and adapt to macroeconomic and trade conditions, potential supply chain disruptions, inflationary factors, and other labor and logistical constraints that could impact our operations and results.</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At March 31, 2026, we had cash and cash equivalents of $1,012 million and $38 million in restricted cash, compared to $987 million of cash and cash equivalents and $55 million in restricted cash at December 31, 2025.</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in) each type of business activity in the periods presented:</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7120" w:type="dxa"/>
            <w:vAlign w:val="bottom"/>
          </w:tcPr>
          <w:p>
            <w:pPr>
              <w:spacing w:after="0"/>
              <w:rPr>
                <w:sz w:val="20"/>
                <w:szCs w:val="20"/>
                <w:color w:val="auto"/>
              </w:rPr>
            </w:pPr>
          </w:p>
        </w:tc>
        <w:tc>
          <w:tcPr>
            <w:tcW w:w="2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9"/>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(68)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(56)</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was $136 million for the three months ended March 31, 2026 compared to cash provided by operating activities of $142 million for the three months ended March 31, 2025. The decrease in cash provided by operating activities in the first quarter of 2026 over the same period in 2025 was primarily due to lower accounts receivable collections during the current period, offset by lower payments on accounts payable.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was $68 million for the three months ended March 31, 2026. The primary investing use of cash was for capital expenditures of $54 million. Cash used in investing activities also includes $12 million in equity investments.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was $79 million for the three months ended March 31, 2025. The primary investing activities were cash used for capital expenditures of $77 million.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9" w:lineRule="exact"/>
        <w:rPr>
          <w:sz w:val="20"/>
          <w:szCs w:val="20"/>
          <w:color w:val="auto"/>
        </w:rPr>
      </w:pPr>
    </w:p>
    <w:p>
      <w:pPr>
        <w:jc w:val="both"/>
        <w:ind w:firstLine="319"/>
        <w:spacing w:after="0" w:line="305" w:lineRule="auto"/>
        <w:rPr>
          <w:sz w:val="20"/>
          <w:szCs w:val="20"/>
          <w:color w:val="auto"/>
        </w:rPr>
      </w:pPr>
      <w:r>
        <w:rPr>
          <w:rFonts w:ascii="Times New Roman" w:cs="Times New Roman" w:eastAsia="Times New Roman" w:hAnsi="Times New Roman"/>
          <w:sz w:val="17"/>
          <w:szCs w:val="17"/>
          <w:color w:val="auto"/>
        </w:rPr>
        <w:t>Cash used in financing activities was $56 million for the three months ended March 31, 2026. The primary financing uses of cash were for cash dividends of $20 million, tax remittances on equity awards vested of $17 million and share repurchases of $10 million (see “Note 9 – Shareholders’ Equity”).</w:t>
      </w:r>
    </w:p>
    <w:p>
      <w:pPr>
        <w:spacing w:after="0" w:line="16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was $133 million for the three months ended March 31, 2025. The primary financing uses of cash were share repurchases of $53 million, repayments and repurchases of long-term debt of $39 million, tax remittances on equity awards of $20 million and cash dividends of $18 million.</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4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27" w:name="page28"/>
    <w:bookmarkEnd w:id="27"/>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2025 (“2025 Form 10-K”). Our cash requirements also include payments for our shareholder returns programs described in “Note 9 – Shareholders’ Equity.”</w:t>
      </w:r>
    </w:p>
    <w:p>
      <w:pPr>
        <w:spacing w:after="0" w:line="20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March 31, 2026, we had outstanding debt of $236 million in aggregate principal amount for our 2030 Senior Notes and $1.2 billion in aggregate principal amount for our 2033 Senior Notes. We expect to pay $103 million in interest payments in 2026 specific to these notes. See “Note 7 – Borrowings and Other Debt Obligations” for additional information.</w:t>
      </w:r>
    </w:p>
    <w:p>
      <w:pPr>
        <w:spacing w:after="0" w:line="204"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 rolling period and our 2026 capital spend is projected to be within the same framework. Our payments on our operating and finance leases in 2026 are expected to be approximately $59 million and $37 million, respectively.</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March 31, 2026 and December 31, 2025, we had approximately $145 million and $31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2025 have been maintained as follows:</w:t>
      </w:r>
    </w:p>
    <w:p>
      <w:pPr>
        <w:spacing w:after="0" w:line="25"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Moody's Investors Service maintained a Corporate Family Rating of Ba2 and a positive outlook</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maintained issuer credit ratings of ‘BB;’ with a stable outlook</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 Ratings maintained our issuer credit ratings of ‘BB;’ with a stable outlook</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1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net accounts receivables in Mexico were 28% and 27% of our total net accounts receivables, as of March 31, 2026 and December 31, 2025, respectively, of which our largest customer in the country accounted for 24% of our total net outstanding accounts receivables at each date.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2026 and December 31, 2025, our net accounts receivables in the U.S was 10% and 11% of total net accounts receivables,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above, no other country accounted for more than 10% of our net accounts receivables balance.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the three months ended March 31, 2026 and March 31, 2025, we sold accounts receivable balances of $6 million and $55 million, and received cash proceeds of $6 million and $55 million, respectively, at the time of factoring. The above factoring proceeds were included in Net Cash Provided by Operating Activities in the Condensed Consolidated Statements of Cash Flows.</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8" w:name="page29"/>
    <w:bookmarkEnd w:id="28"/>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2030 Senior Notes were issued by Weatherford International Ltd. (“Weatherford Bermuda”) and guaranteed by the Company and other subsidiary guarantors party thereto. On December 1, 2022, the indenture related to our 2030 Senior Notes was amended and supplemented to add Weatherford International, LLC (now Weatherford US Holding, LLC following a name change effective March 19, 2026, “Weatherford Delaware”) as co-issuer and co-obligor, and concurrently released the guarantee of Weatherford Delaware.</w:t>
      </w:r>
    </w:p>
    <w:p>
      <w:pPr>
        <w:spacing w:after="0" w:line="20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Our 2033 Senior Notes were issued by Weatherford Bermuda and guaranteed by the Company and other subsidiary guarantors party thereto. On October 24, 2025, the indenture related to our 2033 Senior Notes was amended and supplemented to add Weatherford Delaware as co-issuer and co-obligor, and concurrently released the guarantee of Weatherford Delaware.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9" w:lineRule="exact"/>
        <w:rPr>
          <w:sz w:val="20"/>
          <w:szCs w:val="20"/>
          <w:color w:val="auto"/>
        </w:rPr>
      </w:pPr>
    </w:p>
    <w:p>
      <w:pPr>
        <w:jc w:val="both"/>
        <w:ind w:firstLine="319"/>
        <w:spacing w:after="0" w:line="247"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March 31, 2026 and December 31, 2025, the Credit Agreement allowed for a total commitment amount of $1 billion, maturing on the earlier of (a) September 18, 2030 and (b) to the extent that more than $200 million of 2030 Senior Notes or Permitted Refinancing Indebtedness in respect thereof is outstanding on such date, the date that is 91 days prior to the stated maturity date of the 2030 Senior Notes or any Permitted Refinancing Indebtedness in respect thereof.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5"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March 31, 2026, under the Credit Agreement we had zero borrowings, $7 million in financial letters of credit and $257 million in performance letters of credit outstanding. Additionally as of March 31, 2026, we had $193 million letters of credit under various uncommitted bi-lateral facilities ($32 million of which was cash collateral held and recorded in “Restricted Cash” on the Condensed Consolidated Balance Sheets).</w:t>
      </w:r>
    </w:p>
    <w:p>
      <w:pPr>
        <w:spacing w:after="0" w:line="20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December 31, 2025, under the Credit Agreement we had zero borrowings, $7 million in financial letters of credit and $245 million in performance letters of credit outstanding. Additionally as of December 31, 2025, we had $207 million of letters of credit under various uncommitted bi-lateral facilities ($47 million of which was cash collateral held and recorded in “Restricted Cash” on the Condensed Consolidated Balance Sheets).</w:t>
      </w:r>
    </w:p>
    <w:p>
      <w:pPr>
        <w:spacing w:after="0" w:line="20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March 31, 2026 and December 31, 2025, we had surety bonds outstanding of $570 million and $629 million, respectively. Any of our outstanding letters of credit or surety bonds could be called by the beneficiaries should we breach certain contractual or performance obligations and could reduce our available liquidity if we are unable to mitigate the issue.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60" w:lineRule="auto"/>
        <w:rPr>
          <w:sz w:val="20"/>
          <w:szCs w:val="20"/>
          <w:color w:val="auto"/>
        </w:rPr>
      </w:pPr>
      <w:r>
        <w:rPr>
          <w:rFonts w:ascii="Times New Roman" w:cs="Times New Roman" w:eastAsia="Times New Roman" w:hAnsi="Times New Roman"/>
          <w:sz w:val="18"/>
          <w:szCs w:val="18"/>
          <w:color w:val="auto"/>
        </w:rPr>
        <w:t>otherwise, except to the extent required under federal securities laws. The following, together with disclosures under the heading “Item 1A. Risk Factors” in our 2025 Form 10-K, Part I, and “Part II – Other Information – Item 1A. Risk Factors” of this Form 10-Q, sets forth certain risks and uncertainties relating to our forward-looking statements that may cause actual results to be materially different from our present expectations or projections:</w:t>
      </w:r>
    </w:p>
    <w:p>
      <w:pPr>
        <w:spacing w:after="0" w:line="204" w:lineRule="exact"/>
        <w:rPr>
          <w:sz w:val="20"/>
          <w:szCs w:val="20"/>
          <w:color w:val="auto"/>
        </w:rPr>
      </w:pPr>
    </w:p>
    <w:p>
      <w:pPr>
        <w:jc w:val="both"/>
        <w:ind w:left="640" w:hanging="315"/>
        <w:spacing w:after="0" w:line="25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the Iran Conflict and other conflicts in the Middle East);</w:t>
      </w:r>
    </w:p>
    <w:p>
      <w:pPr>
        <w:spacing w:after="0" w:line="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ind w:left="640" w:right="2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 including due to macroeconomic and geopolitical conditions such as tariffs and changes in trade policies;</w:t>
      </w: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ind w:left="640" w:right="2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 and</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21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w:t>
      </w:r>
    </w:p>
    <w:p>
      <w:pPr>
        <w:spacing w:after="0" w:line="200" w:lineRule="exact"/>
        <w:rPr>
          <w:sz w:val="20"/>
          <w:szCs w:val="20"/>
          <w:color w:val="auto"/>
        </w:rPr>
      </w:pP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0" w:name="page31"/>
    <w:bookmarkEnd w:id="30"/>
    <w:p>
      <w:pPr>
        <w:jc w:val="both"/>
        <w:spacing w:after="0" w:line="275" w:lineRule="auto"/>
        <w:rPr>
          <w:sz w:val="20"/>
          <w:szCs w:val="20"/>
          <w:color w:val="auto"/>
        </w:rPr>
      </w:pPr>
      <w:r>
        <w:rPr>
          <w:rFonts w:ascii="Times New Roman" w:cs="Times New Roman" w:eastAsia="Times New Roman" w:hAnsi="Times New Roman"/>
          <w:sz w:val="18"/>
          <w:szCs w:val="18"/>
          <w:color w:val="auto"/>
        </w:rPr>
        <w:t>or should underlying assumptions prove incorrect, our actual results, performance or achievements may vary materially from those described in this report as anticipated, believed, estimated, expected, intended, planned or projected.</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December 31, 2025. For additional information, see Note 7 – Borrowings and Other Debt Obligations” in the Notes to Condensed Consolidated Financial Statements, as well as “Other Expense, Net” and “Liquidity and Capital Resources” under Item 2. Management’s Discussion and Analysis of Financial Condition and Results of Operations.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5"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Disclosure controls and procedures (as defined in Rules 13a-15(e) and 15d-15(e) under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9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and CFO, evaluated the effectiveness of the design and operation of our disclosure controls and procedures at March 31, 2026. Based on that evaluation, our CEO and CFO concluded that our disclosure controls and procedures were effective as of March 31, 2026.</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management identified no change in our internal control over financial reporting that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1" w:name="page32"/>
    <w:bookmarkEnd w:id="3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See “Note 8 – Disputes, Litigation and Legal Contingencies” in our Notes to Condensed Consolidated Financial Statements for details regarding our ongoing disputes and litigation.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2025 Form 10-K, Part I, under the heading “Item 1A. Risk Factors” as supplemented by the risk factors described in our definitive proxy statement on Schedule 14A filed with the SEC on April 21, 2026 and other information included and incorporated by reference in this report. As of March 31, 2026, there have been no material changes in our assessment of our risk factors from the aforementioned.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Following is a summary of our repurchases of our ordinary shares during the three months ended March 31, 2026.</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Maximum Dollar Value of</w:t>
            </w: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21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86"/>
        </w:trPr>
        <w:tc>
          <w:tcPr>
            <w:tcW w:w="18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Period</w:t>
            </w:r>
          </w:p>
        </w:tc>
        <w:tc>
          <w:tcPr>
            <w:tcW w:w="2520" w:type="dxa"/>
            <w:vAlign w:val="bottom"/>
          </w:tcPr>
          <w:p>
            <w:pPr>
              <w:jc w:val="right"/>
              <w:ind w:right="211"/>
              <w:spacing w:after="0" w:line="186" w:lineRule="exact"/>
              <w:rPr>
                <w:sz w:val="20"/>
                <w:szCs w:val="20"/>
                <w:color w:val="auto"/>
              </w:rPr>
            </w:pPr>
            <w:r>
              <w:rPr>
                <w:rFonts w:ascii="Times New Roman" w:cs="Times New Roman" w:eastAsia="Times New Roman" w:hAnsi="Times New Roman"/>
                <w:sz w:val="18"/>
                <w:szCs w:val="18"/>
                <w:color w:val="auto"/>
              </w:rPr>
              <w:t>Total Number of Shares</w:t>
            </w:r>
          </w:p>
        </w:tc>
        <w:tc>
          <w:tcPr>
            <w:tcW w:w="1980" w:type="dxa"/>
            <w:vAlign w:val="bottom"/>
          </w:tcPr>
          <w:p>
            <w:pPr>
              <w:jc w:val="right"/>
              <w:ind w:right="131"/>
              <w:spacing w:after="0" w:line="186" w:lineRule="exact"/>
              <w:rPr>
                <w:sz w:val="20"/>
                <w:szCs w:val="20"/>
                <w:color w:val="auto"/>
              </w:rPr>
            </w:pPr>
            <w:r>
              <w:rPr>
                <w:rFonts w:ascii="Times New Roman" w:cs="Times New Roman" w:eastAsia="Times New Roman" w:hAnsi="Times New Roman"/>
                <w:sz w:val="18"/>
                <w:szCs w:val="18"/>
                <w:color w:val="auto"/>
              </w:rPr>
              <w:t>Average Price Paid per</w:t>
            </w:r>
          </w:p>
        </w:tc>
        <w:tc>
          <w:tcPr>
            <w:tcW w:w="23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Purchased as Part of a Publicly</w:t>
            </w:r>
          </w:p>
        </w:tc>
        <w:tc>
          <w:tcPr>
            <w:tcW w:w="2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Purchased Under the Program</w:t>
            </w:r>
          </w:p>
        </w:tc>
        <w:tc>
          <w:tcPr>
            <w:tcW w:w="0" w:type="dxa"/>
            <w:vAlign w:val="bottom"/>
          </w:tcPr>
          <w:p>
            <w:pPr>
              <w:spacing w:after="0"/>
              <w:rPr>
                <w:sz w:val="1"/>
                <w:szCs w:val="1"/>
                <w:color w:val="auto"/>
              </w:rPr>
            </w:pPr>
          </w:p>
        </w:tc>
      </w:tr>
      <w:tr>
        <w:trPr>
          <w:trHeight w:val="199"/>
        </w:trPr>
        <w:tc>
          <w:tcPr>
            <w:tcW w:w="186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tcPr>
          <w:p>
            <w:pPr>
              <w:jc w:val="right"/>
              <w:ind w:right="691"/>
              <w:spacing w:after="0" w:line="199" w:lineRule="exact"/>
              <w:rPr>
                <w:sz w:val="20"/>
                <w:szCs w:val="20"/>
                <w:color w:val="auto"/>
              </w:rPr>
            </w:pPr>
            <w:r>
              <w:rPr>
                <w:rFonts w:ascii="Times New Roman" w:cs="Times New Roman" w:eastAsia="Times New Roman" w:hAnsi="Times New Roman"/>
                <w:sz w:val="18"/>
                <w:szCs w:val="18"/>
                <w:color w:val="auto"/>
              </w:rPr>
              <w:t>Purchased</w:t>
            </w:r>
          </w:p>
        </w:tc>
        <w:tc>
          <w:tcPr>
            <w:tcW w:w="1980" w:type="dxa"/>
            <w:vAlign w:val="bottom"/>
            <w:tcBorders>
              <w:bottom w:val="single" w:sz="8" w:color="auto"/>
            </w:tcBorders>
          </w:tcPr>
          <w:p>
            <w:pPr>
              <w:jc w:val="right"/>
              <w:ind w:right="731"/>
              <w:spacing w:after="0" w:line="199" w:lineRule="exact"/>
              <w:rPr>
                <w:sz w:val="20"/>
                <w:szCs w:val="20"/>
                <w:color w:val="auto"/>
              </w:rPr>
            </w:pPr>
            <w:r>
              <w:rPr>
                <w:rFonts w:ascii="Times New Roman" w:cs="Times New Roman" w:eastAsia="Times New Roman" w:hAnsi="Times New Roman"/>
                <w:sz w:val="18"/>
                <w:szCs w:val="18"/>
                <w:color w:val="auto"/>
              </w:rPr>
              <w:t>Share</w:t>
            </w:r>
          </w:p>
        </w:tc>
        <w:tc>
          <w:tcPr>
            <w:tcW w:w="230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 xml:space="preserve">Announced Program </w:t>
            </w:r>
            <w:r>
              <w:rPr>
                <w:rFonts w:ascii="Times New Roman" w:cs="Times New Roman" w:eastAsia="Times New Roman" w:hAnsi="Times New Roman"/>
                <w:sz w:val="14"/>
                <w:szCs w:val="14"/>
                <w:color w:val="auto"/>
                <w:w w:val="98"/>
              </w:rPr>
              <w:t>(1)</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2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38,909</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38,909</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$296,593,714</w:t>
            </w:r>
          </w:p>
        </w:tc>
        <w:tc>
          <w:tcPr>
            <w:tcW w:w="0" w:type="dxa"/>
            <w:vAlign w:val="bottom"/>
          </w:tcPr>
          <w:p>
            <w:pPr>
              <w:spacing w:after="0"/>
              <w:rPr>
                <w:sz w:val="1"/>
                <w:szCs w:val="1"/>
                <w:color w:val="auto"/>
              </w:rPr>
            </w:pPr>
          </w:p>
        </w:tc>
      </w:tr>
      <w:tr>
        <w:trPr>
          <w:trHeight w:val="226"/>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1 - 28</w:t>
            </w:r>
          </w:p>
        </w:tc>
        <w:tc>
          <w:tcPr>
            <w:tcW w:w="2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31,758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$293,364,912</w:t>
            </w:r>
          </w:p>
        </w:tc>
        <w:tc>
          <w:tcPr>
            <w:tcW w:w="0" w:type="dxa"/>
            <w:vAlign w:val="bottom"/>
          </w:tcPr>
          <w:p>
            <w:pPr>
              <w:spacing w:after="0"/>
              <w:rPr>
                <w:sz w:val="1"/>
                <w:szCs w:val="1"/>
                <w:color w:val="auto"/>
              </w:rPr>
            </w:pPr>
          </w:p>
        </w:tc>
      </w:tr>
      <w:tr>
        <w:trPr>
          <w:trHeight w:val="226"/>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2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40,462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$289,625,983</w:t>
            </w:r>
          </w:p>
        </w:tc>
        <w:tc>
          <w:tcPr>
            <w:tcW w:w="0" w:type="dxa"/>
            <w:vAlign w:val="bottom"/>
          </w:tcPr>
          <w:p>
            <w:pPr>
              <w:spacing w:after="0"/>
              <w:rPr>
                <w:sz w:val="1"/>
                <w:szCs w:val="1"/>
                <w:color w:val="auto"/>
              </w:rPr>
            </w:pPr>
          </w:p>
        </w:tc>
      </w:tr>
      <w:tr>
        <w:trPr>
          <w:trHeight w:val="21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111,129</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111,129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jc w:val="both"/>
        <w:ind w:left="340" w:right="140" w:firstLine="3"/>
        <w:spacing w:after="0" w:line="207" w:lineRule="auto"/>
        <w:tabs>
          <w:tab w:leader="none" w:pos="52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23, 2024, we announced a program under which we may repurchase our ordinary shares from time to time, up to $500 million through June 2027. Approximately $290 million remained authorized for repurchases as of March 31, 2026. From the inception of this program in July of 2024 through March 31, 2026, we have repurchased approximately 3.0 million ordinary shares for $210 million.</w:t>
      </w: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32" w:name="page33"/>
    <w:bookmarkEnd w:id="3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91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4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186"/>
        </w:trPr>
        <w:tc>
          <w:tcPr>
            <w:tcW w:w="13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†31.1</w:t>
            </w:r>
          </w:p>
        </w:tc>
        <w:tc>
          <w:tcPr>
            <w:tcW w:w="5420" w:type="dxa"/>
            <w:vAlign w:val="bottom"/>
            <w:gridSpan w:val="6"/>
            <w:shd w:val="clear" w:color="auto" w:fill="CCEEFF"/>
          </w:tcPr>
          <w:p>
            <w:pPr>
              <w:ind w:left="120"/>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w:t>
            </w:r>
          </w:p>
        </w:tc>
        <w:tc>
          <w:tcPr>
            <w:tcW w:w="236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1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60" w:type="dxa"/>
            <w:vAlign w:val="bottom"/>
            <w:shd w:val="clear" w:color="auto" w:fill="CCEEFF"/>
          </w:tcPr>
          <w:p>
            <w:pPr>
              <w:spacing w:after="0"/>
              <w:rPr>
                <w:sz w:val="8"/>
                <w:szCs w:val="8"/>
                <w:color w:val="auto"/>
              </w:rPr>
            </w:pPr>
          </w:p>
        </w:tc>
        <w:tc>
          <w:tcPr>
            <w:tcW w:w="5420" w:type="dxa"/>
            <w:vAlign w:val="bottom"/>
            <w:gridSpan w:val="6"/>
            <w:vMerge w:val="restart"/>
            <w:shd w:val="clear" w:color="auto" w:fill="CCEEFF"/>
          </w:tcPr>
          <w:p>
            <w:pPr>
              <w:ind w:left="120"/>
              <w:spacing w:after="0" w:line="153"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36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60" w:type="dxa"/>
            <w:vAlign w:val="bottom"/>
            <w:shd w:val="clear" w:color="auto" w:fill="CCEEFF"/>
          </w:tcPr>
          <w:p>
            <w:pPr>
              <w:spacing w:after="0"/>
              <w:rPr>
                <w:sz w:val="4"/>
                <w:szCs w:val="4"/>
                <w:color w:val="auto"/>
              </w:rPr>
            </w:pPr>
          </w:p>
        </w:tc>
        <w:tc>
          <w:tcPr>
            <w:tcW w:w="5420" w:type="dxa"/>
            <w:vAlign w:val="bottom"/>
            <w:gridSpan w:val="6"/>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5420" w:type="dxa"/>
            <w:vAlign w:val="bottom"/>
            <w:gridSpan w:val="6"/>
          </w:tcPr>
          <w:p>
            <w:pPr>
              <w:ind w:left="120"/>
              <w:spacing w:after="0" w:line="18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c>
          <w:tcPr>
            <w:tcW w:w="2360" w:type="dxa"/>
            <w:vAlign w:val="bottom"/>
          </w:tcPr>
          <w:p>
            <w:pPr>
              <w:spacing w:after="0"/>
              <w:rPr>
                <w:sz w:val="16"/>
                <w:szCs w:val="16"/>
                <w:color w:val="auto"/>
              </w:rPr>
            </w:pPr>
          </w:p>
        </w:tc>
        <w:tc>
          <w:tcPr>
            <w:tcW w:w="21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60" w:type="dxa"/>
            <w:vAlign w:val="bottom"/>
          </w:tcPr>
          <w:p>
            <w:pPr>
              <w:spacing w:after="0"/>
              <w:rPr>
                <w:sz w:val="8"/>
                <w:szCs w:val="8"/>
                <w:color w:val="auto"/>
              </w:rPr>
            </w:pPr>
          </w:p>
        </w:tc>
        <w:tc>
          <w:tcPr>
            <w:tcW w:w="5420" w:type="dxa"/>
            <w:vAlign w:val="bottom"/>
            <w:gridSpan w:val="6"/>
            <w:vMerge w:val="restart"/>
          </w:tcPr>
          <w:p>
            <w:pPr>
              <w:ind w:left="120"/>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60" w:type="dxa"/>
            <w:vAlign w:val="bottom"/>
          </w:tcPr>
          <w:p>
            <w:pPr>
              <w:spacing w:after="0"/>
              <w:rPr>
                <w:sz w:val="4"/>
                <w:szCs w:val="4"/>
                <w:color w:val="auto"/>
              </w:rPr>
            </w:pPr>
          </w:p>
        </w:tc>
        <w:tc>
          <w:tcPr>
            <w:tcW w:w="5420" w:type="dxa"/>
            <w:vAlign w:val="bottom"/>
            <w:gridSpan w:val="6"/>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5420" w:type="dxa"/>
            <w:vAlign w:val="bottom"/>
            <w:gridSpan w:val="6"/>
            <w:shd w:val="clear" w:color="auto" w:fill="CCEEFF"/>
          </w:tcPr>
          <w:p>
            <w:pPr>
              <w:ind w:left="120"/>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2360" w:type="dxa"/>
            <w:vAlign w:val="bottom"/>
            <w:shd w:val="clear" w:color="auto" w:fill="CCEEFF"/>
          </w:tcPr>
          <w:p>
            <w:pPr>
              <w:spacing w:after="0"/>
              <w:rPr>
                <w:sz w:val="16"/>
                <w:szCs w:val="16"/>
                <w:color w:val="auto"/>
              </w:rPr>
            </w:pPr>
          </w:p>
        </w:tc>
        <w:tc>
          <w:tcPr>
            <w:tcW w:w="21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10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60" w:type="dxa"/>
            <w:vAlign w:val="bottom"/>
            <w:shd w:val="clear" w:color="auto" w:fill="CCEEFF"/>
          </w:tcPr>
          <w:p>
            <w:pPr>
              <w:spacing w:after="0"/>
              <w:rPr>
                <w:sz w:val="8"/>
                <w:szCs w:val="8"/>
                <w:color w:val="auto"/>
              </w:rPr>
            </w:pPr>
          </w:p>
        </w:tc>
        <w:tc>
          <w:tcPr>
            <w:tcW w:w="5420" w:type="dxa"/>
            <w:vAlign w:val="bottom"/>
            <w:gridSpan w:val="6"/>
            <w:vMerge w:val="restart"/>
            <w:shd w:val="clear" w:color="auto" w:fill="CCEEFF"/>
          </w:tcPr>
          <w:p>
            <w:pPr>
              <w:ind w:left="120"/>
              <w:spacing w:after="0" w:line="153"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360" w:type="dxa"/>
            <w:vAlign w:val="bottom"/>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60" w:type="dxa"/>
            <w:vAlign w:val="bottom"/>
            <w:shd w:val="clear" w:color="auto" w:fill="CCEEFF"/>
          </w:tcPr>
          <w:p>
            <w:pPr>
              <w:spacing w:after="0"/>
              <w:rPr>
                <w:sz w:val="4"/>
                <w:szCs w:val="4"/>
                <w:color w:val="auto"/>
              </w:rPr>
            </w:pPr>
          </w:p>
        </w:tc>
        <w:tc>
          <w:tcPr>
            <w:tcW w:w="5420" w:type="dxa"/>
            <w:vAlign w:val="bottom"/>
            <w:gridSpan w:val="6"/>
            <w:vMerge w:val="continue"/>
            <w:shd w:val="clear" w:color="auto" w:fill="CCEEFF"/>
          </w:tcPr>
          <w:p>
            <w:pPr>
              <w:spacing w:after="0"/>
              <w:rPr>
                <w:sz w:val="4"/>
                <w:szCs w:val="4"/>
                <w:color w:val="auto"/>
              </w:rPr>
            </w:pPr>
          </w:p>
        </w:tc>
        <w:tc>
          <w:tcPr>
            <w:tcW w:w="236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3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5420" w:type="dxa"/>
            <w:vAlign w:val="bottom"/>
            <w:gridSpan w:val="6"/>
          </w:tcPr>
          <w:p>
            <w:pPr>
              <w:ind w:left="120"/>
              <w:spacing w:after="0" w:line="18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2360" w:type="dxa"/>
            <w:vAlign w:val="bottom"/>
          </w:tcPr>
          <w:p>
            <w:pPr>
              <w:spacing w:after="0"/>
              <w:rPr>
                <w:sz w:val="16"/>
                <w:szCs w:val="16"/>
                <w:color w:val="auto"/>
              </w:rPr>
            </w:pPr>
          </w:p>
        </w:tc>
        <w:tc>
          <w:tcPr>
            <w:tcW w:w="21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60" w:type="dxa"/>
            <w:vAlign w:val="bottom"/>
          </w:tcPr>
          <w:p>
            <w:pPr>
              <w:spacing w:after="0"/>
              <w:rPr>
                <w:sz w:val="8"/>
                <w:szCs w:val="8"/>
                <w:color w:val="auto"/>
              </w:rPr>
            </w:pPr>
          </w:p>
        </w:tc>
        <w:tc>
          <w:tcPr>
            <w:tcW w:w="5420" w:type="dxa"/>
            <w:vAlign w:val="bottom"/>
            <w:gridSpan w:val="6"/>
            <w:vMerge w:val="restart"/>
          </w:tcPr>
          <w:p>
            <w:pPr>
              <w:ind w:left="120"/>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36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360" w:type="dxa"/>
            <w:vAlign w:val="bottom"/>
          </w:tcPr>
          <w:p>
            <w:pPr>
              <w:spacing w:after="0"/>
              <w:rPr>
                <w:sz w:val="4"/>
                <w:szCs w:val="4"/>
                <w:color w:val="auto"/>
              </w:rPr>
            </w:pPr>
          </w:p>
        </w:tc>
        <w:tc>
          <w:tcPr>
            <w:tcW w:w="5420" w:type="dxa"/>
            <w:vAlign w:val="bottom"/>
            <w:gridSpan w:val="6"/>
            <w:vMerge w:val="continue"/>
          </w:tcPr>
          <w:p>
            <w:pPr>
              <w:spacing w:after="0"/>
              <w:rPr>
                <w:sz w:val="4"/>
                <w:szCs w:val="4"/>
                <w:color w:val="auto"/>
              </w:rPr>
            </w:pPr>
          </w:p>
        </w:tc>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3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8"/>
            <w:shd w:val="clear" w:color="auto" w:fill="CCEEFF"/>
          </w:tcPr>
          <w:p>
            <w:pPr>
              <w:ind w:left="120"/>
              <w:spacing w:after="0" w:line="173"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9"/>
        </w:trPr>
        <w:tc>
          <w:tcPr>
            <w:tcW w:w="1360" w:type="dxa"/>
            <w:vAlign w:val="bottom"/>
            <w:shd w:val="clear" w:color="auto" w:fill="CCEEFF"/>
          </w:tcPr>
          <w:p>
            <w:pPr>
              <w:spacing w:after="0"/>
              <w:rPr>
                <w:sz w:val="20"/>
                <w:szCs w:val="20"/>
                <w:color w:val="auto"/>
              </w:rPr>
            </w:pPr>
          </w:p>
        </w:tc>
        <w:tc>
          <w:tcPr>
            <w:tcW w:w="54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3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4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4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4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4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3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4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right="720"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tbl>
      <w:tblPr>
        <w:tblLayout w:type="fixed"/>
        <w:tblInd w:w="600" w:type="dxa"/>
        <w:tblCellMar>
          <w:top w:w="0" w:type="dxa"/>
          <w:left w:w="0" w:type="dxa"/>
          <w:bottom w:w="0" w:type="dxa"/>
          <w:right w:w="0" w:type="dxa"/>
        </w:tblCellMar>
      </w:tblPr>
      <w:tr>
        <w:trPr>
          <w:trHeight w:val="232"/>
        </w:trPr>
        <w:tc>
          <w:tcPr>
            <w:tcW w:w="3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49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2026</w:t>
            </w:r>
          </w:p>
        </w:tc>
        <w:tc>
          <w:tcPr>
            <w:tcW w:w="73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Anuj Dhruv</w:t>
            </w:r>
          </w:p>
        </w:tc>
      </w:tr>
      <w:tr>
        <w:trPr>
          <w:trHeight w:val="214"/>
        </w:trPr>
        <w:tc>
          <w:tcPr>
            <w:tcW w:w="3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Anuj Dhruv</w:t>
            </w:r>
          </w:p>
        </w:tc>
      </w:tr>
      <w:tr>
        <w:trPr>
          <w:trHeight w:val="232"/>
        </w:trPr>
        <w:tc>
          <w:tcPr>
            <w:tcW w:w="3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2026</w:t>
            </w:r>
          </w:p>
        </w:tc>
        <w:tc>
          <w:tcPr>
            <w:tcW w:w="73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Desmond J. Mills</w:t>
            </w:r>
          </w:p>
        </w:tc>
      </w:tr>
      <w:tr>
        <w:trPr>
          <w:trHeight w:val="214"/>
        </w:trPr>
        <w:tc>
          <w:tcPr>
            <w:tcW w:w="3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r>
      <w:tr>
        <w:trPr>
          <w:trHeight w:val="232"/>
        </w:trPr>
        <w:tc>
          <w:tcPr>
            <w:tcW w:w="3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320" w:top="876" w:right="4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2"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66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Anuj Dhruv, certify that:</w:t>
      </w:r>
    </w:p>
    <w:p>
      <w:pPr>
        <w:spacing w:after="0" w:line="112"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48895</wp:posOffset>
            </wp:positionV>
            <wp:extent cx="28924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1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Anuj Dhruv</w:t>
      </w:r>
    </w:p>
    <w:p>
      <w:pPr>
        <w:spacing w:after="0" w:line="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4"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March 31, 2026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18"/>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18"/>
        <w:spacing w:after="0" w:line="275" w:lineRule="auto"/>
        <w:tabs>
          <w:tab w:leader="none" w:pos="12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15240</wp:posOffset>
            </wp:positionV>
            <wp:extent cx="26060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4"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March 31, 2026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18"/>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18"/>
        <w:spacing w:after="0" w:line="269" w:lineRule="auto"/>
        <w:tabs>
          <w:tab w:leader="none" w:pos="12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48895</wp:posOffset>
            </wp:positionV>
            <wp:extent cx="3457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57575" cy="8255"/>
                    </a:xfrm>
                    <a:prstGeom prst="rect">
                      <a:avLst/>
                    </a:prstGeom>
                    <a:noFill/>
                  </pic:spPr>
                </pic:pic>
              </a:graphicData>
            </a:graphic>
          </wp:anchor>
        </w:drawing>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Anuj Dhruv</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2026-04-22T15:40:34Z</dcterms:created>
  <dcterms:modified xsi:type="dcterms:W3CDTF">2026-04-22T15:40:34Z</dcterms:modified>
</cp:coreProperties>
</file>