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333-265636</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15, 2022)</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844,702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155575</wp:posOffset>
            </wp:positionV>
            <wp:extent cx="2263140" cy="1363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1363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9" w:lineRule="exact"/>
        <w:rPr>
          <w:sz w:val="24"/>
          <w:szCs w:val="24"/>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This prospectus supplement relates to the resale from time to time of up to 844,702 ordinary shares of Weatherford International plc, nominal value $0.001 per share (“Ordinary Shares”), by the selling shareholders identified in this prospectus supplement in one or more offerings. We are not selling any</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Ordinary Shares pursuant to this prospectus supplement and will not receive any proceeds from the sale of shares offered by the selling shareholders.</w:t>
      </w:r>
    </w:p>
    <w:p>
      <w:pPr>
        <w:spacing w:after="0" w:line="111" w:lineRule="exact"/>
        <w:rPr>
          <w:sz w:val="24"/>
          <w:szCs w:val="24"/>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selling shareholders or any of their successors may sell Ordinary Shares directly or alternatively through underwriters, broker-dealers or agents they select and in one or more public or private transactions at market prices prevailing at the time of sale, at fixed prices, at negotiated prices, at various prices</w:t>
      </w:r>
    </w:p>
    <w:p>
      <w:pPr>
        <w:spacing w:after="0" w:line="2" w:lineRule="exact"/>
        <w:rPr>
          <w:sz w:val="24"/>
          <w:szCs w:val="24"/>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determined at the time of sale or at prices related to prevailing market prices, as further described herein. If the shares are sold through underwriters, broker-dealers or agents, the selling shareholders or purchasers of the shares will be responsible for underwriting discounts or commissions and broker-dealers’ or agents’ commissions. The timing and amount of any sale is within the sole discretion of the selling shareholders, subject to certain restrictions.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the sales of shares by the selling shareholders pursuant to this prospectus supplement, please read “Plan of Distribution”.</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traded on the Nasdaq Global Select Market (“Nasdaq”) under the symbol “WFRD”.</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read and consider the “Risk Factors” section on page S-6 of this prospectus</w:t>
      </w:r>
    </w:p>
    <w:p>
      <w:pPr>
        <w:spacing w:after="0" w:line="6" w:lineRule="exact"/>
        <w:rPr>
          <w:sz w:val="24"/>
          <w:szCs w:val="24"/>
          <w:color w:val="auto"/>
        </w:rPr>
      </w:pPr>
    </w:p>
    <w:p>
      <w:pP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supplement, as well as the other information contained in or incorporated by reference in this prospectus supplement and the accompanying prospectus, before investing in our Ordinary Shares.</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w:t>
      </w:r>
    </w:p>
    <w:p>
      <w:pPr>
        <w:spacing w:after="0" w:line="6" w:lineRule="exact"/>
        <w:rPr>
          <w:sz w:val="24"/>
          <w:szCs w:val="24"/>
          <w:color w:val="auto"/>
        </w:rPr>
      </w:pPr>
    </w:p>
    <w:p>
      <w:pPr>
        <w:ind w:right="580"/>
        <w:spacing w:after="0" w:line="226" w:lineRule="auto"/>
        <w:rPr>
          <w:sz w:val="20"/>
          <w:szCs w:val="20"/>
          <w:color w:val="auto"/>
        </w:rPr>
      </w:pPr>
      <w:r>
        <w:rPr>
          <w:rFonts w:ascii="Times New Roman" w:cs="Times New Roman" w:eastAsia="Times New Roman" w:hAnsi="Times New Roman"/>
          <w:sz w:val="18"/>
          <w:szCs w:val="18"/>
          <w:b w:val="1"/>
          <w:bCs w:val="1"/>
          <w:color w:val="auto"/>
        </w:rPr>
        <w:t>determined if this prospectus supplement or the accompanying prospectus are truthful or complete. Any representation to the contrary is a criminal offense.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March 1, 2024.</w:t>
      </w:r>
    </w:p>
    <w:p>
      <w:pPr>
        <w:sectPr>
          <w:pgSz w:w="11900" w:h="16838" w:orient="portrait"/>
          <w:cols w:equalWidth="0" w:num="1">
            <w:col w:w="11240"/>
          </w:cols>
          <w:pgMar w:left="320" w:top="1176" w:right="339"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9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1"/>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S-1</w:t>
            </w:r>
          </w:p>
        </w:tc>
        <w:tc>
          <w:tcPr>
            <w:tcW w:w="0" w:type="dxa"/>
            <w:vAlign w:val="bottom"/>
          </w:tcPr>
          <w:p>
            <w:pPr>
              <w:spacing w:after="0"/>
              <w:rPr>
                <w:sz w:val="1"/>
                <w:szCs w:val="1"/>
                <w:color w:val="auto"/>
              </w:rPr>
            </w:pPr>
          </w:p>
        </w:tc>
      </w:tr>
      <w:tr>
        <w:trPr>
          <w:trHeight w:val="329"/>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S-2</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S-5</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S-6</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S-8</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S-11</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S-15</w:t>
            </w:r>
          </w:p>
        </w:tc>
        <w:tc>
          <w:tcPr>
            <w:tcW w:w="0" w:type="dxa"/>
            <w:vAlign w:val="bottom"/>
          </w:tcPr>
          <w:p>
            <w:pPr>
              <w:spacing w:after="0"/>
              <w:rPr>
                <w:sz w:val="1"/>
                <w:szCs w:val="1"/>
                <w:color w:val="auto"/>
              </w:rPr>
            </w:pPr>
          </w:p>
        </w:tc>
      </w:tr>
      <w:tr>
        <w:trPr>
          <w:trHeight w:val="662"/>
        </w:trPr>
        <w:tc>
          <w:tcPr>
            <w:tcW w:w="9600" w:type="dxa"/>
            <w:vAlign w:val="bottom"/>
          </w:tcPr>
          <w:p>
            <w:pPr>
              <w:ind w:left="51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US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Neither we nor the selling shareholders have authorized anyone to provide any information other than that contained or incorporated by</w:t>
      </w:r>
    </w:p>
    <w:p>
      <w:pPr>
        <w:spacing w:after="0" w:line="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b w:val="1"/>
          <w:bCs w:val="1"/>
          <w:color w:val="auto"/>
        </w:rPr>
        <w:t>reference in this prospectus supplement, the accompanying prospectus or in any free writing prospectus prepared by or on behalf of us or the selling shareholders or to which we have referred you. Neither we nor the selling shareholders take responsibility for, or can provide assurance as to the reliability of, any other information that others may give you. This prospectus supplement and the accompanying prospectus is an offer to</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b w:val="1"/>
          <w:bCs w:val="1"/>
          <w:color w:val="auto"/>
        </w:rPr>
        <w:t>sell only the Ordinary Shares offered hereby, but only under circumstances and in jurisdictions where it is lawful to do so. The information contained in this prospectus supplement, the accompanying prospectus, any free writing prospectus or any document incorporated by reference herein or therein is current only as of its date. Our business, financial condition, results of operations and prospects may have changed since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ectPr>
          <w:pgSz w:w="11900" w:h="16838" w:orient="portrait"/>
          <w:cols w:equalWidth="0" w:num="1">
            <w:col w:w="11120"/>
          </w:cols>
          <w:pgMar w:left="320" w:top="13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offering. The second part is the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accompanying prospectus, which describes more general information, some of which may not apply to the offering. You should read both this prospectus supplement and the accompanying prospectus, together with additional information described under the headings “Where You Can Find More Information” and “Incorporation by Reference” in this prospectus supplement. To the extent there is a conflict between the information contained in this prospectus</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supplement and the information contained in the accompanying prospectus or the information contained in any document incorporated by reference herein or therein, you should rely on the information in this prospectus supplement. In addition, any statement in a filing we make with the Securities and Exchange Commission (the “SEC”) that adds to, updates or changes information contained in an earlier filing we made with the SEC shall be deemed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modify and supersede such information in the earlier filing.</w:t>
      </w:r>
    </w:p>
    <w:p>
      <w:pPr>
        <w:spacing w:after="0" w:line="11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Except as otherwise indicated or required by the context, references in this prospectus supplement to “Weatherford,” “we,” “our,” “us” and “Company” refer to Weatherford International plc, an Irish public limited company, together with its consolidated subsidiaries.</w:t>
      </w:r>
    </w:p>
    <w:p>
      <w:pPr>
        <w:spacing w:after="0" w:line="118"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June 15, 2022 are part of the Registration Statement (Registration No. 333-265636) that we filed with the SEC on June 15, 2022, using an automatic “shelf” registration process. This prospectus supplement relates to the offering and sale of Ordinary Shares by the selling shareholders from time to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 European Economic Area</w:t>
      </w:r>
    </w:p>
    <w:p>
      <w:pPr>
        <w:spacing w:after="0" w:line="12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8"/>
          <w:szCs w:val="18"/>
          <w:color w:val="auto"/>
        </w:rPr>
        <w:t>This prospectus is not, and is not intended to be, a prospectus for the purposes of Regulation (EU) 2017/1129 of the European Parliament and of the Council of June 14, 2017 on the prospectus to be published when securities are offered to the public or admitted to trading on a regulated market, as amended (the “EU Prospectus Regulation”), the European Union (Prospectus) Regulations 2019 of Ireland or any other legislation, regulations or rules</w:t>
      </w:r>
    </w:p>
    <w:p>
      <w:pPr>
        <w:spacing w:after="0" w:line="1" w:lineRule="exact"/>
        <w:rPr>
          <w:sz w:val="20"/>
          <w:szCs w:val="20"/>
          <w:color w:val="auto"/>
        </w:rPr>
      </w:pPr>
    </w:p>
    <w:p>
      <w:pPr>
        <w:jc w:val="both"/>
        <w:ind w:right="360"/>
        <w:spacing w:after="0" w:line="218" w:lineRule="auto"/>
        <w:rPr>
          <w:sz w:val="20"/>
          <w:szCs w:val="20"/>
          <w:color w:val="auto"/>
        </w:rPr>
      </w:pPr>
      <w:r>
        <w:rPr>
          <w:rFonts w:ascii="Times New Roman" w:cs="Times New Roman" w:eastAsia="Times New Roman" w:hAnsi="Times New Roman"/>
          <w:sz w:val="18"/>
          <w:szCs w:val="18"/>
          <w:color w:val="auto"/>
        </w:rPr>
        <w:t>of Ireland or any other member state of the European Economic Area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spacing w:after="0" w:line="91"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8"/>
          <w:szCs w:val="18"/>
          <w:color w:val="auto"/>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persons or entities which are “qualified investors” for the purposes of the EU Prospectus Regulation (“EEA Qualified Investors”), (ii) for a total consideration of</w:t>
      </w:r>
    </w:p>
    <w:p>
      <w:pPr>
        <w:ind w:right="500"/>
        <w:spacing w:after="0" w:line="211" w:lineRule="auto"/>
        <w:rPr>
          <w:sz w:val="20"/>
          <w:szCs w:val="20"/>
          <w:color w:val="auto"/>
        </w:rPr>
      </w:pPr>
      <w:r>
        <w:rPr>
          <w:rFonts w:ascii="Times New Roman" w:cs="Times New Roman" w:eastAsia="Times New Roman" w:hAnsi="Times New Roman"/>
          <w:sz w:val="18"/>
          <w:szCs w:val="18"/>
          <w:color w:val="auto"/>
        </w:rPr>
        <w:t>not less than €100,000 (or $ equivalent thereof) per investor and/or (iii) in any other circumstance set out in Article 1(4)(a)-(d) of the EU Prospectus Regulation. The Company has not authorized, nor does it authorize, the offering or sale (including any subsequent re-sale) of any Ordinary Shares to</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persons or entities in any member state of the EEA, including through financial intermediaries, in any circumstances that might obligate the Company to publish a prospectus pursuant to the EU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w:t>
      </w:r>
    </w:p>
    <w:p>
      <w:pPr>
        <w:sectPr>
          <w:pgSz w:w="11900" w:h="16838" w:orient="portrait"/>
          <w:cols w:equalWidth="0" w:num="1">
            <w:col w:w="11220"/>
          </w:cols>
          <w:pgMar w:left="320" w:top="11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9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Certain statements made in this prospectus supplement and the accompanying prospectus and the documents incorporated herein and therein by reference and in other written or oral statements made by us or on our behalf are “forward-looking statements” within the meaning of the Private Securities Litigation</w:t>
      </w:r>
    </w:p>
    <w:p>
      <w:pPr>
        <w:spacing w:after="0" w:line="222" w:lineRule="auto"/>
        <w:rPr>
          <w:sz w:val="20"/>
          <w:szCs w:val="20"/>
          <w:color w:val="auto"/>
        </w:rPr>
      </w:pPr>
      <w:r>
        <w:rPr>
          <w:rFonts w:ascii="Times New Roman" w:cs="Times New Roman" w:eastAsia="Times New Roman" w:hAnsi="Times New Roman"/>
          <w:sz w:val="18"/>
          <w:szCs w:val="18"/>
          <w:color w:val="auto"/>
        </w:rPr>
        <w:t>Reform Act of 1995 (“PSLRA”). These forward-looking statements generally are identified by the words “believe,” “project,” “expect,” “anticipate,”</w:t>
      </w:r>
    </w:p>
    <w:p>
      <w:pPr>
        <w:ind w:right="160"/>
        <w:spacing w:after="0" w:line="220" w:lineRule="auto"/>
        <w:rPr>
          <w:sz w:val="20"/>
          <w:szCs w:val="20"/>
          <w:color w:val="auto"/>
        </w:rPr>
      </w:pPr>
      <w:r>
        <w:rPr>
          <w:rFonts w:ascii="Times New Roman" w:cs="Times New Roman" w:eastAsia="Times New Roman" w:hAnsi="Times New Roman"/>
          <w:sz w:val="17"/>
          <w:szCs w:val="17"/>
          <w:color w:val="auto"/>
        </w:rPr>
        <w:t>“estimate,” “intend,” “budget,” “strategy,” “plan,” “guidance,” “outlook,” “may,” “should,” “could,” “will,” “would,” “will be,” “will continue,” “will likely result,” and similar expressions, although not all forward-looking statements contain these identifying words. In particular, these include statements relating to future financial performance and results, business strategy, plans, goals and objectives, including certain projections, business trends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that are not historical facts. We claim the protection afforded by the safe harbor for forward-looking statements provided by the PSLRA.</w:t>
      </w:r>
    </w:p>
    <w:p>
      <w:pPr>
        <w:spacing w:after="0" w:line="165"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w:t>
      </w:r>
    </w:p>
    <w:p>
      <w:pPr>
        <w:spacing w:after="0" w:line="2"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18"/>
          <w:szCs w:val="18"/>
          <w:color w:val="auto"/>
        </w:rPr>
        <w:t>uncertainties. Accordingly, our actual outcomes and results may differ materially from what we have expressed or forecasted in the forward-looking statements. The forward-looking statements included herein are only made as of the date hereof, or if earlier, as of the date they were made, and we undertake no obligation to correct, update or revise any forward-looking statement, whether as a result of new information, future events, or otherwise,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except to the extent required under federal securities laws. The following, together with disclosures in our Annual Report on Form 10-K for the fiscal year ended December 31, 2023 (the “2023 Form 10-K”), and to the extent applicable, other documents filed with the SEC, sets forth certain risks and uncertainties relating to our forward-looking statements that may cause actual results to be materially different from our present expectations or projections:</w:t>
      </w:r>
    </w:p>
    <w:p>
      <w:pPr>
        <w:spacing w:after="0" w:line="172" w:lineRule="exact"/>
        <w:rPr>
          <w:sz w:val="20"/>
          <w:szCs w:val="20"/>
          <w:color w:val="auto"/>
        </w:rPr>
      </w:pPr>
    </w:p>
    <w:p>
      <w:pPr>
        <w:ind w:left="660" w:right="36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military conflict between Russia and Ukraine (the “Russia Ukraine Conflict”);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we face, including those related to the other risks and uncertainties listed or referenced;</w:t>
      </w:r>
    </w:p>
    <w:p>
      <w:pPr>
        <w:spacing w:after="0" w:line="171" w:lineRule="exact"/>
        <w:rPr>
          <w:rFonts w:ascii="Times New Roman" w:cs="Times New Roman" w:eastAsia="Times New Roman" w:hAnsi="Times New Roman"/>
          <w:sz w:val="18"/>
          <w:szCs w:val="18"/>
          <w:color w:val="auto"/>
        </w:rPr>
      </w:pPr>
    </w:p>
    <w:p>
      <w:pPr>
        <w:ind w:left="660" w:right="28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58"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49"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the business of our company, customers, suppliers and other partners;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2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1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w:t>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98" w:lineRule="exact"/>
        <w:rPr>
          <w:rFonts w:ascii="Times New Roman" w:cs="Times New Roman" w:eastAsia="Times New Roman" w:hAnsi="Times New Roman"/>
          <w:sz w:val="18"/>
          <w:szCs w:val="18"/>
          <w:color w:val="auto"/>
        </w:rPr>
      </w:pPr>
    </w:p>
    <w:p>
      <w:pPr>
        <w:ind w:left="660" w:right="360" w:hanging="328"/>
        <w:spacing w:after="0" w:line="22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184" w:lineRule="exact"/>
        <w:rPr>
          <w:rFonts w:ascii="Times New Roman" w:cs="Times New Roman" w:eastAsia="Times New Roman" w:hAnsi="Times New Roman"/>
          <w:sz w:val="18"/>
          <w:szCs w:val="18"/>
          <w:color w:val="auto"/>
        </w:rPr>
      </w:pPr>
    </w:p>
    <w:p>
      <w:pPr>
        <w:ind w:left="660" w:right="380" w:hanging="328"/>
        <w:spacing w:after="0" w:line="23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17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Securities Exchange Act of 1934, as amended (the “Exchange Act”), and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S-3</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accordingly, file annual, quarterly and periodic reports, proxy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statements and other information with the SEC. Our SEC filings, including our registration statement on Form S-3, are available to you, free of charge, on the SEC’s website at www.sec.gov. Our SEC filings will also be available on our website at www.weatherford.com. The information contained on or linked to or from our website is not incorporated by reference into this prospectus supplement, the accompanying prospectus or the registration statement of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form a part.</w:t>
      </w:r>
    </w:p>
    <w:p>
      <w:pPr>
        <w:spacing w:after="0" w:line="111"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We have filed with the SEC an automatic shelf registration statement on Form S-3, including exhibits filed with the registration statement of which this prospectus supplement is a part, under the Securities Act, with respect to the Ordinary Shares offered hereby. This prospectus supplement and the</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accompanying prospectus do not contain all of the information set forth in the registration statement and exhibits to the registration statement. For further information with respect to our Company and the Ordinary Shares offered hereby, reference is made to the registration statement, including the exhibits to the registration statement. Statements contained in this prospectus supplement and the accompanying prospectus as to the contents of any contract or other</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document referred to in this prospectus supplement and the accompanying prospectus are not necessarily complete and, where that contract is an exhibit to the registration statement, each statement is qualified in all respects by the exhibit to which the reference relates. Copies of the registration statement, including the exhibits to the registration statement, may be reviewed through the SEC’s website, as described above.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35"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filed with the SEC. This prospectus supplement does not contain all of the information included in the registration statement, certain parts of which are omitted in accordance with the rules and regulations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111"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The SEC allows us to “incorporate by reference” certain information into this prospectus supplement from certain documents that we filed with the SEC prior to the date of this prospectus supplement. By incorporating by reference, we are disclosing important information to you by referring you to</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documents we have filed separately with the SEC. The information incorporated by reference is deemed to be part of this prospectus supplement and the accompanying prospectus, except for information incorporated by reference that is modified or superseded by information contained in this prospectus supplement or the accompanying prospectus or in any other subsequently filed document that also is incorporated by reference herein. Any statement so</w:t>
      </w:r>
    </w:p>
    <w:p>
      <w:pPr>
        <w:spacing w:after="0" w:line="2" w:lineRule="exact"/>
        <w:rPr>
          <w:sz w:val="20"/>
          <w:szCs w:val="20"/>
          <w:color w:val="auto"/>
        </w:rPr>
      </w:pPr>
    </w:p>
    <w:p>
      <w:pPr>
        <w:ind w:right="780"/>
        <w:spacing w:after="0" w:line="226" w:lineRule="auto"/>
        <w:rPr>
          <w:sz w:val="20"/>
          <w:szCs w:val="20"/>
          <w:color w:val="auto"/>
        </w:rPr>
      </w:pPr>
      <w:r>
        <w:rPr>
          <w:rFonts w:ascii="Times New Roman" w:cs="Times New Roman" w:eastAsia="Times New Roman" w:hAnsi="Times New Roman"/>
          <w:sz w:val="18"/>
          <w:szCs w:val="18"/>
          <w:color w:val="auto"/>
        </w:rPr>
        <w:t>modified or superseded will not be deemed, except as so modified or superseded, to be part of this prospectus supplement and the accompanying prospectus. These documents contain important information about us, our business and our financial performance.</w:t>
      </w:r>
    </w:p>
    <w:p>
      <w:pPr>
        <w:spacing w:after="0" w:line="238" w:lineRule="exact"/>
        <w:rPr>
          <w:sz w:val="20"/>
          <w:szCs w:val="20"/>
          <w:color w:val="auto"/>
        </w:rPr>
      </w:pPr>
    </w:p>
    <w:p>
      <w:pPr>
        <w:ind w:left="760" w:hanging="428"/>
        <w:spacing w:after="0"/>
        <w:tabs>
          <w:tab w:leader="none" w:pos="760" w:val="left"/>
        </w:tabs>
        <w:numPr>
          <w:ilvl w:val="0"/>
          <w:numId w:val="3"/>
        </w:numPr>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 xml:space="preserve">Our 2023 Form 10-K for the year ended December 31, 2023, filed with the SEC on February 7, </w:t>
        </w:r>
      </w:hyperlink>
      <w:r>
        <w:rPr>
          <w:rFonts w:ascii="Times New Roman" w:cs="Times New Roman" w:eastAsia="Times New Roman" w:hAnsi="Times New Roman"/>
          <w:sz w:val="18"/>
          <w:szCs w:val="18"/>
          <w:color w:val="auto"/>
        </w:rPr>
        <w:t>2024;</w:t>
      </w:r>
    </w:p>
    <w:p>
      <w:pPr>
        <w:spacing w:after="0" w:line="130" w:lineRule="exact"/>
        <w:rPr>
          <w:rFonts w:ascii="Times New Roman" w:cs="Times New Roman" w:eastAsia="Times New Roman" w:hAnsi="Times New Roman"/>
          <w:sz w:val="18"/>
          <w:szCs w:val="18"/>
          <w:color w:val="auto"/>
        </w:rPr>
      </w:pPr>
    </w:p>
    <w:p>
      <w:pPr>
        <w:ind w:left="660" w:right="60" w:hanging="328"/>
        <w:spacing w:after="0" w:line="231" w:lineRule="auto"/>
        <w:tabs>
          <w:tab w:leader="none" w:pos="762" w:val="left"/>
        </w:tabs>
        <w:numPr>
          <w:ilvl w:val="0"/>
          <w:numId w:val="3"/>
        </w:numPr>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The description of Weatherford’s Ordinary Shares contained in its Registration Statement on Form 10, as filed with the SEC on March 29, 2021,</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color w:val="auto"/>
          </w:rPr>
          <w:t>as updated by Exhibit 4.1 to our 2023 Form 10-K, and any amendment or report filed with the SEC for the purpose of updating such description;</w:t>
        </w:r>
      </w:hyperlink>
      <w:r>
        <w:rPr>
          <w:rFonts w:ascii="Times New Roman" w:cs="Times New Roman" w:eastAsia="Times New Roman" w:hAnsi="Times New Roman"/>
          <w:sz w:val="18"/>
          <w:szCs w:val="18"/>
          <w:color w:val="auto"/>
        </w:rPr>
        <w:t xml:space="preserve"> and</w:t>
      </w:r>
    </w:p>
    <w:p>
      <w:pPr>
        <w:spacing w:after="0" w:line="104"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
        <w:r>
          <w:rPr>
            <w:rFonts w:ascii="Times New Roman" w:cs="Times New Roman" w:eastAsia="Times New Roman" w:hAnsi="Times New Roman"/>
            <w:sz w:val="18"/>
            <w:szCs w:val="18"/>
            <w:color w:val="auto"/>
          </w:rPr>
          <w:t xml:space="preserve">January 22, 2024, </w:t>
        </w:r>
      </w:hyperlink>
      <w:hyperlink r:id="rId12">
        <w:r>
          <w:rPr>
            <w:rFonts w:ascii="Times New Roman" w:cs="Times New Roman" w:eastAsia="Times New Roman" w:hAnsi="Times New Roman"/>
            <w:sz w:val="18"/>
            <w:szCs w:val="18"/>
            <w:color w:val="auto"/>
          </w:rPr>
          <w:t xml:space="preserve">February 6, 2024, </w:t>
        </w:r>
      </w:hyperlink>
      <w:r>
        <w:rPr>
          <w:rFonts w:ascii="Times New Roman" w:cs="Times New Roman" w:eastAsia="Times New Roman" w:hAnsi="Times New Roman"/>
          <w:sz w:val="18"/>
          <w:szCs w:val="18"/>
          <w:color w:val="auto"/>
        </w:rPr>
        <w:t xml:space="preserve">and </w:t>
      </w:r>
      <w:hyperlink r:id="rId13">
        <w:r>
          <w:rPr>
            <w:rFonts w:ascii="Times New Roman" w:cs="Times New Roman" w:eastAsia="Times New Roman" w:hAnsi="Times New Roman"/>
            <w:sz w:val="18"/>
            <w:szCs w:val="18"/>
            <w:color w:val="auto"/>
          </w:rPr>
          <w:t xml:space="preserve">March 1, 2024 </w:t>
        </w:r>
      </w:hyperlink>
      <w:r>
        <w:rPr>
          <w:rFonts w:ascii="Times New Roman" w:cs="Times New Roman" w:eastAsia="Times New Roman" w:hAnsi="Times New Roman"/>
          <w:sz w:val="18"/>
          <w:szCs w:val="18"/>
          <w:color w:val="auto"/>
        </w:rPr>
        <w:t>(other than any portions thereof deemed furnished and not filed).</w:t>
      </w:r>
    </w:p>
    <w:p>
      <w:pPr>
        <w:spacing w:after="0" w:line="118" w:lineRule="exact"/>
        <w:rPr>
          <w:rFonts w:ascii="Times New Roman" w:cs="Times New Roman" w:eastAsia="Times New Roman" w:hAnsi="Times New Roman"/>
          <w:sz w:val="18"/>
          <w:szCs w:val="18"/>
          <w:color w:val="auto"/>
        </w:rPr>
      </w:pPr>
    </w:p>
    <w:p>
      <w:pPr>
        <w:ind w:right="60"/>
        <w:spacing w:after="0" w:line="213" w:lineRule="auto"/>
        <w:rPr>
          <w:sz w:val="20"/>
          <w:szCs w:val="20"/>
          <w:color w:val="auto"/>
        </w:rPr>
      </w:pPr>
      <w:r>
        <w:rPr>
          <w:rFonts w:ascii="Times New Roman" w:cs="Times New Roman" w:eastAsia="Times New Roman" w:hAnsi="Times New Roman"/>
          <w:sz w:val="18"/>
          <w:szCs w:val="18"/>
          <w:color w:val="auto"/>
        </w:rPr>
        <w:t>We also specifically incorporate by reference any documents filed by us with the SEC pursuant to Sections 13(a), 13(c), 14 or 15(d) of the Exchange Act after the date we file this prospectus supplement and prior to the termination of the offering of securities covered by this prospectus supplement, except for any document or portion thereof deemed to be “furnished” and not filed in accordance with SEC rules. The information relating to us contained in this prospectus supplement does not purport to be comprehensive and should be read together with the information contained in the documents incorporated or</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deemed to be incorporated by reference herein.</w:t>
      </w:r>
    </w:p>
    <w:p>
      <w:pPr>
        <w:spacing w:after="0" w:line="111" w:lineRule="exact"/>
        <w:rPr>
          <w:rFonts w:ascii="Times New Roman" w:cs="Times New Roman" w:eastAsia="Times New Roman" w:hAnsi="Times New Roman"/>
          <w:sz w:val="18"/>
          <w:szCs w:val="18"/>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herein. Such documents will be provided to you free of charge, but will not contain any exhibits, unless those exhibits are incorporated by reference into the document.</w:t>
      </w:r>
    </w:p>
    <w:p>
      <w:pPr>
        <w:spacing w:after="0" w:line="2" w:lineRule="exact"/>
        <w:rPr>
          <w:rFonts w:ascii="Times New Roman" w:cs="Times New Roman" w:eastAsia="Times New Roman" w:hAnsi="Times New Roman"/>
          <w:sz w:val="18"/>
          <w:szCs w:val="18"/>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Requests can be made by writing to our U.S. Investor Relations Department at Weatherford International plc, Attention: Investor Relations, 2000 St. James Place, Houston, Texas 77056 or by phone at (713) 836-4000. The documents may also be accessed on our website at www.weatherford.com. Information contained on our website is not incorporated by reference into this prospectus supplement, the accompanying prospectus or the registration statement of</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which they form a part.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220"/>
          </w:cols>
          <w:pgMar w:left="320" w:top="11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i w:val="1"/>
          <w:iCs w:val="1"/>
          <w:color w:val="auto"/>
        </w:rPr>
        <w:t>This summary is not complete and does not contain all of the information that you should consider before investing in our Ordinary Shares. You should</w:t>
      </w:r>
    </w:p>
    <w:p>
      <w:pPr>
        <w:spacing w:after="0" w:line="1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i w:val="1"/>
          <w:iCs w:val="1"/>
          <w:color w:val="auto"/>
        </w:rPr>
        <w:t>read carefully this entire prospectus supplement and the accompanying prospectus, including the information incorporated by reference from our 2023 Form 10-K and the other incorporated documents, including in particular the section entitled “Risk Factors” of this prospectus supplement and in such incorporated documents, as well as our consolidated financial statements, incorporated by reference in this prospectus supplement and the accompanying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 before making any investment decision.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is a leading global energy services company providing equipment and services used in the drilling, evaluation, well construction, completion,</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production, intervention and responsible abandonment of wells in the oil and natural gas exploration and production industry as well as new energy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business in approximately 75 countries, answering the challenges of the energy industry with 335 operating locations including manufacturing,</w:t>
      </w:r>
    </w:p>
    <w:p>
      <w:pPr>
        <w:spacing w:after="0" w:line="1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229"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Weatherford is incorporated in Ireland and is the ultimate parent company of the Weatherford group of companies. Our principal executive offices are located at 2000 St. James Place, Houston, Texas and our telephone number is (713) 836-4000 and our website is www.weatherford.com.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S-5</w:t>
      </w:r>
    </w:p>
    <w:p>
      <w:pPr>
        <w:sectPr>
          <w:pgSz w:w="11900" w:h="16838" w:orient="portrait"/>
          <w:cols w:equalWidth="0" w:num="1">
            <w:col w:w="11200"/>
          </w:cols>
          <w:pgMar w:left="320" w:top="11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An investment in Ordinary Shares involves a high degree of risk. You should carefully consider all of the information contained in, or incorporated by</w:t>
      </w:r>
    </w:p>
    <w:p>
      <w:pPr>
        <w:spacing w:after="0" w:line="14"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reference into, this prospectus supplement and the accompanying prospectus, including the risk factors incorporated by reference in this prospectus supplement from our 2023 Form 10-K under the heading “Risk Factors” and the audited annual financial statements and notes thereto, as updated by our subsequent filings under the Exchange Act, before purchasing Ordinary Shares. See “Where You Can Find More Information” for information about how</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to obtain a copy of these documents. If any of those risks are realized, our business, financial condition, operating results and prospects could be materially and adversely affected. In that event, the price of Ordinary Shares could decline, and you could lose part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S-6</w:t>
      </w:r>
    </w:p>
    <w:p>
      <w:pPr>
        <w:sectPr>
          <w:pgSz w:w="11900" w:h="16838" w:orient="portrait"/>
          <w:cols w:equalWidth="0" w:num="1">
            <w:col w:w="11180"/>
          </w:cols>
          <w:pgMar w:left="320" w:top="11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All of the Ordinary Shares offered by this prospectus supplement will be sold by the selling shareholders. We will not receive any cash proceeds from any resale of Ordinary Shares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S-7</w:t>
      </w:r>
    </w:p>
    <w:p>
      <w:pPr>
        <w:sectPr>
          <w:pgSz w:w="11900" w:h="16838" w:orient="portrait"/>
          <w:cols w:equalWidth="0" w:num="1">
            <w:col w:w="11100"/>
          </w:cols>
          <w:pgMar w:left="320" w:top="111"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3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Up to 844,702 Ordinary Shares are being offered by this prospectus, all of which are being offered for resale for the account of the selling shareholders.</w:t>
      </w:r>
    </w:p>
    <w:p>
      <w:pPr>
        <w:spacing w:after="0" w:line="14"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The Ordinary Shares being offered by the selling shareholders were issued, or will be issued, as the case may be, in private placements in connection with our acquisition of ISI Holding Company, LLC (“ISI”) and Probe Technologies Holdings, Inc. (“Probe”) pursuant to those certain merger agreements, dated as of February 1, 2024, by and among the Company, ISI and Probe, respectively, and Turnbridge Capital Management, LLC, as sellers’ representative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(collectively, the “Merger Agreements”), and pursuant to those certain transaction bonus letter agreements, by and between the Company and certain of the selling shareholders (the “Transaction Bonus Agreements”), collectively with the Merger Agreements, the “Transaction Documents”). The 844,702 Ordinary Shares issued pursuant to the Transaction Documents represent a portion of the base purchase price payable pursuant to the Merger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shares issuable in connection with certain legacy change of control arrangements of Probe, as set forth in the Transaction Bonus Agreements.</w:t>
      </w:r>
    </w:p>
    <w:p>
      <w:pPr>
        <w:spacing w:after="0" w:line="1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Pursuant to the Transaction Documents, we are obligated to prepare and file a registration statement, or a prospectus supplement to an existing registration statement, to permit the resale from time to time as permitted by Rule 415 promulgated under the Securities Act, of Ordinary Shares acquired by the selling</w:t>
      </w:r>
    </w:p>
    <w:p>
      <w:pPr>
        <w:ind w:right="180"/>
        <w:spacing w:after="0" w:line="208" w:lineRule="auto"/>
        <w:rPr>
          <w:sz w:val="20"/>
          <w:szCs w:val="20"/>
          <w:color w:val="auto"/>
        </w:rPr>
      </w:pPr>
      <w:r>
        <w:rPr>
          <w:rFonts w:ascii="Times New Roman" w:cs="Times New Roman" w:eastAsia="Times New Roman" w:hAnsi="Times New Roman"/>
          <w:sz w:val="18"/>
          <w:szCs w:val="18"/>
          <w:color w:val="auto"/>
        </w:rPr>
        <w:t>shareholders pursuant to the Transaction Documents. Accordingly, this prospectus supplement is being filed to register the resale of the Ordinary Shares described herein. We have agreed to use reasonable best efforts to maintain the effectiveness of the registration statement until all such Ordinary Shares have been sold or may be sold pursuant to Rule 144 without regard to volume or manner of sale limitations, public information requirements or notice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requirements.</w:t>
      </w:r>
    </w:p>
    <w:p>
      <w:pPr>
        <w:spacing w:after="0" w:line="11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As of the date of this prospectus supplement the distribution and sale of the Ordinary Shares are subject to “lock-up” restrictions, which expire on March 2, 2024. In addition, certain affiliates of Turnbridge Capital Management, LLC will be subject to “leak-out” restrictions pursuant to which distributions and</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sales by such affiliates will be limited to 20% of the aggregate number of Ordinary Shares received pursuant to the Merger Agreements during each successive calendar week following the expiration of the lock-up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each selling shareholder for whom we are registering shares for resale to the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public, and the number of Ordinary Shares that each selling shareholder may offer pursuant to this prospectus. We have prepared this information and the following table based on information given to us by, or on behalf of, the selling shareholders on or before the date of this prospectus. We have not independently verified this information. Information about the selling shareholders may change over time. As used in this prospectus, unless otherwise</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noted or the context otherwise requires, the term “selling shareholders” includes the selling shareholders listed below and their respective transferees, pledgees, assignees, distributees, beneficiaries, donees and successors-in-interest and any other person named as a selling shareholder in any applicable prospectus supplement. We may amend or supplement this prospectus from time to time in the future to update or change information about the selling</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shareholders to identify any transferees, pledgees, assignees, distributees, beneficiaries, donees and successors-in-interest of Ordinary Shares. The registration of Ordinary Shares does not necessarily mean that the selling shareholders will sell all or any of the Ordinary Shares pursuant to this prospectus. In addition, the selling shareholders may have sold, transferred or otherwise disposed of, or may sell, transfer or otherwise dispose of, at any</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time and from time to time, Ordinary Shares in transactions exempt from the registration requirements of the Securities Act after the date on which the selling shareholders provided the information set forth on the table below. To our knowledge, except as indicated in the footnotes to this table, the selling shareholders listed below have sole voting and investment power with respect to the indicated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S-8</w:t>
      </w:r>
    </w:p>
    <w:p>
      <w:pPr>
        <w:sectPr>
          <w:pgSz w:w="11900" w:h="16838" w:orient="portrait"/>
          <w:cols w:equalWidth="0" w:num="1">
            <w:col w:w="11200"/>
          </w:cols>
          <w:pgMar w:left="320" w:top="11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580" w:type="dxa"/>
            <w:vAlign w:val="bottom"/>
            <w:tcBorders>
              <w:top w:val="single" w:sz="8" w:color="auto"/>
              <w:left w:val="single" w:sz="8" w:color="auto"/>
              <w:right w:val="single" w:sz="8" w:color="auto"/>
            </w:tcBorders>
            <w:shd w:val="clear" w:color="auto" w:fill="DBDBDB"/>
          </w:tcPr>
          <w:p>
            <w:pPr>
              <w:spacing w:after="0"/>
              <w:rPr>
                <w:sz w:val="15"/>
                <w:szCs w:val="15"/>
                <w:color w:val="auto"/>
              </w:rPr>
            </w:pPr>
          </w:p>
        </w:tc>
        <w:tc>
          <w:tcPr>
            <w:tcW w:w="3000" w:type="dxa"/>
            <w:vAlign w:val="bottom"/>
            <w:tcBorders>
              <w:top w:val="single" w:sz="8" w:color="auto"/>
            </w:tcBorders>
            <w:gridSpan w:val="2"/>
            <w:shd w:val="clear" w:color="auto" w:fill="DBDBDB"/>
          </w:tcPr>
          <w:p>
            <w:pPr>
              <w:jc w:val="center"/>
              <w:ind w:left="159"/>
              <w:spacing w:after="0" w:line="175" w:lineRule="exact"/>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260" w:type="dxa"/>
            <w:vAlign w:val="bottom"/>
            <w:tcBorders>
              <w:top w:val="single" w:sz="8" w:color="auto"/>
              <w:right w:val="single" w:sz="8" w:color="auto"/>
            </w:tcBorders>
            <w:shd w:val="clear" w:color="auto" w:fill="DBDBDB"/>
          </w:tcPr>
          <w:p>
            <w:pPr>
              <w:spacing w:after="0"/>
              <w:rPr>
                <w:sz w:val="15"/>
                <w:szCs w:val="15"/>
                <w:color w:val="auto"/>
              </w:rPr>
            </w:pPr>
          </w:p>
        </w:tc>
        <w:tc>
          <w:tcPr>
            <w:tcW w:w="1540" w:type="dxa"/>
            <w:vAlign w:val="bottom"/>
            <w:tcBorders>
              <w:top w:val="single" w:sz="8" w:color="auto"/>
              <w:right w:val="single" w:sz="8" w:color="auto"/>
            </w:tcBorders>
            <w:shd w:val="clear" w:color="auto" w:fill="DBDBDB"/>
          </w:tcPr>
          <w:p>
            <w:pPr>
              <w:spacing w:after="0"/>
              <w:rPr>
                <w:sz w:val="15"/>
                <w:szCs w:val="15"/>
                <w:color w:val="auto"/>
              </w:rPr>
            </w:pPr>
          </w:p>
        </w:tc>
        <w:tc>
          <w:tcPr>
            <w:tcW w:w="3420" w:type="dxa"/>
            <w:vAlign w:val="bottom"/>
            <w:tcBorders>
              <w:top w:val="single" w:sz="8" w:color="auto"/>
              <w:right w:val="single" w:sz="8" w:color="auto"/>
            </w:tcBorders>
            <w:gridSpan w:val="2"/>
            <w:shd w:val="clear" w:color="auto" w:fill="DBDBDB"/>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3000" w:type="dxa"/>
            <w:vAlign w:val="bottom"/>
            <w:tcBorders>
              <w:bottom w:val="single" w:sz="8" w:color="auto"/>
            </w:tcBorders>
            <w:gridSpan w:val="2"/>
            <w:shd w:val="clear" w:color="auto" w:fill="DBDBDB"/>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Prior to this Offering</w:t>
            </w:r>
          </w:p>
        </w:tc>
        <w:tc>
          <w:tcPr>
            <w:tcW w:w="260" w:type="dxa"/>
            <w:vAlign w:val="bottom"/>
            <w:tcBorders>
              <w:bottom w:val="single" w:sz="8" w:color="auto"/>
              <w:right w:val="single" w:sz="8" w:color="auto"/>
            </w:tcBorders>
            <w:shd w:val="clear" w:color="auto" w:fill="DBDBDB"/>
          </w:tcPr>
          <w:p>
            <w:pPr>
              <w:spacing w:after="0"/>
              <w:rPr>
                <w:sz w:val="18"/>
                <w:szCs w:val="18"/>
                <w:color w:val="auto"/>
              </w:rPr>
            </w:pPr>
          </w:p>
        </w:tc>
        <w:tc>
          <w:tcPr>
            <w:tcW w:w="1540" w:type="dxa"/>
            <w:vAlign w:val="bottom"/>
            <w:tcBorders>
              <w:bottom w:val="single" w:sz="8" w:color="auto"/>
              <w:right w:val="single" w:sz="8" w:color="auto"/>
            </w:tcBorders>
            <w:shd w:val="clear" w:color="auto" w:fill="DBDBDB"/>
          </w:tcPr>
          <w:p>
            <w:pPr>
              <w:spacing w:after="0"/>
              <w:rPr>
                <w:sz w:val="18"/>
                <w:szCs w:val="18"/>
                <w:color w:val="auto"/>
              </w:rPr>
            </w:pPr>
          </w:p>
        </w:tc>
        <w:tc>
          <w:tcPr>
            <w:tcW w:w="3420" w:type="dxa"/>
            <w:vAlign w:val="bottom"/>
            <w:tcBorders>
              <w:bottom w:val="single" w:sz="8" w:color="auto"/>
              <w:right w:val="single" w:sz="8" w:color="auto"/>
            </w:tcBorders>
            <w:gridSpan w:val="2"/>
            <w:shd w:val="clear" w:color="auto" w:fill="DBDBDB"/>
          </w:tcPr>
          <w:p>
            <w:pPr>
              <w:jc w:val="right"/>
              <w:ind w:right="939"/>
              <w:spacing w:after="0" w:line="216" w:lineRule="exact"/>
              <w:rPr>
                <w:sz w:val="20"/>
                <w:szCs w:val="20"/>
                <w:color w:val="auto"/>
              </w:rPr>
            </w:pPr>
            <w:r>
              <w:rPr>
                <w:rFonts w:ascii="Times New Roman" w:cs="Times New Roman" w:eastAsia="Times New Roman" w:hAnsi="Times New Roman"/>
                <w:sz w:val="16"/>
                <w:szCs w:val="16"/>
                <w:b w:val="1"/>
                <w:bCs w:val="1"/>
                <w:color w:val="auto"/>
              </w:rPr>
              <w:t>After this Offering</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56"/>
        </w:trPr>
        <w:tc>
          <w:tcPr>
            <w:tcW w:w="258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360" w:type="dxa"/>
            <w:vAlign w:val="bottom"/>
          </w:tcPr>
          <w:p>
            <w:pPr>
              <w:jc w:val="center"/>
              <w:ind w:left="159"/>
              <w:spacing w:after="0" w:line="15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74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258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36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0" w:type="dxa"/>
            <w:vAlign w:val="bottom"/>
          </w:tcPr>
          <w:p>
            <w:pPr>
              <w:spacing w:after="0"/>
              <w:rPr>
                <w:sz w:val="1"/>
                <w:szCs w:val="1"/>
                <w:color w:val="auto"/>
              </w:rPr>
            </w:pPr>
          </w:p>
        </w:tc>
      </w:tr>
      <w:tr>
        <w:trPr>
          <w:trHeight w:val="162"/>
        </w:trPr>
        <w:tc>
          <w:tcPr>
            <w:tcW w:w="2580" w:type="dxa"/>
            <w:vAlign w:val="bottom"/>
            <w:tcBorders>
              <w:left w:val="single" w:sz="8" w:color="auto"/>
              <w:right w:val="single" w:sz="8" w:color="auto"/>
            </w:tcBorders>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Name of</w:t>
            </w:r>
          </w:p>
        </w:tc>
        <w:tc>
          <w:tcPr>
            <w:tcW w:w="164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Class</w:t>
            </w:r>
          </w:p>
        </w:tc>
        <w:tc>
          <w:tcPr>
            <w:tcW w:w="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74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162"/>
        </w:trPr>
        <w:tc>
          <w:tcPr>
            <w:tcW w:w="2580" w:type="dxa"/>
            <w:vAlign w:val="bottom"/>
            <w:tcBorders>
              <w:left w:val="single" w:sz="8" w:color="auto"/>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3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Being</w:t>
            </w:r>
          </w:p>
        </w:tc>
        <w:tc>
          <w:tcPr>
            <w:tcW w:w="1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1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1640" w:type="dxa"/>
            <w:vAlign w:val="bottom"/>
            <w:tcBorders>
              <w:bottom w:val="single" w:sz="8" w:color="auto"/>
              <w:right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360" w:type="dxa"/>
            <w:vAlign w:val="bottom"/>
            <w:tcBorders>
              <w:bottom w:val="single" w:sz="8" w:color="auto"/>
            </w:tcBorders>
          </w:tcPr>
          <w:p>
            <w:pPr>
              <w:jc w:val="center"/>
              <w:ind w:left="139"/>
              <w:spacing w:after="0" w:line="216" w:lineRule="exact"/>
              <w:rPr>
                <w:sz w:val="20"/>
                <w:szCs w:val="20"/>
                <w:color w:val="auto"/>
              </w:rPr>
            </w:pPr>
            <w:r>
              <w:rPr>
                <w:rFonts w:ascii="Times New Roman" w:cs="Times New Roman" w:eastAsia="Times New Roman" w:hAnsi="Times New Roman"/>
                <w:sz w:val="16"/>
                <w:szCs w:val="16"/>
                <w:b w:val="1"/>
                <w:bCs w:val="1"/>
                <w:color w:val="auto"/>
                <w:w w:val="94"/>
              </w:rPr>
              <w:t>Owned</w:t>
            </w:r>
            <w:r>
              <w:rPr>
                <w:rFonts w:ascii="Times New Roman" w:cs="Times New Roman" w:eastAsia="Times New Roman" w:hAnsi="Times New Roman"/>
                <w:sz w:val="21"/>
                <w:szCs w:val="21"/>
                <w:b w:val="1"/>
                <w:bCs w:val="1"/>
                <w:color w:val="auto"/>
                <w:w w:val="94"/>
                <w:vertAlign w:val="superscript"/>
              </w:rPr>
              <w:t>(2)</w:t>
            </w:r>
          </w:p>
        </w:tc>
        <w:tc>
          <w:tcPr>
            <w:tcW w:w="2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Owned</w:t>
            </w:r>
            <w:r>
              <w:rPr>
                <w:rFonts w:ascii="Times New Roman" w:cs="Times New Roman" w:eastAsia="Times New Roman" w:hAnsi="Times New Roman"/>
                <w:sz w:val="21"/>
                <w:szCs w:val="21"/>
                <w:b w:val="1"/>
                <w:bCs w:val="1"/>
                <w:color w:val="auto"/>
                <w:w w:val="94"/>
                <w:vertAlign w:val="superscript"/>
              </w:rPr>
              <w:t>(2)</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TCP Impact Blocker, Inc.</w:t>
            </w:r>
            <w:r>
              <w:rPr>
                <w:rFonts w:ascii="Times New Roman" w:cs="Times New Roman" w:eastAsia="Times New Roman" w:hAnsi="Times New Roman"/>
                <w:sz w:val="21"/>
                <w:szCs w:val="21"/>
                <w:color w:val="auto"/>
                <w:vertAlign w:val="superscript"/>
              </w:rPr>
              <w:t>(3)</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69,828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69,828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2580" w:type="dxa"/>
            <w:vAlign w:val="bottom"/>
            <w:tcBorders>
              <w:left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Turnbridge Network Investors I, L.P.</w:t>
            </w:r>
          </w:p>
        </w:tc>
        <w:tc>
          <w:tcPr>
            <w:tcW w:w="164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14,695</w:t>
            </w:r>
          </w:p>
        </w:tc>
        <w:tc>
          <w:tcPr>
            <w:tcW w:w="1360" w:type="dxa"/>
            <w:vAlign w:val="bottom"/>
          </w:tcPr>
          <w:p>
            <w:pPr>
              <w:spacing w:after="0"/>
              <w:rPr>
                <w:sz w:val="13"/>
                <w:szCs w:val="13"/>
                <w:color w:val="auto"/>
              </w:rPr>
            </w:pPr>
          </w:p>
        </w:tc>
        <w:tc>
          <w:tcPr>
            <w:tcW w:w="26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7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2580" w:type="dxa"/>
            <w:vAlign w:val="bottom"/>
            <w:tcBorders>
              <w:left w:val="single" w:sz="8" w:color="auto"/>
              <w:right w:val="single" w:sz="8" w:color="auto"/>
            </w:tcBorders>
          </w:tcPr>
          <w:p>
            <w:pPr>
              <w:ind w:left="80"/>
              <w:spacing w:after="0" w:line="108" w:lineRule="exact"/>
              <w:rPr>
                <w:sz w:val="20"/>
                <w:szCs w:val="20"/>
                <w:color w:val="auto"/>
              </w:rPr>
            </w:pPr>
            <w:r>
              <w:rPr>
                <w:rFonts w:ascii="Times New Roman" w:cs="Times New Roman" w:eastAsia="Times New Roman" w:hAnsi="Times New Roman"/>
                <w:sz w:val="11"/>
                <w:szCs w:val="11"/>
                <w:color w:val="auto"/>
              </w:rPr>
              <w:t>(4)</w:t>
            </w:r>
          </w:p>
        </w:tc>
        <w:tc>
          <w:tcPr>
            <w:tcW w:w="1640" w:type="dxa"/>
            <w:vAlign w:val="bottom"/>
            <w:tcBorders>
              <w:right w:val="single" w:sz="8" w:color="auto"/>
            </w:tcBorders>
            <w:vMerge w:val="continue"/>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vMerge w:val="continue"/>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vMerge w:val="continue"/>
          </w:tcPr>
          <w:p>
            <w:pPr>
              <w:spacing w:after="0"/>
              <w:rPr>
                <w:sz w:val="4"/>
                <w:szCs w:val="4"/>
                <w:color w:val="auto"/>
              </w:rPr>
            </w:pPr>
          </w:p>
        </w:tc>
        <w:tc>
          <w:tcPr>
            <w:tcW w:w="1740" w:type="dxa"/>
            <w:vAlign w:val="bottom"/>
            <w:tcBorders>
              <w:bottom w:val="single" w:sz="8" w:color="auto"/>
              <w:right w:val="single" w:sz="8" w:color="auto"/>
            </w:tcBorders>
            <w:vMerge w:val="continue"/>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Turnbridge Capital Partners I, L.P.</w:t>
            </w:r>
            <w:r>
              <w:rPr>
                <w:rFonts w:ascii="Times New Roman" w:cs="Times New Roman" w:eastAsia="Times New Roman" w:hAnsi="Times New Roman"/>
                <w:sz w:val="21"/>
                <w:szCs w:val="21"/>
                <w:color w:val="auto"/>
                <w:vertAlign w:val="superscript"/>
              </w:rPr>
              <w:t>(4)</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395,792</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395,792</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580" w:type="dxa"/>
            <w:vAlign w:val="bottom"/>
            <w:tcBorders>
              <w:left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Turnbridge Capital Partners I-A, L.P.</w:t>
            </w:r>
          </w:p>
        </w:tc>
        <w:tc>
          <w:tcPr>
            <w:tcW w:w="1640" w:type="dxa"/>
            <w:vAlign w:val="bottom"/>
            <w:tcBorders>
              <w:right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rPr>
              <w:t>20,963</w:t>
            </w:r>
          </w:p>
        </w:tc>
        <w:tc>
          <w:tcPr>
            <w:tcW w:w="1360" w:type="dxa"/>
            <w:vAlign w:val="bottom"/>
          </w:tcPr>
          <w:p>
            <w:pPr>
              <w:spacing w:after="0"/>
              <w:rPr>
                <w:sz w:val="13"/>
                <w:szCs w:val="13"/>
                <w:color w:val="auto"/>
              </w:rPr>
            </w:pPr>
          </w:p>
        </w:tc>
        <w:tc>
          <w:tcPr>
            <w:tcW w:w="26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20,963</w:t>
            </w:r>
          </w:p>
        </w:tc>
        <w:tc>
          <w:tcPr>
            <w:tcW w:w="174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2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(4)</w:t>
            </w:r>
          </w:p>
        </w:tc>
        <w:tc>
          <w:tcPr>
            <w:tcW w:w="164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TCP Probe CIV, L.P.</w:t>
            </w:r>
            <w:r>
              <w:rPr>
                <w:rFonts w:ascii="Times New Roman" w:cs="Times New Roman" w:eastAsia="Times New Roman" w:hAnsi="Times New Roman"/>
                <w:sz w:val="21"/>
                <w:szCs w:val="21"/>
                <w:color w:val="auto"/>
                <w:vertAlign w:val="superscript"/>
              </w:rPr>
              <w:t>(4)</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15,050</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Gary Cresswell</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7,883</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David Lane</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91,811</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91,811</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6"/>
                <w:szCs w:val="16"/>
                <w:color w:val="auto"/>
              </w:rPr>
              <w:t>August Scherer</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15,864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Jeffrey Kimberly</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39,078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39,078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James Massey</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4,934</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John Charles Hall</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38,343</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38,343</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Jason Allen Hradecky</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38,365</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38,365</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Stephen A. Smith</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15,187</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Christopher Morgan</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Alistair Inglis</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2,268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Adam Shuttleworth</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1,433</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Melaina Frederick</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795</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Glenn Neblett</w:t>
            </w:r>
            <w:r>
              <w:rPr>
                <w:rFonts w:ascii="Times New Roman" w:cs="Times New Roman" w:eastAsia="Times New Roman" w:hAnsi="Times New Roman"/>
                <w:sz w:val="21"/>
                <w:szCs w:val="21"/>
                <w:color w:val="auto"/>
                <w:vertAlign w:val="superscript"/>
              </w:rPr>
              <w:t>(6)</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19,938</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Victor Clark</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18,210</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Martin Barratt</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Bulent Finci</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Dallas Middlebrooks</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Kevin Gerland</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2,177</w:t>
            </w:r>
          </w:p>
        </w:tc>
        <w:tc>
          <w:tcPr>
            <w:tcW w:w="136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Federico A. Casavantes Jr.</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11,141</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 xml:space="preserve">Dodger Enterprises </w:t>
            </w:r>
            <w:r>
              <w:rPr>
                <w:rFonts w:ascii="Times New Roman" w:cs="Times New Roman" w:eastAsia="Times New Roman" w:hAnsi="Times New Roman"/>
                <w:sz w:val="21"/>
                <w:szCs w:val="21"/>
                <w:color w:val="auto"/>
                <w:vertAlign w:val="superscript"/>
              </w:rPr>
              <w:t>(5) (7)</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4,378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Archdog Enterprises</w:t>
            </w:r>
            <w:r>
              <w:rPr>
                <w:rFonts w:ascii="Times New Roman" w:cs="Times New Roman" w:eastAsia="Times New Roman" w:hAnsi="Times New Roman"/>
                <w:sz w:val="21"/>
                <w:szCs w:val="21"/>
                <w:color w:val="auto"/>
                <w:vertAlign w:val="superscript"/>
              </w:rPr>
              <w:t>(5) (8)</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821</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2580" w:type="dxa"/>
            <w:vAlign w:val="bottom"/>
            <w:tcBorders>
              <w:left w:val="single" w:sz="8" w:color="auto"/>
              <w:right w:val="single" w:sz="8" w:color="auto"/>
            </w:tcBorders>
            <w:shd w:val="clear" w:color="auto" w:fill="DBDBDB"/>
          </w:tcPr>
          <w:p>
            <w:pPr>
              <w:ind w:left="80"/>
              <w:spacing w:after="0" w:line="155" w:lineRule="exact"/>
              <w:rPr>
                <w:sz w:val="20"/>
                <w:szCs w:val="20"/>
                <w:color w:val="auto"/>
              </w:rPr>
            </w:pPr>
            <w:r>
              <w:rPr>
                <w:rFonts w:ascii="Times New Roman" w:cs="Times New Roman" w:eastAsia="Times New Roman" w:hAnsi="Times New Roman"/>
                <w:sz w:val="16"/>
                <w:szCs w:val="16"/>
                <w:color w:val="auto"/>
              </w:rPr>
              <w:t>South Forty Investment Group,</w:t>
            </w:r>
          </w:p>
        </w:tc>
        <w:tc>
          <w:tcPr>
            <w:tcW w:w="1640" w:type="dxa"/>
            <w:vAlign w:val="bottom"/>
            <w:tcBorders>
              <w:right w:val="single" w:sz="8" w:color="auto"/>
            </w:tcBorders>
            <w:shd w:val="clear" w:color="auto" w:fill="DBDBDB"/>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rPr>
              <w:t>176</w:t>
            </w:r>
          </w:p>
        </w:tc>
        <w:tc>
          <w:tcPr>
            <w:tcW w:w="1360" w:type="dxa"/>
            <w:vAlign w:val="bottom"/>
            <w:shd w:val="clear" w:color="auto" w:fill="DBDBDB"/>
          </w:tcPr>
          <w:p>
            <w:pPr>
              <w:spacing w:after="0"/>
              <w:rPr>
                <w:sz w:val="13"/>
                <w:szCs w:val="13"/>
                <w:color w:val="auto"/>
              </w:rPr>
            </w:pPr>
          </w:p>
        </w:tc>
        <w:tc>
          <w:tcPr>
            <w:tcW w:w="260" w:type="dxa"/>
            <w:vAlign w:val="bottom"/>
            <w:tcBorders>
              <w:right w:val="single" w:sz="8" w:color="auto"/>
            </w:tcBorders>
            <w:shd w:val="clear" w:color="auto" w:fill="DBDBDB"/>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DBDBDB"/>
          </w:tcPr>
          <w:p>
            <w:pPr>
              <w:jc w:val="right"/>
              <w:spacing w:after="0" w:line="155" w:lineRule="exact"/>
              <w:rPr>
                <w:sz w:val="20"/>
                <w:szCs w:val="20"/>
                <w:color w:val="auto"/>
              </w:rPr>
            </w:pPr>
            <w:r>
              <w:rPr>
                <w:rFonts w:ascii="Times New Roman" w:cs="Times New Roman" w:eastAsia="Times New Roman" w:hAnsi="Times New Roman"/>
                <w:sz w:val="16"/>
                <w:szCs w:val="16"/>
                <w:color w:val="auto"/>
              </w:rPr>
              <w:t>176</w:t>
            </w:r>
          </w:p>
        </w:tc>
        <w:tc>
          <w:tcPr>
            <w:tcW w:w="1740" w:type="dxa"/>
            <w:vAlign w:val="bottom"/>
            <w:tcBorders>
              <w:right w:val="single" w:sz="8" w:color="auto"/>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right w:val="single" w:sz="8" w:color="auto"/>
            </w:tcBorders>
            <w:shd w:val="clear" w:color="auto" w:fill="DBDBDB"/>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bottom w:val="single" w:sz="8" w:color="auto"/>
              <w:right w:val="single" w:sz="8" w:color="auto"/>
            </w:tcBorders>
            <w:shd w:val="clear" w:color="auto" w:fill="DBDBDB"/>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LLC</w:t>
            </w:r>
            <w:r>
              <w:rPr>
                <w:rFonts w:ascii="Times New Roman" w:cs="Times New Roman" w:eastAsia="Times New Roman" w:hAnsi="Times New Roman"/>
                <w:sz w:val="9"/>
                <w:szCs w:val="9"/>
                <w:color w:val="auto"/>
              </w:rPr>
              <w:t>(5) (9)</w:t>
            </w:r>
          </w:p>
        </w:tc>
        <w:tc>
          <w:tcPr>
            <w:tcW w:w="1640" w:type="dxa"/>
            <w:vAlign w:val="bottom"/>
            <w:tcBorders>
              <w:bottom w:val="single" w:sz="8" w:color="auto"/>
              <w:right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spacing w:after="0"/>
              <w:rPr>
                <w:sz w:val="18"/>
                <w:szCs w:val="18"/>
                <w:color w:val="auto"/>
              </w:rPr>
            </w:pPr>
          </w:p>
        </w:tc>
        <w:tc>
          <w:tcPr>
            <w:tcW w:w="1540" w:type="dxa"/>
            <w:vAlign w:val="bottom"/>
            <w:tcBorders>
              <w:bottom w:val="single" w:sz="8" w:color="auto"/>
              <w:right w:val="single" w:sz="8" w:color="auto"/>
            </w:tcBorders>
            <w:shd w:val="clear" w:color="auto" w:fill="DBDBDB"/>
          </w:tcPr>
          <w:p>
            <w:pPr>
              <w:spacing w:after="0"/>
              <w:rPr>
                <w:sz w:val="18"/>
                <w:szCs w:val="18"/>
                <w:color w:val="auto"/>
              </w:rPr>
            </w:pPr>
          </w:p>
        </w:tc>
        <w:tc>
          <w:tcPr>
            <w:tcW w:w="1740" w:type="dxa"/>
            <w:vAlign w:val="bottom"/>
            <w:tcBorders>
              <w:bottom w:val="single" w:sz="8" w:color="auto"/>
              <w:right w:val="single" w:sz="8" w:color="auto"/>
            </w:tcBorders>
            <w:vMerge w:val="continue"/>
            <w:shd w:val="clear" w:color="auto" w:fill="DBDBDB"/>
          </w:tcPr>
          <w:p>
            <w:pPr>
              <w:spacing w:after="0"/>
              <w:rPr>
                <w:sz w:val="18"/>
                <w:szCs w:val="18"/>
                <w:color w:val="auto"/>
              </w:rPr>
            </w:pPr>
          </w:p>
        </w:tc>
        <w:tc>
          <w:tcPr>
            <w:tcW w:w="168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Cresswell Investments, LLC</w:t>
            </w:r>
            <w:r>
              <w:rPr>
                <w:rFonts w:ascii="Times New Roman" w:cs="Times New Roman" w:eastAsia="Times New Roman" w:hAnsi="Times New Roman"/>
                <w:sz w:val="21"/>
                <w:szCs w:val="21"/>
                <w:color w:val="auto"/>
                <w:vertAlign w:val="superscript"/>
              </w:rPr>
              <w:t>(10)</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less than 1%.</w:t>
      </w:r>
    </w:p>
    <w:p>
      <w:pPr>
        <w:spacing w:after="0" w:line="217"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each selling shareholder will resell all of the Ordinary Shares offered hereunder.</w:t>
      </w:r>
    </w:p>
    <w:p>
      <w:pPr>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72,319,168 Ordinary Shares outstanding as of February 26, 2024.</w:t>
      </w:r>
    </w:p>
    <w:p>
      <w:pPr>
        <w:jc w:val="both"/>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TCP Impact Blocker, Inc. is a wholly owned subsidiary of Turnbridge Capital Partners I-A, L.P. Todd M. Tomlin is the President of TCP Impact Blocker Inc and may be deemed to have sole voting and investment power with respect to the shares held by TCP Impact Blocker, Inc. Turnbridge Capital GP I, LLC is the general partner of Turnbridge Capital Partners I-A, L.P., and J. Kent Sweezey, John Clarke, C. Mitchell Cox and Robert Horton are the members of Turnbridge Capital GP I, LLC.</w:t>
      </w:r>
    </w:p>
    <w:p>
      <w:pPr>
        <w:ind w:left="50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these individuals disclaims beneficial ownership of the securities.</w:t>
      </w:r>
    </w:p>
    <w:p>
      <w:pPr>
        <w:ind w:left="500" w:right="4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Turnbridge Capital GP I, LLC is the general partner of Turnbridge Network Investors I, L.P., Turnbridge Capital Partners I, L.P., Turnbridge Capital Partners I-A, L.P., and TCP Probe CIV, L.P. J. Kent Sweezey, John Clarke, C. Mitchell Cox and Robert Horton are the members of Turnbridge Capital GP I, LLC and have shared voting and investment power with respect to the shares held by Turnbridge Network Investors I, L.P., Turnbridge Capital Partners I, L.P., Turnbridge Capital Partners I-A, L.P., and TCP Probe CIV, L.P., respectively. Each of these individuals disclaims beneficial ownership of the securities.</w:t>
      </w:r>
    </w:p>
    <w:p>
      <w:pPr>
        <w:ind w:left="500" w:right="460" w:hanging="492"/>
        <w:spacing w:after="0" w:line="23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shareholders are legacy employees or consultants to ISI and Probe, and following the Closing may continue to provide services to ISI or Probe,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S-9</w:t>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 w:hanging="492"/>
        <w:spacing w:after="0" w:line="219"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Glenn Neblett is an affiliate of Texas Capital Securities, a registered broker-dealer. Mr. Neblett has represented that he acquired the Ordinary Shares in the ordinary course of business and for his own account, with no intention of distributing any of such Ordinary Shares or any arrangement or understanding with any other persons regarding the distribution of such Ordinary Shares.</w:t>
      </w:r>
    </w:p>
    <w:p>
      <w:pPr>
        <w:ind w:left="500" w:hanging="492"/>
        <w:spacing w:after="0" w:line="21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Lane Roberts has sole voting and investment power with respect to the shares held by Dodger Enterprises.</w:t>
      </w:r>
    </w:p>
    <w:p>
      <w:pPr>
        <w:ind w:left="500" w:hanging="492"/>
        <w:spacing w:after="0" w:line="21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Martin Barratt has sole voting and investment power with respect to the shares held by Archdog Enterprises.</w:t>
      </w:r>
    </w:p>
    <w:p>
      <w:pPr>
        <w:ind w:left="500" w:hanging="492"/>
        <w:spacing w:after="0" w:line="21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August Scherer has sole voting and investment power with respect to the shares held by South Forty Investment Group, LLC.</w:t>
      </w: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Gary Cresswell and Sharon Cresswell have shared voting and investment power with respect to the shares held by Cresswell Investments,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S-10</w:t>
      </w:r>
    </w:p>
    <w:p>
      <w:pPr>
        <w:sectPr>
          <w:pgSz w:w="11900" w:h="16838" w:orient="portrait"/>
          <w:cols w:equalWidth="0" w:num="1">
            <w:col w:w="11080"/>
          </w:cols>
          <w:pgMar w:left="320" w:top="112"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3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selling shareholders, including their transferees, pledgees, assignees, distributees, beneficiaries, donees and successors-in-interest, may from time to time offer some or all of the Ordinary Shares.</w:t>
      </w:r>
    </w:p>
    <w:p>
      <w:pPr>
        <w:spacing w:after="0" w:line="9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selling shareholders will not pay any of the costs, expenses and fees in connection with the registration and sale of the Ordinary Shares covered by this prospectus supplement, but will be required to pay any and all underwriting discounts, selling commissions and share transfer taxes, if any, attributable to</w:t>
      </w:r>
    </w:p>
    <w:p>
      <w:pPr>
        <w:spacing w:after="0"/>
        <w:rPr>
          <w:sz w:val="20"/>
          <w:szCs w:val="20"/>
          <w:color w:val="auto"/>
        </w:rPr>
      </w:pPr>
      <w:r>
        <w:rPr>
          <w:rFonts w:ascii="Times New Roman" w:cs="Times New Roman" w:eastAsia="Times New Roman" w:hAnsi="Times New Roman"/>
          <w:sz w:val="18"/>
          <w:szCs w:val="18"/>
          <w:color w:val="auto"/>
        </w:rPr>
        <w:t>sales of the Ordinary Shares. We will not receive any proceeds from the sale of Ordinary Shares covered hereby.</w:t>
      </w:r>
    </w:p>
    <w:p>
      <w:pPr>
        <w:spacing w:after="0" w:line="1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selling shareholders may sell the Ordinary Shares covered by this prospectus supplement from time to time, and may also decide not to sell all or any of the Ordinary Shares that it is allowed to sell under this prospectus supplement. The selling shareholders will act independently of us in making decisions</w:t>
      </w:r>
    </w:p>
    <w:p>
      <w:pPr>
        <w:ind w:right="480"/>
        <w:spacing w:after="0" w:line="226" w:lineRule="auto"/>
        <w:rPr>
          <w:sz w:val="20"/>
          <w:szCs w:val="20"/>
          <w:color w:val="auto"/>
        </w:rPr>
      </w:pPr>
      <w:r>
        <w:rPr>
          <w:rFonts w:ascii="Times New Roman" w:cs="Times New Roman" w:eastAsia="Times New Roman" w:hAnsi="Times New Roman"/>
          <w:sz w:val="18"/>
          <w:szCs w:val="18"/>
          <w:color w:val="auto"/>
        </w:rPr>
        <w:t>regarding the timing, manner and size of each sale. These dispositions may be at fixed prices, at market prices prevailing at the time of sale, at prices related to such prevailing market prices, at varying prices determined at the time of sale, or at privately negotiated prices.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selling shares:</w:t>
      </w:r>
    </w:p>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 or agents for resale to the public or to institutional investors at various times;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 on a firm commitment or best efforts basis;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negotiated transactions, including, but not limited to, block trades in which the broker or dealer so engaged will attempt to sell the shares as agent but may position and resell a portion of the block as principal to facilitate the transaction;</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or dealers, who may act as agents or principals;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at market prices prevailing at the time of sale, at prices related to such prevailing market prices, or at negotiated prices;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the over-the-counter market;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other than exchange or quotation service transactions;</w:t>
      </w:r>
    </w:p>
    <w:p>
      <w:pPr>
        <w:spacing w:after="0" w:line="198" w:lineRule="exact"/>
        <w:rPr>
          <w:rFonts w:ascii="Times New Roman" w:cs="Times New Roman" w:eastAsia="Times New Roman" w:hAnsi="Times New Roman"/>
          <w:sz w:val="18"/>
          <w:szCs w:val="18"/>
          <w:color w:val="auto"/>
        </w:rPr>
      </w:pPr>
    </w:p>
    <w:p>
      <w:pPr>
        <w:ind w:left="660" w:right="40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 purchases or sales of put, call or other types of options, forward delivery contracts, swaps, offerings of structured equity-linked securities or other derivative transactions or securities;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or not the options are listed on an options exchange;</w:t>
      </w:r>
    </w:p>
    <w:p>
      <w:pPr>
        <w:spacing w:after="0" w:line="198" w:lineRule="exact"/>
        <w:rPr>
          <w:rFonts w:ascii="Times New Roman" w:cs="Times New Roman" w:eastAsia="Times New Roman" w:hAnsi="Times New Roman"/>
          <w:sz w:val="18"/>
          <w:szCs w:val="18"/>
          <w:color w:val="auto"/>
        </w:rPr>
      </w:pPr>
    </w:p>
    <w:p>
      <w:pPr>
        <w:ind w:left="660" w:right="54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of securities exercisable, convertible or exchangeable for shares, including, without limitation, securities issued by trusts, investment companies or other entities;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directly to one or more purchasers, including institutional investors;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or transfers to their respective members, partners or shareholders;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a broker solicits purchasers;</w:t>
      </w:r>
    </w:p>
    <w:p>
      <w:pPr>
        <w:spacing w:after="0" w:line="184"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S-11</w:t>
      </w:r>
    </w:p>
    <w:p>
      <w:pPr>
        <w:sectPr>
          <w:pgSz w:w="11900" w:h="16838" w:orient="portrait"/>
          <w:cols w:equalWidth="0" w:num="1">
            <w:col w:w="11200"/>
          </w:cols>
          <w:pgMar w:left="320" w:top="112"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The selling shareholders may also resell all or a portion of its Ordinary Shares in open market transactions in reliance upon Rule 144 under the Securities Act, provided it meets the criteria and conforms to the requirements of Rule 144 and all applicable laws and regulations.</w:t>
      </w:r>
    </w:p>
    <w:p>
      <w:pPr>
        <w:spacing w:after="0" w:line="11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Ordinary Shares and, if they default in the performance of their secured obligations, the pledgees or secured parties may offer and sell the Ordinary Shares, from time to time, under this prospectus or under an amendment or supplement to this prospectus amending the list of selling shareholders to include the pledgees, transferees or other successors in</w:t>
      </w:r>
    </w:p>
    <w:p>
      <w:pPr>
        <w:spacing w:after="0" w:line="1" w:lineRule="exact"/>
        <w:rPr>
          <w:sz w:val="20"/>
          <w:szCs w:val="20"/>
          <w:color w:val="auto"/>
        </w:rPr>
      </w:pP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interest as selling shareholders under this prospectus. The selling shareholders also may transfer the Ordinary Shares in other circumstances, in which case the transferees, pledgees, assignees, distributees, beneficiaries, donees and successors-in-interest will be the selling beneficial owners for purposes of this prospectus.</w:t>
      </w:r>
    </w:p>
    <w:p>
      <w:pPr>
        <w:spacing w:after="0" w:line="199"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The selling shareholders may enter into sale, forward sale and derivative transactions with third parties, or may sell securities not covered by this prospectus supplement to third parties in privately negotiated transactions. In connection with those sale, forward sale or derivative transactions, the third parties may sell securities covered by this prospectus supplement, including in short sale transactions and by issuing securities that are not covered by this</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prospectus supplement but are exchangeable for or represent beneficial interests in the ordinary shares. The third parties also may use shares received under those sale, forward sale or derivative arrangements or shares pledged by the selling shareholders or borrowed from the selling shareholders or others to settle such third-party sales or to close out any related open borrowings of ordinary shares. The third parties may deliver this prospectus supplement in</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connection with any such transactions. Any third party in such sale transactions will be an underwriter and will be identified in a supplement or a post-effective amendment to the registration statement of which this prospectus supplement is a part as may be required.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selling shareholders may engage in hedging transactions with broker-dealers in connection with distributions of Ordinary Shares or</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otherwise. In those transactions, broker-dealers may engage in short sales of securities in the course of hedging the positions they assume with the selling shareholders. The selling shareholders may also sell securities short and redeliver securities to close out such short positions. The selling shareholders may also enter into option or other transactions with broker-dealers which require the delivery of securities to the broker-dealer. The broker-dealer may then</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resell or otherwise transfer such securities pursuant to this prospectus supplement. The selling shareholders also may loan or pledge shares, and the borrower or pledgee may sell or otherwise transfer the Ordinary Shares so loaned or pledged pursuant to this prospectus supplement. Such borrower or pledgee also may transfer those Ordinary Shares to investors in our securities or the selling shareholders’ securities or in connection with the offering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not covered by this prospectus supplement.</w:t>
      </w:r>
    </w:p>
    <w:p>
      <w:pPr>
        <w:spacing w:after="0" w:line="111"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7"/>
          <w:szCs w:val="17"/>
          <w:color w:val="auto"/>
        </w:rPr>
        <w:t>Pursuant to the Transaction Documents, the selling shareholders are subject certain “lock-up” restrictions that prohibit the sale, pledge, hedge or other disposal, directly or indirectly, of the Ordinary Shares received pursuant to the Transaction Documents for a period of 30 days following the Closing (as</w:t>
      </w:r>
    </w:p>
    <w:p>
      <w:pPr>
        <w:ind w:right="120"/>
        <w:spacing w:after="0" w:line="220" w:lineRule="auto"/>
        <w:rPr>
          <w:sz w:val="20"/>
          <w:szCs w:val="20"/>
          <w:color w:val="auto"/>
        </w:rPr>
      </w:pPr>
      <w:r>
        <w:rPr>
          <w:rFonts w:ascii="Times New Roman" w:cs="Times New Roman" w:eastAsia="Times New Roman" w:hAnsi="Times New Roman"/>
          <w:sz w:val="17"/>
          <w:szCs w:val="17"/>
          <w:color w:val="auto"/>
        </w:rPr>
        <w:t>defined in the Merger Agreements), which is March 2, 2024. These restrictions do not apply to distributions to general or limited partners, members, stockholders, affiliates, or wholly-owned subsidiaries of any selling shareholder, or any investment fund or other entity controlled or managed by such selling shareholder in compliance with applicable securities laws. In addition, certain affiliates of Turnbridge Capital Management, LLC will be subject to</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“leak-out” restrictions pursuant to which distributions and sales by such affiliates will be limited to 20% of the aggregate number of Ordinary Shares received pursuant to the Transaction Documents during each successive calendar week following the expiration of the lock-up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necessary, the specific terms of the offering of Ordinary Shares, including the specific Ordinary Shares to be sold, the respective purchase</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supplement or a post-effective amendment to this registration statement of which this prospectus supplement forms a part. The selling shareholders may, or may authorize underwriters, dealers and agents to, solicit offers from specified institutions to purchase Ordinary Shares from the selling shareholders at the public offering</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price listed in the applicable prospectus supplement. These sales may be made under “delayed delivery contracts” or other purchase contracts that provide for payment and delivery on a specified future date. Any contracts like this will be described in and be subject to the conditions set forth in a supplement to this prospectus supplement or a post-effective amendment to this registration statement of which this prospectus supplement forms a part.</w:t>
      </w:r>
    </w:p>
    <w:p>
      <w:pPr>
        <w:spacing w:after="0" w:line="118"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Broker-dealers or agents may receive compensation in the form of commissions, discounts or concessions from the selling shareholders. Broker-dealers or agents may also receive compensation from the purchasers of Ordinary Shares for whom they act as agents or to whom they sell as principals, or both. Compensation as to a particular broker-dealer might be in excess of customary commissions and will be in amounts to be negotiated in connection with</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transactions involving securities. In effecting sales, broker-dealers engaged by the selling shareholders may arrange for other broker-dealers to participate in the resales.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sales of Ordinary Shares covered hereby, the selling shareholders and any underwriter, broker-dealer or agent, any other participating</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broker-dealer that executes sales for the selling shareholders may be deemed to be an “underwriter” within the meaning of the Securities Act. Accordingly, any profits realized by the selling shareholders and any compensation earned by such underwriter, broker-dealer or agent may be deemed to be underwriting discounts and commissions. If any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S-12</w:t>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shareholder is an “underwriter” under the Securities Act, it must deliver this prospectus supplement and the accompanying prospectus in the manner required by the Securities Act.</w:t>
      </w:r>
    </w:p>
    <w:p>
      <w:pPr>
        <w:spacing w:after="0" w:line="11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or the selling shareholders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or its affiliates in the ordinary course of business.</w:t>
      </w:r>
    </w:p>
    <w:p>
      <w:pPr>
        <w:spacing w:after="0" w:line="111" w:lineRule="exact"/>
        <w:rPr>
          <w:sz w:val="20"/>
          <w:szCs w:val="20"/>
          <w:color w:val="auto"/>
        </w:rPr>
      </w:pPr>
    </w:p>
    <w:p>
      <w:pPr>
        <w:ind w:right="380"/>
        <w:spacing w:after="0" w:line="222"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or countries, the Ordinary Shares may only be sold in those jurisdictions through registered or licensed brokers or dealers and in compliance with applicable laws and regulations. In addition, in certain states or countries the Ordinary</w:t>
      </w:r>
    </w:p>
    <w:p>
      <w:pPr>
        <w:spacing w:after="0" w:line="2" w:lineRule="exact"/>
        <w:rPr>
          <w:sz w:val="20"/>
          <w:szCs w:val="20"/>
          <w:color w:val="auto"/>
        </w:rPr>
      </w:pPr>
    </w:p>
    <w:p>
      <w:pPr>
        <w:jc w:val="both"/>
        <w:ind w:right="300"/>
        <w:spacing w:after="0" w:line="218" w:lineRule="auto"/>
        <w:rPr>
          <w:sz w:val="20"/>
          <w:szCs w:val="20"/>
          <w:color w:val="auto"/>
        </w:rPr>
      </w:pPr>
      <w:r>
        <w:rPr>
          <w:rFonts w:ascii="Times New Roman" w:cs="Times New Roman" w:eastAsia="Times New Roman" w:hAnsi="Times New Roman"/>
          <w:sz w:val="18"/>
          <w:szCs w:val="18"/>
          <w:color w:val="auto"/>
        </w:rPr>
        <w:t>Shares may not be sold unless they have been registered or qualified for sale in the applicable state or country or an exemption from the registration or qualification requirements is available. Any Ordinary Shares covered by this prospectus supplement that qualify for sale pursuant to Rule 144 under the Securities Act may be sold in open market transactions under Rule 144 rather than pursuant to this prospectus supplement.</w:t>
      </w:r>
    </w:p>
    <w:p>
      <w:pPr>
        <w:spacing w:after="0" w:line="118" w:lineRule="exact"/>
        <w:rPr>
          <w:sz w:val="20"/>
          <w:szCs w:val="20"/>
          <w:color w:val="auto"/>
        </w:rPr>
      </w:pPr>
    </w:p>
    <w:p>
      <w:pPr>
        <w:jc w:val="both"/>
        <w:ind w:right="120"/>
        <w:spacing w:after="0" w:line="216" w:lineRule="auto"/>
        <w:rPr>
          <w:sz w:val="20"/>
          <w:szCs w:val="20"/>
          <w:color w:val="auto"/>
        </w:rPr>
      </w:pPr>
      <w:r>
        <w:rPr>
          <w:rFonts w:ascii="Times New Roman" w:cs="Times New Roman" w:eastAsia="Times New Roman" w:hAnsi="Times New Roman"/>
          <w:sz w:val="18"/>
          <w:szCs w:val="18"/>
          <w:color w:val="auto"/>
        </w:rPr>
        <w:t>In connection with an offering of Ordinary Shares under this prospectus supplement,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made for the purpose of preventing or retarding a decline in the market price of the securities while an offering is in progress.</w:t>
      </w:r>
    </w:p>
    <w:p>
      <w:pPr>
        <w:spacing w:after="0" w:line="11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w:t>
      </w: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11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These activities by the underwriters may stabilize, maintain or otherwise affect the market price of the Ordinary Shares offered under this prospectus supplement. As a result, the price of the Ordinary Shares may be higher than the price that otherwise might exist in the open market. If these activities are</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commenced, they may be discontinued by the underwriters at any time. These transactions may be effected on the New York Stock Exchange, the NASDAQ Stock Exchange or another securities exchange or automated quotation system, or in the over-the-counter market or otherwise.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 European Economic Area</w:t>
      </w:r>
    </w:p>
    <w:p>
      <w:pPr>
        <w:spacing w:after="0" w:line="148"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Pursuant to the EU Prospectus Regulation, securities may only be offered or sold (including on a subsequent resale) to the public in the EEA after prior publication of a prospectus prepared in accordance with the EU Prospectus Regulation and which has been approved by a competent authority of a member state of the EEA, save in circumstances where an exemption from the obligation to publish a prospectus applies.</w:t>
      </w:r>
    </w:p>
    <w:p>
      <w:pPr>
        <w:spacing w:after="0" w:line="117"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An “offer of securities to the public” is broadly defined in the EU Prospectus Regulation as a communication to persons in any form and by any means, presenting sufficient information on the terms of the offer and the securities to be offered, so as to enable an investor to decide to purchase or subscribe for those securities. This definition also applies to the placing of securities through financial intermediaries.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to the obligation to publish a prospectus include the circumstances set out in Article 1(4)(a)-(d) of the EU Prospectus Regulation:</w:t>
      </w:r>
    </w:p>
    <w:p>
      <w:pPr>
        <w:spacing w:after="0" w:line="131"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to EEA Qualified Investors;</w:t>
      </w:r>
    </w:p>
    <w:p>
      <w:pPr>
        <w:spacing w:after="0" w:line="13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addressed to fewer than 150 natural or legal persons per member state of the EEA, other than EEA Qualified Investors;</w:t>
      </w:r>
    </w:p>
    <w:p>
      <w:pPr>
        <w:spacing w:after="0" w:line="14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whose denomination per unit amounts to at least €100 000 (or $ equivalent thereof); and/or</w:t>
      </w:r>
    </w:p>
    <w:p>
      <w:pPr>
        <w:spacing w:after="0" w:line="130" w:lineRule="exact"/>
        <w:rPr>
          <w:rFonts w:ascii="Times New Roman" w:cs="Times New Roman" w:eastAsia="Times New Roman" w:hAnsi="Times New Roman"/>
          <w:sz w:val="18"/>
          <w:szCs w:val="18"/>
          <w:color w:val="auto"/>
        </w:rPr>
      </w:pPr>
    </w:p>
    <w:p>
      <w:pPr>
        <w:ind w:left="640" w:right="120" w:hanging="632"/>
        <w:spacing w:after="0" w:line="237" w:lineRule="auto"/>
        <w:tabs>
          <w:tab w:leader="none" w:pos="3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addressed to investors who acquire securities for a total consideration of at least €100 000 (or $ equivalent thereof) per investor, for each separate offer.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is not, and is not intended to be, a prospectus for the purposes of the EU Prospectus Regulation, the European Union (Prospectus)</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Regulations 2019 of Ireland or any other legislation, regulations or rules of Ireland or any other member state of the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spacing w:after="0" w:line="118" w:lineRule="exact"/>
        <w:rPr>
          <w:sz w:val="20"/>
          <w:szCs w:val="20"/>
          <w:color w:val="auto"/>
        </w:rPr>
      </w:pPr>
    </w:p>
    <w:p>
      <w:pPr>
        <w:jc w:val="both"/>
        <w:ind w:right="340"/>
        <w:spacing w:after="0" w:line="226" w:lineRule="auto"/>
        <w:rPr>
          <w:sz w:val="20"/>
          <w:szCs w:val="20"/>
          <w:color w:val="auto"/>
        </w:rPr>
      </w:pPr>
      <w:r>
        <w:rPr>
          <w:rFonts w:ascii="Times New Roman" w:cs="Times New Roman" w:eastAsia="Times New Roman" w:hAnsi="Times New Roman"/>
          <w:sz w:val="18"/>
          <w:szCs w:val="18"/>
          <w:color w:val="auto"/>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EEA Qualified Investors, (ii) for a total consideration of not less than €100,000 (or $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S-13</w:t>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thereof) per investor and/or (iii) in any other circumstance set out in Article 1(4)(a)-(d) of the EU Prospectus Regulation. Any offer or sale (including a subsequent resale) of Ordinary Shares, including securities which were previously the subject of one or more of the types of exemption set out in Article</w:t>
      </w:r>
    </w:p>
    <w:p>
      <w:pPr>
        <w:spacing w:after="0" w:line="218" w:lineRule="auto"/>
        <w:rPr>
          <w:sz w:val="20"/>
          <w:szCs w:val="20"/>
          <w:color w:val="auto"/>
        </w:rPr>
      </w:pPr>
      <w:r>
        <w:rPr>
          <w:rFonts w:ascii="Times New Roman" w:cs="Times New Roman" w:eastAsia="Times New Roman" w:hAnsi="Times New Roman"/>
          <w:sz w:val="18"/>
          <w:szCs w:val="18"/>
          <w:color w:val="auto"/>
        </w:rPr>
        <w:t>1(4)(a)-(d) of the EU Prospectus Regulation, would be considered as a separate offer for the purpose of determining whether that offer, sale or resale is an offer of securities to the public and may give rise to an obligation on the part of the seller to publish a prospectus pursuant to the EU Prospectus Regulation unless a relevant exemption applies.</w:t>
      </w:r>
    </w:p>
    <w:p>
      <w:pPr>
        <w:spacing w:after="0" w:line="118"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The Company has not authorized, nor does it authorize, the offering or sale (including any subsequent re-sale) of any Ordinary Shares to persons or entities in any member state of the EEA, including through financial intermediaries, in any circumstances that might obligate the Company to publish a prospectus pursuant to the EU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S-14</w:t>
      </w:r>
    </w:p>
    <w:p>
      <w:pPr>
        <w:sectPr>
          <w:pgSz w:w="11900" w:h="16838" w:orient="portrait"/>
          <w:cols w:equalWidth="0" w:num="1">
            <w:col w:w="11180"/>
          </w:cols>
          <w:pgMar w:left="320" w:top="112"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Ordinary Shares offered hereby has been passed upon for us by our special Irish counsel, Matheson LLP.</w:t>
      </w:r>
    </w:p>
    <w:p>
      <w:pPr>
        <w:spacing w:after="0" w:line="1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3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The financial statements of Weatherford International plc and subsidiaries as of December 31, 2023 and 2022, and for each of the three years in the period ended December 31, 2023, incorporated by reference in this prospect supplement by reference to Weatherford International plc’s annual report on Form 10-</w:t>
      </w:r>
    </w:p>
    <w:p>
      <w:pPr>
        <w:ind w:right="20"/>
        <w:spacing w:after="0" w:line="218" w:lineRule="auto"/>
        <w:rPr>
          <w:sz w:val="20"/>
          <w:szCs w:val="20"/>
          <w:color w:val="auto"/>
        </w:rPr>
      </w:pPr>
      <w:r>
        <w:rPr>
          <w:rFonts w:ascii="Times New Roman" w:cs="Times New Roman" w:eastAsia="Times New Roman" w:hAnsi="Times New Roman"/>
          <w:sz w:val="18"/>
          <w:szCs w:val="18"/>
          <w:color w:val="auto"/>
        </w:rPr>
        <w:t>K for the year ended December 31, 2023, and the effectiveness of Weatherford International plc’s internal control over financial reporting have been audited by KPMG LLP, an independent registered public accounting firm, as stated in their reports. Such financial statements are incorporated by reference in reliance upon the reports of such firm given their authority as experts in accounting and auditing.</w:t>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11220"/>
          </w:cols>
          <w:pgMar w:left="320" w:top="112"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36830</wp:posOffset>
            </wp:positionV>
            <wp:extent cx="129476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12947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Options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Contracts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Units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Guarantees of Debt Securities</w:t>
      </w:r>
    </w:p>
    <w:p>
      <w:pPr>
        <w:spacing w:after="0" w:line="382" w:lineRule="exact"/>
        <w:rPr>
          <w:sz w:val="20"/>
          <w:szCs w:val="20"/>
          <w:color w:val="auto"/>
        </w:rPr>
      </w:pPr>
    </w:p>
    <w:tbl>
      <w:tblPr>
        <w:tblLayout w:type="fixed"/>
        <w:tblInd w:w="1200" w:type="dxa"/>
        <w:tblCellMar>
          <w:top w:w="0" w:type="dxa"/>
          <w:left w:w="0" w:type="dxa"/>
          <w:bottom w:w="0" w:type="dxa"/>
          <w:right w:w="0" w:type="dxa"/>
        </w:tblCellMar>
      </w:tblPr>
      <w:tr>
        <w:trPr>
          <w:trHeight w:val="286"/>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8"/>
              </w:rPr>
              <w:t>Weatherford International Ltd.</w:t>
            </w:r>
          </w:p>
        </w:tc>
        <w:tc>
          <w:tcPr>
            <w:tcW w:w="454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7"/>
              </w:rPr>
              <w:t>Weatherford International, LLC</w:t>
            </w:r>
          </w:p>
        </w:tc>
      </w:tr>
      <w:tr>
        <w:trPr>
          <w:trHeight w:val="297"/>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7"/>
              </w:rPr>
              <w:t>(a Bermuda exempted company)</w:t>
            </w:r>
          </w:p>
        </w:tc>
        <w:tc>
          <w:tcPr>
            <w:tcW w:w="454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8"/>
              </w:rPr>
              <w:t>(a Delaware limited liability company)</w:t>
            </w:r>
          </w:p>
        </w:tc>
      </w:tr>
      <w:tr>
        <w:trPr>
          <w:trHeight w:val="267"/>
        </w:trPr>
        <w:tc>
          <w:tcPr>
            <w:tcW w:w="402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c>
          <w:tcPr>
            <w:tcW w:w="4540" w:type="dxa"/>
            <w:vAlign w:val="bottom"/>
          </w:tcPr>
          <w:p>
            <w:pPr>
              <w:jc w:val="center"/>
              <w:ind w:left="832"/>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r>
      <w:tr>
        <w:trPr>
          <w:trHeight w:val="286"/>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c>
          <w:tcPr>
            <w:tcW w:w="4540" w:type="dxa"/>
            <w:vAlign w:val="bottom"/>
          </w:tcPr>
          <w:p>
            <w:pPr>
              <w:jc w:val="center"/>
              <w:ind w:left="872"/>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r>
    </w:tbl>
    <w:p>
      <w:pPr>
        <w:spacing w:after="0" w:line="334"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together, separately or in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any investment decision. This prospectus may not be used to consummate sales of securities of Weatherford Ireland, Weatherford Bermuda or Weatherford Delaware, unless it is accompanied by a prospectus supplement.</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ordinary shares of Weatherford Ireland are traded on the Nasdaq Global Select Market (“Nasdaq”) under the symbol “WFRD”.</w:t>
      </w:r>
    </w:p>
    <w:p>
      <w:pPr>
        <w:spacing w:after="0" w:line="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59"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review the risks and uncertainties described under the headings “Forward-Looking Statements” on page 4 and “Risk Factors” on page 7 herein and in the applicable prospectus supplement and the risk factors included in our periodic reports that we file with the Securities and Exchange Commission before you invest in our securities.</w:t>
      </w:r>
    </w:p>
    <w:p>
      <w:pPr>
        <w:spacing w:after="0" w:line="1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t>
      </w:r>
    </w:p>
    <w:p>
      <w:pPr>
        <w:spacing w:after="0" w:line="59" w:lineRule="exact"/>
        <w:rPr>
          <w:sz w:val="20"/>
          <w:szCs w:val="20"/>
          <w:color w:val="auto"/>
        </w:rPr>
      </w:pPr>
    </w:p>
    <w:p>
      <w:pPr>
        <w:ind w:right="380" w:firstLine="405"/>
        <w:spacing w:after="0" w:line="27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15, 2022.</w:t>
      </w:r>
    </w:p>
    <w:p>
      <w:pPr>
        <w:sectPr>
          <w:pgSz w:w="11900" w:h="16838" w:orient="portrait"/>
          <w:cols w:equalWidth="0" w:num="1">
            <w:col w:w="11220"/>
          </w:cols>
          <w:pgMar w:left="320" w:top="142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966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9660" w:type="dxa"/>
            <w:vAlign w:val="bottom"/>
          </w:tcPr>
          <w:p>
            <w:pPr>
              <w:spacing w:after="0"/>
              <w:rPr>
                <w:sz w:val="24"/>
                <w:szCs w:val="24"/>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
        </w:trPr>
        <w:tc>
          <w:tcPr>
            <w:tcW w:w="9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60" w:type="dxa"/>
            <w:vAlign w:val="bottom"/>
            <w:vMerge w:val="continue"/>
          </w:tcPr>
          <w:p>
            <w:pPr>
              <w:spacing w:after="0"/>
              <w:rPr>
                <w:sz w:val="20"/>
                <w:szCs w:val="20"/>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329"/>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US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bl>
    <w:p>
      <w:pPr>
        <w:sectPr>
          <w:pgSz w:w="11900" w:h="16838" w:orient="portrait"/>
          <w:cols w:equalWidth="0" w:num="1">
            <w:col w:w="10780"/>
          </w:cols>
          <w:pgMar w:left="320" w:top="112" w:right="79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which we refer to as</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the “SEC,” under the U.S. Securities Act of 1933, as amended, which we refer to as the “Securities Act,” using a “shelf” registration process under applicable SEC rules. Under this shelf registration process, Weatherford Ireland, Weatherford Bermuda or Weatherford Delaware may, over time, offer and sell the securities described in this prospectus in one or more offerings. This prospectus describes some of the general terms that may apply to the securities</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that Weatherford Ireland, Weatherford Bermuda or Weatherford Delaware may offer and the general manner in which the securities may be offered. Each time Weatherford Ireland, Weatherford Bermuda or Weatherford Delaware offers securities, Weatherford Ireland, Weatherford Bermuda or Weatherford Delaware, as the case may be, will provide one or more prospectus supplements that will contain specific information about the terms of the securities</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the offer is not permitted.</w:t>
      </w:r>
    </w:p>
    <w:p>
      <w:pPr>
        <w:spacing w:after="0" w:line="165" w:lineRule="exact"/>
        <w:rPr>
          <w:sz w:val="20"/>
          <w:szCs w:val="20"/>
          <w:color w:val="auto"/>
        </w:rPr>
      </w:pPr>
    </w:p>
    <w:p>
      <w:pPr>
        <w:ind w:right="440" w:firstLine="360"/>
        <w:spacing w:after="0" w:line="236" w:lineRule="auto"/>
        <w:rPr>
          <w:sz w:val="20"/>
          <w:szCs w:val="20"/>
          <w:color w:val="auto"/>
        </w:rPr>
      </w:pPr>
      <w:r>
        <w:rPr>
          <w:rFonts w:ascii="Times New Roman" w:cs="Times New Roman" w:eastAsia="Times New Roman" w:hAnsi="Times New Roman"/>
          <w:sz w:val="17"/>
          <w:szCs w:val="17"/>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w:t>
      </w:r>
    </w:p>
    <w:p>
      <w:pPr>
        <w:spacing w:after="0" w:line="218" w:lineRule="auto"/>
        <w:rPr>
          <w:sz w:val="20"/>
          <w:szCs w:val="20"/>
          <w:color w:val="auto"/>
        </w:rPr>
      </w:pPr>
      <w:r>
        <w:rPr>
          <w:rFonts w:ascii="Times New Roman" w:cs="Times New Roman" w:eastAsia="Times New Roman" w:hAnsi="Times New Roman"/>
          <w:sz w:val="18"/>
          <w:szCs w:val="18"/>
          <w:color w:val="auto"/>
        </w:rPr>
        <w:t>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 EEA Investors</w:t>
      </w:r>
    </w:p>
    <w:p>
      <w:pPr>
        <w:spacing w:after="0" w:line="189" w:lineRule="exact"/>
        <w:rPr>
          <w:sz w:val="20"/>
          <w:szCs w:val="20"/>
          <w:color w:val="auto"/>
        </w:rPr>
      </w:pPr>
    </w:p>
    <w:p>
      <w:pPr>
        <w:ind w:right="300" w:firstLine="360"/>
        <w:spacing w:after="0" w:line="222" w:lineRule="auto"/>
        <w:rPr>
          <w:sz w:val="20"/>
          <w:szCs w:val="20"/>
          <w:color w:val="auto"/>
        </w:rPr>
      </w:pPr>
      <w:r>
        <w:rPr>
          <w:rFonts w:ascii="Times New Roman" w:cs="Times New Roman" w:eastAsia="Times New Roman" w:hAnsi="Times New Roman"/>
          <w:sz w:val="18"/>
          <w:szCs w:val="18"/>
          <w:color w:val="auto"/>
        </w:rPr>
        <w:t>This document is not, and is not intended to be, a prospectus for the purposes of Regulation (EU) 2017/1129 of the European Parliament and of the Council of 14 June 2017 on the prospectus to be published when securities are offered to the public or admitted to trading on a regulated market (as</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amended) (the “EU Prospectus Regulation”), the European Union (Prospectus) Regulations 2019 of Ireland or any other legislation, regulations or rules of Ireland or any other member state of the European Economic Area (“EEA”) implementing the EU Prospectus Regulation.</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document has not been reviewed or approved by the Central Bank of Ireland nor by any other competent or supervisory authority of any other</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member state of the EEA for the purposes of the EU Prospectus Regulation. No offer to the public of securities of Weatherford Ireland, Weatherford Bermuda or Weatherford Delaware is being, or shall be, made in Ireland or any other member state of the EEA Area on the basis of this document or, otherwise, in circumstances that would require a prospectus to be published pursuant to the EU Prospectus Regulation. Any investment in securities of</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Weatherford Ireland, Weatherford Bermuda or Weatherford Delaware does not have the status of a bank deposit in Ireland and is not within the scope of the deposit protection scheme operated by the Central Bank of Ireland.</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Prohibition of sales to EEA retail investors</w:t>
      </w:r>
      <w:r>
        <w:rPr>
          <w:rFonts w:ascii="Times New Roman" w:cs="Times New Roman" w:eastAsia="Times New Roman" w:hAnsi="Times New Roman"/>
          <w:sz w:val="18"/>
          <w:szCs w:val="18"/>
          <w:color w:val="auto"/>
        </w:rPr>
        <w:t>: No securities of Weatherford Ireland, Weatherford Bermuda or Weatherford Delaware are intended to</w:t>
      </w:r>
    </w:p>
    <w:p>
      <w:pPr>
        <w:spacing w:after="0" w:line="6"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be offered, sold or otherwise made available to or should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the EU Prospectus Regulation. Consequently, no key</w:t>
      </w:r>
    </w:p>
    <w:p>
      <w:pPr>
        <w:spacing w:after="0" w:line="1"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information document required by Regulation (EU) No. 1286/2014 (as amended) (the “PRIIPs Regulation”) for offering or selling securities or otherwise making them available to retail investors in the EEA has been prepared and therefore offering or selling securities or otherwise making them available to any retail investor in the EEA may be unlawful under the PRIIPs Regulation.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requires otherwise or unless otherwise noted, as used in this prospectus or any prospectus supplement:</w:t>
      </w:r>
    </w:p>
    <w:p>
      <w:pPr>
        <w:spacing w:after="0" w:line="18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 refers to Weatherford International plc, an Irish public limited company.</w:t>
      </w:r>
    </w:p>
    <w:p>
      <w:pPr>
        <w:spacing w:after="0" w:line="184"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Bermuda” refers to Weatherford International Ltd., a Bermuda exempted company and wholly owned, indirect subsidiary of Weatherford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Delaware” refers to Weatherford International, LLC, a Delaware limited liability company and wholly owned, indirect subsidiary of Weatherford Ireland.</w:t>
      </w:r>
    </w:p>
    <w:p>
      <w:pPr>
        <w:spacing w:after="0" w:line="171" w:lineRule="exact"/>
        <w:rPr>
          <w:rFonts w:ascii="Times New Roman" w:cs="Times New Roman" w:eastAsia="Times New Roman" w:hAnsi="Times New Roman"/>
          <w:sz w:val="18"/>
          <w:szCs w:val="18"/>
          <w:color w:val="auto"/>
        </w:rPr>
      </w:pPr>
    </w:p>
    <w:p>
      <w:pPr>
        <w:ind w:left="660" w:right="72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or “our” refers to Weatherford Ireland and its subsidiaries (including Weatherford Bermuda and Weatherford Delaware)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1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w:t>
      </w:r>
    </w:p>
    <w:p>
      <w:pPr>
        <w:spacing w:after="0" w:line="2" w:lineRule="exact"/>
        <w:rPr>
          <w:sz w:val="20"/>
          <w:szCs w:val="20"/>
          <w:color w:val="auto"/>
        </w:rPr>
      </w:pPr>
    </w:p>
    <w:p>
      <w:pPr>
        <w:jc w:val="both"/>
        <w:ind w:right="560"/>
        <w:spacing w:after="0" w:line="239" w:lineRule="auto"/>
        <w:rPr>
          <w:sz w:val="20"/>
          <w:szCs w:val="20"/>
          <w:color w:val="auto"/>
        </w:rPr>
      </w:pPr>
      <w:r>
        <w:rPr>
          <w:rFonts w:ascii="Times New Roman" w:cs="Times New Roman" w:eastAsia="Times New Roman" w:hAnsi="Times New Roman"/>
          <w:sz w:val="17"/>
          <w:szCs w:val="17"/>
          <w:color w:val="auto"/>
        </w:rPr>
        <w:t xml:space="preserve">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and at our website at </w:t>
      </w:r>
      <w:r>
        <w:rPr>
          <w:rFonts w:ascii="Times New Roman" w:cs="Times New Roman" w:eastAsia="Times New Roman" w:hAnsi="Times New Roman"/>
          <w:sz w:val="17"/>
          <w:szCs w:val="17"/>
          <w:i w:val="1"/>
          <w:iCs w:val="1"/>
          <w:color w:val="auto"/>
        </w:rPr>
        <w:t>www.weatherford.com</w:t>
      </w:r>
      <w:r>
        <w:rPr>
          <w:rFonts w:ascii="Times New Roman" w:cs="Times New Roman" w:eastAsia="Times New Roman" w:hAnsi="Times New Roman"/>
          <w:sz w:val="17"/>
          <w:szCs w:val="17"/>
          <w:color w:val="auto"/>
        </w:rPr>
        <w:t>. The information contained on or linked to or from our website is not incorporated by reference into this prospectus and should not be considered a part of this prospectus or of any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 SEC into this prospectus, which means that we can disclose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172" w:lineRule="exact"/>
        <w:rPr>
          <w:sz w:val="20"/>
          <w:szCs w:val="20"/>
          <w:color w:val="auto"/>
        </w:rPr>
      </w:pPr>
    </w:p>
    <w:p>
      <w:pPr>
        <w:ind w:left="900" w:hanging="568"/>
        <w:spacing w:after="0"/>
        <w:tabs>
          <w:tab w:leader="none" w:pos="900" w:val="left"/>
        </w:tabs>
        <w:numPr>
          <w:ilvl w:val="0"/>
          <w:numId w:val="10"/>
        </w:numPr>
        <w:rPr>
          <w:rFonts w:ascii="Times New Roman" w:cs="Times New Roman" w:eastAsia="Times New Roman" w:hAnsi="Times New Roman"/>
          <w:sz w:val="18"/>
          <w:szCs w:val="18"/>
          <w:color w:val="auto"/>
        </w:rPr>
      </w:pPr>
      <w:hyperlink r:id="rId15">
        <w:r>
          <w:rPr>
            <w:rFonts w:ascii="Times New Roman" w:cs="Times New Roman" w:eastAsia="Times New Roman" w:hAnsi="Times New Roman"/>
            <w:sz w:val="18"/>
            <w:szCs w:val="18"/>
            <w:color w:val="auto"/>
          </w:rPr>
          <w:t>Weatherford Ireland’s Annual Report on Form 10-K for the fiscal year ended December 31, 2021, as filed with the SEC on February 17, 2022;</w:t>
        </w:r>
      </w:hyperlink>
    </w:p>
    <w:p>
      <w:pPr>
        <w:spacing w:after="0" w:line="184" w:lineRule="exact"/>
        <w:rPr>
          <w:rFonts w:ascii="Times New Roman" w:cs="Times New Roman" w:eastAsia="Times New Roman" w:hAnsi="Times New Roman"/>
          <w:sz w:val="18"/>
          <w:szCs w:val="18"/>
          <w:color w:val="auto"/>
        </w:rPr>
      </w:pPr>
    </w:p>
    <w:p>
      <w:pPr>
        <w:ind w:left="660" w:right="200" w:hanging="328"/>
        <w:spacing w:after="0" w:line="237" w:lineRule="auto"/>
        <w:tabs>
          <w:tab w:leader="none" w:pos="912" w:val="left"/>
        </w:tabs>
        <w:numPr>
          <w:ilvl w:val="0"/>
          <w:numId w:val="10"/>
        </w:numPr>
        <w:rPr>
          <w:rFonts w:ascii="Times New Roman" w:cs="Times New Roman" w:eastAsia="Times New Roman" w:hAnsi="Times New Roman"/>
          <w:sz w:val="18"/>
          <w:szCs w:val="18"/>
          <w:color w:val="auto"/>
        </w:rPr>
      </w:pPr>
      <w:hyperlink r:id="rId16">
        <w:r>
          <w:rPr>
            <w:rFonts w:ascii="Times New Roman" w:cs="Times New Roman" w:eastAsia="Times New Roman" w:hAnsi="Times New Roman"/>
            <w:sz w:val="18"/>
            <w:szCs w:val="18"/>
            <w:color w:val="auto"/>
          </w:rPr>
          <w:t>The portions of our Definitive Proxy Statement on Schedule 14A, filed on April 22, 2022, that are incorporated by reference into our Annual</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color w:val="auto"/>
          </w:rPr>
          <w:t>Report on Form 10-K for the fiscal year ended December 31, 2021;</w:t>
        </w:r>
      </w:hyperlink>
    </w:p>
    <w:p>
      <w:pPr>
        <w:spacing w:after="0" w:line="17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0"/>
        </w:numPr>
        <w:rPr>
          <w:rFonts w:ascii="Times New Roman" w:cs="Times New Roman" w:eastAsia="Times New Roman" w:hAnsi="Times New Roman"/>
          <w:sz w:val="18"/>
          <w:szCs w:val="18"/>
          <w:color w:val="auto"/>
        </w:rPr>
      </w:pPr>
      <w:hyperlink r:id="rId17">
        <w:r>
          <w:rPr>
            <w:rFonts w:ascii="Times New Roman" w:cs="Times New Roman" w:eastAsia="Times New Roman" w:hAnsi="Times New Roman"/>
            <w:sz w:val="18"/>
            <w:szCs w:val="18"/>
            <w:color w:val="auto"/>
          </w:rPr>
          <w:t>Our Quarterly Report on Form 10-Q for the quarter ended March 31, 2022, as filed with the SEC on April 28, 2022;</w:t>
        </w:r>
      </w:hyperlink>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Weatherford Ireland’s Current Reports on Form 8-K, as filed with the SEC on </w:t>
      </w:r>
      <w:hyperlink r:id="rId18">
        <w:r>
          <w:rPr>
            <w:rFonts w:ascii="Times New Roman" w:cs="Times New Roman" w:eastAsia="Times New Roman" w:hAnsi="Times New Roman"/>
            <w:sz w:val="18"/>
            <w:szCs w:val="18"/>
            <w:color w:val="auto"/>
          </w:rPr>
          <w:t xml:space="preserve">January 20, 2022, </w:t>
        </w:r>
      </w:hyperlink>
      <w:hyperlink r:id="rId19">
        <w:r>
          <w:rPr>
            <w:rFonts w:ascii="Times New Roman" w:cs="Times New Roman" w:eastAsia="Times New Roman" w:hAnsi="Times New Roman"/>
            <w:sz w:val="18"/>
            <w:szCs w:val="18"/>
            <w:color w:val="auto"/>
          </w:rPr>
          <w:t xml:space="preserve">May 16, 2022,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color w:val="auto"/>
          </w:rPr>
          <w:t xml:space="preserve">June 3, 2022; </w:t>
        </w:r>
      </w:hyperlink>
      <w:r>
        <w:rPr>
          <w:rFonts w:ascii="Times New Roman" w:cs="Times New Roman" w:eastAsia="Times New Roman" w:hAnsi="Times New Roman"/>
          <w:sz w:val="18"/>
          <w:szCs w:val="18"/>
          <w:color w:val="auto"/>
        </w:rPr>
        <w:t>and</w:t>
      </w:r>
    </w:p>
    <w:p>
      <w:pPr>
        <w:spacing w:after="0" w:line="184" w:lineRule="exact"/>
        <w:rPr>
          <w:rFonts w:ascii="Times New Roman" w:cs="Times New Roman" w:eastAsia="Times New Roman" w:hAnsi="Times New Roman"/>
          <w:sz w:val="18"/>
          <w:szCs w:val="18"/>
          <w:color w:val="auto"/>
        </w:rPr>
      </w:pPr>
    </w:p>
    <w:p>
      <w:pPr>
        <w:ind w:left="660" w:right="180" w:hanging="328"/>
        <w:spacing w:after="0" w:line="231" w:lineRule="auto"/>
        <w:tabs>
          <w:tab w:leader="none" w:pos="912" w:val="left"/>
        </w:tabs>
        <w:numPr>
          <w:ilvl w:val="0"/>
          <w:numId w:val="10"/>
        </w:numPr>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The description of Weatherford Ireland’s ordinary shares contained in its Registration Statement on Form 10, as filed with the SEC on March</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color w:val="auto"/>
          </w:rPr>
          <w:t>29, 2021, as updated by Exhibit 4.1 to our Annual Report on Form 10-K for the fiscal year ended December 31, 2021, and any amendment or</w:t>
        </w:r>
      </w:hyperlink>
      <w:r>
        <w:rPr>
          <w:rFonts w:ascii="Times New Roman" w:cs="Times New Roman" w:eastAsia="Times New Roman" w:hAnsi="Times New Roman"/>
          <w:sz w:val="18"/>
          <w:szCs w:val="18"/>
          <w:color w:val="auto"/>
        </w:rPr>
        <w:t xml:space="preserve"> report filed with the SEC for the purpose of updating such description.</w:t>
      </w:r>
    </w:p>
    <w:p>
      <w:pPr>
        <w:spacing w:after="0" w:line="158"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7"/>
          <w:szCs w:val="17"/>
          <w:color w:val="auto"/>
        </w:rPr>
        <w:t>In addition, all documents that we subsequently file with the SEC under Sections 13(a), 13(c), 14 or 15(d) of the U.S. Securities Exchange Act of 1934,</w:t>
      </w:r>
    </w:p>
    <w:p>
      <w:pPr>
        <w:spacing w:after="0" w:line="14" w:lineRule="exact"/>
        <w:rPr>
          <w:rFonts w:ascii="Times New Roman" w:cs="Times New Roman" w:eastAsia="Times New Roman" w:hAnsi="Times New Roman"/>
          <w:sz w:val="18"/>
          <w:szCs w:val="18"/>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as amended, which we refer to as the “Exchange Act”, after the date of this prospectus and prior to the termination of the offering of the applicable securities, shall be deemed to be incorporated by reference into this prospectus. We are not, however, incorporating, in each case, any documents (or portions thereof) or information that we are deemed to furnish and not file in accordance with SEC rules unless expressly stated otherwise. Any statement</w:t>
      </w:r>
    </w:p>
    <w:p>
      <w:pPr>
        <w:spacing w:after="0" w:line="2" w:lineRule="exact"/>
        <w:rPr>
          <w:rFonts w:ascii="Times New Roman" w:cs="Times New Roman" w:eastAsia="Times New Roman" w:hAnsi="Times New Roman"/>
          <w:sz w:val="18"/>
          <w:szCs w:val="18"/>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in this prospectus, in any prospectus supplement, or in any document incorporated by reference that is different from any statement contained in any later-filed document should be regarded as changed by that later statement.</w:t>
      </w:r>
    </w:p>
    <w:p>
      <w:pPr>
        <w:spacing w:after="0" w:line="157"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so changed, the earlier statement is no longer considered part of this prospectus or any prospectus supplement.</w:t>
      </w:r>
    </w:p>
    <w:p>
      <w:pPr>
        <w:spacing w:after="0" w:line="198" w:lineRule="exact"/>
        <w:rPr>
          <w:rFonts w:ascii="Times New Roman" w:cs="Times New Roman" w:eastAsia="Times New Roman" w:hAnsi="Times New Roman"/>
          <w:sz w:val="18"/>
          <w:szCs w:val="18"/>
          <w:color w:val="auto"/>
        </w:rPr>
      </w:pPr>
    </w:p>
    <w:p>
      <w:pPr>
        <w:ind w:right="80" w:firstLine="324"/>
        <w:spacing w:after="0" w:line="237"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58" w:lineRule="exact"/>
        <w:rPr>
          <w:rFonts w:ascii="Times New Roman" w:cs="Times New Roman" w:eastAsia="Times New Roman" w:hAnsi="Times New Roman"/>
          <w:sz w:val="18"/>
          <w:szCs w:val="18"/>
          <w:color w:val="auto"/>
        </w:rPr>
      </w:pPr>
    </w:p>
    <w:p>
      <w:pPr>
        <w:ind w:left="4540"/>
        <w:spacing w:after="0"/>
        <w:rPr>
          <w:sz w:val="20"/>
          <w:szCs w:val="20"/>
          <w:color w:val="auto"/>
        </w:rPr>
      </w:pPr>
      <w:r>
        <w:rPr>
          <w:rFonts w:ascii="Times New Roman" w:cs="Times New Roman" w:eastAsia="Times New Roman" w:hAnsi="Times New Roman"/>
          <w:sz w:val="18"/>
          <w:szCs w:val="18"/>
          <w:color w:val="auto"/>
        </w:rPr>
        <w:t>Weatherford International plc</w:t>
      </w:r>
    </w:p>
    <w:p>
      <w:pPr>
        <w:ind w:left="4560"/>
        <w:spacing w:after="0" w:line="205" w:lineRule="auto"/>
        <w:rPr>
          <w:sz w:val="20"/>
          <w:szCs w:val="20"/>
          <w:color w:val="auto"/>
        </w:rPr>
      </w:pPr>
      <w:r>
        <w:rPr>
          <w:rFonts w:ascii="Times New Roman" w:cs="Times New Roman" w:eastAsia="Times New Roman" w:hAnsi="Times New Roman"/>
          <w:sz w:val="18"/>
          <w:szCs w:val="18"/>
          <w:color w:val="auto"/>
        </w:rPr>
        <w:t>Attention: Investor Relations</w:t>
      </w:r>
    </w:p>
    <w:p>
      <w:pPr>
        <w:jc w:val="center"/>
        <w:ind w:right="40"/>
        <w:spacing w:after="0" w:line="204" w:lineRule="auto"/>
        <w:rPr>
          <w:sz w:val="20"/>
          <w:szCs w:val="20"/>
          <w:color w:val="auto"/>
        </w:rPr>
      </w:pPr>
      <w:r>
        <w:rPr>
          <w:rFonts w:ascii="Times New Roman" w:cs="Times New Roman" w:eastAsia="Times New Roman" w:hAnsi="Times New Roman"/>
          <w:sz w:val="18"/>
          <w:szCs w:val="18"/>
          <w:color w:val="auto"/>
        </w:rPr>
        <w:t>2000 St. James Place</w:t>
      </w:r>
    </w:p>
    <w:p>
      <w:pPr>
        <w:ind w:left="4800"/>
        <w:spacing w:after="0" w:line="219" w:lineRule="auto"/>
        <w:rPr>
          <w:sz w:val="20"/>
          <w:szCs w:val="20"/>
          <w:color w:val="auto"/>
        </w:rPr>
      </w:pPr>
      <w:r>
        <w:rPr>
          <w:rFonts w:ascii="Times New Roman" w:cs="Times New Roman" w:eastAsia="Times New Roman" w:hAnsi="Times New Roman"/>
          <w:sz w:val="18"/>
          <w:szCs w:val="18"/>
          <w:color w:val="auto"/>
        </w:rPr>
        <w:t>Houston, Texas 77056</w:t>
      </w:r>
    </w:p>
    <w:p>
      <w:pPr>
        <w:ind w:left="5060"/>
        <w:spacing w:after="0"/>
        <w:rPr>
          <w:sz w:val="20"/>
          <w:szCs w:val="20"/>
          <w:color w:val="auto"/>
        </w:rPr>
      </w:pPr>
      <w:r>
        <w:rPr>
          <w:rFonts w:ascii="Times New Roman" w:cs="Times New Roman" w:eastAsia="Times New Roman" w:hAnsi="Times New Roman"/>
          <w:sz w:val="18"/>
          <w:szCs w:val="18"/>
          <w:color w:val="auto"/>
        </w:rPr>
        <w:t>(713) 836-4000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This prospectus includes, and any accompanying prospectus supplement may include, various statements relating to future financial performance and</w:t>
      </w:r>
    </w:p>
    <w:p>
      <w:pPr>
        <w:spacing w:after="0" w:line="2"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7"/>
          <w:szCs w:val="17"/>
          <w:color w:val="auto"/>
        </w:rPr>
        <w:t>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and are generally identified by the words “believe,” “project,” “expect,” “anticipate,” “estimate,” “intend,” “budget,” “strategy,” “plan,”</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“guidance,” “outlook,” “may,” “should,” “could,” “will,” “would,” “will be,” “will continue,” “will likely result,” and similar expressions, although not all forward-looking statements contain these identifying words.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157" w:lineRule="exact"/>
        <w:rPr>
          <w:sz w:val="20"/>
          <w:szCs w:val="20"/>
          <w:color w:val="auto"/>
        </w:rPr>
      </w:pPr>
    </w:p>
    <w:p>
      <w:pPr>
        <w:jc w:val="both"/>
        <w:ind w:left="660" w:right="560" w:hanging="328"/>
        <w:spacing w:after="0" w:line="23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ongoing military conflict between Russia and Ukraine (“Russia Ukraine Conflict”));</w:t>
      </w:r>
    </w:p>
    <w:p>
      <w:pPr>
        <w:spacing w:after="0" w:line="158"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spacing w:after="0" w:line="149"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w:t>
      </w:r>
    </w:p>
    <w:p>
      <w:pPr>
        <w:spacing w:after="0" w:line="171" w:lineRule="exact"/>
        <w:rPr>
          <w:rFonts w:ascii="Times New Roman" w:cs="Times New Roman" w:eastAsia="Times New Roman" w:hAnsi="Times New Roman"/>
          <w:sz w:val="18"/>
          <w:szCs w:val="18"/>
          <w:color w:val="auto"/>
        </w:rPr>
      </w:pPr>
    </w:p>
    <w:p>
      <w:pPr>
        <w:ind w:left="660" w:right="62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ESG and other “sustainability” initiatives and future legislative and regulatory measures both globally and in the specific geographic regions in which we and our customers operate;</w:t>
      </w:r>
    </w:p>
    <w:p>
      <w:pPr>
        <w:spacing w:after="0" w:line="158"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the COVID-19 pandemic, their impact on the global economy and the business of our company, customers, suppliers and other partners;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2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the COVID-19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84" w:lineRule="exact"/>
        <w:rPr>
          <w:rFonts w:ascii="Times New Roman" w:cs="Times New Roman" w:eastAsia="Times New Roman" w:hAnsi="Times New Roman"/>
          <w:sz w:val="18"/>
          <w:szCs w:val="18"/>
          <w:color w:val="auto"/>
        </w:rPr>
      </w:pPr>
    </w:p>
    <w:p>
      <w:pPr>
        <w:ind w:left="660" w:right="440" w:hanging="328"/>
        <w:spacing w:after="0" w:line="23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Weatherford Ireland;</w:t>
      </w:r>
    </w:p>
    <w:p>
      <w:pPr>
        <w:spacing w:after="0" w:line="198" w:lineRule="exact"/>
        <w:rPr>
          <w:rFonts w:ascii="Times New Roman" w:cs="Times New Roman" w:eastAsia="Times New Roman" w:hAnsi="Times New Roman"/>
          <w:sz w:val="18"/>
          <w:szCs w:val="18"/>
          <w:color w:val="auto"/>
        </w:rPr>
      </w:pPr>
    </w:p>
    <w:p>
      <w:pPr>
        <w:ind w:left="660" w:right="100" w:hanging="328"/>
        <w:spacing w:after="0" w:line="22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98" w:lineRule="exact"/>
        <w:rPr>
          <w:sz w:val="20"/>
          <w:szCs w:val="20"/>
          <w:color w:val="auto"/>
        </w:rPr>
      </w:pPr>
    </w:p>
    <w:p>
      <w:pPr>
        <w:ind w:firstLine="324"/>
        <w:spacing w:after="0" w:line="229" w:lineRule="auto"/>
        <w:rPr>
          <w:sz w:val="20"/>
          <w:szCs w:val="20"/>
          <w:color w:val="auto"/>
        </w:rPr>
      </w:pPr>
      <w:r>
        <w:rPr>
          <w:rFonts w:ascii="Times New Roman" w:cs="Times New Roman" w:eastAsia="Times New Roman" w:hAnsi="Times New Roman"/>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 These factors are not necessarily all of the important factors that could cause our actual results, performance or achievements to differ</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materially from those expressed in or implied by any of our forward-looking statements. Other unknown or unpredictable factors, many of which are beyond our control, also could harm our results, performance, or achievements. All forward-looking statements contained in this prospectus and any accompanying prospectus supplement, including the information incorporated by reference into this prospectus and any accompanying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are expressly qualified in their entirety by the cautionary statements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111"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are a leading global energy services company providing equipment and services used in the drilling, evaluation, well construction, completion,</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production, intervention and responsible abandonment of wells across the broad spectrum of energy sources. Many of our businesses, including those of our predecessor companies, have been operating for more than 50 years. We conduct operations in approximately 75 countries, answering the challenges of the energy industry with 350 operating locations including manufacturing, research and development, service, and training facilities. Our principal business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abandonment.</w:t>
      </w:r>
    </w:p>
    <w:p>
      <w:pPr>
        <w:spacing w:after="0" w:line="165" w:lineRule="exact"/>
        <w:rPr>
          <w:sz w:val="20"/>
          <w:szCs w:val="20"/>
          <w:color w:val="auto"/>
        </w:rPr>
      </w:pPr>
    </w:p>
    <w:p>
      <w:pPr>
        <w:ind w:right="140" w:firstLine="324"/>
        <w:spacing w:after="0" w:line="236" w:lineRule="auto"/>
        <w:rPr>
          <w:sz w:val="20"/>
          <w:szCs w:val="20"/>
          <w:color w:val="auto"/>
        </w:rPr>
      </w:pPr>
      <w:r>
        <w:rPr>
          <w:rFonts w:ascii="Times New Roman" w:cs="Times New Roman" w:eastAsia="Times New Roman" w:hAnsi="Times New Roman"/>
          <w:sz w:val="17"/>
          <w:szCs w:val="17"/>
          <w:color w:val="auto"/>
        </w:rPr>
        <w:t>Weatherford Ireland is incorporated in Ireland and is the ultimate parent company of the Weatherford group of companies. Weatherford Bermuda and Weatherford Delaware are each indirect, wholly owned subsidiaries of Weatherford Ireland. Weatherford Ireland currently conducts all of its operations</w:t>
      </w:r>
    </w:p>
    <w:p>
      <w:pPr>
        <w:spacing w:after="0"/>
        <w:rPr>
          <w:sz w:val="20"/>
          <w:szCs w:val="20"/>
          <w:color w:val="auto"/>
        </w:rPr>
      </w:pPr>
      <w:r>
        <w:rPr>
          <w:rFonts w:ascii="Times New Roman" w:cs="Times New Roman" w:eastAsia="Times New Roman" w:hAnsi="Times New Roman"/>
          <w:sz w:val="18"/>
          <w:szCs w:val="18"/>
          <w:color w:val="auto"/>
        </w:rPr>
        <w:t>through its subsidiaries, including Weatherford Bermuda and Weatherford Delaware.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and our telephone number is (713) 836-4000.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Investing in our securities involves risk. There are important factors that could cause our actual results, level of activity or performance to differ</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factors on our business or the extent to which any factor or combination of factors may cause actual results to differ materially from those contained in any forward-looking statements. These risks could materially and adversely affect our business, future prospects, financial condition or operating results and could result in a partial or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1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will use the net proceeds received by us from the sale of the securities offered by this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prospectus and the accompanying prospectus supplement for general corporate purposes. We may invest funds not required immediately for such purposes in marketable securities and short-term investments. Further details relating to the use of the net proceeds from the offering of securities under this prospectus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111"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description of the ordinary shares of Weatherford Ireland is a summary. The complete text of our Constitution comprising our</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Memorandum of Association and Articles of Association (the “Articles”), as adopted on December 10, 2019, which sets forth further detail as to the rights of holders of our ordinary shares, have been filed as exhibits to our periodic reports filed with the SEC, and each are incorporated by reference as exhibits to the registration statement of which this prospectus forms a part. As used in this section only, “we,” “our” and “us” refers only to Weatherford Ireland.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89" w:lineRule="exact"/>
        <w:rPr>
          <w:sz w:val="20"/>
          <w:szCs w:val="20"/>
          <w:color w:val="auto"/>
        </w:rPr>
      </w:pPr>
    </w:p>
    <w:p>
      <w:pPr>
        <w:ind w:right="140" w:firstLine="360"/>
        <w:spacing w:after="0" w:line="222" w:lineRule="auto"/>
        <w:rPr>
          <w:sz w:val="20"/>
          <w:szCs w:val="20"/>
          <w:color w:val="auto"/>
        </w:rPr>
      </w:pPr>
      <w:r>
        <w:rPr>
          <w:rFonts w:ascii="Times New Roman" w:cs="Times New Roman" w:eastAsia="Times New Roman" w:hAnsi="Times New Roman"/>
          <w:sz w:val="18"/>
          <w:szCs w:val="18"/>
          <w:color w:val="auto"/>
        </w:rPr>
        <w:t>As of June 14, 2022, our authorized share capital is $1,356,000 divided into 1,356,000,000 ordinary shares with a nominal value of $0.001 per share. As of June 14, 2022, there were approximately 73 shareholders of record and 70,545,415 ordinary shares issued and outstanding. The actual number of</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shareholders is considerably greater than the number of shareholders of record and includes shareholders who are beneficial owners but whose ordinary shares are held in street name by brokers and other nominees.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ind w:right="200" w:firstLine="360"/>
        <w:spacing w:after="0" w:line="226" w:lineRule="auto"/>
        <w:rPr>
          <w:sz w:val="20"/>
          <w:szCs w:val="20"/>
          <w:color w:val="auto"/>
        </w:rPr>
      </w:pPr>
      <w:r>
        <w:rPr>
          <w:rFonts w:ascii="Times New Roman" w:cs="Times New Roman" w:eastAsia="Times New Roman" w:hAnsi="Times New Roman"/>
          <w:sz w:val="18"/>
          <w:szCs w:val="18"/>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71"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2" w:lineRule="exact"/>
        <w:rPr>
          <w:sz w:val="20"/>
          <w:szCs w:val="20"/>
          <w:color w:val="auto"/>
        </w:rPr>
      </w:pPr>
    </w:p>
    <w:p>
      <w:pPr>
        <w:ind w:firstLine="360"/>
        <w:spacing w:after="0" w:line="229" w:lineRule="auto"/>
        <w:rPr>
          <w:sz w:val="20"/>
          <w:szCs w:val="20"/>
          <w:color w:val="auto"/>
        </w:rPr>
      </w:pPr>
      <w:r>
        <w:rPr>
          <w:rFonts w:ascii="Times New Roman" w:cs="Times New Roman" w:eastAsia="Times New Roman" w:hAnsi="Times New Roman"/>
          <w:sz w:val="17"/>
          <w:szCs w:val="17"/>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Weatherford Ireland has a duty to make arrangements for shareholders of record to participate at the</w:t>
      </w:r>
    </w:p>
    <w:p>
      <w:pPr>
        <w:ind w:right="60"/>
        <w:spacing w:after="0" w:line="218" w:lineRule="auto"/>
        <w:rPr>
          <w:sz w:val="20"/>
          <w:szCs w:val="20"/>
          <w:color w:val="auto"/>
        </w:rPr>
      </w:pPr>
      <w:r>
        <w:rPr>
          <w:rFonts w:ascii="Times New Roman" w:cs="Times New Roman" w:eastAsia="Times New Roman" w:hAnsi="Times New Roman"/>
          <w:sz w:val="18"/>
          <w:szCs w:val="18"/>
          <w:color w:val="auto"/>
        </w:rPr>
        <w:t>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Elections</w:t>
      </w:r>
    </w:p>
    <w:p>
      <w:pPr>
        <w:spacing w:after="0" w:line="189"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18"/>
          <w:szCs w:val="18"/>
          <w:color w:val="auto"/>
        </w:rPr>
        <w:t>Directors may be appointed by our shareholders at the Annual General Meeting or at any extraordinary general meeting called for that purpose and by our Board of Directors in accordance with our Articles.</w:t>
      </w:r>
    </w:p>
    <w:p>
      <w:pPr>
        <w:spacing w:after="0" w:line="172"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Each of our directors shall (unless his or her office is earlier vacated in accordance with our Articles) serve for a one-year term concluding on the latter of (i) the Annual General Meeting after such director was last appointed or re-appointed and (y) until his or her successor is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director retiring at an Annual General Meeting will be eligible for re-appointment.</w:t>
      </w:r>
    </w:p>
    <w:p>
      <w:pPr>
        <w:spacing w:after="0" w:line="198" w:lineRule="exact"/>
        <w:rPr>
          <w:sz w:val="20"/>
          <w:szCs w:val="20"/>
          <w:color w:val="auto"/>
        </w:rPr>
      </w:pPr>
    </w:p>
    <w:p>
      <w:pPr>
        <w:ind w:firstLine="360"/>
        <w:spacing w:after="0" w:line="216" w:lineRule="auto"/>
        <w:rPr>
          <w:sz w:val="20"/>
          <w:szCs w:val="20"/>
          <w:color w:val="auto"/>
        </w:rPr>
      </w:pPr>
      <w:r>
        <w:rPr>
          <w:rFonts w:ascii="Times New Roman" w:cs="Times New Roman" w:eastAsia="Times New Roman" w:hAnsi="Times New Roman"/>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proxy, at such meeting and entitled to vote on the election of directors.</w:t>
      </w:r>
    </w:p>
    <w:p>
      <w:pPr>
        <w:spacing w:after="0" w:line="165" w:lineRule="exact"/>
        <w:rPr>
          <w:sz w:val="20"/>
          <w:szCs w:val="20"/>
          <w:color w:val="auto"/>
        </w:rPr>
      </w:pPr>
    </w:p>
    <w:p>
      <w:pPr>
        <w:ind w:right="60" w:firstLine="360"/>
        <w:spacing w:after="0" w:line="229" w:lineRule="auto"/>
        <w:rPr>
          <w:sz w:val="20"/>
          <w:szCs w:val="20"/>
          <w:color w:val="auto"/>
        </w:rPr>
      </w:pPr>
      <w:r>
        <w:rPr>
          <w:rFonts w:ascii="Times New Roman" w:cs="Times New Roman" w:eastAsia="Times New Roman" w:hAnsi="Times New Roman"/>
          <w:sz w:val="17"/>
          <w:szCs w:val="17"/>
          <w:color w:val="auto"/>
        </w:rPr>
        <w:t>Under our Articles, in an uncontested election (where the number of director nominees does not exceed the number of directors to be elected), any nominee for election to the Board of Directors who is then serving as a director and who receives a greater number of “against” votes than “for” votes shall promptly tender his or her resignation following certification of the vote. The Board of Directors (excluding the director who has so tendered his or her</w:t>
      </w:r>
    </w:p>
    <w:p>
      <w:pPr>
        <w:spacing w:after="0"/>
        <w:rPr>
          <w:sz w:val="20"/>
          <w:szCs w:val="20"/>
          <w:color w:val="auto"/>
        </w:rPr>
      </w:pPr>
      <w:r>
        <w:rPr>
          <w:rFonts w:ascii="Times New Roman" w:cs="Times New Roman" w:eastAsia="Times New Roman" w:hAnsi="Times New Roman"/>
          <w:sz w:val="18"/>
          <w:szCs w:val="18"/>
          <w:color w:val="auto"/>
        </w:rPr>
        <w:t>resignation) is then obliged to consider the resignation offer and decide whether to accept or reject the resignation, or whether other action should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189" w:lineRule="exact"/>
        <w:rPr>
          <w:sz w:val="20"/>
          <w:szCs w:val="20"/>
          <w:color w:val="auto"/>
        </w:rPr>
      </w:pPr>
    </w:p>
    <w:p>
      <w:pPr>
        <w:ind w:right="160" w:firstLine="360"/>
        <w:spacing w:after="0" w:line="250" w:lineRule="auto"/>
        <w:rPr>
          <w:sz w:val="20"/>
          <w:szCs w:val="20"/>
          <w:color w:val="auto"/>
        </w:rPr>
      </w:pPr>
      <w:r>
        <w:rPr>
          <w:rFonts w:ascii="Times New Roman" w:cs="Times New Roman" w:eastAsia="Times New Roman" w:hAnsi="Times New Roman"/>
          <w:sz w:val="18"/>
          <w:szCs w:val="18"/>
          <w:color w:val="auto"/>
        </w:rPr>
        <w:t>We may allot and issue ordinary shares subject to the maximum authorized share capital contained in our Articles. The authorized maximum may be increased or reduced by an ordinary resolution of shareholders.</w:t>
      </w:r>
    </w:p>
    <w:p>
      <w:pPr>
        <w:spacing w:after="0" w:line="149" w:lineRule="exact"/>
        <w:rPr>
          <w:sz w:val="20"/>
          <w:szCs w:val="20"/>
          <w:color w:val="auto"/>
        </w:rPr>
      </w:pPr>
    </w:p>
    <w:p>
      <w:pPr>
        <w:ind w:right="80" w:firstLine="360"/>
        <w:spacing w:after="0" w:line="222" w:lineRule="auto"/>
        <w:rPr>
          <w:sz w:val="20"/>
          <w:szCs w:val="20"/>
          <w:color w:val="auto"/>
        </w:rPr>
      </w:pPr>
      <w:r>
        <w:rPr>
          <w:rFonts w:ascii="Times New Roman" w:cs="Times New Roman" w:eastAsia="Times New Roman" w:hAnsi="Times New Roman"/>
          <w:sz w:val="18"/>
          <w:szCs w:val="18"/>
          <w:color w:val="auto"/>
        </w:rPr>
        <w:t>Under Irish law, our Board of Directors may issue new ordinary shares having the rights provided for in our Articles without shareholder approval once authorized to do so by the Articles or by an ordinary resolution adopted by the shareholders at a general meeting, subject at all times to the maximum</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172" w:lineRule="exact"/>
        <w:rPr>
          <w:sz w:val="20"/>
          <w:szCs w:val="20"/>
          <w:color w:val="auto"/>
        </w:rPr>
      </w:pPr>
    </w:p>
    <w:p>
      <w:pPr>
        <w:ind w:left="660" w:right="220" w:hanging="328"/>
        <w:spacing w:after="0" w:line="22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2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$87,000 (87,000,000 ordinary shares) for the purposes of allotting relevant securities contemplated in (i) the examiner’s scheme of arrangement under Part 10 of the Companies Act 2014 of Ireland, as amended (the “Irish Companies Act”) approved by the Irish High Court on December 12, 2019 and (ii) a scheme of arrangement in respect of Weatherford International Ltd. pursuant to the Companies Act 1981 of Bermuda.</w:t>
      </w:r>
    </w:p>
    <w:p>
      <w:pPr>
        <w:spacing w:after="0" w:line="159"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On that basis, taking account of ordinary shares that have been allotted or issued since December 10, 2019 or that are otherwise reserved for issuance, as of the date of this registration statement, our Board of Directors is authorized to issue an additional 83,622,267 ordinary shares without shareholder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for the balance of the period of five years ending on December 9,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Share Warrants and Options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when shares are to be issued for cash. As permitted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under Irish law, we opted-out of these preemption rights in our Articles adopted at the time of emergence from bankruptcy in respect of the 170,000,000 ordinary shares our directors were authorized to allot pursuant to the allotment authority referenced above. Irish law requires this opt-out to be renewed at least every five years by a qualified 75% majority of the votes cast, in person or by proxy, at a general meeting of our shareholders at which a quorum is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172" w:lineRule="exact"/>
        <w:rPr>
          <w:sz w:val="20"/>
          <w:szCs w:val="20"/>
          <w:color w:val="auto"/>
        </w:rPr>
      </w:pPr>
    </w:p>
    <w:p>
      <w:pPr>
        <w:ind w:right="20" w:firstLine="360"/>
        <w:spacing w:after="0" w:line="226" w:lineRule="auto"/>
        <w:rPr>
          <w:sz w:val="20"/>
          <w:szCs w:val="20"/>
          <w:color w:val="auto"/>
        </w:rPr>
      </w:pPr>
      <w:r>
        <w:rPr>
          <w:rFonts w:ascii="Times New Roman" w:cs="Times New Roman" w:eastAsia="Times New Roman" w:hAnsi="Times New Roman"/>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171" w:lineRule="exact"/>
        <w:rPr>
          <w:sz w:val="20"/>
          <w:szCs w:val="20"/>
          <w:color w:val="auto"/>
        </w:rPr>
      </w:pPr>
    </w:p>
    <w:p>
      <w:pPr>
        <w:ind w:firstLine="360"/>
        <w:spacing w:after="0" w:line="226" w:lineRule="auto"/>
        <w:rPr>
          <w:sz w:val="20"/>
          <w:szCs w:val="20"/>
          <w:color w:val="auto"/>
        </w:rPr>
      </w:pPr>
      <w:r>
        <w:rPr>
          <w:rFonts w:ascii="Times New Roman" w:cs="Times New Roman" w:eastAsia="Times New Roman" w:hAnsi="Times New Roman"/>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Weatherford Ireland and its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ind w:right="100" w:firstLine="360"/>
        <w:spacing w:after="0" w:line="263" w:lineRule="auto"/>
        <w:rPr>
          <w:sz w:val="20"/>
          <w:szCs w:val="20"/>
          <w:color w:val="auto"/>
        </w:rPr>
      </w:pPr>
      <w:r>
        <w:rPr>
          <w:rFonts w:ascii="Times New Roman" w:cs="Times New Roman" w:eastAsia="Times New Roman" w:hAnsi="Times New Roman"/>
          <w:sz w:val="17"/>
          <w:szCs w:val="17"/>
          <w:color w:val="auto"/>
        </w:rPr>
        <w:t>Holders of ordinary shares are entitled to receive dividends which may be declared (i) at a general meeting of shareholders upon the recommendation of the Board of Directors or (ii) by the Board of Directors in such amount as appear to the directors to be justified by our profits,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Irish Companies Act as to preferential payments, upon winding up, our property shall be distributed among the members according to their rights and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ordinary shares are listed on Nasdaq under the ticker symbol “WFRD.”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320" w:top="111" w:right="9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p>
      <w:pPr>
        <w:spacing w:after="0" w:line="18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following description of the options and warrants exercisable for the ordinary shares sets forth certain general terms and provisions. This</w:t>
      </w:r>
    </w:p>
    <w:p>
      <w:pPr>
        <w:spacing w:after="0" w:line="2"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summary does not contain all of the information that you may find useful. The particular terms of any series of options or warrants exercisable for the ordinary shares will be described in the prospectus supplement relating to those securities. The terms of any options or warrants offered under that prospectus supplement may differ from the terms described below.</w:t>
      </w:r>
    </w:p>
    <w:p>
      <w:pPr>
        <w:spacing w:after="0" w:line="172" w:lineRule="exact"/>
        <w:rPr>
          <w:sz w:val="20"/>
          <w:szCs w:val="20"/>
          <w:color w:val="auto"/>
        </w:rPr>
      </w:pPr>
    </w:p>
    <w:p>
      <w:pPr>
        <w:ind w:right="180" w:firstLine="360"/>
        <w:spacing w:after="0" w:line="229" w:lineRule="auto"/>
        <w:rPr>
          <w:sz w:val="20"/>
          <w:szCs w:val="20"/>
          <w:color w:val="auto"/>
        </w:rPr>
      </w:pPr>
      <w:r>
        <w:rPr>
          <w:rFonts w:ascii="Times New Roman" w:cs="Times New Roman" w:eastAsia="Times New Roman" w:hAnsi="Times New Roman"/>
          <w:sz w:val="17"/>
          <w:szCs w:val="17"/>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w:t>
      </w:r>
    </w:p>
    <w:p>
      <w:pPr>
        <w:ind w:right="200"/>
        <w:spacing w:after="0" w:line="220" w:lineRule="auto"/>
        <w:rPr>
          <w:sz w:val="20"/>
          <w:szCs w:val="20"/>
          <w:color w:val="auto"/>
        </w:rPr>
      </w:pPr>
      <w:r>
        <w:rPr>
          <w:rFonts w:ascii="Times New Roman" w:cs="Times New Roman" w:eastAsia="Times New Roman" w:hAnsi="Times New Roman"/>
          <w:sz w:val="17"/>
          <w:szCs w:val="17"/>
          <w:color w:val="auto"/>
        </w:rPr>
        <w:t>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158" w:lineRule="exact"/>
        <w:rPr>
          <w:sz w:val="20"/>
          <w:szCs w:val="20"/>
          <w:color w:val="auto"/>
        </w:rPr>
      </w:pPr>
    </w:p>
    <w:p>
      <w:pPr>
        <w:ind w:right="300" w:firstLine="360"/>
        <w:spacing w:after="0" w:line="250" w:lineRule="auto"/>
        <w:rPr>
          <w:sz w:val="20"/>
          <w:szCs w:val="20"/>
          <w:color w:val="auto"/>
        </w:rPr>
      </w:pPr>
      <w:r>
        <w:rPr>
          <w:rFonts w:ascii="Times New Roman" w:cs="Times New Roman" w:eastAsia="Times New Roman" w:hAnsi="Times New Roman"/>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149" w:lineRule="exact"/>
        <w:rPr>
          <w:sz w:val="20"/>
          <w:szCs w:val="20"/>
          <w:color w:val="auto"/>
        </w:rPr>
      </w:pPr>
    </w:p>
    <w:p>
      <w:pPr>
        <w:ind w:right="280" w:firstLine="360"/>
        <w:spacing w:after="0" w:line="222" w:lineRule="auto"/>
        <w:rPr>
          <w:sz w:val="20"/>
          <w:szCs w:val="20"/>
          <w:color w:val="auto"/>
        </w:rPr>
      </w:pPr>
      <w:r>
        <w:rPr>
          <w:rFonts w:ascii="Times New Roman" w:cs="Times New Roman" w:eastAsia="Times New Roman" w:hAnsi="Times New Roman"/>
          <w:sz w:val="18"/>
          <w:szCs w:val="18"/>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options and warrants, including:</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the options or warrants offered;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options or warrants may be payable;</w:t>
      </w:r>
    </w:p>
    <w:p>
      <w:pPr>
        <w:spacing w:after="0" w:line="184"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171"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options or warrants are issued and the number of options or warrants issued with each such security or each principal amount of such security;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options or warrants;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ordinary shares purchasable upon the exercise of one option or warrant and the price at which these ordinary shares may be purchased upon such exercise;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options or warrants, if any;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option or warrant agreement and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options or warrants will commence and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1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option or warrant agreement and options or warrants may be modified;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options or warrants which may be exercised at any one time;</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options or warrants and related securities will be separately transferable;</w:t>
      </w:r>
    </w:p>
    <w:p>
      <w:pPr>
        <w:spacing w:after="0" w:line="198"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58"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options or warrants or any securities purchasable upon exercise of the options or warrants on any securities exchange;</w:t>
      </w:r>
    </w:p>
    <w:p>
      <w:pPr>
        <w:spacing w:after="0" w:line="149"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certificates evidencing the options or warrants will be issued in registered or bearer form and, if registered, where they may be transferred and exchanged;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options or warrants.</w:t>
      </w:r>
    </w:p>
    <w:p>
      <w:pPr>
        <w:spacing w:after="0" w:line="185" w:lineRule="exact"/>
        <w:rPr>
          <w:sz w:val="20"/>
          <w:szCs w:val="20"/>
          <w:color w:val="auto"/>
        </w:rPr>
      </w:pPr>
    </w:p>
    <w:p>
      <w:pPr>
        <w:ind w:right="1080" w:firstLine="360"/>
        <w:spacing w:after="0" w:line="237"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offering will be described in an accompanying prospectus supplement.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Options and Warrants</w:t>
      </w:r>
    </w:p>
    <w:p>
      <w:pPr>
        <w:spacing w:after="0" w:line="189" w:lineRule="exact"/>
        <w:rPr>
          <w:sz w:val="20"/>
          <w:szCs w:val="20"/>
          <w:color w:val="auto"/>
        </w:rPr>
      </w:pPr>
    </w:p>
    <w:p>
      <w:pPr>
        <w:ind w:right="200" w:firstLine="360"/>
        <w:spacing w:after="0" w:line="236" w:lineRule="auto"/>
        <w:rPr>
          <w:sz w:val="20"/>
          <w:szCs w:val="20"/>
          <w:color w:val="auto"/>
        </w:rPr>
      </w:pPr>
      <w:r>
        <w:rPr>
          <w:rFonts w:ascii="Times New Roman" w:cs="Times New Roman" w:eastAsia="Times New Roman" w:hAnsi="Times New Roman"/>
          <w:sz w:val="17"/>
          <w:szCs w:val="17"/>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w:t>
      </w: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specified information, and paying the required amount to us or to the warrant agent in immediately available funds, as provided in the applicable prospectus supplement. Irish law requires that no shares in Weatherford Ireland’s authorized but unissued share capital shall be issued in settlement of an option unless they are paid-up on issuance to at least their nominal (or par) value. We will set forth on the reverse side of the certificate and in the applicable prospectus</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 Upon receipt of the required payment and the certificate properly completed and duly executed at the</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indicate in the applicable prospectus supplement, holders of the options and warrants may surrender securities as all or part of the exercise price for options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Option and Warrant Agreements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and, if applicable, the option or warrant agent, may amend or supplement the option or warrant agreement for a series of options or warrants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111"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89" w:lineRule="exact"/>
        <w:rPr>
          <w:sz w:val="20"/>
          <w:szCs w:val="20"/>
          <w:color w:val="auto"/>
        </w:rPr>
      </w:pPr>
    </w:p>
    <w:p>
      <w:pPr>
        <w:ind w:right="580" w:firstLine="360"/>
        <w:spacing w:after="0" w:line="250" w:lineRule="auto"/>
        <w:rPr>
          <w:sz w:val="20"/>
          <w:szCs w:val="20"/>
          <w:color w:val="auto"/>
        </w:rPr>
      </w:pPr>
      <w:r>
        <w:rPr>
          <w:rFonts w:ascii="Times New Roman" w:cs="Times New Roman" w:eastAsia="Times New Roman" w:hAnsi="Times New Roman"/>
          <w:sz w:val="18"/>
          <w:szCs w:val="18"/>
          <w:color w:val="auto"/>
        </w:rPr>
        <w:t>Weatherford Bermuda and Weatherford Delaware (either separately, or together) may offer debt securities in one or more series, which may be convertible into another security.</w:t>
      </w:r>
    </w:p>
    <w:p>
      <w:pPr>
        <w:spacing w:after="0" w:line="149" w:lineRule="exact"/>
        <w:rPr>
          <w:sz w:val="20"/>
          <w:szCs w:val="20"/>
          <w:color w:val="auto"/>
        </w:rPr>
      </w:pPr>
    </w:p>
    <w:p>
      <w:pPr>
        <w:ind w:right="280" w:firstLine="360"/>
        <w:spacing w:after="0" w:line="236" w:lineRule="auto"/>
        <w:rPr>
          <w:sz w:val="20"/>
          <w:szCs w:val="20"/>
          <w:color w:val="auto"/>
        </w:rPr>
      </w:pPr>
      <w:r>
        <w:rPr>
          <w:rFonts w:ascii="Times New Roman" w:cs="Times New Roman" w:eastAsia="Times New Roman" w:hAnsi="Times New Roman"/>
          <w:sz w:val="17"/>
          <w:szCs w:val="17"/>
          <w:color w:val="auto"/>
        </w:rPr>
        <w:t>The following description briefly sets forth certain general terms and provisions of the debt securities that Weatherford Bermuda and Weatherford Delaware (as applicable, the “Issuer”) may offer and guarantees thereof by Weatherford Bermuda, Weatherford Delaware or Weatherford Ireland, as the</w:t>
      </w:r>
    </w:p>
    <w:p>
      <w:pPr>
        <w:ind w:right="20"/>
        <w:spacing w:after="0" w:line="220" w:lineRule="auto"/>
        <w:rPr>
          <w:sz w:val="20"/>
          <w:szCs w:val="20"/>
          <w:color w:val="auto"/>
        </w:rPr>
      </w:pPr>
      <w:r>
        <w:rPr>
          <w:rFonts w:ascii="Times New Roman" w:cs="Times New Roman" w:eastAsia="Times New Roman" w:hAnsi="Times New Roman"/>
          <w:sz w:val="17"/>
          <w:szCs w:val="17"/>
          <w:color w:val="auto"/>
        </w:rPr>
        <w:t>case maybe (in its role as guarantor under the Indenture (as defined below), the “Guarantor”). Unless otherwise specified in an accompanying prospectus supplement, any debt securities will be issued in one or more series under an Indenture to be entered into by and among Weatherford Ireland, Weatherford Bermuda, Weatherford Delaware and Deutsche Bank Trust Company Americas, as trustee, or such other trustee named therein (the “Indenture”). A form of</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72" w:lineRule="exact"/>
        <w:rPr>
          <w:sz w:val="20"/>
          <w:szCs w:val="20"/>
          <w:color w:val="auto"/>
        </w:rPr>
      </w:pPr>
    </w:p>
    <w:p>
      <w:pPr>
        <w:ind w:right="160" w:firstLine="360"/>
        <w:spacing w:after="0" w:line="216" w:lineRule="auto"/>
        <w:rPr>
          <w:sz w:val="20"/>
          <w:szCs w:val="20"/>
          <w:color w:val="auto"/>
        </w:rPr>
      </w:pPr>
      <w:r>
        <w:rPr>
          <w:rFonts w:ascii="Times New Roman" w:cs="Times New Roman" w:eastAsia="Times New Roman" w:hAnsi="Times New Roman"/>
          <w:sz w:val="18"/>
          <w:szCs w:val="18"/>
          <w:color w:val="auto"/>
        </w:rPr>
        <w:t>When a particular series of debt securities are offered and sold, we will describe the specific terms and conditions of the series in a prospectus supplement. We will also indicate in the applicable prospectus supplement whether the general terms and conditions described in this prospectus apply to the series of debt securities. In addition, the terms and conditions of the debt securities of a series may be different in one or more respects from the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described below. If so, those differences will be described in the applicable prospectus supplement and will supersede this prospectus.</w:t>
      </w:r>
    </w:p>
    <w:p>
      <w:pPr>
        <w:spacing w:after="0" w:line="165" w:lineRule="exact"/>
        <w:rPr>
          <w:sz w:val="20"/>
          <w:szCs w:val="20"/>
          <w:color w:val="auto"/>
        </w:rPr>
      </w:pPr>
    </w:p>
    <w:p>
      <w:pPr>
        <w:jc w:val="both"/>
        <w:ind w:right="80" w:firstLine="360"/>
        <w:spacing w:after="0" w:line="237" w:lineRule="auto"/>
        <w:rPr>
          <w:sz w:val="20"/>
          <w:szCs w:val="20"/>
          <w:color w:val="auto"/>
        </w:rPr>
      </w:pPr>
      <w:r>
        <w:rPr>
          <w:rFonts w:ascii="Times New Roman" w:cs="Times New Roman" w:eastAsia="Times New Roman" w:hAnsi="Times New Roman"/>
          <w:sz w:val="18"/>
          <w:szCs w:val="18"/>
          <w:color w:val="auto"/>
        </w:rPr>
        <w:t>The following description only summarizes the terms of the Indenture and the debt securities. For more information you should read the Indenture. In addition, the following description is qualified in all respects by reference to the actual text of the Indenture and the forms of the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700" w:firstLine="360"/>
        <w:spacing w:after="0" w:line="237" w:lineRule="auto"/>
        <w:rPr>
          <w:sz w:val="20"/>
          <w:szCs w:val="20"/>
          <w:color w:val="auto"/>
        </w:rPr>
      </w:pPr>
      <w:r>
        <w:rPr>
          <w:rFonts w:ascii="Times New Roman" w:cs="Times New Roman" w:eastAsia="Times New Roman" w:hAnsi="Times New Roman"/>
          <w:sz w:val="18"/>
          <w:szCs w:val="18"/>
          <w:color w:val="auto"/>
        </w:rPr>
        <w:t>Weatherford Bermuda or Weatherford Delaware, as the case may be, may issue debt securities either separately, or together with, or upon the conversion of or in exchange for, other securities. The debt securities will be issued in one or more series under the Indenture.</w:t>
      </w:r>
    </w:p>
    <w:p>
      <w:pPr>
        <w:spacing w:after="0" w:line="172" w:lineRule="exact"/>
        <w:rPr>
          <w:sz w:val="20"/>
          <w:szCs w:val="20"/>
          <w:color w:val="auto"/>
        </w:rPr>
      </w:pPr>
    </w:p>
    <w:p>
      <w:pPr>
        <w:jc w:val="both"/>
        <w:ind w:right="80" w:firstLine="360"/>
        <w:spacing w:after="0" w:line="226" w:lineRule="auto"/>
        <w:rPr>
          <w:sz w:val="20"/>
          <w:szCs w:val="20"/>
          <w:color w:val="auto"/>
        </w:rPr>
      </w:pPr>
      <w:r>
        <w:rPr>
          <w:rFonts w:ascii="Times New Roman" w:cs="Times New Roman" w:eastAsia="Times New Roman" w:hAnsi="Times New Roman"/>
          <w:sz w:val="18"/>
          <w:szCs w:val="18"/>
          <w:color w:val="auto"/>
        </w:rPr>
        <w:t>The trustee for each series of debt securities will be Deutsche Bank Trust Company Americas, unless otherwise specified in the applicable prospectus supplement. The Indenture does not limit the amount of debt securities that may be issued and provides that debt securities may be issued thereunder from time to time in one or more series.</w:t>
      </w:r>
    </w:p>
    <w:p>
      <w:pPr>
        <w:spacing w:after="0" w:line="171"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the Issuer may offer will contain the specific terms of the debt securities. These terms may include, among others, the following:</w:t>
      </w:r>
    </w:p>
    <w:p>
      <w:pPr>
        <w:spacing w:after="0" w:line="15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such series of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84" w:lineRule="exact"/>
        <w:rPr>
          <w:rFonts w:ascii="Times New Roman" w:cs="Times New Roman" w:eastAsia="Times New Roman" w:hAnsi="Times New Roman"/>
          <w:sz w:val="18"/>
          <w:szCs w:val="18"/>
          <w:color w:val="auto"/>
        </w:rPr>
      </w:pPr>
    </w:p>
    <w:p>
      <w:pPr>
        <w:ind w:left="660" w:right="52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 of principal and interest may be made, where debt securities may be presented and where notices or demands upon the Issuer may be made;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(including any sinking fund) or early repayment provisions;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9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guarantee by the Guarantor (including provisions relating to seniority, subordination and release of the guarantees);</w:t>
      </w:r>
    </w:p>
    <w:p>
      <w:pPr>
        <w:spacing w:after="0" w:line="184"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71"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Issuer may sell the debt securities, including original issue discount securities, at par or at a substantial discount below their stated principal</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amount. Unless we inform you otherwise in a prospectus supplement, additional debt securities of a particular series may be issued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72" w:lineRule="exact"/>
        <w:rPr>
          <w:sz w:val="20"/>
          <w:szCs w:val="20"/>
          <w:color w:val="auto"/>
        </w:rPr>
      </w:pPr>
    </w:p>
    <w:p>
      <w:pPr>
        <w:ind w:right="60" w:firstLine="360"/>
        <w:spacing w:after="0" w:line="216"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linked will be described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360"/>
        <w:spacing w:after="0" w:line="237"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72" w:lineRule="exact"/>
        <w:rPr>
          <w:sz w:val="20"/>
          <w:szCs w:val="20"/>
          <w:color w:val="auto"/>
        </w:rPr>
      </w:pPr>
    </w:p>
    <w:p>
      <w:pPr>
        <w:ind w:right="20" w:firstLine="360"/>
        <w:spacing w:after="0" w:line="216" w:lineRule="auto"/>
        <w:rPr>
          <w:sz w:val="20"/>
          <w:szCs w:val="20"/>
          <w:color w:val="auto"/>
        </w:rPr>
      </w:pPr>
      <w:r>
        <w:rPr>
          <w:rFonts w:ascii="Times New Roman" w:cs="Times New Roman" w:eastAsia="Times New Roman" w:hAnsi="Times New Roman"/>
          <w:sz w:val="18"/>
          <w:szCs w:val="18"/>
          <w:color w:val="auto"/>
        </w:rPr>
        <w:t>We expect the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any tax or other governmental charge payable in connection therewith.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Guarantor will fully and unconditionally guarantee all obligations of the Issuer under the Indenture and the related debt securities. Unless</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otherwise provided in a prospectus supplement, each guarantee will be a senior unsecured obligation of the Guarantor. The obligations of any Guarantor under its guarantee will be limited as necessary to prevent such guarantee from constituting a fraudulent conveyance or fraudulent transfer under applicable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89" w:lineRule="exact"/>
        <w:rPr>
          <w:sz w:val="20"/>
          <w:szCs w:val="20"/>
          <w:color w:val="auto"/>
        </w:rPr>
      </w:pPr>
    </w:p>
    <w:p>
      <w:pPr>
        <w:ind w:right="20" w:firstLine="360"/>
        <w:spacing w:after="0" w:line="236" w:lineRule="auto"/>
        <w:rPr>
          <w:sz w:val="20"/>
          <w:szCs w:val="20"/>
          <w:color w:val="auto"/>
        </w:rPr>
      </w:pPr>
      <w:r>
        <w:rPr>
          <w:rFonts w:ascii="Times New Roman" w:cs="Times New Roman" w:eastAsia="Times New Roman" w:hAnsi="Times New Roman"/>
          <w:sz w:val="17"/>
          <w:szCs w:val="17"/>
          <w:color w:val="auto"/>
        </w:rPr>
        <w:t>The terms, if any, on which debt securities of any series are convertible into or exchangeable for ordinary shares of Weatherford Ireland, other debt securities or any other securities will be set forth in the related prospectus supplement. The terms may include provisions for conversion or exchange, either</w:t>
      </w:r>
    </w:p>
    <w:p>
      <w:pPr>
        <w:spacing w:after="0"/>
        <w:rPr>
          <w:sz w:val="20"/>
          <w:szCs w:val="20"/>
          <w:color w:val="auto"/>
        </w:rPr>
      </w:pPr>
      <w:r>
        <w:rPr>
          <w:rFonts w:ascii="Times New Roman" w:cs="Times New Roman" w:eastAsia="Times New Roman" w:hAnsi="Times New Roman"/>
          <w:sz w:val="18"/>
          <w:szCs w:val="18"/>
          <w:color w:val="auto"/>
        </w:rPr>
        <w:t>mandatory, at the option of the holders, the Issuer or Weatherford Ireland.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and Exchange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debt securities may be transferred or exchanged at the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corporate trust office of the trustee or at any other office or agency maintained by the Issuer for that purpose. No service charge will be made for any registration of transfer or exchange of the debt securities, but the Issuer may require a payment by the holder to cover any tax or other governmental charge. The Issuer will not be required to register the transfer of or exchange debt securities of any series:</w:t>
      </w:r>
    </w:p>
    <w:p>
      <w:pPr>
        <w:spacing w:after="0" w:line="172" w:lineRule="exact"/>
        <w:rPr>
          <w:sz w:val="20"/>
          <w:szCs w:val="20"/>
          <w:color w:val="auto"/>
        </w:rPr>
      </w:pPr>
    </w:p>
    <w:p>
      <w:pPr>
        <w:ind w:left="660" w:right="60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beginning at the opening of business 15 days before the day of mailing of a notice of redemption of securities of that series selected for redemption; or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for redemption in whole or in part, except the unredeemed portion of any debt security being redeemed in part.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89"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interest and any premium on the debt securities will be paid at the place or places that the Issuer will designate for such purposes. Unless otherwise indicated in the applicable prospectus supplement, payment of interest on a debt</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security that is payable and is punctually paid or duly provided for on any interest payment date will be made to the person in whose name that debt security is registered at the close of business on the regular record date for that interest payment. The Issuer will pay the principal of (and premium, if any, on) registered debt securities only against surrender of those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89" w:lineRule="exact"/>
        <w:rPr>
          <w:sz w:val="20"/>
          <w:szCs w:val="20"/>
          <w:color w:val="auto"/>
        </w:rPr>
      </w:pPr>
    </w:p>
    <w:p>
      <w:pPr>
        <w:ind w:right="300" w:firstLine="360"/>
        <w:spacing w:after="0" w:line="222"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in the United States identified in an accompanying</w:t>
      </w:r>
    </w:p>
    <w:p>
      <w:pPr>
        <w:spacing w:after="0" w:line="2" w:lineRule="exact"/>
        <w:rPr>
          <w:sz w:val="20"/>
          <w:szCs w:val="20"/>
          <w:color w:val="auto"/>
        </w:rPr>
      </w:pPr>
    </w:p>
    <w:p>
      <w:pPr>
        <w:jc w:val="both"/>
        <w:ind w:right="160"/>
        <w:spacing w:after="0" w:line="214" w:lineRule="auto"/>
        <w:rPr>
          <w:sz w:val="20"/>
          <w:szCs w:val="20"/>
          <w:color w:val="auto"/>
        </w:rPr>
      </w:pPr>
      <w:r>
        <w:rPr>
          <w:rFonts w:ascii="Times New Roman" w:cs="Times New Roman" w:eastAsia="Times New Roman" w:hAnsi="Times New Roman"/>
          <w:sz w:val="18"/>
          <w:szCs w:val="18"/>
          <w:color w:val="auto"/>
        </w:rPr>
        <w:t>prospectus supplement. The specific terms of the depositary arrangement with respect to any debt securities of a series will be described in the prospectus supplement relating to the series. So long as the depositary for a global note in registered form, or its nominee, is the registered owner of the global note, the depositary or the nominee, as the case may be, will be considered the sole owner or holder of the debt securities represented by the global note for all purposes under the Indenture.</w:t>
      </w:r>
    </w:p>
    <w:p>
      <w:pPr>
        <w:spacing w:after="0" w:line="173" w:lineRule="exact"/>
        <w:rPr>
          <w:sz w:val="20"/>
          <w:szCs w:val="20"/>
          <w:color w:val="auto"/>
        </w:rPr>
      </w:pPr>
    </w:p>
    <w:p>
      <w:pPr>
        <w:ind w:right="80" w:firstLine="360"/>
        <w:spacing w:after="0" w:line="226" w:lineRule="auto"/>
        <w:rPr>
          <w:sz w:val="20"/>
          <w:szCs w:val="20"/>
          <w:color w:val="auto"/>
        </w:rPr>
      </w:pPr>
      <w:r>
        <w:rPr>
          <w:rFonts w:ascii="Times New Roman" w:cs="Times New Roman" w:eastAsia="Times New Roman" w:hAnsi="Times New Roman"/>
          <w:sz w:val="18"/>
          <w:szCs w:val="18"/>
          <w:color w:val="auto"/>
        </w:rPr>
        <w:t>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 of the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securities will include the following covenants:</w:t>
      </w:r>
    </w:p>
    <w:p>
      <w:pPr>
        <w:spacing w:after="0" w:line="196" w:lineRule="exact"/>
        <w:rPr>
          <w:sz w:val="20"/>
          <w:szCs w:val="20"/>
          <w:color w:val="auto"/>
        </w:rPr>
      </w:pPr>
    </w:p>
    <w:p>
      <w:pPr>
        <w:ind w:right="80" w:firstLine="360"/>
        <w:spacing w:after="0" w:line="229" w:lineRule="auto"/>
        <w:rPr>
          <w:sz w:val="20"/>
          <w:szCs w:val="20"/>
          <w:color w:val="auto"/>
        </w:rPr>
      </w:pPr>
      <w:r>
        <w:rPr>
          <w:rFonts w:ascii="Times New Roman" w:cs="Times New Roman" w:eastAsia="Times New Roman" w:hAnsi="Times New Roman"/>
          <w:sz w:val="17"/>
          <w:szCs w:val="17"/>
          <w:i w:val="1"/>
          <w:iCs w:val="1"/>
          <w:color w:val="auto"/>
        </w:rPr>
        <w:t xml:space="preserve">Limitation on Liens. </w:t>
      </w:r>
      <w:r>
        <w:rPr>
          <w:rFonts w:ascii="Times New Roman" w:cs="Times New Roman" w:eastAsia="Times New Roman" w:hAnsi="Times New Roman"/>
          <w:sz w:val="17"/>
          <w:szCs w:val="17"/>
          <w:color w:val="auto"/>
        </w:rPr>
        <w:t>Unless otherwise indicated in the prospectus supplement relating to a series of debt securities, Weatherford Ireland will not,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permit any restricted subsidiary to, create, assume or guarantee any indebtedness for money borrowed secured by any mortgage, lien, pledge, charge or other security interest or encumbrance of any kind (hereinafter referred to as a “mortgage” or “mortgages”) on any principal property of</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Weatherford Ireland or a restricted subsidiary or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debt securities (together, if Weatherford Ireland shall so determine, with any other indebtedness then or</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thereafter existing, created, assumed or guaranteed by Weatherford Ireland or such restricted subsidiary ranking equally with the debt securities) shall be secured equally and ratably with (or prior to) such indebtedness. The Indenture excludes, however, from the foregoing any indebtedness secured by a mortgage (including any extension, renewal or replacement, or successive extensions, renewals or replacements, of any mortgage hereinafter specified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indebtedness secured thereby, without increase of the principal of such indebtedness or expansion of the collateral securing such indebtedness):</w:t>
      </w:r>
    </w:p>
    <w:p>
      <w:pPr>
        <w:spacing w:after="0" w:line="165"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any Person existing at the time such Person becomes a restricted subsidiary;</w:t>
      </w:r>
    </w:p>
    <w:p>
      <w:pPr>
        <w:spacing w:after="0" w:line="184" w:lineRule="exact"/>
        <w:rPr>
          <w:rFonts w:ascii="Times New Roman" w:cs="Times New Roman" w:eastAsia="Times New Roman" w:hAnsi="Times New Roman"/>
          <w:sz w:val="18"/>
          <w:szCs w:val="18"/>
          <w:color w:val="auto"/>
        </w:rPr>
      </w:pPr>
    </w:p>
    <w:p>
      <w:pPr>
        <w:jc w:val="both"/>
        <w:ind w:right="160" w:firstLine="8"/>
        <w:spacing w:after="0" w:line="22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existing at the time of acquisition of such property, or to secure indebtedness incurred for the purpose of financing the purchase price of such property or improvements or construction thereon, which indebtedness is incurred prior to, at the time of or within 360 days after the later of such acquisition, the completion of such construction or the commencement of commercial operation of such property; provided, however, that in the case of any such acquisition, construction or improvement the mortgage shall not apply to any property previously owned by Weatherford Ireland or a restricted subsidiary, other than any previously unimproved real property on which the property is constructed or the improvement is located;</w:t>
      </w:r>
    </w:p>
    <w:p>
      <w:pPr>
        <w:spacing w:after="0" w:line="158" w:lineRule="exact"/>
        <w:rPr>
          <w:rFonts w:ascii="Times New Roman" w:cs="Times New Roman" w:eastAsia="Times New Roman" w:hAnsi="Times New Roman"/>
          <w:sz w:val="18"/>
          <w:szCs w:val="18"/>
          <w:color w:val="auto"/>
        </w:rPr>
      </w:pPr>
    </w:p>
    <w:p>
      <w:pPr>
        <w:ind w:right="220" w:firstLine="8"/>
        <w:spacing w:after="0" w:line="23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 Person existing at the time such Person is merged into or consolidated with Weatherford Ireland or a restricted subsidiary, or at the time of a sale, lease or other disposition of the properties of a Person as an entirety or substantially as an entirety to Weatherford Ireland or a restricted subsidiary;</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a restricted subsidiary to secure indebtedness of such restricted subsidiary to Weatherford Ireland or another restricted subsidiary;</w:t>
      </w:r>
    </w:p>
    <w:p>
      <w:pPr>
        <w:spacing w:after="0" w:line="184" w:lineRule="exact"/>
        <w:rPr>
          <w:rFonts w:ascii="Times New Roman" w:cs="Times New Roman" w:eastAsia="Times New Roman" w:hAnsi="Times New Roman"/>
          <w:sz w:val="18"/>
          <w:szCs w:val="18"/>
          <w:color w:val="auto"/>
        </w:rPr>
      </w:pPr>
    </w:p>
    <w:p>
      <w:pPr>
        <w:ind w:right="20" w:firstLine="8"/>
        <w:spacing w:after="0" w:line="22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Weatherford Ireland or property of a restricted subsidiary in favor of the United States or any State thereof, or the jurisdiction of organization of Weatherford Ireland, or any department, agency or instrumentality or political subdivision of the United States or any State thereof, Bermuda or the jurisdiction of organization of Weatherford Ireland,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date of the Indenture;</w:t>
      </w:r>
    </w:p>
    <w:p>
      <w:pPr>
        <w:spacing w:after="0" w:line="185"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provided, however, that any mortgage permitted by any of clauses (1), (2), (3) and (5) above shall not extend to or cover any property of Weatherford Ireland or such restricted subsidiary, as the case may be, other than the property specified in such clauses and improvements to that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111"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20" w:firstLine="360"/>
        <w:spacing w:after="0" w:line="236" w:lineRule="auto"/>
        <w:rPr>
          <w:sz w:val="20"/>
          <w:szCs w:val="20"/>
          <w:color w:val="auto"/>
        </w:rPr>
      </w:pPr>
      <w:r>
        <w:rPr>
          <w:rFonts w:ascii="Times New Roman" w:cs="Times New Roman" w:eastAsia="Times New Roman" w:hAnsi="Times New Roman"/>
          <w:sz w:val="17"/>
          <w:szCs w:val="17"/>
          <w:color w:val="auto"/>
        </w:rPr>
        <w:t>Notwithstanding the above, Weatherford Ireland or any restricted subsidiary may create, assume or guarantee secured indebtedness for money borrowed which would otherwise be prohibited in an aggregate amount which, together with all other such indebtedness for money borrowed of</w:t>
      </w:r>
    </w:p>
    <w:p>
      <w:pPr>
        <w:spacing w:after="0" w:line="208" w:lineRule="auto"/>
        <w:rPr>
          <w:sz w:val="20"/>
          <w:szCs w:val="20"/>
          <w:color w:val="auto"/>
        </w:rPr>
      </w:pPr>
      <w:r>
        <w:rPr>
          <w:rFonts w:ascii="Times New Roman" w:cs="Times New Roman" w:eastAsia="Times New Roman" w:hAnsi="Times New Roman"/>
          <w:sz w:val="18"/>
          <w:szCs w:val="18"/>
          <w:color w:val="auto"/>
        </w:rPr>
        <w:t>Weatherford Ireland and its restricted subsidiaries and the attributable debt of Weatherford Ireland and its restricted subsidiaries in respect of sale and leaseback transactions (as defined below) existing at such time (other than sale and leaseback transactions entered into prior to the date of the Indenture and sale and leaseback transactions the proceeds of which have been applied in accordance with the Indenture), does not at the time exceed 10% of the</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as shown on the audited consolidated balance sheet contained in the latest annual report to shareholders of Weatherford Ireland.</w:t>
      </w:r>
    </w:p>
    <w:p>
      <w:pPr>
        <w:spacing w:after="0" w:line="15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“attributable debt” means, as of any particular time, the lesser of (i) the fair value of the property subject to the applicable sale and leaseback</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transaction (as determined by the Board of Directors of Weatherford Ireland) and (ii) the then present value (discounted at a rate equal to the weighted average of the rate of interest on all securities issued by the applicable Issuer then issued and outstanding under the Indenture, compounded semi-annually) of the total net amount of rent required to be paid under such lease during the remaining term thereof (excluding any renewal term unless the renewal is at</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as required to be paid under such lease subsequent to the first date upon which it may be so terminated;</w:t>
      </w:r>
    </w:p>
    <w:p>
      <w:pPr>
        <w:spacing w:after="0" w:line="165" w:lineRule="exact"/>
        <w:rPr>
          <w:sz w:val="20"/>
          <w:szCs w:val="20"/>
          <w:color w:val="auto"/>
        </w:rPr>
      </w:pPr>
    </w:p>
    <w:p>
      <w:pPr>
        <w:ind w:right="1000" w:firstLine="360"/>
        <w:spacing w:after="0" w:line="237"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joint-stock company, trust, unincorporated organization or government or any agency or political subdivision thereof or any other entity; and</w:t>
      </w:r>
    </w:p>
    <w:p>
      <w:pPr>
        <w:spacing w:after="0" w:line="172" w:lineRule="exact"/>
        <w:rPr>
          <w:sz w:val="20"/>
          <w:szCs w:val="20"/>
          <w:color w:val="auto"/>
        </w:rPr>
      </w:pPr>
    </w:p>
    <w:p>
      <w:pPr>
        <w:ind w:right="220" w:firstLine="360"/>
        <w:spacing w:after="0" w:line="226"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means the share capital, share premium, contributed surplus and retained earnings of Weatherford Ireland and its consolidated subsidiaries, excluding the cost of shares of Weatherford Ireland held by its affiliates, all as determined in accordance with United States generally accepted accounting principles.</w:t>
      </w:r>
    </w:p>
    <w:p>
      <w:pPr>
        <w:spacing w:after="0" w:line="169" w:lineRule="exact"/>
        <w:rPr>
          <w:sz w:val="20"/>
          <w:szCs w:val="20"/>
          <w:color w:val="auto"/>
        </w:rPr>
      </w:pPr>
    </w:p>
    <w:p>
      <w:pPr>
        <w:ind w:right="360" w:firstLine="360"/>
        <w:spacing w:after="0" w:line="229" w:lineRule="auto"/>
        <w:rPr>
          <w:sz w:val="20"/>
          <w:szCs w:val="20"/>
          <w:color w:val="auto"/>
        </w:rPr>
      </w:pPr>
      <w:r>
        <w:rPr>
          <w:rFonts w:ascii="Times New Roman" w:cs="Times New Roman" w:eastAsia="Times New Roman" w:hAnsi="Times New Roman"/>
          <w:sz w:val="17"/>
          <w:szCs w:val="17"/>
          <w:i w:val="1"/>
          <w:iCs w:val="1"/>
          <w:color w:val="auto"/>
        </w:rPr>
        <w:t>Limitation on Sale and Leaseback Transactions</w:t>
      </w:r>
      <w:r>
        <w:rPr>
          <w:rFonts w:ascii="Times New Roman" w:cs="Times New Roman" w:eastAsia="Times New Roman" w:hAnsi="Times New Roman"/>
          <w:sz w:val="17"/>
          <w:szCs w:val="17"/>
          <w:color w:val="auto"/>
        </w:rPr>
        <w:t>. Unless otherwise indicated in the prospectus supplement relating to a series of debt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Weatherford Ireland will not, and will not permit any restricted subsidiary to, enter into any sale and leaseback transactions (which are defined in the Indenture to exclude leases expiring within three years of making, leases between Weatherford Ireland and a restricted subsidiary or between restricted</w:t>
      </w:r>
    </w:p>
    <w:p>
      <w:pPr>
        <w:spacing w:after="0" w:line="2" w:lineRule="exact"/>
        <w:rPr>
          <w:sz w:val="20"/>
          <w:szCs w:val="20"/>
          <w:color w:val="auto"/>
        </w:rPr>
      </w:pPr>
    </w:p>
    <w:p>
      <w:pPr>
        <w:jc w:val="both"/>
        <w:ind w:right="260"/>
        <w:spacing w:after="0" w:line="208" w:lineRule="auto"/>
        <w:rPr>
          <w:sz w:val="20"/>
          <w:szCs w:val="20"/>
          <w:color w:val="auto"/>
        </w:rPr>
      </w:pPr>
      <w:r>
        <w:rPr>
          <w:rFonts w:ascii="Times New Roman" w:cs="Times New Roman" w:eastAsia="Times New Roman" w:hAnsi="Times New Roman"/>
          <w:sz w:val="18"/>
          <w:szCs w:val="18"/>
          <w:color w:val="auto"/>
        </w:rPr>
        <w:t>subsidiaries and any lease of a part of a principal property which has been sold, for use in connection with the winding up or termination of the business conducted on such principal property), unless (a) Weatherford Ireland or such restricted subsidiary would be entitled to incur indebtedness secured by a mortgage on such principal property without equally and ratably securing the debt securities or (b) an amount equal to the fair value of the principal</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property so leased (as determined by the Board of Directors of Weatherford Ireland) is applied within 360 days (i) to the retirement (other than by payment at maturity or pursuant to mandatory sinking, purchase or analogous fund or prepayment provision) of (x) the debt securities or (y) other funded indebtedness of Weatherford Ireland or any restricted subsidiary ranking on a parity with the debt securities, provided, however, that the amount to be</w:t>
      </w:r>
    </w:p>
    <w:p>
      <w:pPr>
        <w:spacing w:after="0" w:line="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applied to the retirement of any funded indebtedness as provided under clause (i) shall be reduced by (A) the principal amount of any debt securities delivered within 360 days after such sale or transfer to the trustee for the debt securities of such series for retirement and cancellation and (B) the principal amount of other funded indebtedness ranking on parity with the debt securities voluntarily retired by Weatherford Ireland within one year after such sale or transfer; or (ii) to purchase, improve or construct principal properties, provided that if only a portion of such proceeds is designated as a credit against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improvement or construction, Weatherford Ireland shall apply an amount equal to the remainder as provided in (i)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1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firstLine="36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Restrictions Upon Merger and Sales of Assets. </w:t>
      </w:r>
      <w:r>
        <w:rPr>
          <w:rFonts w:ascii="Times New Roman" w:cs="Times New Roman" w:eastAsia="Times New Roman" w:hAnsi="Times New Roman"/>
          <w:sz w:val="18"/>
          <w:szCs w:val="18"/>
          <w:color w:val="auto"/>
        </w:rPr>
        <w:t>Unless otherwise indicated in the prospectus supplement relating to a series of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shall not consolidate, amalgamate or merge with or into any other Person (whether or not affiliated with such Issuer) and the Issuer or its successor</w:t>
      </w:r>
    </w:p>
    <w:p>
      <w:pPr>
        <w:ind w:right="200"/>
        <w:spacing w:after="0" w:line="220" w:lineRule="auto"/>
        <w:rPr>
          <w:sz w:val="20"/>
          <w:szCs w:val="20"/>
          <w:color w:val="auto"/>
        </w:rPr>
      </w:pPr>
      <w:r>
        <w:rPr>
          <w:rFonts w:ascii="Times New Roman" w:cs="Times New Roman" w:eastAsia="Times New Roman" w:hAnsi="Times New Roman"/>
          <w:sz w:val="17"/>
          <w:szCs w:val="17"/>
          <w:color w:val="auto"/>
        </w:rPr>
        <w:t>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interest, if any, on all of the debt securities of such series, according to their tenor, and the due and punctual performance and observance of all of the covenants and conditions of the Indenture to be performed by such Issuer shall be expressly assumed, by supplemental Indenture reasonably satisfactory in form to the trustee for such series of the debt securities, executed and delivered to each such trustee by the Person (if other than such Issuer) formed by</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“EU”), the United Kingdom, Ireland,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Bermuda, Cayman Islands, British Virgin Islands, Gibraltar, the British Crown Dependencies, any member country of the Organisation for Economic Co-operation and Development, or any political subdivision of any of the foregoing. The Issuer will not so consolidate, amalgamate or merge, or make any such sale, lease or other conveyance, and such Issuer will not permit any other Person to merge into it, unless immediately after the proposed consolidation,</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amalgamation, merger, sale, lease or other conveyance, and after giving effect thereto, no default in the performance or observance by such Issuer or such successor Person, as the case may be, of any of the terms, covenants, agreements or conditions contained in the Indenture with respect to the debt securities shall have occurred and be continuing.</w:t>
      </w:r>
    </w:p>
    <w:p>
      <w:pPr>
        <w:spacing w:after="0" w:line="172" w:lineRule="exact"/>
        <w:rPr>
          <w:sz w:val="20"/>
          <w:szCs w:val="20"/>
          <w:color w:val="auto"/>
        </w:rPr>
      </w:pPr>
    </w:p>
    <w:p>
      <w:pPr>
        <w:ind w:right="120" w:firstLine="360"/>
        <w:spacing w:after="0" w:line="216" w:lineRule="auto"/>
        <w:rPr>
          <w:sz w:val="20"/>
          <w:szCs w:val="20"/>
          <w:color w:val="auto"/>
        </w:rPr>
      </w:pPr>
      <w:r>
        <w:rPr>
          <w:rFonts w:ascii="Times New Roman" w:cs="Times New Roman" w:eastAsia="Times New Roman" w:hAnsi="Times New Roman"/>
          <w:sz w:val="18"/>
          <w:szCs w:val="18"/>
          <w:color w:val="auto"/>
        </w:rPr>
        <w:t>Unless otherwise indicated in the prospectus supplement relating to a series of debt securities, each Guarantor, if any, of any series of debt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lease all or substantially all of its property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the Indenture to be performed by such Guarantor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shall be expressly assumed, by supplemental Indenture reasonably satisfactory in form to the trustee for each series of the debt securities, executed and delivered to each such trustee by the Person (if other than Weatherford Bermuda or Weatherford Delaware or a Guarantor for such series) formed by such consolidation or amalgamation, or into which such Guarantor shall have been merged, or by the Person which shall have acquired or leased such property,</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and (ii) such Person shall be a solvent corporation, partnership, limited liability company, trust or any other entity organized under the laws of the United States of America or a State thereof or the District of Columbia, any Member State of the EU, the United Kingdom, Ireland, Bermuda, Cayman Islands, British Virgin Islands, Gibraltar, the British Crown Dependencies, any member country of the Organisation for Economic Co-operation and Development,</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such successor Person, as the case may be, of any of the terms, covenants, agreements or conditions in respect of the debt securities contained in the Indenture or the guarantee of such Guarantor shall have occurred and be continuing.</w:t>
      </w:r>
    </w:p>
    <w:p>
      <w:pPr>
        <w:spacing w:after="0" w:line="155" w:lineRule="exact"/>
        <w:rPr>
          <w:sz w:val="20"/>
          <w:szCs w:val="20"/>
          <w:color w:val="auto"/>
        </w:rPr>
      </w:pPr>
    </w:p>
    <w:p>
      <w:pPr>
        <w:ind w:right="380"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“funded indebtedness” means indebtedness created, assumed or guaranteed by a person for money borrowed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matures by its terms, or is renewable by the borrower to a date, more than one year after the date of its original creation, assumption or guarantee.</w:t>
      </w:r>
    </w:p>
    <w:p>
      <w:pPr>
        <w:spacing w:after="0" w:line="172" w:lineRule="exact"/>
        <w:rPr>
          <w:sz w:val="20"/>
          <w:szCs w:val="20"/>
          <w:color w:val="auto"/>
        </w:rPr>
      </w:pPr>
    </w:p>
    <w:p>
      <w:pPr>
        <w:ind w:right="40" w:firstLine="360"/>
        <w:spacing w:after="0" w:line="229" w:lineRule="auto"/>
        <w:rPr>
          <w:sz w:val="20"/>
          <w:szCs w:val="20"/>
          <w:color w:val="auto"/>
        </w:rPr>
      </w:pPr>
      <w:r>
        <w:rPr>
          <w:rFonts w:ascii="Times New Roman" w:cs="Times New Roman" w:eastAsia="Times New Roman" w:hAnsi="Times New Roman"/>
          <w:sz w:val="17"/>
          <w:szCs w:val="17"/>
          <w:color w:val="auto"/>
        </w:rPr>
        <w:t>The term “principal property” means any real property, manufacturing plant, warehouse, office building, or other physical facility or any item of transportation or construction equipment or other like depreciable assets of Weatherford Ireland or of any restricted subsidiary, that in the opinion of the Board of Directors of Weatherford Ireland is of material importance to the total business conducted by Weatherford Ireland and its restricted subsidiaries as</w:t>
      </w:r>
    </w:p>
    <w:p>
      <w:pPr>
        <w:spacing w:after="0"/>
        <w:rPr>
          <w:sz w:val="20"/>
          <w:szCs w:val="20"/>
          <w:color w:val="auto"/>
        </w:rPr>
      </w:pPr>
      <w:r>
        <w:rPr>
          <w:rFonts w:ascii="Times New Roman" w:cs="Times New Roman" w:eastAsia="Times New Roman" w:hAnsi="Times New Roman"/>
          <w:sz w:val="18"/>
          <w:szCs w:val="18"/>
          <w:color w:val="auto"/>
        </w:rPr>
        <w:t>a whole.</w:t>
      </w:r>
    </w:p>
    <w:p>
      <w:pPr>
        <w:spacing w:after="0" w:line="165" w:lineRule="exact"/>
        <w:rPr>
          <w:sz w:val="20"/>
          <w:szCs w:val="20"/>
          <w:color w:val="auto"/>
        </w:rPr>
      </w:pPr>
    </w:p>
    <w:p>
      <w:pPr>
        <w:ind w:right="20" w:firstLine="360"/>
        <w:spacing w:after="0" w:line="237" w:lineRule="auto"/>
        <w:rPr>
          <w:sz w:val="20"/>
          <w:szCs w:val="20"/>
          <w:color w:val="auto"/>
        </w:rPr>
      </w:pPr>
      <w:r>
        <w:rPr>
          <w:rFonts w:ascii="Times New Roman" w:cs="Times New Roman" w:eastAsia="Times New Roman" w:hAnsi="Times New Roman"/>
          <w:sz w:val="18"/>
          <w:szCs w:val="18"/>
          <w:color w:val="auto"/>
        </w:rPr>
        <w:t>The term “restricted subsidiary” means any subsidiary which owns a principal property excluding, however, any entity the greater part of the operating assets of which are located, or the principal business of which is carried on, outside the United States.</w:t>
      </w:r>
    </w:p>
    <w:p>
      <w:pPr>
        <w:spacing w:after="0" w:line="172" w:lineRule="exact"/>
        <w:rPr>
          <w:sz w:val="20"/>
          <w:szCs w:val="20"/>
          <w:color w:val="auto"/>
        </w:rPr>
      </w:pPr>
    </w:p>
    <w:p>
      <w:pPr>
        <w:ind w:right="20" w:firstLine="360"/>
        <w:spacing w:after="0" w:line="229" w:lineRule="auto"/>
        <w:rPr>
          <w:sz w:val="20"/>
          <w:szCs w:val="20"/>
          <w:color w:val="auto"/>
        </w:rPr>
      </w:pPr>
      <w:r>
        <w:rPr>
          <w:rFonts w:ascii="Times New Roman" w:cs="Times New Roman" w:eastAsia="Times New Roman" w:hAnsi="Times New Roman"/>
          <w:sz w:val="17"/>
          <w:szCs w:val="17"/>
          <w:color w:val="auto"/>
        </w:rPr>
        <w:t>The term “subsidiary”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Ireland or by Weatherford Ireland and one or more subsidiaries</w:t>
      </w:r>
    </w:p>
    <w:p>
      <w:pPr>
        <w:spacing w:after="0"/>
        <w:rPr>
          <w:sz w:val="20"/>
          <w:szCs w:val="20"/>
          <w:color w:val="auto"/>
        </w:rPr>
      </w:pPr>
      <w:r>
        <w:rPr>
          <w:rFonts w:ascii="Times New Roman" w:cs="Times New Roman" w:eastAsia="Times New Roman" w:hAnsi="Times New Roman"/>
          <w:sz w:val="18"/>
          <w:szCs w:val="18"/>
          <w:color w:val="auto"/>
        </w:rPr>
        <w:t>or by one or more subsidiaries of Weatherford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As to each series of debt securities, unless otherwise indicated in the prospectus supplement relating to a series of debt securities, an event of default is defined as being a:</w:t>
      </w:r>
    </w:p>
    <w:p>
      <w:pPr>
        <w:spacing w:after="0" w:line="149" w:lineRule="exact"/>
        <w:rPr>
          <w:sz w:val="20"/>
          <w:szCs w:val="20"/>
          <w:color w:val="auto"/>
        </w:rPr>
      </w:pPr>
    </w:p>
    <w:p>
      <w:pPr>
        <w:ind w:left="660" w:right="2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interest on any debt security of such series when it becomes due and payable which continues for 30 days (subject to the deferral of any interest payment in the case of an extension period);</w:t>
      </w:r>
    </w:p>
    <w:p>
      <w:pPr>
        <w:spacing w:after="0" w:line="171" w:lineRule="exact"/>
        <w:rPr>
          <w:rFonts w:ascii="Times New Roman" w:cs="Times New Roman" w:eastAsia="Times New Roman" w:hAnsi="Times New Roman"/>
          <w:sz w:val="18"/>
          <w:szCs w:val="18"/>
          <w:color w:val="auto"/>
        </w:rPr>
      </w:pPr>
    </w:p>
    <w:p>
      <w:pPr>
        <w:ind w:left="660" w:right="28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principal of (or premium, if any, on) any debt security of such series when due either at its stated maturity date, upon redemption, upon acceleration or otherwise;</w:t>
      </w:r>
    </w:p>
    <w:p>
      <w:pPr>
        <w:spacing w:after="0" w:line="158"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sinking fund installment, when and as due by the terms of a note of such series, and continuance of such default for a period of 30 days;</w:t>
      </w:r>
    </w:p>
    <w:p>
      <w:pPr>
        <w:spacing w:after="0" w:line="149"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of any other covenant of the Issuer or any Guarantor of such series in the Indenture (other than a covenant included solely for the benefit of debt securities of another series) which continues for 90 days after receipt of written notice;</w:t>
      </w:r>
    </w:p>
    <w:p>
      <w:pPr>
        <w:spacing w:after="0" w:line="171" w:lineRule="exact"/>
        <w:rPr>
          <w:rFonts w:ascii="Times New Roman" w:cs="Times New Roman" w:eastAsia="Times New Roman" w:hAnsi="Times New Roman"/>
          <w:sz w:val="18"/>
          <w:szCs w:val="18"/>
          <w:color w:val="auto"/>
        </w:rPr>
      </w:pPr>
    </w:p>
    <w:p>
      <w:pPr>
        <w:ind w:left="660" w:right="78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Issuer of such series and, if the debt securities of that series are guaranteed by one or more Guarantors, certain events of bankruptcy, insolvency or reorganization relating to any such Guarantors;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3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that series are guaranteed by one or more Guarantors, a guarantee of the debt securities of such series shall for any reason cease to be, or shall for any reason be asserted in writing by the Issuer or the Guarantors not to be, in full force and effect and enforceable in accordance with its terms except to the extent contemplated by the Indenture and such guarantee; or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of default specified in or pursuant to a board resolution or officer’s certificate or in a supplemental Indenture.</w:t>
      </w:r>
    </w:p>
    <w:p>
      <w:pPr>
        <w:spacing w:after="0" w:line="198" w:lineRule="exact"/>
        <w:rPr>
          <w:sz w:val="20"/>
          <w:szCs w:val="20"/>
          <w:color w:val="auto"/>
        </w:rPr>
      </w:pPr>
    </w:p>
    <w:p>
      <w:pPr>
        <w:ind w:right="60" w:firstLine="360"/>
        <w:spacing w:after="0" w:line="226" w:lineRule="auto"/>
        <w:rPr>
          <w:sz w:val="20"/>
          <w:szCs w:val="20"/>
          <w:color w:val="auto"/>
        </w:rPr>
      </w:pPr>
      <w:r>
        <w:rPr>
          <w:rFonts w:ascii="Times New Roman" w:cs="Times New Roman" w:eastAsia="Times New Roman" w:hAnsi="Times New Roman"/>
          <w:sz w:val="18"/>
          <w:szCs w:val="18"/>
          <w:color w:val="auto"/>
        </w:rPr>
        <w:t>The Indenture provides that the trustee may withhold notice to the holders of debt securities of such series of any default (except in payment of principal, premium, if any, or interest, if any, on such series or in payment of any sinking fund installment on such series) if the trustee considers it is in the interest of such holders to do so.</w:t>
      </w:r>
    </w:p>
    <w:p>
      <w:pPr>
        <w:spacing w:after="0" w:line="171" w:lineRule="exact"/>
        <w:rPr>
          <w:sz w:val="20"/>
          <w:szCs w:val="20"/>
          <w:color w:val="auto"/>
        </w:rPr>
      </w:pPr>
    </w:p>
    <w:p>
      <w:pPr>
        <w:ind w:right="20" w:firstLine="360"/>
        <w:spacing w:after="0" w:line="229" w:lineRule="auto"/>
        <w:rPr>
          <w:sz w:val="20"/>
          <w:szCs w:val="20"/>
          <w:color w:val="auto"/>
        </w:rPr>
      </w:pPr>
      <w:r>
        <w:rPr>
          <w:rFonts w:ascii="Times New Roman" w:cs="Times New Roman" w:eastAsia="Times New Roman" w:hAnsi="Times New Roman"/>
          <w:sz w:val="17"/>
          <w:szCs w:val="17"/>
          <w:color w:val="auto"/>
        </w:rPr>
        <w:t>Holders of the debt securities of any series may not enforce the Indenture or the debt securities of such series except as provided in the Indenture. In case an event of default (other than a default resulting from bankruptcy, insolvency or reorganization) shall occur and be continuing with respect to the debt securities of any series, the trustee or the holders of not less than 25% in aggregate principal amount of the debt securities then outstanding of such series</w:t>
      </w:r>
    </w:p>
    <w:p>
      <w:pPr>
        <w:ind w:right="100"/>
        <w:spacing w:after="0" w:line="220" w:lineRule="auto"/>
        <w:rPr>
          <w:sz w:val="20"/>
          <w:szCs w:val="20"/>
          <w:color w:val="auto"/>
        </w:rPr>
      </w:pPr>
      <w:r>
        <w:rPr>
          <w:rFonts w:ascii="Times New Roman" w:cs="Times New Roman" w:eastAsia="Times New Roman" w:hAnsi="Times New Roman"/>
          <w:sz w:val="17"/>
          <w:szCs w:val="17"/>
          <w:color w:val="auto"/>
        </w:rPr>
        <w:t>may declare the principal amount on all the debt securities of such series (or, if the debt securities of that series were issued at a discount, such portion of the principal as may be specified in the terms of that series) to be due and payable. If an event of default results from bankruptcy, insolvency or reorganization, the principal amount of all the debt securities of that series (or, if the debt securities of that series were issued at a discount, such portion of</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principal as may be specified in the terms of that series) will automatically become due and payable. Any event of default with respect to the debt securities of any series (except defaults in payment of principal of (or premium, if any, on) or interest, if any, on the debt securities of such series or a default in respect of a covenant or provision that cannot be modified without the consent of the holder of each outstanding security of such series)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 by the holders of at least a majority in aggregate principal amount of the debt securities of that series then outstanding.</w:t>
      </w:r>
    </w:p>
    <w:p>
      <w:pPr>
        <w:spacing w:after="0" w:line="165" w:lineRule="exact"/>
        <w:rPr>
          <w:sz w:val="20"/>
          <w:szCs w:val="20"/>
          <w:color w:val="auto"/>
        </w:rPr>
      </w:pPr>
    </w:p>
    <w:p>
      <w:pPr>
        <w:jc w:val="both"/>
        <w:ind w:right="240" w:firstLine="360"/>
        <w:spacing w:after="0" w:line="236" w:lineRule="auto"/>
        <w:rPr>
          <w:sz w:val="20"/>
          <w:szCs w:val="20"/>
          <w:color w:val="auto"/>
        </w:rPr>
      </w:pPr>
      <w:r>
        <w:rPr>
          <w:rFonts w:ascii="Times New Roman" w:cs="Times New Roman" w:eastAsia="Times New Roman" w:hAnsi="Times New Roman"/>
          <w:sz w:val="17"/>
          <w:szCs w:val="17"/>
          <w:color w:val="auto"/>
        </w:rPr>
        <w:t>Subject to the provisions of the Indenture relating to the duties of the trustee in case an event of default shall occur and be continuing, the trustee is under no obligation to exercise any of the rights or powers under such Indenture at the request, order or direction of any of the holders of debt securities,</w:t>
      </w:r>
    </w:p>
    <w:p>
      <w:pPr>
        <w:spacing w:after="0" w:line="219" w:lineRule="auto"/>
        <w:rPr>
          <w:sz w:val="20"/>
          <w:szCs w:val="20"/>
          <w:color w:val="auto"/>
        </w:rPr>
      </w:pPr>
      <w:r>
        <w:rPr>
          <w:rFonts w:ascii="Times New Roman" w:cs="Times New Roman" w:eastAsia="Times New Roman" w:hAnsi="Times New Roman"/>
          <w:sz w:val="17"/>
          <w:szCs w:val="17"/>
          <w:color w:val="auto"/>
        </w:rPr>
        <w:t>unless such holders shall have offered to the trustee security or indemnity reasonably satisfactory to it. Subject to such provisions for the indemnification of the trustee and certain limitations contained in the Indenture, the holders of a majority in principal amount of the debt securities of any series then outstanding shall have the right to direct the time, method and place of conducting any proceeding for any remedy available to the trustee, or exercising any trust or power conferred on the trustee, with respect to the debt securities of such series. In respect of each series of debt securities, Weatherford Ireland is</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required annually to deliver to the trustee an officer’s certificate stating whether or not the signers have knowledge of any default in the performance by each of the Issuer and any Guarantors of the covenants of the Indenture. In addition, promptly (and in any event within five business days) upon Weatherford Ireland becoming aware of the occurrence of any default or event of default in respect of any series of debt securities, Weatherford Ireland is</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required to deliver to the trustee an officer’s certificate setting forth the details of such default or event of default and the actions which the Issuer and Guarantors, as applicable, propose to take with respect to such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1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with respect to the debt securities of any series may be discharged (with the exception of specified provisions as provided in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Indenture) when the Issuer requests such discharge in writing accompanied by an officer’s certificate and an opinion of counsel, in each case stating that all conditions precedent to discharge under the Indenture have been satisfied and either:</w:t>
      </w:r>
    </w:p>
    <w:p>
      <w:pPr>
        <w:spacing w:after="0" w:line="157"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with the exceptions provided for in the Indenture, of that series have been delivered to the trustee for cancellation; or</w:t>
      </w:r>
    </w:p>
    <w:p>
      <w:pPr>
        <w:spacing w:after="0" w:line="198" w:lineRule="exact"/>
        <w:rPr>
          <w:rFonts w:ascii="Times New Roman" w:cs="Times New Roman" w:eastAsia="Times New Roman" w:hAnsi="Times New Roman"/>
          <w:sz w:val="18"/>
          <w:szCs w:val="18"/>
          <w:color w:val="auto"/>
        </w:rPr>
      </w:pPr>
    </w:p>
    <w:p>
      <w:pPr>
        <w:ind w:firstLine="8"/>
        <w:spacing w:after="0" w:line="226" w:lineRule="auto"/>
        <w:tabs>
          <w:tab w:leader="none" w:pos="2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that series not theretofore delivered to the trustee for cancellation (1) have become due and payable; (2) will become due and payable at their stated maturity within one year; (3) are to be called for redemption within one year; or (4) been deemed paid and discharged pursuant to the terms of the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Issuer in the case of clauses (B)(1), (B)(2) and (B)(3), has deposited or caused to be deposited with the trustee in trust an amount of (a) money, or</w:t>
      </w:r>
    </w:p>
    <w:p>
      <w:pPr>
        <w:ind w:right="40" w:firstLine="8"/>
        <w:spacing w:after="0" w:line="21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(B)(2) and (B)(3), (I) United States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United States government obligations as provided in (I) above, in each case sufficient (if United States government obligations, as certified in the opinion of a nationally recognized firm of independent certified public accountants) to pay and discharge the entire indebtedness on such debt securities not theretofore delivered to the trustee for cancellation, for principal, premium, if any, and interest, if any, to the date of such deposit in the case of debt securities which have become due and payable or to the stated maturity or redemption date, as the case may 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provides that the Issuer may discharge the entire indebtedness of all outstanding debt securities of a series, and the provisions of the</w:t>
      </w:r>
    </w:p>
    <w:p>
      <w:pPr>
        <w:spacing w:after="0" w:line="2"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7"/>
          <w:szCs w:val="17"/>
          <w:color w:val="auto"/>
        </w:rPr>
        <w:t>Indenture as they relate to such debt securities, will no longer be in effect in respect of the Issuer and the Guarantors (with the exception of specified provisions as provided in the Indenture) if the Issuer deposits or causes to be deposited with the trustee, in trust, money, or United States government obligations, or a combination thereof, which, through the payment of interest thereon and principal thereof in accordance with their terms, will provide</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irrevocably designated by the Issuer for redemption of such debt securities. To exercise any such option, the Issuer is required to meet specified conditions, including delivering to the trustee an opinion of counsel to the effect that (a) the Issuer has received from, or there has been published by, the Internal Revenue Service a ruling, or (b) since the date of an offering, there has been a change in the applicable federal income tax law, in either case to the effect</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that, and based thereon such opinion of counsel shall confirm that, holders of the debt securities of such series will not recognize income, gain or loss for United States federal income tax purposes as a result of such deposit, defeasance and discharge and will be subject to United States federal income tax on the same amounts, in the same manner and at the same times as would have been the case if such deposit, defeasance and discharge had not occurred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 event of default or default shall have occurred and be continuing.</w:t>
      </w:r>
    </w:p>
    <w:p>
      <w:pPr>
        <w:spacing w:after="0" w:line="165" w:lineRule="exact"/>
        <w:rPr>
          <w:sz w:val="20"/>
          <w:szCs w:val="20"/>
          <w:color w:val="auto"/>
        </w:rPr>
      </w:pPr>
    </w:p>
    <w:p>
      <w:pPr>
        <w:ind w:right="40" w:firstLine="360"/>
        <w:spacing w:after="0" w:line="222" w:lineRule="auto"/>
        <w:rPr>
          <w:sz w:val="20"/>
          <w:szCs w:val="20"/>
          <w:color w:val="auto"/>
        </w:rPr>
      </w:pPr>
      <w:r>
        <w:rPr>
          <w:rFonts w:ascii="Times New Roman" w:cs="Times New Roman" w:eastAsia="Times New Roman" w:hAnsi="Times New Roman"/>
          <w:sz w:val="18"/>
          <w:szCs w:val="18"/>
          <w:color w:val="auto"/>
        </w:rPr>
        <w:t>The Indenture provides that, at the election of the Issuer, the Issuer and the Guarantors need not comply with certain restrictive covenants of the Indenture as to any series of debt securities (in the case of debt securities as described above under “- Certain Covenants of the Debt Securities - Limitation</w:t>
      </w:r>
    </w:p>
    <w:p>
      <w:pPr>
        <w:spacing w:after="0" w:line="2"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on Liens,” and “- Limitation on Sale and Leaseback Transactions”), upon the deposit by the Issuer with the trustee, in trust, of money, or United States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w:t>
      </w:r>
    </w:p>
    <w:p>
      <w:pPr>
        <w:spacing w:after="0" w:line="1"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payments are due in accordance with the terms of such debt securities to their stated maturities or to, but excluding, a redemption date which has been irrevocably designated by us for redemption of such debt securities. To exercise any such option, the Issuer may be required to meet specified conditions, including delivering to the trustee an opinion of counsel to the effect that the deposit and related defeasance would not cause the holders of the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recognize income, gain or loss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 the consent of the holders of not less than a majority in</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principal amount of the outstanding debt securities of all series affected by such modification (voting as one class), to modify such Indenture or the rights of the holders of the debt securities, except that no such modification shall, without the consent of the holder of each debt security so affected:</w:t>
      </w:r>
    </w:p>
    <w:p>
      <w:pPr>
        <w:spacing w:after="0" w:line="157" w:lineRule="exact"/>
        <w:rPr>
          <w:sz w:val="20"/>
          <w:szCs w:val="20"/>
          <w:color w:val="auto"/>
        </w:rPr>
      </w:pPr>
    </w:p>
    <w:p>
      <w:pPr>
        <w:ind w:left="660" w:right="20" w:hanging="328"/>
        <w:spacing w:after="0" w:line="237"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maturity of any debt security, or reduce the rate or extend the time of payment of interest thereon, or reduce the principal amount thereof (including, in the case of a discounted debt security, the amount payable thereon in the event of acceleration) or any redemption premium thereon, or change the place or medium or currency of payment of such debt security, or impair the right of any holder to institute suit for payment thereof, or release any Guarantor from any of its obligations under its guarantee otherwise than in accordance with the terms of the Indenture;</w:t>
      </w:r>
    </w:p>
    <w:p>
      <w:pPr>
        <w:spacing w:after="0" w:line="172" w:lineRule="exact"/>
        <w:rPr>
          <w:rFonts w:ascii="Times New Roman" w:cs="Times New Roman" w:eastAsia="Times New Roman" w:hAnsi="Times New Roman"/>
          <w:sz w:val="17"/>
          <w:szCs w:val="17"/>
          <w:color w:val="auto"/>
        </w:rPr>
      </w:pPr>
    </w:p>
    <w:p>
      <w:pPr>
        <w:ind w:left="660" w:right="20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debt securities, the consent of the holders of which is required for any such modification or for certain waivers or other modifications under such Indenture; or</w:t>
      </w:r>
    </w:p>
    <w:p>
      <w:pPr>
        <w:spacing w:after="0" w:line="158"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provisions of the Indenture related to entry into a supplemental Indenture with consent of holders, waiver of past defaults and waiver of certain covenants, except under certain circumstances specified in the Indenture.</w:t>
      </w:r>
    </w:p>
    <w:p>
      <w:pPr>
        <w:spacing w:after="0" w:line="149"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without the consent of any holders, to modify the Indenture for any of the following purposes:</w:t>
      </w:r>
    </w:p>
    <w:p>
      <w:pPr>
        <w:spacing w:after="0" w:line="172" w:lineRule="exact"/>
        <w:rPr>
          <w:sz w:val="20"/>
          <w:szCs w:val="20"/>
          <w:color w:val="auto"/>
        </w:rPr>
      </w:pPr>
    </w:p>
    <w:p>
      <w:pPr>
        <w:jc w:val="both"/>
        <w:ind w:left="660" w:right="200" w:hanging="328"/>
        <w:spacing w:after="0" w:line="22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partnership, limited liability company, trust or any other entity to the Issuer or any Guarantor and the assumption by any such successor of the Issuer’s covenants in the Indenture and the debt securities or such Guarantor’s covenants in the Indenture and the guarantee, as the case may be;</w:t>
      </w:r>
    </w:p>
    <w:p>
      <w:pPr>
        <w:spacing w:after="0" w:line="171" w:lineRule="exact"/>
        <w:rPr>
          <w:rFonts w:ascii="Times New Roman" w:cs="Times New Roman" w:eastAsia="Times New Roman" w:hAnsi="Times New Roman"/>
          <w:sz w:val="18"/>
          <w:szCs w:val="18"/>
          <w:color w:val="auto"/>
        </w:rPr>
      </w:pPr>
    </w:p>
    <w:p>
      <w:pPr>
        <w:ind w:left="660" w:right="18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Issuer’s or any Guarantor’s covenants for the benefit of the holders of all or any series of debt securities or to surrender any right or power conferred upon the Issuer or such Guarantor, as the case may be, in the Indenture;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defaults;</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such extent as may be necessary to permit or facilitate the issuance of debt securities in bearer form registrable or not registrable as to principal, and with or without interest or coupons;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the Indenture, provided that any such change or elimination shall become effective only when there is no debt security outstanding of any series created prior to such modification which is entitled to the benefit of such provision;</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1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debt securities of any series as permitted by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 related guarantee of any debt securities as permitted by the Indenture;</w:t>
      </w:r>
    </w:p>
    <w:p>
      <w:pPr>
        <w:spacing w:after="0" w:line="198" w:lineRule="exact"/>
        <w:rPr>
          <w:rFonts w:ascii="Times New Roman" w:cs="Times New Roman" w:eastAsia="Times New Roman" w:hAnsi="Times New Roman"/>
          <w:sz w:val="18"/>
          <w:szCs w:val="18"/>
          <w:color w:val="auto"/>
        </w:rPr>
      </w:pPr>
    </w:p>
    <w:p>
      <w:pPr>
        <w:jc w:val="both"/>
        <w:ind w:left="660" w:right="1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or change any of the provisions of the Indenture as shall be necessary to provide for or facilitate the administration of the trusts under the Indenture by more than one trustee;</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 trustee other than Deutsche Bank Trust Company Americas, as trustee for a series of debt securities and to add or change any of the provisions of the Indenture as shall be necessary to provide for or facilitate the administration of the trusts under the Indenture by more than one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any rights of the holder of debt securities of any series to require the repurchase of debt securities of such series from the Issuer;</w:t>
      </w:r>
    </w:p>
    <w:p>
      <w:pPr>
        <w:spacing w:after="0" w:line="184" w:lineRule="exact"/>
        <w:rPr>
          <w:rFonts w:ascii="Times New Roman" w:cs="Times New Roman" w:eastAsia="Times New Roman" w:hAnsi="Times New Roman"/>
          <w:sz w:val="18"/>
          <w:szCs w:val="18"/>
          <w:color w:val="auto"/>
        </w:rPr>
      </w:pPr>
    </w:p>
    <w:p>
      <w:pPr>
        <w:jc w:val="both"/>
        <w:ind w:left="660" w:right="240" w:hanging="328"/>
        <w:spacing w:after="0" w:line="23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or defect, to correct or supplement any provision of the Indenture which may be inconsistent with any other provision of the Indenture, or to make any other provisions with respect to matters or questions arising under the Indenture, provided such action shall not adversely affect the interests of the holders of debt securities of any series in any material respect;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in accordance with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provisions of the Indenture relating to the transfer and legending of the debt securities of any series, including, without limitation, to facilitate the issuance and administration of the debt securities of any series; provided that compliance with the Indenture as so amended would not result in the debt securities of such series being transferred in violation of the Securities Act or any applicable securities law;</w:t>
      </w:r>
    </w:p>
    <w:p>
      <w:pPr>
        <w:spacing w:after="0" w:line="171" w:lineRule="exact"/>
        <w:rPr>
          <w:rFonts w:ascii="Times New Roman" w:cs="Times New Roman" w:eastAsia="Times New Roman" w:hAnsi="Times New Roman"/>
          <w:sz w:val="18"/>
          <w:szCs w:val="18"/>
          <w:color w:val="auto"/>
        </w:rPr>
      </w:pPr>
    </w:p>
    <w:p>
      <w:pPr>
        <w:ind w:left="660" w:right="2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guarantee or debt securities of any series to any provision of the description thereof set forth in this prospectus or any prospectus supplement to the extent that such provision in this prospectus or any prospectus supplement was intended to be a verbatim recitation of a provision in the Indenture, guarantee or debt securities of any series;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board resolution, officer’s certificate or supplemental Indenture establishing the applicable series of debt securities;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its qualification under the TIA as may be necessary or desirable in accordance with amendments to that TIA;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may from time to time maintain lines of credit and have other customary banking relationships with each trustee and its affiliated banks.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40"/>
          </w:cols>
          <w:pgMar w:left="320" w:top="112" w:right="11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p>
      <w:pPr>
        <w:spacing w:after="0" w:line="1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following description of share purchase contracts and share purchase units sets forth certain general terms and provisions of share purchase</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contracts and share purchase units. This summary does not contain all of the information that you may find useful. The particular terms of the share purchase contracts, the share purchase units and, if applicable, the prepaid securities will be described in the prospectus supplement relating to those securities. For more information, you should review the share purchase contracts, the collateral arrangements and any depositary arrangements relating to</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such share purchase contracts or share purchase units and, if applicable, the prepaid securities and the document pursuant to which the prepaid securities will be issued, each of which will be filed with the SEC promptly after the offering of the securities. As used in this section only, “we”, “our” and “us” refers to only Weatherford Ireland.</w:t>
      </w:r>
    </w:p>
    <w:p>
      <w:pPr>
        <w:spacing w:after="0" w:line="172" w:lineRule="exact"/>
        <w:rPr>
          <w:sz w:val="20"/>
          <w:szCs w:val="20"/>
          <w:color w:val="auto"/>
        </w:rPr>
      </w:pPr>
    </w:p>
    <w:p>
      <w:pPr>
        <w:ind w:firstLine="360"/>
        <w:spacing w:after="0" w:line="226"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us and us to sell to the holders a specified number of ordinary shares at a future date or dates. The price per share of ordinary share may be fixed at the time the share purchase contracts are issued or may be determined by reference to a specific formula set forth in the share purchase contracts.</w:t>
      </w:r>
    </w:p>
    <w:p>
      <w:pPr>
        <w:spacing w:after="0" w:line="171" w:lineRule="exact"/>
        <w:rPr>
          <w:sz w:val="20"/>
          <w:szCs w:val="20"/>
          <w:color w:val="auto"/>
        </w:rPr>
      </w:pPr>
    </w:p>
    <w:p>
      <w:pPr>
        <w:ind w:right="580" w:firstLine="360"/>
        <w:spacing w:after="0" w:line="237"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a part of units, often known as share purchase units, consisting of a share purchase contract and either:</w:t>
      </w:r>
    </w:p>
    <w:p>
      <w:pPr>
        <w:spacing w:after="0" w:line="15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or</w:t>
      </w:r>
    </w:p>
    <w:p>
      <w:pPr>
        <w:spacing w:after="0" w:line="198" w:lineRule="exact"/>
        <w:rPr>
          <w:rFonts w:ascii="Times New Roman" w:cs="Times New Roman" w:eastAsia="Times New Roman" w:hAnsi="Times New Roman"/>
          <w:sz w:val="18"/>
          <w:szCs w:val="18"/>
          <w:color w:val="auto"/>
        </w:rPr>
      </w:pPr>
    </w:p>
    <w:p>
      <w:pPr>
        <w:ind w:left="660" w:right="20" w:hanging="328"/>
        <w:spacing w:after="0" w:line="22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of third parties, including United States Treasury securities, securing the holder’s obligations to purchase the ordinary shares under the share purchase contracts. The share purchase contracts may require us to make periodic payments to the holders of the share purchase units or vice versa, and such payments may be unsecured or prefunded on some basis. The share purchase contracts may require holders to secure their obligations in a specified manner and in certain circumstances we may deliver newly issued prepaid share purchase contracts, often known as prepaid securities, upon release to a holder of any collateral securing each holder’s obligations under the original share purchase contract.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offering will be described in an</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accompanying prospectus supplement. Unless otherwise specified in the applicable prospectus supplement, the share purchase contracts, the share purchase units and the unit agreements pursuant to which the share purchase units will be issued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methods or through underwriters or dealers, through agents and/or directly to one or more purchasers. The securities may be distributed from time to time in one or more transactions at:</w:t>
      </w:r>
    </w:p>
    <w:p>
      <w:pPr>
        <w:spacing w:after="0" w:line="15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98" w:lineRule="exact"/>
        <w:rPr>
          <w:sz w:val="20"/>
          <w:szCs w:val="20"/>
          <w:color w:val="auto"/>
        </w:rPr>
      </w:pPr>
    </w:p>
    <w:p>
      <w:pPr>
        <w:jc w:val="both"/>
        <w:ind w:right="80" w:firstLine="360"/>
        <w:spacing w:after="0" w:line="22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w:t>
      </w:r>
    </w:p>
    <w:p>
      <w:pPr>
        <w:spacing w:after="0"/>
        <w:rPr>
          <w:sz w:val="20"/>
          <w:szCs w:val="20"/>
          <w:color w:val="auto"/>
        </w:rPr>
      </w:pPr>
      <w:r>
        <w:rPr>
          <w:rFonts w:ascii="Times New Roman" w:cs="Times New Roman" w:eastAsia="Times New Roman" w:hAnsi="Times New Roman"/>
          <w:sz w:val="18"/>
          <w:szCs w:val="18"/>
          <w:color w:val="auto"/>
        </w:rPr>
        <w:t>the public at varying prices to be determined by the dealer at the time of resale.</w:t>
      </w:r>
    </w:p>
    <w:p>
      <w:pPr>
        <w:spacing w:after="0" w:line="165"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ordinary shares will be listed on the Nasdaq, but any other securities may or may not be listed on a national securities exchange. To facilitate the</w:t>
      </w:r>
    </w:p>
    <w:p>
      <w:pPr>
        <w:spacing w:after="0" w:line="2"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8"/>
          <w:szCs w:val="18"/>
          <w:color w:val="auto"/>
        </w:rPr>
        <w:t>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w:t>
      </w:r>
    </w:p>
    <w:p>
      <w:pPr>
        <w:spacing w:after="0" w:line="2"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7"/>
          <w:szCs w:val="17"/>
          <w:color w:val="auto"/>
        </w:rPr>
        <w:t>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at any time.</w:t>
      </w:r>
    </w:p>
    <w:p>
      <w:pPr>
        <w:spacing w:after="0" w:line="165" w:lineRule="exact"/>
        <w:rPr>
          <w:sz w:val="20"/>
          <w:szCs w:val="20"/>
          <w:color w:val="auto"/>
        </w:rPr>
      </w:pPr>
    </w:p>
    <w:p>
      <w:pPr>
        <w:ind w:right="140" w:firstLine="360"/>
        <w:spacing w:after="0" w:line="222"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prohibited under the laws of any jurisdiction in the United States to which the purchaser is subject. The underwriters and agents will not have any responsibility with respect to the validity or performance of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12"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w:t>
      </w:r>
    </w:p>
    <w:p>
      <w:pPr>
        <w:spacing w:after="0" w:line="205" w:lineRule="auto"/>
        <w:rPr>
          <w:sz w:val="20"/>
          <w:szCs w:val="20"/>
          <w:color w:val="auto"/>
        </w:rPr>
      </w:pPr>
      <w:r>
        <w:rPr>
          <w:rFonts w:ascii="Times New Roman" w:cs="Times New Roman" w:eastAsia="Times New Roman" w:hAnsi="Times New Roman"/>
          <w:sz w:val="18"/>
          <w:szCs w:val="18"/>
          <w:color w:val="auto"/>
        </w:rPr>
        <w:t>If the applicable prospectus supplement so indicates, in connection with those derivatives, the third parties may sell securities covered by this prospectus</w:t>
      </w:r>
    </w:p>
    <w:p>
      <w:pPr>
        <w:spacing w:after="0" w:line="203" w:lineRule="auto"/>
        <w:rPr>
          <w:sz w:val="20"/>
          <w:szCs w:val="20"/>
          <w:color w:val="auto"/>
        </w:rPr>
      </w:pPr>
      <w:r>
        <w:rPr>
          <w:rFonts w:ascii="Times New Roman" w:cs="Times New Roman" w:eastAsia="Times New Roman" w:hAnsi="Times New Roman"/>
          <w:sz w:val="18"/>
          <w:szCs w:val="18"/>
          <w:color w:val="auto"/>
        </w:rPr>
        <w:t>and the applicable prospectus supplement, including in short sale transactions. If so, the third party may use securities pledged by us or borrowed from us</w:t>
      </w:r>
    </w:p>
    <w:p>
      <w:pPr>
        <w:spacing w:after="0" w:line="219" w:lineRule="auto"/>
        <w:rPr>
          <w:sz w:val="20"/>
          <w:szCs w:val="20"/>
          <w:color w:val="auto"/>
        </w:rPr>
      </w:pPr>
      <w:r>
        <w:rPr>
          <w:rFonts w:ascii="Times New Roman" w:cs="Times New Roman" w:eastAsia="Times New Roman" w:hAnsi="Times New Roman"/>
          <w:sz w:val="18"/>
          <w:szCs w:val="18"/>
          <w:color w:val="auto"/>
        </w:rPr>
        <w:t>or others to settle those sales or to close out any related open borrowings of ordinary shares, and may use securities received from us in settlement of those</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supplement. Such financial institution or other third party may transfer its economic short position to investors in our securities or in connection with a concurrent offering of other securities.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98"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58"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18"/>
          <w:szCs w:val="18"/>
          <w:color w:val="auto"/>
        </w:rPr>
        <w:t>Our securities may not be offered, sold, placed or underwritten and nothing may be done in Ireland in respect of any such securities, otherwise than in conformity, where relevant, with the provisions of:</w:t>
      </w:r>
    </w:p>
    <w:p>
      <w:pPr>
        <w:spacing w:after="0" w:line="149" w:lineRule="exact"/>
        <w:rPr>
          <w:sz w:val="20"/>
          <w:szCs w:val="20"/>
          <w:color w:val="auto"/>
        </w:rPr>
      </w:pPr>
    </w:p>
    <w:p>
      <w:pPr>
        <w:jc w:val="both"/>
        <w:ind w:left="660" w:right="120" w:hanging="328"/>
        <w:spacing w:after="0" w:line="23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Regulation, Commission Delegated Regulation (EU) 2019/980, Commission Delegated Regulation (EU) 2019/979, the European Union (Prospectus) Regulations 2019 of Ireland and any Central Bank of Ireland rules issued and/or in force pursuant to section 1363 of the Irish Companies Act;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Companies Act;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(Markets in Financial Instruments) Regulations 2017 of Ireland, as amended;</w:t>
      </w:r>
    </w:p>
    <w:p>
      <w:pPr>
        <w:spacing w:after="0" w:line="198" w:lineRule="exact"/>
        <w:rPr>
          <w:rFonts w:ascii="Times New Roman" w:cs="Times New Roman" w:eastAsia="Times New Roman" w:hAnsi="Times New Roman"/>
          <w:sz w:val="18"/>
          <w:szCs w:val="18"/>
          <w:color w:val="auto"/>
        </w:rPr>
      </w:pPr>
    </w:p>
    <w:p>
      <w:pPr>
        <w:ind w:left="660" w:right="14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596/2014 of the European Parliament and of the Council of 16 April 2014 on market abuse, the European Union (Market Abuse) Regulations 2016 of Ireland and any Central Bank of Ireland rules issued and/or in force pursuant to section 1370 of the Irish Companies 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PRIIPs Regulation; and</w:t>
      </w:r>
    </w:p>
    <w:p>
      <w:pPr>
        <w:spacing w:after="0" w:line="184"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Acts 1942 to 2018 of Ireland, as amended and any codes of conduct rules made under section 117(1) of the Central Bank Act 1989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1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Certain United States legal matters in connection with the securities will be passed upon for us by King &amp; Spalding LLP. Certain Irish legal matters in</w:t>
      </w:r>
    </w:p>
    <w:p>
      <w:pPr>
        <w:spacing w:after="0" w:line="2"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connection with the securities will be passed upon for us by our special Irish counsel, Matheson. Certain Bermuda legal matters in connection with the securities will be passed upon for us by our special Bermuda counsel, Conyers Dill &amp; Pearman Limited. If the securities are being distributed in an underwritten offering, the validity of the securities will be passed upon for the underwriters by counsel identified in the accompanying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The consolidated financial statements and financial statement schedule II of Weatherford International plc as of December 31, 2021 and December 31,</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2020 and for each of the years in the two-year period ended December 31, 2021, and for the period from December 14, 2019 to December 31, 2019 (successor periods) and for the period from January 1, 2019 to December 13, 2019 (predecessor period), and management’s assessment of the effectiveness of internal control over financial reporting as of December 31, 2021 have been incorporated by reference herein in reliance upon the reports of KPMG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registered public accounting firm, incorporated by reference herein, and upon the authority of said firm as experts in accounting and auditing.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Bermuda legal matters in connection with the debt securities or guarantees that Weatherford Bermuda may issue under a prospectus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supplement will be passed upon for Weatherford Bermuda by its special Bermuda counsel, Conyers Dill &amp; Pearman Limited. Conyers Dill &amp; Pearman Limited’s affiliated company, Conyers Corporate Services (Bermuda) Limited, is Weatherford Bermuda’s Secretary.</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202" w:lineRule="exact"/>
        <w:rPr>
          <w:sz w:val="20"/>
          <w:szCs w:val="20"/>
          <w:color w:val="auto"/>
        </w:rPr>
      </w:pPr>
    </w:p>
    <w:p>
      <w:pPr>
        <w:ind w:right="60" w:firstLine="360"/>
        <w:spacing w:after="0" w:line="216" w:lineRule="auto"/>
        <w:rPr>
          <w:sz w:val="20"/>
          <w:szCs w:val="20"/>
          <w:color w:val="auto"/>
        </w:rPr>
      </w:pPr>
      <w:r>
        <w:rPr>
          <w:rFonts w:ascii="Times New Roman" w:cs="Times New Roman" w:eastAsia="Times New Roman" w:hAnsi="Times New Roman"/>
          <w:sz w:val="18"/>
          <w:szCs w:val="18"/>
          <w:color w:val="auto"/>
        </w:rPr>
        <w:t>Weatherford Ireland has been advised by its Irish counsel, Matheson, that there is some uncertainty as to whether the courts of Ireland would recognize or enforce judgments obtained against Weatherford Ireland or its directors or officers in a United States court based on the civil liabilities provisions of United States federal or state laws. The United States and Ireland do not currently have a treaty providing for recognition and enforcement of</w:t>
      </w:r>
    </w:p>
    <w:p>
      <w:pPr>
        <w:spacing w:after="0" w:line="1"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judgments (other than arbitration awards) in civil and commercial matters, and accordingly, common law rules apply in order to determine whether a judgment of a United States federal or state court is enforceable in Ireland.</w:t>
      </w:r>
    </w:p>
    <w:p>
      <w:pPr>
        <w:spacing w:after="0" w:line="157" w:lineRule="exact"/>
        <w:rPr>
          <w:sz w:val="20"/>
          <w:szCs w:val="20"/>
          <w:color w:val="auto"/>
        </w:rPr>
      </w:pPr>
    </w:p>
    <w:p>
      <w:pPr>
        <w:ind w:right="640" w:firstLine="360"/>
        <w:spacing w:after="0" w:line="250" w:lineRule="auto"/>
        <w:rPr>
          <w:sz w:val="20"/>
          <w:szCs w:val="20"/>
          <w:color w:val="auto"/>
        </w:rPr>
      </w:pPr>
      <w:r>
        <w:rPr>
          <w:rFonts w:ascii="Times New Roman" w:cs="Times New Roman" w:eastAsia="Times New Roman" w:hAnsi="Times New Roman"/>
          <w:sz w:val="18"/>
          <w:szCs w:val="18"/>
          <w:color w:val="auto"/>
        </w:rPr>
        <w:t>A judgment of a United States federal or state courts obtained against Weatherford Ireland will be enforced by the courts of Ireland only if the following general requirements are met:</w:t>
      </w:r>
    </w:p>
    <w:p>
      <w:pPr>
        <w:spacing w:after="0" w:line="149" w:lineRule="exact"/>
        <w:rPr>
          <w:sz w:val="20"/>
          <w:szCs w:val="20"/>
          <w:color w:val="auto"/>
        </w:rPr>
      </w:pPr>
    </w:p>
    <w:p>
      <w:pPr>
        <w:ind w:left="660" w:right="280" w:hanging="328"/>
        <w:spacing w:after="0" w:line="23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federal or state courts must have had jurisdiction in relation to the particular defendant according to Irish conflict of law rules (the voluntary submission to jurisdiction by the defendant would satisfy this rule);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final and conclusive and the decree must be final and unalterable in the court which pronounces it.</w:t>
      </w:r>
    </w:p>
    <w:p>
      <w:pPr>
        <w:spacing w:after="0" w:line="185"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w:t>
      </w:r>
    </w:p>
    <w:p>
      <w:pPr>
        <w:spacing w:after="0" w:line="205" w:lineRule="auto"/>
        <w:rPr>
          <w:sz w:val="20"/>
          <w:szCs w:val="20"/>
          <w:color w:val="auto"/>
        </w:rPr>
      </w:pPr>
      <w:r>
        <w:rPr>
          <w:rFonts w:ascii="Times New Roman" w:cs="Times New Roman" w:eastAsia="Times New Roman" w:hAnsi="Times New Roman"/>
          <w:sz w:val="18"/>
          <w:szCs w:val="18"/>
          <w:color w:val="auto"/>
        </w:rPr>
        <w:t>to be determined whether final judgment given in default of appearance is final and conclusive. Irish courts may also refuse to enforce a judgment of the</w:t>
      </w:r>
    </w:p>
    <w:p>
      <w:pPr>
        <w:spacing w:after="0"/>
        <w:rPr>
          <w:sz w:val="20"/>
          <w:szCs w:val="20"/>
          <w:color w:val="auto"/>
        </w:rPr>
      </w:pPr>
      <w:r>
        <w:rPr>
          <w:rFonts w:ascii="Times New Roman" w:cs="Times New Roman" w:eastAsia="Times New Roman" w:hAnsi="Times New Roman"/>
          <w:sz w:val="18"/>
          <w:szCs w:val="18"/>
          <w:color w:val="auto"/>
        </w:rPr>
        <w:t>United States federal or state courts which meets the above requirements for one of the following reasons:</w:t>
      </w:r>
    </w:p>
    <w:p>
      <w:pPr>
        <w:spacing w:after="0" w:line="16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for a definite sum of money;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in Ireland would be contrary to natural or constitutional justice;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contrary to Irish public policy or involves certain United States laws which will not be enforced in Ireland;</w:t>
      </w:r>
    </w:p>
    <w:p>
      <w:pPr>
        <w:spacing w:after="0" w:line="184"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cannot be obtained by the Irish courts over the judgment debtors in the enforcement proceedings by personal service in Ireland or outside Ireland under Order 11 of the Rules of the Irish Superior Courts;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irreconcilable with an earlier judgment of the United States federal or state courts;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2"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not instituted in Ireland within six years of the date of the judgment of the United States federal and state courts.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Weatherford Bermuda has been advised by its Bermuda counsel, Conyers Dill &amp; Pearman Limited, that a judgment for the payment of money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rendered by a court in the United States based on civil liability, including the civil liability provisions of the United States federal securities laws, would not be automatically enforceable in Bermuda. Weatherford Bermuda has also been advised by Conyers Dill &amp; Pearman Limited that a Bermuda court would be likely to enforce a final and conclusive judgment in personam, which means a judgment against a specific person rather than against specific property,</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obtained in a court in the United States under which a sum of money is payable, other than a sum of money payable in respect of multiple damages, taxes or other charges of a similar nature or in respect of a fine or other penalty, provided that:</w:t>
      </w:r>
    </w:p>
    <w:p>
      <w:pPr>
        <w:spacing w:after="0" w:line="15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court had proper jurisdiction over the parties subject to such judgment;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court did not contravene the rules of natural justice of Bermuda;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United States court was not obtained by fraud;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the public policy of Bermuda;</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admissible evidence relevant to the action is submitted prior to the rendering of the judgment by the courts of Bermuda;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due compliance with the correct procedures under the laws of Bermuda.</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Further, Weatherford Bermuda has been advised by Conyers Dill &amp; Pearman Limited that a United States investor cannot bring an original action</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before a Bermuda court against Weatherford Bermuda, affiliates of Weatherford Bermuda, any underwriters or experts named in this prospectus based on United States legislation, including the United States federal securities laws, because United States legislation has no extraterritorial jurisdiction under Bermuda law and does not have force of law in Bermuda. However, we have also been advised by Conyers Dill &amp; Pearman Limited that a Bermuda court</w:t>
      </w:r>
    </w:p>
    <w:p>
      <w:pPr>
        <w:spacing w:after="0" w:line="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7"/>
          <w:szCs w:val="17"/>
          <w:color w:val="auto"/>
        </w:rPr>
        <w:t>may impose civil liability, including the possibility of monetary damages, on Weatherford Bermuda or its directors or officers if the facts alleged in a complaint constitute or give rise to a cause of action under Bermuda law. Some remedies available under the laws of United States jurisdictions, including some remedies available under the United States federal securities laws, may not be allowed in Bermuda courts as contrary to Bermuda public policy.</w:t>
      </w:r>
    </w:p>
    <w:p>
      <w:pPr>
        <w:spacing w:after="0" w:line="172" w:lineRule="exact"/>
        <w:rPr>
          <w:sz w:val="20"/>
          <w:szCs w:val="20"/>
          <w:color w:val="auto"/>
        </w:rPr>
      </w:pPr>
    </w:p>
    <w:p>
      <w:pPr>
        <w:ind w:right="80" w:firstLine="405"/>
        <w:spacing w:after="0" w:line="229" w:lineRule="auto"/>
        <w:rPr>
          <w:sz w:val="20"/>
          <w:szCs w:val="20"/>
          <w:color w:val="auto"/>
        </w:rPr>
      </w:pPr>
      <w:r>
        <w:rPr>
          <w:rFonts w:ascii="Times New Roman" w:cs="Times New Roman" w:eastAsia="Times New Roman" w:hAnsi="Times New Roman"/>
          <w:sz w:val="17"/>
          <w:szCs w:val="17"/>
          <w:color w:val="auto"/>
        </w:rPr>
        <w:t>It may be difficult for a securityholder to effect service of process within the United States or to enforce judgments obtained against any of Weatherford Ireland or Weatherford Bermuda in United States courts. Each of Weatherford Ireland and Weatherford Bermuda has agreed that it may be served with process with respect to actions based on offers and sales of securities made in the United States and other violations of United States securities</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laws by having Weatherford Delaware, a Delaware limited liability company and wholly owned subsidiary of Weatherford Ireland, be its United States agent appointed for that purpose. Weatherford Delaware is located at 2000 St. James Place, Houston, Texas 77056. A judgment obtained against any of Weatherford Ireland or Weatherford Bermuda in a United States court would be enforceable in the United States but could be executed upon only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such company has assets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12" w:right="359" w:bottom="1440" w:gutter="0" w:footer="0" w:header="0"/>
        </w:sectPr>
      </w:pPr>
    </w:p>
    <w:bookmarkStart w:id="49" w:name="page50"/>
    <w:bookmarkEnd w:id="49"/>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844,702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558165</wp:posOffset>
            </wp:positionV>
            <wp:extent cx="2263140" cy="1363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226314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Weatherford International plc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ind w:left="31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jc w:val="right"/>
        <w:spacing w:after="0" w:line="219" w:lineRule="auto"/>
        <w:rPr>
          <w:sz w:val="20"/>
          <w:szCs w:val="20"/>
          <w:color w:val="auto"/>
        </w:rPr>
      </w:pPr>
      <w:r>
        <w:rPr>
          <w:rFonts w:ascii="Times New Roman" w:cs="Times New Roman" w:eastAsia="Times New Roman" w:hAnsi="Times New Roman"/>
          <w:sz w:val="18"/>
          <w:szCs w:val="18"/>
          <w:b w:val="1"/>
          <w:bCs w:val="1"/>
          <w:color w:val="auto"/>
        </w:rPr>
        <w:t>EX-FILING FEES</w:t>
      </w: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424B7</w:t>
      </w: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6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Proposed</w:t>
      </w:r>
    </w:p>
    <w:p>
      <w:pPr>
        <w:ind w:left="5140"/>
        <w:spacing w:after="0" w:line="221" w:lineRule="auto"/>
        <w:rPr>
          <w:sz w:val="20"/>
          <w:szCs w:val="20"/>
          <w:color w:val="auto"/>
        </w:rPr>
      </w:pPr>
      <w:r>
        <w:rPr>
          <w:rFonts w:ascii="Times New Roman" w:cs="Times New Roman" w:eastAsia="Times New Roman" w:hAnsi="Times New Roman"/>
          <w:sz w:val="14"/>
          <w:szCs w:val="14"/>
          <w:b w:val="1"/>
          <w:bCs w:val="1"/>
          <w:color w:val="auto"/>
        </w:rPr>
        <w:t>Maximum</w:t>
      </w:r>
    </w:p>
    <w:tbl>
      <w:tblPr>
        <w:tblLayout w:type="fixed"/>
        <w:tblInd w:w="0" w:type="dxa"/>
        <w:tblCellMar>
          <w:top w:w="0" w:type="dxa"/>
          <w:left w:w="0" w:type="dxa"/>
          <w:bottom w:w="0" w:type="dxa"/>
          <w:right w:w="0" w:type="dxa"/>
        </w:tblCellMar>
      </w:tblPr>
      <w:tr>
        <w:trPr>
          <w:trHeight w:val="128"/>
        </w:trPr>
        <w:tc>
          <w:tcPr>
            <w:tcW w:w="74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12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1100" w:type="dxa"/>
            <w:vAlign w:val="bottom"/>
          </w:tcPr>
          <w:p>
            <w:pPr>
              <w:jc w:val="center"/>
              <w:ind w:right="368"/>
              <w:spacing w:after="0" w:line="12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240" w:type="dxa"/>
            <w:vAlign w:val="bottom"/>
          </w:tcPr>
          <w:p>
            <w:pPr>
              <w:spacing w:after="0"/>
              <w:rPr>
                <w:sz w:val="11"/>
                <w:szCs w:val="11"/>
                <w:color w:val="auto"/>
              </w:rPr>
            </w:pPr>
          </w:p>
        </w:tc>
        <w:tc>
          <w:tcPr>
            <w:tcW w:w="1920" w:type="dxa"/>
            <w:vAlign w:val="bottom"/>
            <w:vMerge w:val="restart"/>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220" w:type="dxa"/>
            <w:vAlign w:val="bottom"/>
          </w:tcPr>
          <w:p>
            <w:pPr>
              <w:spacing w:after="0"/>
              <w:rPr>
                <w:sz w:val="17"/>
                <w:szCs w:val="17"/>
                <w:color w:val="auto"/>
              </w:rPr>
            </w:pPr>
          </w:p>
        </w:tc>
        <w:tc>
          <w:tcPr>
            <w:tcW w:w="110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240" w:type="dxa"/>
            <w:vAlign w:val="bottom"/>
          </w:tcPr>
          <w:p>
            <w:pPr>
              <w:spacing w:after="0"/>
              <w:rPr>
                <w:sz w:val="17"/>
                <w:szCs w:val="17"/>
                <w:color w:val="auto"/>
              </w:rPr>
            </w:pPr>
          </w:p>
        </w:tc>
        <w:tc>
          <w:tcPr>
            <w:tcW w:w="1920" w:type="dxa"/>
            <w:vAlign w:val="bottom"/>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1"/>
        </w:trPr>
        <w:tc>
          <w:tcPr>
            <w:tcW w:w="7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Fees to Be</w:t>
            </w:r>
          </w:p>
        </w:tc>
        <w:tc>
          <w:tcPr>
            <w:tcW w:w="7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Equity</w:t>
            </w:r>
          </w:p>
        </w:tc>
        <w:tc>
          <w:tcPr>
            <w:tcW w:w="1220" w:type="dxa"/>
            <w:vAlign w:val="bottom"/>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Ordinary shares,</w:t>
            </w:r>
          </w:p>
        </w:tc>
        <w:tc>
          <w:tcPr>
            <w:tcW w:w="10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Paid</w:t>
            </w:r>
          </w:p>
        </w:tc>
        <w:tc>
          <w:tcPr>
            <w:tcW w:w="740" w:type="dxa"/>
            <w:vAlign w:val="bottom"/>
            <w:shd w:val="clear" w:color="auto" w:fill="CCEEFF"/>
          </w:tcPr>
          <w:p>
            <w:pPr>
              <w:spacing w:after="0"/>
              <w:rPr>
                <w:sz w:val="12"/>
                <w:szCs w:val="12"/>
                <w:color w:val="auto"/>
              </w:rPr>
            </w:pPr>
          </w:p>
        </w:tc>
        <w:tc>
          <w:tcPr>
            <w:tcW w:w="12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nominal value of</w:t>
            </w:r>
          </w:p>
        </w:tc>
        <w:tc>
          <w:tcPr>
            <w:tcW w:w="10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457(c)</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844,702 (1)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104.97 (2)</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88,668,368.94 (2)</w:t>
            </w:r>
          </w:p>
        </w:tc>
        <w:tc>
          <w:tcPr>
            <w:tcW w:w="11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0.00014760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13,087.45 (3)</w:t>
            </w:r>
          </w:p>
        </w:tc>
        <w:tc>
          <w:tcPr>
            <w:tcW w:w="0" w:type="dxa"/>
            <w:vAlign w:val="bottom"/>
          </w:tcPr>
          <w:p>
            <w:pPr>
              <w:spacing w:after="0"/>
              <w:rPr>
                <w:sz w:val="1"/>
                <w:szCs w:val="1"/>
                <w:color w:val="auto"/>
              </w:rPr>
            </w:pPr>
          </w:p>
        </w:tc>
      </w:tr>
      <w:tr>
        <w:trPr>
          <w:trHeight w:val="188"/>
        </w:trPr>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$0.001 per share</w:t>
            </w:r>
          </w:p>
        </w:tc>
        <w:tc>
          <w:tcPr>
            <w:tcW w:w="102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9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Total Offering Amount</w:t>
            </w:r>
          </w:p>
        </w:tc>
        <w:tc>
          <w:tcPr>
            <w:tcW w:w="20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322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rPr>
              <w:t>88,668,368.94 (2)</w:t>
            </w: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13,087.45</w:t>
            </w:r>
          </w:p>
        </w:tc>
      </w:tr>
      <w:tr>
        <w:trPr>
          <w:trHeight w:val="210"/>
        </w:trPr>
        <w:tc>
          <w:tcPr>
            <w:tcW w:w="4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20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Total Fee Offsets</w:t>
            </w:r>
          </w:p>
        </w:tc>
        <w:tc>
          <w:tcPr>
            <w:tcW w:w="20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6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Net Fee Due</w:t>
            </w:r>
          </w:p>
        </w:tc>
        <w:tc>
          <w:tcPr>
            <w:tcW w:w="2020" w:type="dxa"/>
            <w:vAlign w:val="bottom"/>
            <w:shd w:val="clear" w:color="auto" w:fill="CCEEFF"/>
          </w:tcPr>
          <w:p>
            <w:pPr>
              <w:spacing w:after="0"/>
              <w:rPr>
                <w:sz w:val="18"/>
                <w:szCs w:val="18"/>
                <w:color w:val="auto"/>
              </w:rPr>
            </w:pPr>
          </w:p>
        </w:tc>
        <w:tc>
          <w:tcPr>
            <w:tcW w:w="32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13,087.45</w:t>
            </w:r>
          </w:p>
        </w:tc>
      </w:tr>
    </w:tbl>
    <w:p>
      <w:pPr>
        <w:spacing w:after="0" w:line="342" w:lineRule="exact"/>
        <w:rPr>
          <w:sz w:val="20"/>
          <w:szCs w:val="20"/>
          <w:color w:val="auto"/>
        </w:rPr>
      </w:pPr>
    </w:p>
    <w:p>
      <w:pPr>
        <w:ind w:left="540" w:right="120" w:hanging="433"/>
        <w:spacing w:after="0" w:line="24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(the “Securities Act”), the registrant’s Registration Statement on Form S-3ASR (Registration No. 333-265636) (the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365" w:lineRule="exact"/>
        <w:rPr>
          <w:rFonts w:ascii="Times New Roman" w:cs="Times New Roman" w:eastAsia="Times New Roman" w:hAnsi="Times New Roman"/>
          <w:sz w:val="14"/>
          <w:szCs w:val="14"/>
          <w:color w:val="auto"/>
        </w:rPr>
      </w:pPr>
    </w:p>
    <w:p>
      <w:pPr>
        <w:ind w:left="540" w:right="220" w:hanging="433"/>
        <w:spacing w:after="0" w:line="26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solely for purposes of calculating the registration fee on the basis of the average of the high and low prices of registrant’s ordinary shares as reported on the Nasdaq Global Select Market on February 26, 2024.</w:t>
      </w:r>
    </w:p>
    <w:p>
      <w:pPr>
        <w:spacing w:after="0" w:line="351" w:lineRule="exact"/>
        <w:rPr>
          <w:rFonts w:ascii="Times New Roman" w:cs="Times New Roman" w:eastAsia="Times New Roman" w:hAnsi="Times New Roman"/>
          <w:sz w:val="14"/>
          <w:szCs w:val="14"/>
          <w:color w:val="auto"/>
        </w:rPr>
      </w:pPr>
    </w:p>
    <w:p>
      <w:pPr>
        <w:ind w:left="540" w:hanging="433"/>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in accordance with Rule 457(r) under the Securities Act. Represents deferred payment of the registration fees in connection with the Registration Statement paid herewith.</w:t>
      </w:r>
    </w:p>
    <w:sectPr>
      <w:pgSz w:w="11900" w:h="16838" w:orient="portrait"/>
      <w:cols w:equalWidth="0" w:num="1">
        <w:col w:w="11240"/>
      </w:cols>
      <w:pgMar w:left="320" w:top="1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upp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4" Type="http://schemas.openxmlformats.org/officeDocument/2006/relationships/image" Target="media/image2.jpeg"/><Relationship Id="rId21" Type="http://schemas.openxmlformats.org/officeDocument/2006/relationships/image" Target="media/image3.jpeg"/><Relationship Id="rId22" Type="http://schemas.openxmlformats.org/officeDocument/2006/relationships/image" Target="media/image4.png"/><Relationship Id="rId9" Type="http://schemas.openxmlformats.org/officeDocument/2006/relationships/hyperlink" Target="https://www.sec.gov/Archives/edgar/data/1603923/000160392324000043/wfrd-20231231.htm" TargetMode="External"/><Relationship Id="rId10" Type="http://schemas.openxmlformats.org/officeDocument/2006/relationships/hyperlink" Target="https://www.sec.gov/Archives/edgar/data/1603923/000160392322000051/exhibit41descriptionofsecu.htm" TargetMode="External"/><Relationship Id="rId11" Type="http://schemas.openxmlformats.org/officeDocument/2006/relationships/hyperlink" Target="https://www.sec.gov/Archives/edgar/data/1603923/000160392324000019/wfrd-20240118.htm" TargetMode="External"/><Relationship Id="rId12" Type="http://schemas.openxmlformats.org/officeDocument/2006/relationships/hyperlink" Target="https://www.sec.gov/Archives/edgar/data/1603923/000160392324000040/wfrd-20240201.htm" TargetMode="External"/><Relationship Id="rId13" Type="http://schemas.openxmlformats.org/officeDocument/2006/relationships/hyperlink" Target="https://www.sec.gov/Archives/edgar/data/0001603923/000160392324000063/wfrd-20240301.htm" TargetMode="External"/><Relationship Id="rId15" Type="http://schemas.openxmlformats.org/officeDocument/2006/relationships/hyperlink" Target="https://www.sec.gov/Archives/edgar/data/0001603923/000160392322000051/wfrd-20211231.htm" TargetMode="External"/><Relationship Id="rId16" Type="http://schemas.openxmlformats.org/officeDocument/2006/relationships/hyperlink" Target="https://www.sec.gov/Archives/edgar/data/1603923/000110465922049003/tm2212135-1_def14a.htm" TargetMode="External"/><Relationship Id="rId17" Type="http://schemas.openxmlformats.org/officeDocument/2006/relationships/hyperlink" Target="https://www.sec.gov/Archives/edgar/data/0001603923/000160392322000071/wfrd-20220331.htm" TargetMode="External"/><Relationship Id="rId18" Type="http://schemas.openxmlformats.org/officeDocument/2006/relationships/hyperlink" Target="https://www.sec.gov/Archives/edgar/data/0001603923/000160392322000034/wfrd-20220118.htm" TargetMode="External"/><Relationship Id="rId19" Type="http://schemas.openxmlformats.org/officeDocument/2006/relationships/hyperlink" Target="https://www.sec.gov/Archives/edgar/data/0001603923/000160392322000073/wfrd-20220516.htm" TargetMode="External"/><Relationship Id="rId20" Type="http://schemas.openxmlformats.org/officeDocument/2006/relationships/hyperlink" Target="https://www.sec.gov/Archives/edgar/data/0001603923/000160392322000079/wft-202206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2024-03-01T05:52:59Z</dcterms:created>
  <dcterms:modified xsi:type="dcterms:W3CDTF">2024-03-01T05:52:59Z</dcterms:modified>
</cp:coreProperties>
</file>