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4928" w:type="dxa"/>
        <w:jc w:val="center"/>
        <w:tblInd w:w="0" w:type="dxa"/>
        <w:tblLayout w:type="fixed"/>
        <w:tblCellMar>
          <w:top w:w="28" w:type="dxa"/>
          <w:left w:w="28" w:type="dxa"/>
          <w:bottom w:w="28" w:type="dxa"/>
          <w:right w:w="28" w:type="dxa"/>
        </w:tblCellMar>
      </w:tblPr>
      <w:tblGrid>
        <w:gridCol w:w="124"/>
        <w:gridCol w:w="109"/>
        <w:gridCol w:w="109"/>
        <w:gridCol w:w="1403"/>
        <w:gridCol w:w="1403"/>
        <w:gridCol w:w="140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UNITED STATES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WASHINGTON, D.C. 20549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859" w:type="dxa"/>
        <w:jc w:val="center"/>
        <w:tblInd w:w="0" w:type="dxa"/>
        <w:tblLayout w:type="fixed"/>
        <w:tblCellMar>
          <w:top w:w="28" w:type="dxa"/>
          <w:left w:w="28" w:type="dxa"/>
          <w:bottom w:w="28" w:type="dxa"/>
          <w:right w:w="28" w:type="dxa"/>
        </w:tblCellMar>
      </w:tblPr>
      <w:tblGrid>
        <w:gridCol w:w="380"/>
        <w:gridCol w:w="334"/>
        <w:gridCol w:w="336"/>
        <w:gridCol w:w="109"/>
        <w:gridCol w:w="109"/>
        <w:gridCol w:w="109"/>
        <w:gridCol w:w="195"/>
        <w:gridCol w:w="195"/>
        <w:gridCol w:w="196"/>
        <w:gridCol w:w="174"/>
        <w:gridCol w:w="174"/>
        <w:gridCol w:w="176"/>
        <w:gridCol w:w="109"/>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Form</w:t>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10-Q</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103"/>
        <w:gridCol w:w="1103"/>
        <w:gridCol w:w="1047"/>
        <w:gridCol w:w="1058"/>
        <w:gridCol w:w="1030"/>
        <w:gridCol w:w="1030"/>
        <w:gridCol w:w="1030"/>
        <w:gridCol w:w="1030"/>
        <w:gridCol w:w="1058"/>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quarterly period ended</w:t>
            </w:r>
          </w:p>
        </w:tc>
        <w:tc>
          <w:tcPr>
            <w:tcW w:w="31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or</w:t>
            </w:r>
          </w:p>
        </w:tc>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__________________________________to __________________________________</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001-36504</w:t>
            </w:r>
          </w:p>
        </w:tc>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erif" w:hAnsi="Times New Roman;serif"/>
          <w:b/>
          <w:color w:val="000000"/>
          <w:sz w:val="24"/>
        </w:rPr>
      </w:pPr>
      <w:r>
        <w:rPr>
          <w:rFonts w:ascii="Times New Roman;serif" w:hAnsi="Times New Roman;serif"/>
          <w:b/>
          <w:color w:val="000000"/>
          <w:sz w:val="24"/>
        </w:rPr>
        <w:t>Weatherford International plc</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242" w:type="dxa"/>
        <w:jc w:val="center"/>
        <w:tblInd w:w="0" w:type="dxa"/>
        <w:tblLayout w:type="fixed"/>
        <w:tblCellMar>
          <w:top w:w="28" w:type="dxa"/>
          <w:left w:w="28" w:type="dxa"/>
          <w:bottom w:w="28" w:type="dxa"/>
          <w:right w:w="28" w:type="dxa"/>
        </w:tblCellMar>
      </w:tblPr>
      <w:tblGrid>
        <w:gridCol w:w="684"/>
        <w:gridCol w:w="603"/>
        <w:gridCol w:w="603"/>
        <w:gridCol w:w="333"/>
        <w:gridCol w:w="333"/>
        <w:gridCol w:w="333"/>
        <w:gridCol w:w="333"/>
        <w:gridCol w:w="333"/>
        <w:gridCol w:w="333"/>
        <w:gridCol w:w="333"/>
        <w:gridCol w:w="333"/>
        <w:gridCol w:w="333"/>
        <w:gridCol w:w="333"/>
        <w:gridCol w:w="333"/>
        <w:gridCol w:w="333"/>
        <w:gridCol w:w="109"/>
        <w:gridCol w:w="109"/>
        <w:gridCol w:w="109"/>
        <w:gridCol w:w="884"/>
        <w:gridCol w:w="884"/>
        <w:gridCol w:w="1261"/>
      </w:tblGrid>
      <w:tr>
        <w:trPr/>
        <w:tc>
          <w:tcPr>
            <w:tcW w:w="68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58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98-0606750</w:t>
            </w:r>
          </w:p>
        </w:tc>
      </w:tr>
      <w:tr>
        <w:trPr/>
        <w:tc>
          <w:tcPr>
            <w:tcW w:w="588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2000 St. James Place</w:t>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Houston</w:t>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77056</w:t>
            </w:r>
          </w:p>
        </w:tc>
      </w:tr>
      <w:tr>
        <w:trPr/>
        <w:tc>
          <w:tcPr>
            <w:tcW w:w="588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ind w:left="0" w:right="0" w:firstLine="36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713.836.4000 </w:t>
      </w:r>
    </w:p>
    <w:tbl>
      <w:tblPr>
        <w:tblW w:w="7743" w:type="dxa"/>
        <w:jc w:val="center"/>
        <w:tblInd w:w="0" w:type="dxa"/>
        <w:tblLayout w:type="fixed"/>
        <w:tblCellMar>
          <w:top w:w="28" w:type="dxa"/>
          <w:left w:w="28" w:type="dxa"/>
          <w:bottom w:w="28" w:type="dxa"/>
          <w:right w:w="28" w:type="dxa"/>
        </w:tblCellMar>
      </w:tblPr>
      <w:tblGrid>
        <w:gridCol w:w="124"/>
        <w:gridCol w:w="109"/>
        <w:gridCol w:w="109"/>
        <w:gridCol w:w="781"/>
        <w:gridCol w:w="781"/>
        <w:gridCol w:w="781"/>
        <w:gridCol w:w="781"/>
        <w:gridCol w:w="781"/>
        <w:gridCol w:w="781"/>
        <w:gridCol w:w="781"/>
        <w:gridCol w:w="781"/>
        <w:gridCol w:w="7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119" w:type="dxa"/>
        <w:jc w:val="center"/>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$0.001 par value per share</w:t>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WFRD</w:t>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before="0" w:after="0"/>
        <w:ind w:left="0" w:right="0" w:firstLine="450"/>
        <w:jc w:val="both"/>
        <w:rPr/>
      </w:pPr>
      <w:r>
        <w:rPr/>
      </w:r>
    </w:p>
    <w:p>
      <w:pPr>
        <w:pStyle w:val="TextBody"/>
        <w:bidi w:val="0"/>
        <w:spacing w:lineRule="auto" w:line="288" w:before="60" w:after="6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60" w:after="6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82" w:type="dxa"/>
        <w:jc w:val="center"/>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60"/>
        <w:ind w:left="0" w:right="0" w:firstLine="36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60" w:after="1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July 16, 2026, there were 71,685,443 Weatherford ordinary shares, $0.001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60" w:after="60"/>
        <w:ind w:left="0" w:right="0" w:firstLine="360"/>
        <w:jc w:val="center"/>
        <w:rPr>
          <w:rFonts w:ascii="Times New Roman;serif" w:hAnsi="Times New Roman;serif"/>
          <w:b/>
          <w:color w:val="000000"/>
          <w:sz w:val="20"/>
        </w:rPr>
      </w:pPr>
      <w:r>
        <w:rPr>
          <w:rFonts w:ascii="Times New Roman;serif" w:hAnsi="Times New Roman;serif"/>
          <w:b/>
          <w:color w:val="000000"/>
          <w:sz w:val="20"/>
        </w:rPr>
        <w:t>Weatherford International public limited company</w:t>
      </w:r>
    </w:p>
    <w:p>
      <w:pPr>
        <w:pStyle w:val="TextBody"/>
        <w:bidi w:val="0"/>
        <w:spacing w:lineRule="auto" w:line="288" w:before="60" w:after="6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Form 10-Q for the Second Quarter Ended June 30, 2026 </w:t>
      </w:r>
    </w:p>
    <w:tbl>
      <w:tblPr>
        <w:tblW w:w="8810" w:type="dxa"/>
        <w:jc w:val="left"/>
        <w:tblInd w:w="0" w:type="dxa"/>
        <w:tblLayout w:type="fixed"/>
        <w:tblCellMar>
          <w:top w:w="28" w:type="dxa"/>
          <w:left w:w="28" w:type="dxa"/>
          <w:bottom w:w="28" w:type="dxa"/>
          <w:right w:w="28" w:type="dxa"/>
        </w:tblCellMar>
      </w:tblPr>
      <w:tblGrid>
        <w:gridCol w:w="1483"/>
        <w:gridCol w:w="1298"/>
        <w:gridCol w:w="1298"/>
        <w:gridCol w:w="1298"/>
        <w:gridCol w:w="1298"/>
        <w:gridCol w:w="1318"/>
        <w:gridCol w:w="235"/>
        <w:gridCol w:w="235"/>
        <w:gridCol w:w="347"/>
      </w:tblGrid>
      <w:tr>
        <w:trPr/>
        <w:tc>
          <w:tcPr>
            <w:tcW w:w="148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OF CONTENTS</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af4facd0cae49cf9f0869abd5195e1c_10">
              <w:r>
                <w:rPr>
                  <w:rStyle w:val="InternetLink"/>
                  <w:rFonts w:ascii="Times New Roman;serif" w:hAnsi="Times New Roman;serif"/>
                  <w:b/>
                  <w:color w:val="0000FF"/>
                  <w:sz w:val="20"/>
                  <w:u w:val="single"/>
                </w:rPr>
                <w:t>PART I – FINANCIAL INFORMATION</w:t>
              </w:r>
            </w:hyperlink>
          </w:p>
        </w:tc>
        <w:tc>
          <w:tcPr>
            <w:tcW w:w="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af4facd0cae49cf9f0869abd5195e1c_13">
              <w:r>
                <w:rPr>
                  <w:rStyle w:val="InternetLink"/>
                  <w:rFonts w:ascii="Times New Roman;serif" w:hAnsi="Times New Roman;serif"/>
                  <w:b w:val="false"/>
                  <w:color w:val="0000FF"/>
                  <w:sz w:val="20"/>
                  <w:u w:val="single"/>
                </w:rPr>
                <w:t>Item 1. Financial Statements.</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af4facd0cae49cf9f0869abd5195e1c_13">
              <w:r>
                <w:rPr>
                  <w:rStyle w:val="InternetLink"/>
                  <w:rFonts w:ascii="Times New Roman;serif" w:hAnsi="Times New Roman;serif"/>
                  <w:b w:val="false"/>
                  <w:color w:val="0000FF"/>
                  <w:sz w:val="20"/>
                  <w:u w:val="single"/>
                </w:rPr>
                <w:t>2</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af4facd0cae49cf9f0869abd5195e1c_67">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af4facd0cae49cf9f0869abd5195e1c_67">
              <w:r>
                <w:rPr>
                  <w:rStyle w:val="InternetLink"/>
                  <w:rFonts w:ascii="Times New Roman;serif" w:hAnsi="Times New Roman;serif"/>
                  <w:b w:val="false"/>
                  <w:color w:val="0000FF"/>
                  <w:sz w:val="20"/>
                  <w:u w:val="single"/>
                </w:rPr>
                <w:t>18</w:t>
              </w:r>
            </w:hyperlink>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af4facd0cae49cf9f0869abd5195e1c_157">
              <w:r>
                <w:rPr>
                  <w:rStyle w:val="InternetLink"/>
                  <w:rFonts w:ascii="Times New Roman;serif" w:hAnsi="Times New Roman;serif"/>
                  <w:b w:val="false"/>
                  <w:color w:val="0000FF"/>
                  <w:sz w:val="20"/>
                  <w:u w:val="single"/>
                </w:rPr>
                <w:t>Item 3. Quantitative and Qualitative Disclosures About Market Risk.</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af4facd0cae49cf9f0869abd5195e1c_157">
              <w:r>
                <w:rPr>
                  <w:rStyle w:val="InternetLink"/>
                  <w:rFonts w:ascii="Times New Roman;serif" w:hAnsi="Times New Roman;serif"/>
                  <w:b w:val="false"/>
                  <w:color w:val="0000FF"/>
                  <w:sz w:val="20"/>
                  <w:u w:val="single"/>
                </w:rPr>
                <w:t>33</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af4facd0cae49cf9f0869abd5195e1c_160">
              <w:r>
                <w:rPr>
                  <w:rStyle w:val="InternetLink"/>
                  <w:rFonts w:ascii="Times New Roman;serif" w:hAnsi="Times New Roman;serif"/>
                  <w:b w:val="false"/>
                  <w:color w:val="0000FF"/>
                  <w:sz w:val="20"/>
                  <w:u w:val="single"/>
                </w:rPr>
                <w:t>Item 4. Controls and Procedures.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af4facd0cae49cf9f0869abd5195e1c_160">
              <w:r>
                <w:rPr>
                  <w:rStyle w:val="InternetLink"/>
                  <w:rFonts w:ascii="Times New Roman;serif" w:hAnsi="Times New Roman;serif"/>
                  <w:b w:val="false"/>
                  <w:color w:val="0000FF"/>
                  <w:sz w:val="20"/>
                  <w:u w:val="single"/>
                </w:rPr>
                <w:t>33</w:t>
              </w:r>
            </w:hyperlink>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af4facd0cae49cf9f0869abd5195e1c_163">
              <w:r>
                <w:rPr>
                  <w:rStyle w:val="InternetLink"/>
                  <w:rFonts w:ascii="Times New Roman;serif" w:hAnsi="Times New Roman;serif"/>
                  <w:b/>
                  <w:color w:val="0000FF"/>
                  <w:sz w:val="20"/>
                  <w:u w:val="single"/>
                </w:rPr>
                <w:t>PART II – OTHER INFORMATION</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af4facd0cae49cf9f0869abd5195e1c_166">
              <w:r>
                <w:rPr>
                  <w:rStyle w:val="InternetLink"/>
                  <w:rFonts w:ascii="Times New Roman;serif" w:hAnsi="Times New Roman;serif"/>
                  <w:b w:val="false"/>
                  <w:color w:val="0000FF"/>
                  <w:sz w:val="20"/>
                  <w:u w:val="single"/>
                </w:rPr>
                <w:t>Item 1. Legal Proceedings.</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af4facd0cae49cf9f0869abd5195e1c_166">
              <w:r>
                <w:rPr>
                  <w:rStyle w:val="InternetLink"/>
                  <w:rFonts w:ascii="Times New Roman;serif" w:hAnsi="Times New Roman;serif"/>
                  <w:b w:val="false"/>
                  <w:color w:val="0000FF"/>
                  <w:sz w:val="20"/>
                  <w:u w:val="single"/>
                </w:rPr>
                <w:t>34</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af4facd0cae49cf9f0869abd5195e1c_169">
              <w:r>
                <w:rPr>
                  <w:rStyle w:val="InternetLink"/>
                  <w:rFonts w:ascii="Times New Roman;serif" w:hAnsi="Times New Roman;serif"/>
                  <w:b w:val="false"/>
                  <w:color w:val="0000FF"/>
                  <w:sz w:val="20"/>
                  <w:u w:val="single"/>
                </w:rPr>
                <w:t>Item 1A. Risk Factors.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af4facd0cae49cf9f0869abd5195e1c_169">
              <w:r>
                <w:rPr>
                  <w:rStyle w:val="InternetLink"/>
                  <w:rFonts w:ascii="Times New Roman;serif" w:hAnsi="Times New Roman;serif"/>
                  <w:b w:val="false"/>
                  <w:color w:val="0000FF"/>
                  <w:sz w:val="20"/>
                  <w:u w:val="single"/>
                </w:rPr>
                <w:t>34</w:t>
              </w:r>
            </w:hyperlink>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af4facd0cae49cf9f0869abd5195e1c_172">
              <w:r>
                <w:rPr>
                  <w:rStyle w:val="InternetLink"/>
                  <w:rFonts w:ascii="Times New Roman;serif" w:hAnsi="Times New Roman;serif"/>
                  <w:b w:val="false"/>
                  <w:color w:val="0000FF"/>
                  <w:sz w:val="20"/>
                  <w:u w:val="single"/>
                </w:rPr>
                <w:t>Item 2. Unregistered Sales of Equity Securities and Use of Proceeds.</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af4facd0cae49cf9f0869abd5195e1c_172">
              <w:r>
                <w:rPr>
                  <w:rStyle w:val="InternetLink"/>
                  <w:rFonts w:ascii="Times New Roman;serif" w:hAnsi="Times New Roman;serif"/>
                  <w:b w:val="false"/>
                  <w:color w:val="0000FF"/>
                  <w:sz w:val="20"/>
                  <w:u w:val="single"/>
                </w:rPr>
                <w:t>34</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af4facd0cae49cf9f0869abd5195e1c_175">
              <w:r>
                <w:rPr>
                  <w:rStyle w:val="InternetLink"/>
                  <w:rFonts w:ascii="Times New Roman;serif" w:hAnsi="Times New Roman;serif"/>
                  <w:b w:val="false"/>
                  <w:color w:val="0000FF"/>
                  <w:sz w:val="20"/>
                  <w:u w:val="single"/>
                </w:rPr>
                <w:t>Item 3. Defaults Upon Senior Securities.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af4facd0cae49cf9f0869abd5195e1c_175">
              <w:r>
                <w:rPr>
                  <w:rStyle w:val="InternetLink"/>
                  <w:rFonts w:ascii="Times New Roman;serif" w:hAnsi="Times New Roman;serif"/>
                  <w:b w:val="false"/>
                  <w:color w:val="0000FF"/>
                  <w:sz w:val="20"/>
                  <w:u w:val="single"/>
                </w:rPr>
                <w:t>34</w:t>
              </w:r>
            </w:hyperlink>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af4facd0cae49cf9f0869abd5195e1c_178">
              <w:r>
                <w:rPr>
                  <w:rStyle w:val="InternetLink"/>
                  <w:rFonts w:ascii="Times New Roman;serif" w:hAnsi="Times New Roman;serif"/>
                  <w:b w:val="false"/>
                  <w:color w:val="0000FF"/>
                  <w:sz w:val="20"/>
                  <w:u w:val="single"/>
                </w:rPr>
                <w:t>Item 4. Mine Safety Disclosures</w:t>
              </w:r>
            </w:hyperlink>
            <w:r>
              <w:rPr>
                <w:rFonts w:ascii="Times New Roman;serif" w:hAnsi="Times New Roman;serif"/>
                <w:b w:val="false"/>
                <w:color w:val="000000"/>
                <w:sz w:val="20"/>
              </w:rPr>
              <w:t>.</w:t>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af4facd0cae49cf9f0869abd5195e1c_178">
              <w:r>
                <w:rPr>
                  <w:rStyle w:val="InternetLink"/>
                  <w:rFonts w:ascii="Times New Roman;serif" w:hAnsi="Times New Roman;serif"/>
                  <w:b w:val="false"/>
                  <w:color w:val="0000FF"/>
                  <w:sz w:val="20"/>
                  <w:u w:val="single"/>
                </w:rPr>
                <w:t>34</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af4facd0cae49cf9f0869abd5195e1c_181">
              <w:r>
                <w:rPr>
                  <w:rStyle w:val="InternetLink"/>
                  <w:rFonts w:ascii="Times New Roman;serif" w:hAnsi="Times New Roman;serif"/>
                  <w:b w:val="false"/>
                  <w:color w:val="0000FF"/>
                  <w:sz w:val="20"/>
                  <w:u w:val="single"/>
                </w:rPr>
                <w:t>Item 5. Other Information.</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af4facd0cae49cf9f0869abd5195e1c_181">
              <w:r>
                <w:rPr>
                  <w:rStyle w:val="InternetLink"/>
                  <w:rFonts w:ascii="Times New Roman;serif" w:hAnsi="Times New Roman;serif"/>
                  <w:b w:val="false"/>
                  <w:color w:val="0000FF"/>
                  <w:sz w:val="20"/>
                  <w:u w:val="single"/>
                </w:rPr>
                <w:t>34</w:t>
              </w:r>
            </w:hyperlink>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af4facd0cae49cf9f0869abd5195e1c_184">
              <w:r>
                <w:rPr>
                  <w:rStyle w:val="InternetLink"/>
                  <w:rFonts w:ascii="Times New Roman;serif" w:hAnsi="Times New Roman;serif"/>
                  <w:b w:val="false"/>
                  <w:color w:val="0000FF"/>
                  <w:sz w:val="20"/>
                  <w:u w:val="single"/>
                </w:rPr>
                <w:t>Item 6. Exhibits.</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af4facd0cae49cf9f0869abd5195e1c_184">
              <w:r>
                <w:rPr>
                  <w:rStyle w:val="InternetLink"/>
                  <w:rFonts w:ascii="Times New Roman;serif" w:hAnsi="Times New Roman;serif"/>
                  <w:b w:val="false"/>
                  <w:color w:val="0000FF"/>
                  <w:sz w:val="20"/>
                  <w:u w:val="single"/>
                </w:rPr>
                <w:t>35</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af4facd0cae49cf9f0869abd5195e1c_187">
              <w:r>
                <w:rPr>
                  <w:rStyle w:val="InternetLink"/>
                  <w:rFonts w:ascii="Times New Roman;serif" w:hAnsi="Times New Roman;serif"/>
                  <w:b w:val="false"/>
                  <w:color w:val="0000FF"/>
                  <w:sz w:val="20"/>
                  <w:u w:val="single"/>
                </w:rPr>
                <w:t>SIGNATURES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af4facd0cae49cf9f0869abd5195e1c_187">
              <w:r>
                <w:rPr>
                  <w:rStyle w:val="InternetLink"/>
                  <w:rFonts w:ascii="Times New Roman;serif" w:hAnsi="Times New Roman;serif"/>
                  <w:b w:val="false"/>
                  <w:color w:val="0000FF"/>
                  <w:sz w:val="20"/>
                  <w:u w:val="singl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6af4facd0cae49cf9f0869abd5195e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firstLine="360"/>
        <w:jc w:val="center"/>
        <w:rPr/>
      </w:pPr>
      <w:r>
        <w:rPr>
          <w:rFonts w:ascii="Times New Roman;serif" w:hAnsi="Times New Roman;serif"/>
          <w:b/>
          <w:color w:val="000000"/>
          <w:sz w:val="20"/>
        </w:rPr>
        <w:t xml:space="preserve">PART I </w:t>
      </w:r>
      <w:r>
        <w:rPr>
          <w:color w:val="000000"/>
        </w:rPr>
        <w:t xml:space="preserve">– </w:t>
      </w:r>
      <w:r>
        <w:rPr>
          <w:rFonts w:ascii="Times New Roman;serif" w:hAnsi="Times New Roman;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both"/>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WEATHERFORD INTERNATIONAL PLC AND SUBSIDIARIES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tbl>
      <w:tblPr>
        <w:tblW w:w="9533" w:type="dxa"/>
        <w:jc w:val="center"/>
        <w:tblInd w:w="0" w:type="dxa"/>
        <w:tblLayout w:type="fixed"/>
        <w:tblCellMar>
          <w:top w:w="28" w:type="dxa"/>
          <w:left w:w="28" w:type="dxa"/>
          <w:bottom w:w="28" w:type="dxa"/>
          <w:right w:w="28" w:type="dxa"/>
        </w:tblCellMar>
      </w:tblPr>
      <w:tblGrid>
        <w:gridCol w:w="1960"/>
        <w:gridCol w:w="1724"/>
        <w:gridCol w:w="1731"/>
        <w:gridCol w:w="238"/>
        <w:gridCol w:w="576"/>
        <w:gridCol w:w="123"/>
        <w:gridCol w:w="238"/>
        <w:gridCol w:w="576"/>
        <w:gridCol w:w="123"/>
        <w:gridCol w:w="109"/>
        <w:gridCol w:w="109"/>
        <w:gridCol w:w="109"/>
        <w:gridCol w:w="211"/>
        <w:gridCol w:w="616"/>
        <w:gridCol w:w="109"/>
        <w:gridCol w:w="211"/>
        <w:gridCol w:w="616"/>
        <w:gridCol w:w="154"/>
      </w:tblGrid>
      <w:tr>
        <w:trPr/>
        <w:tc>
          <w:tcPr>
            <w:tcW w:w="1960"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and shares in millions, except per share amounts)</w:t>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4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Revenue: </w:t>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w:t>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C2C2C"/>
                <w:sz w:val="20"/>
              </w:rPr>
            </w:pPr>
            <w:r>
              <w:rPr>
                <w:rFonts w:ascii="Times New Roman;serif" w:hAnsi="Times New Roman;serif"/>
                <w:b w:val="false"/>
                <w:color w:val="2C2C2C"/>
                <w:sz w:val="20"/>
              </w:rPr>
              <w:t>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C2C2C"/>
                <w:sz w:val="20"/>
              </w:rPr>
            </w:pPr>
            <w:r>
              <w:rPr>
                <w:rFonts w:ascii="Times New Roman;serif" w:hAnsi="Times New Roman;serif"/>
                <w:b w:val="false"/>
                <w:color w:val="2C2C2C"/>
                <w:sz w:val="20"/>
              </w:rPr>
              <w:t>(70)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C2C2C"/>
                <w:sz w:val="20"/>
              </w:rPr>
            </w:pPr>
            <w:r>
              <w:rPr>
                <w:rFonts w:ascii="Times New Roman;serif" w:hAnsi="Times New Roman;serif"/>
                <w:b w:val="false"/>
                <w:color w:val="2C2C2C"/>
                <w:sz w:val="20"/>
              </w:rPr>
              <w:t>(70)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C2C2C"/>
                <w:sz w:val="20"/>
              </w:rPr>
            </w:pPr>
            <w:r>
              <w:rPr>
                <w:rFonts w:ascii="Times New Roman;serif" w:hAnsi="Times New Roman;serif"/>
                <w:b w:val="false"/>
                <w:color w:val="2C2C2C"/>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8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Expense:</w:t>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 of $11, $14, $21 and $25</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C2C2C"/>
                <w:sz w:val="20"/>
              </w:rPr>
            </w:pPr>
            <w:r>
              <w:rPr>
                <w:rFonts w:ascii="Times New Roman;serif" w:hAnsi="Times New Roman;serif"/>
                <w:b w:val="false"/>
                <w:color w:val="2C2C2C"/>
                <w:sz w:val="20"/>
              </w:rPr>
              <w:t>(21)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C2C2C"/>
                <w:sz w:val="20"/>
              </w:rPr>
            </w:pPr>
            <w:r>
              <w:rPr>
                <w:rFonts w:ascii="Times New Roman;serif" w:hAnsi="Times New Roman;serif"/>
                <w:b w:val="false"/>
                <w:color w:val="2C2C2C"/>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C2C2C"/>
                <w:sz w:val="20"/>
              </w:rPr>
            </w:pPr>
            <w:r>
              <w:rPr>
                <w:rFonts w:ascii="Times New Roman;serif" w:hAnsi="Times New Roman;serif"/>
                <w:b w:val="false"/>
                <w:color w:val="2C2C2C"/>
                <w:sz w:val="20"/>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Net </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Before Income Taxes </w:t>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Weatherford</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per Share</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98780"/>
                <wp:effectExtent l="0" t="0" r="0" b="0"/>
                <wp:wrapNone/>
                <wp:docPr id="3" name="Frame3"/>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60" w:after="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6af4facd0cae49cf9f0869abd5195e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WEATHERFORD INTERNATIONAL PLC AND SUBSIDIARIES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tbl>
      <w:tblPr>
        <w:tblW w:w="9188" w:type="dxa"/>
        <w:jc w:val="center"/>
        <w:tblInd w:w="0" w:type="dxa"/>
        <w:tblLayout w:type="fixed"/>
        <w:tblCellMar>
          <w:top w:w="28" w:type="dxa"/>
          <w:left w:w="28" w:type="dxa"/>
          <w:bottom w:w="28" w:type="dxa"/>
          <w:right w:w="28" w:type="dxa"/>
        </w:tblCellMar>
      </w:tblPr>
      <w:tblGrid>
        <w:gridCol w:w="1921"/>
        <w:gridCol w:w="1687"/>
        <w:gridCol w:w="1702"/>
        <w:gridCol w:w="269"/>
        <w:gridCol w:w="461"/>
        <w:gridCol w:w="139"/>
        <w:gridCol w:w="269"/>
        <w:gridCol w:w="595"/>
        <w:gridCol w:w="139"/>
        <w:gridCol w:w="109"/>
        <w:gridCol w:w="109"/>
        <w:gridCol w:w="109"/>
        <w:gridCol w:w="219"/>
        <w:gridCol w:w="484"/>
        <w:gridCol w:w="113"/>
        <w:gridCol w:w="219"/>
        <w:gridCol w:w="484"/>
        <w:gridCol w:w="160"/>
      </w:tblGrid>
      <w:tr>
        <w:trPr/>
        <w:tc>
          <w:tcPr>
            <w:tcW w:w="1921"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7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7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Comprehensive Income Attributable to Weatherford</w:t>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98780"/>
                <wp:effectExtent l="0" t="0" r="0" b="0"/>
                <wp:wrapNone/>
                <wp:docPr id="4" name="Frame4"/>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60" w:after="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6af4facd0cae49cf9f0869abd5195e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WEATHERFORD INTERNATIONAL PLC AND SUBSIDIARIES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tbl>
      <w:tblPr>
        <w:tblW w:w="10205" w:type="dxa"/>
        <w:jc w:val="center"/>
        <w:tblInd w:w="0" w:type="dxa"/>
        <w:tblLayout w:type="fixed"/>
        <w:tblCellMar>
          <w:top w:w="28" w:type="dxa"/>
          <w:left w:w="28" w:type="dxa"/>
          <w:bottom w:w="28" w:type="dxa"/>
          <w:right w:w="28" w:type="dxa"/>
        </w:tblCellMar>
      </w:tblPr>
      <w:tblGrid>
        <w:gridCol w:w="2881"/>
        <w:gridCol w:w="2325"/>
        <w:gridCol w:w="2335"/>
        <w:gridCol w:w="301"/>
        <w:gridCol w:w="773"/>
        <w:gridCol w:w="135"/>
        <w:gridCol w:w="311"/>
        <w:gridCol w:w="911"/>
        <w:gridCol w:w="233"/>
      </w:tblGrid>
      <w:tr>
        <w:trPr/>
        <w:tc>
          <w:tcPr>
            <w:tcW w:w="2881"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7541"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and shares in millions, except par value)</w:t>
            </w:r>
          </w:p>
        </w:tc>
        <w:tc>
          <w:tcPr>
            <w:tcW w:w="120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June 30, 2026</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5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Assets:</w:t>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$12 at June 30, 2026 and $10 at December 31, 2025</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0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of Accumulated Depreciation of $1,220 at June 30, 2026 and $1,150 at December 31, 2025</w:t>
            </w:r>
          </w:p>
        </w:tc>
        <w:tc>
          <w:tcPr>
            <w:tcW w:w="10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Intangibles, Net of Accumulated Amortization of $858 at June 30, 2026 and $828 at December 31, 2025</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5,197 </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0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Taxes Payable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Ordinary Shares - Par Value $0.001; Authorized 1,356 shares, Issued and Outstanding 71.8 shares at June 30, 2026 and 71.6 at December 31, 2025</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 Excess of Par Value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Deficit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0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10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5,197 </w:t>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98780"/>
                <wp:effectExtent l="0" t="0" r="0" b="0"/>
                <wp:wrapNone/>
                <wp:docPr id="5" name="Frame5"/>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60" w:after="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6af4facd0cae49cf9f0869abd5195e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WEATHERFORD INTERNATIONAL PLC AND SUBSIDIARIES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10205" w:type="dxa"/>
        <w:jc w:val="center"/>
        <w:tblInd w:w="0" w:type="dxa"/>
        <w:tblLayout w:type="fixed"/>
        <w:tblCellMar>
          <w:top w:w="28" w:type="dxa"/>
          <w:left w:w="28" w:type="dxa"/>
          <w:bottom w:w="28" w:type="dxa"/>
          <w:right w:w="28" w:type="dxa"/>
        </w:tblCellMar>
      </w:tblPr>
      <w:tblGrid>
        <w:gridCol w:w="2874"/>
        <w:gridCol w:w="2476"/>
        <w:gridCol w:w="2500"/>
        <w:gridCol w:w="251"/>
        <w:gridCol w:w="713"/>
        <w:gridCol w:w="139"/>
        <w:gridCol w:w="251"/>
        <w:gridCol w:w="713"/>
        <w:gridCol w:w="288"/>
      </w:tblGrid>
      <w:tr>
        <w:trPr/>
        <w:tc>
          <w:tcPr>
            <w:tcW w:w="2874"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7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millions)</w:t>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8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Losses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Disposition of Assets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Sale of Business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Provision</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Accounts Receivable, Inventory, Accounts Payable, Accrued Salaries and Benefits and Income Taxes Payable:</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Accounts Receivable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88"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Inventories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color w:val="000000"/>
              </w:rPr>
            </w:pPr>
            <w:r>
              <w:rPr>
                <w:color w:val="000000"/>
              </w:rPr>
              <w:t>  </w:t>
            </w:r>
            <w:r>
              <w:rPr>
                <w:rFonts w:ascii="Times New Roman;serif" w:hAnsi="Times New Roman;serif"/>
                <w:b w:val="false"/>
                <w:color w:val="000000"/>
                <w:sz w:val="18"/>
              </w:rPr>
              <w:t>Accounts Payable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Accrued Salaries and Benefits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Taxes Payable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Changes,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for Property, Plant and Equipment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Disposition of Assets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 of Business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Blue Chip Swap Securities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Sales of Blue Chip Swap Securities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Distributions to Noncontrolling Interests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Remittance on Equity Awards Vested</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bookmarkStart w:id="0" w:name="i60b78ed30ccd463185e2c2b8427c1a00_60-0-1"/>
            <w:bookmarkEnd w:id="0"/>
            <w:r>
              <w:rPr>
                <w:rFonts w:ascii="Times New Roman;serif" w:hAnsi="Times New Roman;serif"/>
                <w:b w:val="false"/>
                <w:color w:val="000000"/>
                <w:sz w:val="18"/>
              </w:rPr>
              <w:t>Income Taxes Paid, Net of Refunds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85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98780"/>
                <wp:effectExtent l="0" t="0" r="0" b="0"/>
                <wp:wrapNone/>
                <wp:docPr id="6" name="Frame6"/>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60" w:after="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60" w:after="283"/>
        <w:ind w:left="0" w:right="0" w:firstLine="360"/>
        <w:jc w:val="both"/>
        <w:rPr/>
      </w:pPr>
      <w:hyperlink w:anchor="i6af4facd0cae49cf9f0869abd5195e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WEATHERFORD INTERNATIONAL PLC AND SUBSIDIARIES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1 – Basis of Presentation and Summary of Significant Accounting Policies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of Weatherford International plc (the “Company,” “Weatherford,” “we,” “us,” or “our”) have been prepared in accordance with generally accepted accounting principles in the United States of America (“U.S. GAAP”) and pursuant to the rules and regulations of the Securities and Exchange Commission (“SEC”) for interim financial information. Accordingly, certain information and disclosures normally included in our annual consolidated financial statements have been condensed or omitted. Therefore, these unaudited Condensed Consolidated Financial Statements should be read in conjunction with our audited Consolidated Financial Statements included in our Form 10-K for the year ended December 31, 2025 (“2025 Form 10-K”).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U.S. GAAP requires us to make estimates and assumptions that affect the reported amounts of assets and liabilities at the date of the Condensed Consolidated Financial Statements and the reported amounts of revenue and expenses during the reporting period. Ultimate results could differ from our estimates.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Condensed Consolidated Financial Statements reflect all adjustments, which consist of normal recurring adjustments, considered necessary by management to fairly state the results of operations, financial position and cash flows of Weatherford and its subsidiaries for the periods presented and are not necessarily indicative of the results that may be expected for a full year. Our financial statements have been prepared on a consolidated basis. Under this basis, our financial statements consolidate all wholly owned subsidiaries and controlled joint ventures. All intercompany accounts and transactions have been eliminated.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Please refer to “Note 1 – Summary of Significant Accounting Policies” of our Consolidated Financial Statements from our 2025 Form 10-K for the discussion on our significant accounting policies. Certain reclassifications have been made to these Condensed Consolidated Financial Statements and accompanying footnotes for the three and six months ended June 30, 2025 to conform to the presentation for the three and six months ended June 30,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Accounting Standards Issued Not Yet Adopted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Please refer to “Note 1 – Summary of Significant Accounting Policies” of our Consolidated Financial Statements from our 2025 Form 10-K for the discussion on accounting pronouncements that have been issued but not yet effective for the interim periods presented that are not expected to have a material impact on our financial position or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Evaluations of all other new accounting pronouncements that have been issued, but not yet effective are on-going, and at this time are not expected to have a material impact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2 – Segment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information by segment is summarized below. The accounting policies of the segments are the same as those described in the summary of significant accounting policies as presented in our 2025 Form 10-K. We have three reportable segments: (1) Drilling and Evaluation “DRE,” (2) Well Construction and Completions “WCC,” and (3) Production and Intervention “PRI.”</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our chief executive officer, uses segment adjusted EBITDA to measure the profitability of each segment. The regularly reviewed historical, current and forecasted segment adjusted EBITDA data is utilized by the CODM to allocate Company resources. The CODM also uses segment adjusted EBITDA to drive efficiencies and develop competitive strategies. Segment adjusted EBITDA is based on segment earnings before interest, taxes, depreciation, amortization, share-based compensation expense and other adjustments. All Other includes results from non-core business activities (including integrated services and projects), and Corporate Costs includes overhead support and centrally managed or shared facilities costs. All Other and Corporate Costs do not individually meet the criteria for segment reporting.</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6af4facd0cae49cf9f0869abd5195e1c_7">
        <w:r>
          <w:rPr>
            <w:rStyle w:val="InternetLink"/>
            <w:rFonts w:ascii="Times New Roman;serif" w:hAnsi="Times New Roman;serif"/>
            <w:b w:val="false"/>
            <w:strike w:val="false"/>
            <w:dstrike w:val="false"/>
            <w:color w:val="000000"/>
            <w:sz w:val="20"/>
            <w:u w:val="none"/>
            <w:effect w:val="none"/>
          </w:rPr>
          <w:t>Table of Contents</w:t>
        </w:r>
      </w:hyperlink>
    </w:p>
    <w:tbl>
      <w:tblPr>
        <w:tblW w:w="7598"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481"/>
        <w:gridCol w:w="109"/>
        <w:gridCol w:w="211"/>
        <w:gridCol w:w="481"/>
        <w:gridCol w:w="109"/>
        <w:gridCol w:w="211"/>
        <w:gridCol w:w="481"/>
        <w:gridCol w:w="109"/>
        <w:gridCol w:w="211"/>
        <w:gridCol w:w="376"/>
        <w:gridCol w:w="109"/>
        <w:gridCol w:w="211"/>
        <w:gridCol w:w="63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69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DRE</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WCC</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w:t>
            </w:r>
          </w:p>
        </w:tc>
        <w:tc>
          <w:tcPr>
            <w:tcW w:w="6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288" w:before="0" w:after="0"/>
        <w:ind w:left="0" w:right="0" w:hanging="270"/>
        <w:jc w:val="both"/>
        <w:rPr/>
      </w:pPr>
      <w:r>
        <w:rPr>
          <w:rFonts w:ascii="Times New Roman;serif" w:hAnsi="Times New Roman;serif"/>
          <w:b w:val="false"/>
          <w:color w:val="000000"/>
          <w:sz w:val="18"/>
        </w:rPr>
        <w:t>(b)Segment selling, general and administrative and research and development costs</w:t>
      </w:r>
      <w:r>
        <w:rPr>
          <w:rFonts w:ascii="Times New Roman;serif" w:hAnsi="Times New Roman;serif"/>
          <w:b w:val="false"/>
          <w:color w:val="000000"/>
          <w:sz w:val="20"/>
        </w:rPr>
        <w:t>.</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7703"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481"/>
        <w:gridCol w:w="109"/>
        <w:gridCol w:w="211"/>
        <w:gridCol w:w="481"/>
        <w:gridCol w:w="109"/>
        <w:gridCol w:w="211"/>
        <w:gridCol w:w="481"/>
        <w:gridCol w:w="109"/>
        <w:gridCol w:w="211"/>
        <w:gridCol w:w="481"/>
        <w:gridCol w:w="109"/>
        <w:gridCol w:w="211"/>
        <w:gridCol w:w="63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DRE</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WCC</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w:t>
            </w:r>
          </w:p>
        </w:tc>
        <w:tc>
          <w:tcPr>
            <w:tcW w:w="8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288" w:before="0" w:after="0"/>
        <w:ind w:left="0" w:right="0" w:hanging="270"/>
        <w:jc w:val="both"/>
        <w:rPr/>
      </w:pPr>
      <w:r>
        <w:rPr>
          <w:rFonts w:ascii="Times New Roman;serif" w:hAnsi="Times New Roman;serif"/>
          <w:b w:val="false"/>
          <w:color w:val="000000"/>
          <w:sz w:val="18"/>
        </w:rPr>
        <w:t>(b)Segment selling, general and administrative and research and development costs</w:t>
      </w:r>
      <w:r>
        <w:rPr>
          <w:rFonts w:ascii="Times New Roman;serif" w:hAnsi="Times New Roman;serif"/>
          <w:b w:val="false"/>
          <w:color w:val="000000"/>
          <w:sz w:val="20"/>
        </w:rPr>
        <w:t>.</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6af4facd0cae49cf9f0869abd5195e1c_7">
        <w:r>
          <w:rPr>
            <w:rStyle w:val="InternetLink"/>
            <w:rFonts w:ascii="Times New Roman;serif" w:hAnsi="Times New Roman;serif"/>
            <w:b w:val="false"/>
            <w:strike w:val="false"/>
            <w:dstrike w:val="false"/>
            <w:color w:val="000000"/>
            <w:sz w:val="20"/>
            <w:u w:val="none"/>
            <w:effect w:val="none"/>
          </w:rPr>
          <w:t>Table of Contents</w:t>
        </w:r>
      </w:hyperlink>
    </w:p>
    <w:tbl>
      <w:tblPr>
        <w:tblW w:w="7598"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481"/>
        <w:gridCol w:w="109"/>
        <w:gridCol w:w="211"/>
        <w:gridCol w:w="481"/>
        <w:gridCol w:w="109"/>
        <w:gridCol w:w="211"/>
        <w:gridCol w:w="481"/>
        <w:gridCol w:w="109"/>
        <w:gridCol w:w="211"/>
        <w:gridCol w:w="376"/>
        <w:gridCol w:w="109"/>
        <w:gridCol w:w="211"/>
        <w:gridCol w:w="63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69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DRE</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WCC</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w:t>
            </w:r>
          </w:p>
        </w:tc>
        <w:tc>
          <w:tcPr>
            <w:tcW w:w="6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288" w:before="0" w:after="0"/>
        <w:ind w:left="0" w:right="0" w:hanging="270"/>
        <w:jc w:val="both"/>
        <w:rPr/>
      </w:pPr>
      <w:r>
        <w:rPr>
          <w:rFonts w:ascii="Times New Roman;serif" w:hAnsi="Times New Roman;serif"/>
          <w:b w:val="false"/>
          <w:color w:val="000000"/>
          <w:sz w:val="18"/>
        </w:rPr>
        <w:t>(b)Segment selling, general and administrative and research and development costs</w:t>
      </w:r>
      <w:r>
        <w:rPr>
          <w:rFonts w:ascii="Times New Roman;serif" w:hAnsi="Times New Roman;serif"/>
          <w:b w:val="false"/>
          <w:color w:val="000000"/>
          <w:sz w:val="20"/>
        </w:rPr>
        <w:t>.</w:t>
      </w:r>
    </w:p>
    <w:p>
      <w:pPr>
        <w:pStyle w:val="TextBody"/>
        <w:bidi w:val="0"/>
        <w:spacing w:before="0" w:after="0"/>
        <w:ind w:left="0" w:right="0" w:firstLine="360"/>
        <w:jc w:val="both"/>
        <w:rPr/>
      </w:pPr>
      <w:r>
        <w:rPr/>
      </w:r>
    </w:p>
    <w:tbl>
      <w:tblPr>
        <w:tblW w:w="7703"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481"/>
        <w:gridCol w:w="109"/>
        <w:gridCol w:w="211"/>
        <w:gridCol w:w="481"/>
        <w:gridCol w:w="109"/>
        <w:gridCol w:w="211"/>
        <w:gridCol w:w="481"/>
        <w:gridCol w:w="109"/>
        <w:gridCol w:w="211"/>
        <w:gridCol w:w="481"/>
        <w:gridCol w:w="109"/>
        <w:gridCol w:w="211"/>
        <w:gridCol w:w="63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DRE</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WCC</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w:t>
            </w:r>
          </w:p>
        </w:tc>
        <w:tc>
          <w:tcPr>
            <w:tcW w:w="8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1" w:name="id2c995cc494442e1bc8444c18f0dc771_57-6-1"/>
            <w:bookmarkEnd w:id="1"/>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288" w:before="0" w:after="0"/>
        <w:ind w:left="0" w:right="0" w:hanging="270"/>
        <w:jc w:val="both"/>
        <w:rPr/>
      </w:pPr>
      <w:r>
        <w:rPr>
          <w:rFonts w:ascii="Times New Roman;serif" w:hAnsi="Times New Roman;serif"/>
          <w:b w:val="false"/>
          <w:color w:val="000000"/>
          <w:sz w:val="18"/>
        </w:rPr>
        <w:t>(b)Segment selling, general and administrative and research and development costs</w:t>
      </w:r>
      <w:r>
        <w:rPr>
          <w:rFonts w:ascii="Times New Roman;serif" w:hAnsi="Times New Roman;serif"/>
          <w:b w:val="false"/>
          <w:color w:val="000000"/>
          <w:sz w:val="20"/>
        </w:rPr>
        <w:t>.</w:t>
      </w:r>
    </w:p>
    <w:p>
      <w:pPr>
        <w:pStyle w:val="TextBody"/>
        <w:bidi w:val="0"/>
        <w:spacing w:before="0" w:after="0"/>
        <w:ind w:left="0" w:right="0" w:firstLine="90"/>
        <w:jc w:val="both"/>
        <w:rPr/>
      </w:pPr>
      <w:r>
        <w:rPr/>
      </w:r>
    </w:p>
    <w:p>
      <w:pPr>
        <w:pStyle w:val="TextBody"/>
        <w:bidi w:val="0"/>
        <w:spacing w:before="0" w:after="0"/>
        <w:ind w:left="0" w:right="0" w:firstLine="90"/>
        <w:jc w:val="both"/>
        <w:rPr/>
      </w:pPr>
      <w:r>
        <w:rPr/>
      </w:r>
    </w:p>
    <w:p>
      <w:pPr>
        <w:pStyle w:val="TextBody"/>
        <w:bidi w:val="0"/>
        <w:spacing w:before="0" w:after="0"/>
        <w:ind w:left="0" w:right="0" w:firstLine="90"/>
        <w:jc w:val="both"/>
        <w:rPr/>
      </w:pPr>
      <w:r>
        <w:rPr/>
      </w:r>
    </w:p>
    <w:p>
      <w:pPr>
        <w:pStyle w:val="TextBody"/>
        <w:bidi w:val="0"/>
        <w:spacing w:before="0" w:after="0"/>
        <w:ind w:left="0" w:right="0" w:firstLine="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6af4facd0cae49cf9f0869abd5195e1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before="0" w:after="0"/>
        <w:ind w:left="0" w:right="0" w:firstLine="90"/>
        <w:jc w:val="both"/>
        <w:rPr/>
      </w:pPr>
      <w:r>
        <w:rPr/>
      </w:r>
    </w:p>
    <w:tbl>
      <w:tblPr>
        <w:tblW w:w="8498" w:type="dxa"/>
        <w:jc w:val="left"/>
        <w:tblInd w:w="0" w:type="dxa"/>
        <w:tblLayout w:type="fixed"/>
        <w:tblCellMar>
          <w:top w:w="28" w:type="dxa"/>
          <w:left w:w="28" w:type="dxa"/>
          <w:bottom w:w="28" w:type="dxa"/>
          <w:right w:w="28" w:type="dxa"/>
        </w:tblCellMar>
      </w:tblPr>
      <w:tblGrid>
        <w:gridCol w:w="1128"/>
        <w:gridCol w:w="991"/>
        <w:gridCol w:w="1000"/>
        <w:gridCol w:w="406"/>
        <w:gridCol w:w="696"/>
        <w:gridCol w:w="210"/>
        <w:gridCol w:w="406"/>
        <w:gridCol w:w="696"/>
        <w:gridCol w:w="210"/>
        <w:gridCol w:w="109"/>
        <w:gridCol w:w="109"/>
        <w:gridCol w:w="109"/>
        <w:gridCol w:w="317"/>
        <w:gridCol w:w="700"/>
        <w:gridCol w:w="163"/>
        <w:gridCol w:w="317"/>
        <w:gridCol w:w="700"/>
        <w:gridCol w:w="231"/>
      </w:tblGrid>
      <w:tr>
        <w:trPr/>
        <w:tc>
          <w:tcPr>
            <w:tcW w:w="112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DRE</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WCC</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WCC</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21"/>
        <w:gridCol w:w="1130"/>
        <w:gridCol w:w="1141"/>
        <w:gridCol w:w="543"/>
        <w:gridCol w:w="1588"/>
        <w:gridCol w:w="279"/>
        <w:gridCol w:w="212"/>
        <w:gridCol w:w="212"/>
        <w:gridCol w:w="212"/>
        <w:gridCol w:w="715"/>
        <w:gridCol w:w="2099"/>
        <w:gridCol w:w="373"/>
        <w:gridCol w:w="109"/>
        <w:gridCol w:w="109"/>
        <w:gridCol w:w="162"/>
      </w:tblGrid>
      <w:tr>
        <w:trPr/>
        <w:tc>
          <w:tcPr>
            <w:tcW w:w="1321"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2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DRE</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WCC</w:t>
            </w:r>
          </w:p>
        </w:tc>
        <w:tc>
          <w:tcPr>
            <w:tcW w:w="2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w:t>
            </w:r>
          </w:p>
        </w:tc>
        <w:tc>
          <w:tcPr>
            <w:tcW w:w="2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92" w:type="dxa"/>
            <w:gridSpan w:val="3"/>
            <w:tcBorders/>
            <w:vAlign w:val="center"/>
          </w:tcPr>
          <w:p>
            <w:pPr>
              <w:pStyle w:val="TableContents"/>
              <w:bidi w:val="0"/>
              <w:spacing w:before="0" w:after="283"/>
              <w:jc w:val="left"/>
              <w:rPr>
                <w:sz w:val="4"/>
                <w:szCs w:val="4"/>
              </w:rPr>
            </w:pPr>
            <w:r>
              <w:rPr>
                <w:sz w:val="4"/>
                <w:szCs w:val="4"/>
              </w:rPr>
            </w:r>
          </w:p>
        </w:tc>
        <w:tc>
          <w:tcPr>
            <w:tcW w:w="241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1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w:t>
            </w:r>
            <w:r>
              <w:rPr>
                <w:rFonts w:ascii="Times New Roman;serif" w:hAnsi="Times New Roman;serif"/>
                <w:b w:val="false"/>
                <w:color w:val="000000"/>
                <w:sz w:val="13"/>
              </w:rPr>
              <w:t>(a)</w:t>
            </w:r>
          </w:p>
        </w:tc>
        <w:tc>
          <w:tcPr>
            <w:tcW w:w="2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92"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5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5,197 </w:t>
            </w:r>
          </w:p>
        </w:tc>
        <w:tc>
          <w:tcPr>
            <w:tcW w:w="3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825" w:type="dxa"/>
            <w:gridSpan w:val="12"/>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Corporate and other total assets primarily include cash and cash equivalents, certain intangible assets, and centrally managed or shared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PP&amp;E, Net and Operating Lease Assets by Geographic Area</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U.S. accounted for 22% and 23%, respectively, and the Kingdom of Saudi Arabia accounted for 13% at each period, of our PP&amp;E, Net and operating lease assets identifiable by geography. No other country accounted for more than 10% of our PP&amp;E, Net and operating lease assets identifiable by geography as of June 30, 2026 and December 31, 2025. We had no PP&amp;E, Net and operating lease assets in our country of domicile (Ireland) as of June 30, 2026 and December 31, 2025.</w:t>
      </w:r>
    </w:p>
    <w:p>
      <w:pPr>
        <w:pStyle w:val="TextBody"/>
        <w:bidi w:val="0"/>
        <w:spacing w:before="0" w:after="0"/>
        <w:ind w:left="0" w:right="0" w:firstLine="270"/>
        <w:jc w:val="both"/>
        <w:rPr/>
      </w:pPr>
      <w:r>
        <w:rPr/>
      </w:r>
    </w:p>
    <w:tbl>
      <w:tblPr>
        <w:tblW w:w="8347" w:type="dxa"/>
        <w:jc w:val="left"/>
        <w:tblInd w:w="0" w:type="dxa"/>
        <w:tblLayout w:type="fixed"/>
        <w:tblCellMar>
          <w:top w:w="28" w:type="dxa"/>
          <w:left w:w="28" w:type="dxa"/>
          <w:bottom w:w="28" w:type="dxa"/>
          <w:right w:w="28" w:type="dxa"/>
        </w:tblCellMar>
      </w:tblPr>
      <w:tblGrid>
        <w:gridCol w:w="1683"/>
        <w:gridCol w:w="1477"/>
        <w:gridCol w:w="1490"/>
        <w:gridCol w:w="109"/>
        <w:gridCol w:w="109"/>
        <w:gridCol w:w="109"/>
        <w:gridCol w:w="287"/>
        <w:gridCol w:w="839"/>
        <w:gridCol w:w="148"/>
        <w:gridCol w:w="109"/>
        <w:gridCol w:w="109"/>
        <w:gridCol w:w="109"/>
        <w:gridCol w:w="380"/>
        <w:gridCol w:w="1110"/>
        <w:gridCol w:w="279"/>
      </w:tblGrid>
      <w:tr>
        <w:trPr/>
        <w:tc>
          <w:tcPr>
            <w:tcW w:w="168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6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North America </w:t>
            </w:r>
            <w:r>
              <w:rPr>
                <w:rFonts w:ascii="Times New Roman;serif" w:hAnsi="Times New Roman;serif"/>
                <w:b w:val="false"/>
                <w:color w:val="000000"/>
                <w:sz w:val="13"/>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Latin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Middle East/North Africa/Asia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Europe/Sub-Sahara Africa/Russia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PP&amp;E, Net and Operating Lease Assets by Geography </w:t>
            </w:r>
            <w:r>
              <w:rPr>
                <w:rFonts w:ascii="Times New Roman;serif" w:hAnsi="Times New Roman;serif"/>
                <w:b w:val="false"/>
                <w:color w:val="000000"/>
                <w:sz w:val="13"/>
              </w:rPr>
              <w:t>(b)</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347" w:type="dxa"/>
            <w:gridSpan w:val="15"/>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North America consists of the U.S. and Canada.</w:t>
            </w:r>
          </w:p>
        </w:tc>
      </w:tr>
      <w:tr>
        <w:trPr/>
        <w:tc>
          <w:tcPr>
            <w:tcW w:w="8347"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20"/>
              </w:rPr>
              <w:t>Corporate assets not allocated by geography are excluded from this total.</w:t>
            </w:r>
          </w:p>
        </w:tc>
      </w:tr>
    </w:tbl>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6af4facd0cae49cf9f0869abd5195e1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3 –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Disaggregated Revenue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our revenue from contracts with customers by geographic area and includes equipment rental revenue. Equipment rental revenues were $22 million and $40 million in the three and six months ended June 30, 2026, respectively, and $32 million and $67 million for the three and six months ended June 30, 2025,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U.S. accounted for 15% and 14% of total revenue, respectively. During the three and six months ended June 30, 2025, the U.S. accounted for 16% of total revenue in each period and the Kingdom of Saudi Arabia accounted for 11% of total revenue in each period. No other country accounted for more than 10% of our revenue in the periods presented.</w:t>
      </w:r>
    </w:p>
    <w:tbl>
      <w:tblPr>
        <w:tblW w:w="9517" w:type="dxa"/>
        <w:jc w:val="center"/>
        <w:tblInd w:w="0" w:type="dxa"/>
        <w:tblLayout w:type="fixed"/>
        <w:tblCellMar>
          <w:top w:w="28" w:type="dxa"/>
          <w:left w:w="28" w:type="dxa"/>
          <w:bottom w:w="28" w:type="dxa"/>
          <w:right w:w="28" w:type="dxa"/>
        </w:tblCellMar>
      </w:tblPr>
      <w:tblGrid>
        <w:gridCol w:w="1497"/>
        <w:gridCol w:w="1315"/>
        <w:gridCol w:w="1327"/>
        <w:gridCol w:w="295"/>
        <w:gridCol w:w="864"/>
        <w:gridCol w:w="152"/>
        <w:gridCol w:w="295"/>
        <w:gridCol w:w="864"/>
        <w:gridCol w:w="152"/>
        <w:gridCol w:w="109"/>
        <w:gridCol w:w="109"/>
        <w:gridCol w:w="109"/>
        <w:gridCol w:w="267"/>
        <w:gridCol w:w="781"/>
        <w:gridCol w:w="138"/>
        <w:gridCol w:w="267"/>
        <w:gridCol w:w="781"/>
        <w:gridCol w:w="195"/>
      </w:tblGrid>
      <w:tr>
        <w:trPr/>
        <w:tc>
          <w:tcPr>
            <w:tcW w:w="149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 by Geographic Areas: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North America </w:t>
            </w:r>
            <w:r>
              <w:rPr>
                <w:rFonts w:ascii="Times New Roman;serif" w:hAnsi="Times New Roman;serif"/>
                <w:b w:val="false"/>
                <w:color w:val="000000"/>
                <w:sz w:val="13"/>
              </w:rPr>
              <w:t>(a)</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Middle East/North Africa/Asia</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Europe/Sub-Sahara Africa/Russia</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w:t>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100" w:after="283"/>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North America consists of the U.S. and Canada.</w:t>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timing of our revenue recognition, billings, and cash collections results in the recording of accounts receivable, contract assets, and contract liabilities. The following table summarizes these balances as of June 30, 2026 and December 31, 2025:</w:t>
      </w:r>
    </w:p>
    <w:tbl>
      <w:tblPr>
        <w:tblW w:w="8593" w:type="dxa"/>
        <w:jc w:val="left"/>
        <w:tblInd w:w="0" w:type="dxa"/>
        <w:tblLayout w:type="fixed"/>
        <w:tblCellMar>
          <w:top w:w="28" w:type="dxa"/>
          <w:left w:w="28" w:type="dxa"/>
          <w:bottom w:w="28" w:type="dxa"/>
          <w:right w:w="28" w:type="dxa"/>
        </w:tblCellMar>
      </w:tblPr>
      <w:tblGrid>
        <w:gridCol w:w="2008"/>
        <w:gridCol w:w="1763"/>
        <w:gridCol w:w="1779"/>
        <w:gridCol w:w="287"/>
        <w:gridCol w:w="839"/>
        <w:gridCol w:w="148"/>
        <w:gridCol w:w="380"/>
        <w:gridCol w:w="1110"/>
        <w:gridCol w:w="279"/>
      </w:tblGrid>
      <w:tr>
        <w:trPr/>
        <w:tc>
          <w:tcPr>
            <w:tcW w:w="2008"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5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for Products and Services in Accounts Receivable, Net</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for Equipment Rentals in Account Receivable, Net</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in Other Current Assets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in Other Non-Current Assets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in Other Current Liabilities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in Other Non-Current Liabilities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4 – Restructuring Charges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Restructuring charges were $9 million and $22 million in the three and six months ended June 30, 2026, respectively, and $11 million and $40 million in the three and six months ended June 30, 2025, respectively, and are presented as “Restructuring Charges” on the accompanying Condensed Consolidated Statements of Operations. These charges were related to optimization and efficiency initiatives throughout the organization and primarily relate to severance expenses.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6af4facd0cae49cf9f0869abd5195e1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Restructuring liabilities were $20 million as of June 30, 2026 and $22 million as of December 31, 2025, respectively. Of the restructuring liabilities, $17 million and $19 million are recorded in “Other Current Liabilities” on the accompanying Condensed Consolidated Balance Sheets as of June 30, 2026 and December 31, 2025, respectively. The remaining $3 million is recorded in “Other Non-Current Liabilities” on the accompanying Condensed Consolidated Balance Sheets as of both June 30, 2026 and December 31, 2025, respectively. Changes in the liabilities are primarily driven by restructuring charges and cash payments.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total restructuring charges by segment and Corporate and Other in the three and six months ended June 30, 2026 and 2025:</w:t>
      </w:r>
    </w:p>
    <w:tbl>
      <w:tblPr>
        <w:tblW w:w="7792" w:type="dxa"/>
        <w:jc w:val="left"/>
        <w:tblInd w:w="0" w:type="dxa"/>
        <w:tblLayout w:type="fixed"/>
        <w:tblCellMar>
          <w:top w:w="28" w:type="dxa"/>
          <w:left w:w="28" w:type="dxa"/>
          <w:bottom w:w="28" w:type="dxa"/>
          <w:right w:w="28" w:type="dxa"/>
        </w:tblCellMar>
      </w:tblPr>
      <w:tblGrid>
        <w:gridCol w:w="874"/>
        <w:gridCol w:w="767"/>
        <w:gridCol w:w="774"/>
        <w:gridCol w:w="440"/>
        <w:gridCol w:w="534"/>
        <w:gridCol w:w="227"/>
        <w:gridCol w:w="440"/>
        <w:gridCol w:w="754"/>
        <w:gridCol w:w="227"/>
        <w:gridCol w:w="109"/>
        <w:gridCol w:w="109"/>
        <w:gridCol w:w="109"/>
        <w:gridCol w:w="364"/>
        <w:gridCol w:w="623"/>
        <w:gridCol w:w="188"/>
        <w:gridCol w:w="364"/>
        <w:gridCol w:w="623"/>
        <w:gridCol w:w="266"/>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4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Charges</w:t>
            </w:r>
          </w:p>
        </w:tc>
        <w:tc>
          <w:tcPr>
            <w:tcW w:w="4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2755" w:type="dxa"/>
            <w:gridSpan w:val="9"/>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5 – Inventories, Net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are reported net of reserves of $125 million and $118 million as of June 30, 2026 and December 31, 2025, respectively, and are presented by category in the table below: </w:t>
      </w:r>
    </w:p>
    <w:tbl>
      <w:tblPr>
        <w:tblW w:w="8247" w:type="dxa"/>
        <w:jc w:val="center"/>
        <w:tblInd w:w="0" w:type="dxa"/>
        <w:tblLayout w:type="fixed"/>
        <w:tblCellMar>
          <w:top w:w="28" w:type="dxa"/>
          <w:left w:w="28" w:type="dxa"/>
          <w:bottom w:w="28" w:type="dxa"/>
          <w:right w:w="28" w:type="dxa"/>
        </w:tblCellMar>
      </w:tblPr>
      <w:tblGrid>
        <w:gridCol w:w="1883"/>
        <w:gridCol w:w="1653"/>
        <w:gridCol w:w="1668"/>
        <w:gridCol w:w="342"/>
        <w:gridCol w:w="756"/>
        <w:gridCol w:w="176"/>
        <w:gridCol w:w="448"/>
        <w:gridCol w:w="992"/>
        <w:gridCol w:w="329"/>
      </w:tblGrid>
      <w:tr>
        <w:trPr/>
        <w:tc>
          <w:tcPr>
            <w:tcW w:w="18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2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 and Raw Materials, Components and Supplies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 in inventory reserves includes inventory charges, primarily offset by the disposal of inventory previously reserved. The charges are recorded in “Cost of Products” on our Condensed Consolidated Statements of Operations in the amount of $10 million and $21 million in the three and six months ended June 30, 2026, respectively, and $9 million and $14 million during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6af4facd0cae49cf9f0869abd5195e1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6 – Intangibles, Net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intangible assets, net were as follows:</w:t>
      </w:r>
    </w:p>
    <w:tbl>
      <w:tblPr>
        <w:tblW w:w="10205" w:type="dxa"/>
        <w:jc w:val="center"/>
        <w:tblInd w:w="0" w:type="dxa"/>
        <w:tblLayout w:type="fixed"/>
        <w:tblCellMar>
          <w:top w:w="28" w:type="dxa"/>
          <w:left w:w="28" w:type="dxa"/>
          <w:bottom w:w="28" w:type="dxa"/>
          <w:right w:w="28" w:type="dxa"/>
        </w:tblCellMar>
      </w:tblPr>
      <w:tblGrid>
        <w:gridCol w:w="2807"/>
        <w:gridCol w:w="2381"/>
        <w:gridCol w:w="2384"/>
        <w:gridCol w:w="298"/>
        <w:gridCol w:w="660"/>
        <w:gridCol w:w="153"/>
        <w:gridCol w:w="384"/>
        <w:gridCol w:w="851"/>
        <w:gridCol w:w="287"/>
      </w:tblGrid>
      <w:tr>
        <w:trPr/>
        <w:tc>
          <w:tcPr>
            <w:tcW w:w="2807"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7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5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Developed and Acquired Technology, Net of Accumulated Amortization of $595 at June 30, 2026 and $586 at December 31, 2025</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Names, Net of Accumulated Amortization of $263 at June 30, 2026 and $242 at December 31, 2025</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Intangibles, Net of Accumulated Amortization of $858 at June 30, 2026 and $828 at December 31, 2025</w:t>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was $16 million and $31 million in the three and six months ended June 30, 2026, respectively, and $15 million and $29 million in the three and six months ended June 30, 2025, respectively, and is reported in “Selling, General and Administrative” on our Condensed Consolidated Statements of Operations.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7 – Borrowings and Other Debt Obligations</w:t>
      </w:r>
    </w:p>
    <w:tbl>
      <w:tblPr>
        <w:tblW w:w="7734" w:type="dxa"/>
        <w:jc w:val="center"/>
        <w:tblInd w:w="0" w:type="dxa"/>
        <w:tblLayout w:type="fixed"/>
        <w:tblCellMar>
          <w:top w:w="28" w:type="dxa"/>
          <w:left w:w="28" w:type="dxa"/>
          <w:bottom w:w="28" w:type="dxa"/>
          <w:right w:w="28" w:type="dxa"/>
        </w:tblCellMar>
      </w:tblPr>
      <w:tblGrid>
        <w:gridCol w:w="1579"/>
        <w:gridCol w:w="1386"/>
        <w:gridCol w:w="1399"/>
        <w:gridCol w:w="287"/>
        <w:gridCol w:w="839"/>
        <w:gridCol w:w="148"/>
        <w:gridCol w:w="109"/>
        <w:gridCol w:w="109"/>
        <w:gridCol w:w="109"/>
        <w:gridCol w:w="380"/>
        <w:gridCol w:w="1110"/>
        <w:gridCol w:w="279"/>
      </w:tblGrid>
      <w:tr>
        <w:trPr/>
        <w:tc>
          <w:tcPr>
            <w:tcW w:w="157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3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Finance Leases</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6.75% Senior Notes due 2033 “2033 Senior Notes”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8.625% Senior Notes due 2030 “2030 Senior Notes”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Finance Leases </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2030 Senior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27, 2021, Weatherford International Ltd. (“Weatherford Bermuda”) issued 8.625% senior notes in aggregate principal amount of $1.6 billion maturing April 30, 2030 (the “2030 Senior Notes”). Interest on the 2030 Senior Notes is payable semiannually on June 1 and December 1 of each year, and commenced on June 1, 2022. On December 1, 2022, the indenture related to our 2030 Senior Notes was amended and supplemented to add Weatherford International, LLC (now Weatherford US Holding, LLC following a name change effective March 19, 2026, “Weatherford Delaware”) as co-issuer and co-obligor, and concurrently release the guarantee of Weatherford Delaware. At June 30, 2026 and December 31, 2025, the carrying value represented the remaining unpaid principal of $236 million, offset by unamortized deferred issuance cost of $2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2033 Senior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6, 2025, Weatherford Bermuda issued 6.75% senior notes in aggregate principal amount of $1.2 billion maturing on October 15, 2033 (the “2033 Senior Notes”). Interest on the 2033 Senior Notes is payable semiannually on April 15th and October 15th of each year, beginning on April 15, 2026. On October 24, 2025, the indenture related to our 2033 Senior Notes was amended and supplemented to add Weatherford Delaware as co-issuer and co-obligor, and concurrently released the guarantee of Weatherford Delaware. At June 30, 2026, the carrying value represents the remaining unpaid principal of $1.2 billion, offset by unamortized deferred issuance cost of $18 million. At December 31, 2025, the carrying value represented the remaining unpaid principal of $1.2 billion, offset by unamortized deferred issuance cost of $19 million. </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6af4facd0cae49cf9f0869abd5195e1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Credit Agreement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June 30, 2026 and December 31, 2025, the Credit Agreement allowed for a total commitment amount of $1 billion, maturing on the date that occurs first: (a) September 18, 2030 or (b) if more than $200 million of the 2030 Senior Notes remain outstanding, the date that is 91 days before the maturity of those notes.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under the Credit Agreement we had zero borrowings, $4 million in financial letters of credit and $243 million in performance letters of credit outstanding. Additionally as of June 30, 2026, we had $233 million letters of credit under various uncommitted bi-lateral facilities ($32 million of which was cash collateral held and recorded in “Restricted Cash” on the Condensed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under the Credit Agreement we had zero borrowings, $7 million in financial letters of credit and $245 million in performance letters of credit outstanding. Additionally as of December 31, 2025, we had $207 million of letters of credit under various uncommitted bi-lateral facilities ($47 million of which was cash collateral held and recorded in “Restricted Cash” on the Condensed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Fair Value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 The table below presents the fair value and carrying value of our long-term debt (excluding finance leases).</w:t>
      </w:r>
    </w:p>
    <w:tbl>
      <w:tblPr>
        <w:tblW w:w="9024" w:type="dxa"/>
        <w:jc w:val="center"/>
        <w:tblInd w:w="0" w:type="dxa"/>
        <w:tblLayout w:type="fixed"/>
        <w:tblCellMar>
          <w:top w:w="28" w:type="dxa"/>
          <w:left w:w="28" w:type="dxa"/>
          <w:bottom w:w="28" w:type="dxa"/>
          <w:right w:w="28" w:type="dxa"/>
        </w:tblCellMar>
      </w:tblPr>
      <w:tblGrid>
        <w:gridCol w:w="1351"/>
        <w:gridCol w:w="1187"/>
        <w:gridCol w:w="1197"/>
        <w:gridCol w:w="324"/>
        <w:gridCol w:w="948"/>
        <w:gridCol w:w="167"/>
        <w:gridCol w:w="230"/>
        <w:gridCol w:w="671"/>
        <w:gridCol w:w="118"/>
        <w:gridCol w:w="109"/>
        <w:gridCol w:w="109"/>
        <w:gridCol w:w="109"/>
        <w:gridCol w:w="324"/>
        <w:gridCol w:w="948"/>
        <w:gridCol w:w="167"/>
        <w:gridCol w:w="229"/>
        <w:gridCol w:w="669"/>
        <w:gridCol w:w="167"/>
      </w:tblGrid>
      <w:tr>
        <w:trPr/>
        <w:tc>
          <w:tcPr>
            <w:tcW w:w="13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8.625% Senior Notes due 2030</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6.75% Senior Notes due 2033</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Long-Term Debt (excluding Finance Leases)</w:t>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8 – Disputes, Litigation and Legal Contingencies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which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6af4facd0cae49cf9f0869abd5195e1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9 – Shareholders’ Equity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Shares issued and outstanding on our Condensed Consolidated Balance Sheets increased from 71.6 million as of December 31, 2025 to 71.8 million as of June 30, 2026. The increase was due to the issuance of 0.4 million of our ordinary shares for equity awards vested and delivered, net of shares withheld for taxes, partially offset by the cancellation of 0.2 million of our ordinary shares repurchased for $26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declared and paid $40 million in dividends and accrued an immaterial amount of dividend equivalent rights on share-based awards.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our shareholders’ equity activity for the three and six months ended June 30, 2026 and 2025: </w:t>
      </w:r>
    </w:p>
    <w:tbl>
      <w:tblPr>
        <w:tblW w:w="10434" w:type="dxa"/>
        <w:jc w:val="left"/>
        <w:tblInd w:w="0" w:type="dxa"/>
        <w:tblLayout w:type="fixed"/>
        <w:tblCellMar>
          <w:top w:w="28" w:type="dxa"/>
          <w:left w:w="28" w:type="dxa"/>
          <w:bottom w:w="28" w:type="dxa"/>
          <w:right w:w="28" w:type="dxa"/>
        </w:tblCellMar>
      </w:tblPr>
      <w:tblGrid>
        <w:gridCol w:w="761"/>
        <w:gridCol w:w="234"/>
        <w:gridCol w:w="236"/>
        <w:gridCol w:w="275"/>
        <w:gridCol w:w="275"/>
        <w:gridCol w:w="276"/>
        <w:gridCol w:w="109"/>
        <w:gridCol w:w="109"/>
        <w:gridCol w:w="109"/>
        <w:gridCol w:w="196"/>
        <w:gridCol w:w="406"/>
        <w:gridCol w:w="109"/>
        <w:gridCol w:w="109"/>
        <w:gridCol w:w="109"/>
        <w:gridCol w:w="109"/>
        <w:gridCol w:w="196"/>
        <w:gridCol w:w="556"/>
        <w:gridCol w:w="109"/>
        <w:gridCol w:w="109"/>
        <w:gridCol w:w="109"/>
        <w:gridCol w:w="109"/>
        <w:gridCol w:w="196"/>
        <w:gridCol w:w="571"/>
        <w:gridCol w:w="109"/>
        <w:gridCol w:w="109"/>
        <w:gridCol w:w="109"/>
        <w:gridCol w:w="109"/>
        <w:gridCol w:w="360"/>
        <w:gridCol w:w="745"/>
        <w:gridCol w:w="201"/>
        <w:gridCol w:w="109"/>
        <w:gridCol w:w="109"/>
        <w:gridCol w:w="109"/>
        <w:gridCol w:w="461"/>
        <w:gridCol w:w="602"/>
        <w:gridCol w:w="258"/>
        <w:gridCol w:w="109"/>
        <w:gridCol w:w="109"/>
        <w:gridCol w:w="109"/>
        <w:gridCol w:w="269"/>
        <w:gridCol w:w="765"/>
        <w:gridCol w:w="152"/>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8"/>
              </w:rPr>
            </w:pPr>
            <w:r>
              <w:rPr>
                <w:rFonts w:ascii="Times New Roman;serif" w:hAnsi="Times New Roman;serif"/>
                <w:b w:val="false"/>
                <w:i/>
                <w:color w:val="000000"/>
                <w:sz w:val="18"/>
              </w:rPr>
              <w:t>(Dollars in millions)</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Par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Retained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Shareholders’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Awards, Granted and Vested, Net of Shares Withheld for Taxes</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Dividends Declared ($0.275 per share)</w:t>
            </w:r>
            <w:r>
              <w:rPr>
                <w:color w:val="000000"/>
              </w:rPr>
              <w:t xml:space="preserve"> </w:t>
            </w:r>
            <w:r>
              <w:rPr>
                <w:rFonts w:ascii="Times New Roman;serif" w:hAnsi="Times New Roman;serif"/>
                <w:b w:val="false"/>
                <w:color w:val="000000"/>
                <w:sz w:val="12"/>
              </w:rPr>
              <w:t>(1)</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5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Awards, Granted and Vested, Net of Shares Withheld for Taxes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Dividends Declared ($0.275 per share)</w:t>
            </w:r>
            <w:r>
              <w:rPr>
                <w:color w:val="000000"/>
              </w:rPr>
              <w:t xml:space="preserve"> </w:t>
            </w:r>
            <w:r>
              <w:rPr>
                <w:rFonts w:ascii="Times New Roman;serif" w:hAnsi="Times New Roman;serif"/>
                <w:b w:val="false"/>
                <w:color w:val="000000"/>
                <w:sz w:val="12"/>
              </w:rPr>
              <w:t>(1)</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5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80" w:type="dxa"/>
            <w:gridSpan w:val="42"/>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dividend equivalent rights on share-based awards.</w:t>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6af4facd0cae49cf9f0869abd5195e1c_7">
        <w:r>
          <w:rPr>
            <w:rStyle w:val="InternetLink"/>
            <w:rFonts w:ascii="Times New Roman;serif" w:hAnsi="Times New Roman;serif"/>
            <w:b w:val="false"/>
            <w:strike w:val="false"/>
            <w:dstrike w:val="false"/>
            <w:color w:val="000000"/>
            <w:sz w:val="20"/>
            <w:u w:val="none"/>
            <w:effect w:val="none"/>
          </w:rPr>
          <w:t>Table of Contents</w:t>
        </w:r>
      </w:hyperlink>
    </w:p>
    <w:tbl>
      <w:tblPr>
        <w:tblW w:w="10979" w:type="dxa"/>
        <w:jc w:val="left"/>
        <w:tblInd w:w="0" w:type="dxa"/>
        <w:tblLayout w:type="fixed"/>
        <w:tblCellMar>
          <w:top w:w="28" w:type="dxa"/>
          <w:left w:w="28" w:type="dxa"/>
          <w:bottom w:w="28" w:type="dxa"/>
          <w:right w:w="28" w:type="dxa"/>
        </w:tblCellMar>
      </w:tblPr>
      <w:tblGrid>
        <w:gridCol w:w="723"/>
        <w:gridCol w:w="253"/>
        <w:gridCol w:w="255"/>
        <w:gridCol w:w="275"/>
        <w:gridCol w:w="275"/>
        <w:gridCol w:w="276"/>
        <w:gridCol w:w="109"/>
        <w:gridCol w:w="109"/>
        <w:gridCol w:w="109"/>
        <w:gridCol w:w="196"/>
        <w:gridCol w:w="406"/>
        <w:gridCol w:w="109"/>
        <w:gridCol w:w="109"/>
        <w:gridCol w:w="109"/>
        <w:gridCol w:w="109"/>
        <w:gridCol w:w="196"/>
        <w:gridCol w:w="556"/>
        <w:gridCol w:w="109"/>
        <w:gridCol w:w="109"/>
        <w:gridCol w:w="109"/>
        <w:gridCol w:w="109"/>
        <w:gridCol w:w="196"/>
        <w:gridCol w:w="571"/>
        <w:gridCol w:w="109"/>
        <w:gridCol w:w="109"/>
        <w:gridCol w:w="109"/>
        <w:gridCol w:w="109"/>
        <w:gridCol w:w="345"/>
        <w:gridCol w:w="768"/>
        <w:gridCol w:w="193"/>
        <w:gridCol w:w="109"/>
        <w:gridCol w:w="109"/>
        <w:gridCol w:w="109"/>
        <w:gridCol w:w="461"/>
        <w:gridCol w:w="602"/>
        <w:gridCol w:w="258"/>
        <w:gridCol w:w="109"/>
        <w:gridCol w:w="109"/>
        <w:gridCol w:w="109"/>
        <w:gridCol w:w="269"/>
        <w:gridCol w:w="765"/>
        <w:gridCol w:w="152"/>
        <w:gridCol w:w="109"/>
        <w:gridCol w:w="109"/>
        <w:gridCol w:w="109"/>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Par Value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Capital In Excess of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Retained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Awards, Granted and Vested, Net of Shares Withheld for Taxes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Dividends Declared ($0.25 per share)</w:t>
            </w:r>
            <w:r>
              <w:rPr>
                <w:color w:val="000000"/>
              </w:rPr>
              <w:t xml:space="preserve"> </w:t>
            </w:r>
            <w:r>
              <w:rPr>
                <w:rFonts w:ascii="Times New Roman;serif" w:hAnsi="Times New Roman;serif"/>
                <w:b w:val="false"/>
                <w:color w:val="000000"/>
                <w:sz w:val="12"/>
              </w:rPr>
              <w:t>(1)</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Awards, Granted and Vested, Net of Shares Withheld for Taxes</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Dividends Declared ($0.25 per share)</w:t>
            </w:r>
            <w:r>
              <w:rPr>
                <w:color w:val="000000"/>
              </w:rPr>
              <w:t xml:space="preserve"> </w:t>
            </w:r>
            <w:r>
              <w:rPr>
                <w:rFonts w:ascii="Times New Roman;serif" w:hAnsi="Times New Roman;serif"/>
                <w:b w:val="false"/>
                <w:color w:val="000000"/>
                <w:sz w:val="12"/>
              </w:rPr>
              <w:t>(1)</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82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94" w:type="dxa"/>
            <w:gridSpan w:val="39"/>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dividend equivalent rights on share-based awards.</w:t>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our accumulated other comprehensive income (loss) by component for the six months ended June 30, 2026 and 2025:</w:t>
      </w:r>
    </w:p>
    <w:tbl>
      <w:tblPr>
        <w:tblW w:w="8876" w:type="dxa"/>
        <w:jc w:val="center"/>
        <w:tblInd w:w="0" w:type="dxa"/>
        <w:tblLayout w:type="fixed"/>
        <w:tblCellMar>
          <w:top w:w="28" w:type="dxa"/>
          <w:left w:w="28" w:type="dxa"/>
          <w:bottom w:w="28" w:type="dxa"/>
          <w:right w:w="28" w:type="dxa"/>
        </w:tblCellMar>
      </w:tblPr>
      <w:tblGrid>
        <w:gridCol w:w="971"/>
        <w:gridCol w:w="853"/>
        <w:gridCol w:w="860"/>
        <w:gridCol w:w="780"/>
        <w:gridCol w:w="1783"/>
        <w:gridCol w:w="406"/>
        <w:gridCol w:w="636"/>
        <w:gridCol w:w="1132"/>
        <w:gridCol w:w="331"/>
        <w:gridCol w:w="109"/>
        <w:gridCol w:w="109"/>
        <w:gridCol w:w="211"/>
        <w:gridCol w:w="541"/>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 Translation Adjustment</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Defined Benefit Pension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2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2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7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6af4facd0cae49cf9f0869abd5195e1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10 – Income per Share</w:t>
      </w:r>
    </w:p>
    <w:p>
      <w:pPr>
        <w:pStyle w:val="TextBody"/>
        <w:bidi w:val="0"/>
        <w:spacing w:before="0" w:after="0"/>
        <w:ind w:left="0" w:right="0" w:firstLine="360"/>
        <w:jc w:val="left"/>
        <w:rPr/>
      </w:pPr>
      <w:r>
        <w:rPr/>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reconciliation of the number of shares used for the basic and diluted income per share calculation was as follows:</w:t>
      </w:r>
    </w:p>
    <w:tbl>
      <w:tblPr>
        <w:tblW w:w="10205" w:type="dxa"/>
        <w:jc w:val="left"/>
        <w:tblInd w:w="0" w:type="dxa"/>
        <w:tblLayout w:type="fixed"/>
        <w:tblCellMar>
          <w:top w:w="28" w:type="dxa"/>
          <w:left w:w="28" w:type="dxa"/>
          <w:bottom w:w="28" w:type="dxa"/>
          <w:right w:w="28" w:type="dxa"/>
        </w:tblCellMar>
      </w:tblPr>
      <w:tblGrid>
        <w:gridCol w:w="1751"/>
        <w:gridCol w:w="1539"/>
        <w:gridCol w:w="1545"/>
        <w:gridCol w:w="332"/>
        <w:gridCol w:w="805"/>
        <w:gridCol w:w="171"/>
        <w:gridCol w:w="332"/>
        <w:gridCol w:w="805"/>
        <w:gridCol w:w="171"/>
        <w:gridCol w:w="109"/>
        <w:gridCol w:w="109"/>
        <w:gridCol w:w="109"/>
        <w:gridCol w:w="299"/>
        <w:gridCol w:w="725"/>
        <w:gridCol w:w="154"/>
        <w:gridCol w:w="299"/>
        <w:gridCol w:w="725"/>
        <w:gridCol w:w="225"/>
      </w:tblGrid>
      <w:tr>
        <w:trPr/>
        <w:tc>
          <w:tcPr>
            <w:tcW w:w="175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and shares in millions, except per share amounts)</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Weatherford</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Dilutive Effect of Awards Granted in Stock Incentive Plan</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Diluted Income per Share</w:t>
            </w:r>
            <w:r>
              <w:rPr>
                <w:color w:val="000000"/>
              </w:rPr>
              <w:t xml:space="preserve">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Antidilutive Weighted Average Shares: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Equity Awards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83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Antidilutive Weighted Average Shares</w:t>
            </w:r>
          </w:p>
        </w:tc>
        <w:tc>
          <w:tcPr>
            <w:tcW w:w="113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vAlign w:val="center"/>
          </w:tcPr>
          <w:p>
            <w:pPr>
              <w:pStyle w:val="TableContents"/>
              <w:bidi w:val="0"/>
              <w:spacing w:before="0" w:after="283"/>
              <w:jc w:val="left"/>
              <w:rPr>
                <w:sz w:val="4"/>
                <w:szCs w:val="4"/>
              </w:rPr>
            </w:pPr>
            <w:r>
              <w:rPr>
                <w:sz w:val="4"/>
                <w:szCs w:val="4"/>
              </w:rPr>
            </w:r>
          </w:p>
        </w:tc>
        <w:tc>
          <w:tcPr>
            <w:tcW w:w="5370" w:type="dxa"/>
            <w:gridSpan w:val="15"/>
            <w:tcBorders/>
          </w:tcPr>
          <w:p>
            <w:pPr>
              <w:pStyle w:val="TableContents"/>
              <w:bidi w:val="0"/>
              <w:spacing w:before="0" w:after="283"/>
              <w:jc w:val="left"/>
              <w:rPr>
                <w:sz w:val="4"/>
                <w:szCs w:val="4"/>
              </w:rPr>
            </w:pPr>
            <w:r>
              <w:rPr>
                <w:sz w:val="4"/>
                <w:szCs w:val="4"/>
              </w:rPr>
            </w:r>
          </w:p>
        </w:tc>
      </w:tr>
      <w:tr>
        <w:trPr/>
        <w:tc>
          <w:tcPr>
            <w:tcW w:w="483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83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Basic income per share for all periods presented equals net income available to shareholders divided by our weighted average shares outstanding during the period. Diluted income per share is computed by dividing net income available to shareholders by our weighted average shares outstanding during the period including potential dilutive ordinary shares. Anti-dilutive weighted average shares represent securities that could potentially dilute income per share in the future and are excluded from the computation of income per share.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6af4facd0cae49cf9f0869abd5195e1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11 – Income Taxes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recognized a tax expense of $33 million and $29 million for the three and six months ended June 30, 2026, respectively, compared to the three and six months ended June 30, 2025 where we recognized a tax expense of $46 million and $56 million, respectively. Income tax expense was lower in the three months ended June 30, 2026 compared to the same period in 2025 primarily due to decreased earnings before taxes. Income tax expense was lower in the six months ended June 30, 2026 compared with the corresponding period in 2025 primarily due to decreased earnings before taxes and increased recognition of benefits from previously uncertain tax positions. The recognized benefit amounts for the first quarters of 2026 and 2025 were $44 million and $26 million, respectively. We calculate our income tax provision using the estimated annual effective tax rate method in accordance with Accounting Standards Codification “ASC” 740 - Income Taxes.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relationship between our pre-tax income or loss and our income tax provision or benefit varies from period to period due to various factors which include changes in total pre-tax income or loss, the jurisdictions in which our income is earned, the tax laws in those jurisdictions and in our operating structure. We provide for income taxes based on the laws and rates in effect in the countries in which operations are conducted, or in which we or our subsidiaries are considered residents for income tax purposes. Our income tax provisions are primarily driven by income in certain jurisdictions and withholding taxes on intercompany and third-party transactions that do not directly correlate to ordinary income or loss. Certain charges and impairments recognized do not result in a significant tax benefit as a result of being attributed to a non-income tax jurisdiction or our inability to forecast realization of the tax benefit of such losses. This is partially offset by the utilization of previously unbenefited deferred tax assets, such as net operating loss carryforwards.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continuously under tax examination in various jurisdictions and cannot predict the timing or outcome regarding the resolutions or if they will have a material impact on our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12 – Subsequent Events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Declaration of cash dividend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16, 2026, our Board of Directors declared a cash dividend of $0.275 per share of the Company’s ordinary shares, payable on September 3, 2026 to shareholders of record as of August 6, 2026. </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6af4facd0cae49cf9f0869abd5195e1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used in this item, “Weatherford,” “the Company,” “we,” “us” and “our” refer to Weatherford International plc,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include assumptions, certain risks and uncertainties. For information about these assumptions, risks and uncertainties, refer to the section “Forward-Looking Statements” and the section “PART II - OTHER INFORMATION - Item 1A. Risk Factors.”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plans to hold two shareholder meetings on September 3, 2026 to consider a proposal to redomesticate the parent company from Ireland to the United States as a Delaware corporation (“Redomestication”), following an earlier Texas redomestication proposal that, despite receiving over 60% support, did not receive the requisite shareholder approval. The proposed Redomestication is subject to customary conditions, including shareholder approval and sanction by the High Court of Ireland, and is expected to be completed during the fourth quarter of 2026.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31, 2026, the Company entered into a definitive merger agreement to acquire NCS Multistage Holdings, Inc., which will become a wholly owned subsidiary of Weatherford upon closing (“Proposed Transaction”). The transaction consideration consists of Weatherford ordinary shares or a combination of ordinary shares and cash, subject to certain limitations, adjustments and proration provisions. This merger is subject to customary closing conditions, including regulatory approvals, and is expected to close in the second half of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conduct business in approximately 75 countries, answering the challenges of the energy industry with 302 operating locations including manufacturing, research and development, service, and training facilities. Our operational performance is reviewed and managed across the life cycle of the wellbore, and we report in three segments (1) Drilling and Evaluation, (2) Well Construction and Completions, and (3) Production and Intervention.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i/>
          <w:color w:val="000000"/>
          <w:sz w:val="20"/>
        </w:rPr>
        <w:t>Drilling and Evaluation</w:t>
      </w:r>
      <w:r>
        <w:rPr>
          <w:color w:val="000000"/>
        </w:rPr>
        <w:t xml:space="preserve"> </w:t>
      </w:r>
      <w:r>
        <w:rPr>
          <w:rFonts w:ascii="Times New Roman;serif" w:hAnsi="Times New Roman;serif"/>
          <w:b/>
          <w:i/>
          <w:color w:val="000000"/>
          <w:sz w:val="20"/>
        </w:rPr>
        <w:t>(“DRE”)</w:t>
      </w:r>
      <w:r>
        <w:rPr>
          <w:color w:val="000000"/>
        </w:rPr>
        <w:t xml:space="preserve"> </w:t>
      </w:r>
      <w:r>
        <w:rPr>
          <w:rFonts w:ascii="Times New Roman;serif" w:hAnsi="Times New Roman;serif"/>
          <w:b w:val="false"/>
          <w:color w:val="000000"/>
          <w:sz w:val="20"/>
        </w:rPr>
        <w:t xml:space="preserve">offers a suite of services including managed pressure drilling, drilling services, wireline and drilling fluids. DRE offerings range from early well planning to reservoir management through innovative tools and expert engineering to optimize reservoir access and productivity.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i/>
          <w:color w:val="000000"/>
          <w:sz w:val="20"/>
        </w:rPr>
        <w:t>Well Construction and Completions (“WCC”)</w:t>
      </w:r>
      <w:r>
        <w:rPr>
          <w:color w:val="000000"/>
        </w:rPr>
        <w:t xml:space="preserve"> </w:t>
      </w:r>
      <w:r>
        <w:rPr>
          <w:rFonts w:ascii="Times New Roman;serif" w:hAnsi="Times New Roman;serif"/>
          <w:b w:val="false"/>
          <w:color w:val="000000"/>
          <w:sz w:val="20"/>
        </w:rPr>
        <w:t>offers products and services for well integrity assurance across the full life cycle of the well. The primary offerings are tubular running services, cementation products, completions, liner hangers and well services. WCC deploys conventional to advanced technologies, providing safe and efficient services in any environment during the well construction phase.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i/>
          <w:color w:val="000000"/>
          <w:sz w:val="20"/>
        </w:rPr>
        <w:t>Production and Intervention (“PRI”)</w:t>
      </w:r>
      <w:r>
        <w:rPr>
          <w:color w:val="000000"/>
        </w:rPr>
        <w:t xml:space="preserve"> </w:t>
      </w:r>
      <w:r>
        <w:rPr>
          <w:rFonts w:ascii="Times New Roman;serif" w:hAnsi="Times New Roman;serif"/>
          <w:b w:val="false"/>
          <w:color w:val="000000"/>
          <w:sz w:val="20"/>
        </w:rPr>
        <w:t xml:space="preserve">offers a suite of reservoir stimulation designs, and engineering capabilities that isolate zones and unlock reserves in conventional and unconventional wells, deep water, and aging reservoirs. The primary offerings are intervention services &amp; drilling tools, artificial lift, digital solutions, sub-sea intervention and pressure pumping services in select markets.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6af4facd0cae49cf9f0869abd5195e1c_7">
        <w:r>
          <w:rPr>
            <w:rStyle w:val="InternetLink"/>
            <w:rFonts w:ascii="Times New Roman;serif" w:hAnsi="Times New Roman;serif"/>
            <w:b w:val="false"/>
            <w:strike w:val="false"/>
            <w:dstrike w:val="false"/>
            <w:color w:val="000000"/>
            <w:sz w:val="20"/>
            <w:u w:val="none"/>
            <w:effect w:val="none"/>
          </w:rPr>
          <w:t>Table of Contents</w:t>
        </w:r>
      </w:hyperlink>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Industry Trends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 and the level of workover activity worldwide.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Lower oil and natural gas prices and lower rig count generally correlate to lower exploration and production spending, and higher oil and natural gas prices and higher rig count generally correlate to higher exploration and production spending. Therefore, our financial results can be significantly affected by oil and natural gas prices as well as rig counts. As shown in the following tables, as of three and six months ended June 30, 2026, the average WTI oil price and average Brent crude oil price were higher compared to three and six months ended June 30, 2025 while the average Henry Hub natural gas prices were lower than during the three months ended June 30, 2025 and higher than during the six months ended June 30, 2025. Average rig counts decreased during the three and six months ended June 30, 2026 compared to the three and six months ended June 30, 2025. Oil prices have experienced increased volatility and upward pressure in response to the ongoing geopolitical conflict involving Iran, the U.S. and Israel (“Iran Conflict”). Despite higher oil prices driven by the Iran Conflict, it has adversely impacted exploration and production spending in the Middle East resulting in disruption of global energy supplies and adversely affecting global supply chains, energy markets and overall macroeconomic conditions.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Developments in global trade policy, tariffs, geopolitical conflicts, sanctions, and regulation have affected and may continue to affect our industry. In February 2026, the U.S. Supreme Court ruled that certain tariffs were unlawful and affirmed that jurisdiction for tariff-related matters resided with the Court of International Trade; however, uncertainty persists as new tariffs have been introduced under alternative authorities. We have filed claims for refunds of certain tariffs and have begun receiving approvals and cash receipts, while continuing to prepare and submit additional claims as further guidance becomes available. Separately, certain tariffs implemented in 2026 have been challenged or modified, and we continue to monitor these developments, which are not currently expected to have a material impact on our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shows the average oil and natural gas prices for West Texas Intermediate (“WTI”), Brent North Sea (“Brent”) crude oil and Henry Hub natural gas.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908"/>
        <w:gridCol w:w="872"/>
        <w:gridCol w:w="877"/>
        <w:gridCol w:w="128"/>
        <w:gridCol w:w="128"/>
        <w:gridCol w:w="128"/>
        <w:gridCol w:w="369"/>
        <w:gridCol w:w="1263"/>
        <w:gridCol w:w="190"/>
        <w:gridCol w:w="190"/>
        <w:gridCol w:w="248"/>
        <w:gridCol w:w="725"/>
        <w:gridCol w:w="128"/>
        <w:gridCol w:w="128"/>
        <w:gridCol w:w="109"/>
        <w:gridCol w:w="364"/>
        <w:gridCol w:w="365"/>
        <w:gridCol w:w="298"/>
        <w:gridCol w:w="870"/>
        <w:gridCol w:w="153"/>
        <w:gridCol w:w="211"/>
        <w:gridCol w:w="616"/>
        <w:gridCol w:w="109"/>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68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90" w:type="dxa"/>
            <w:tcBorders/>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Oil price - WTI </w:t>
            </w:r>
            <w:r>
              <w:rPr>
                <w:rFonts w:ascii="Times New Roman;serif" w:hAnsi="Times New Roman;serif"/>
                <w:b w:val="false"/>
                <w:color w:val="000000"/>
                <w:sz w:val="13"/>
              </w:rPr>
              <w:t>(1)</w:t>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95.75 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83.87 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Oil price - Brent </w:t>
            </w:r>
            <w:r>
              <w:rPr>
                <w:rFonts w:ascii="Times New Roman;serif" w:hAnsi="Times New Roman;serif"/>
                <w:b w:val="false"/>
                <w:color w:val="000000"/>
                <w:sz w:val="13"/>
              </w:rPr>
              <w:t>(1)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Natural gas price - Henry Hub </w:t>
            </w:r>
            <w:r>
              <w:rPr>
                <w:rFonts w:ascii="Times New Roman;serif" w:hAnsi="Times New Roman;serif"/>
                <w:b w:val="false"/>
                <w:color w:val="000000"/>
                <w:sz w:val="13"/>
              </w:rPr>
              <w:t>(2)</w:t>
            </w:r>
          </w:p>
        </w:tc>
        <w:tc>
          <w:tcPr>
            <w:tcW w:w="38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9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4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2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2" w:type="dxa"/>
            <w:gridSpan w:val="1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Oil price measured in dollars per barrel (rounded to the nearest $0.01)</w:t>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634"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2" w:type="dxa"/>
            <w:gridSpan w:val="14"/>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Natural gas price measured in dollars per million British thermal units (rounded to the nearest $0.01)</w:t>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634"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shows historical average rig counts based on the weekly Baker Hughes Company rig count information. </w:t>
      </w:r>
    </w:p>
    <w:tbl>
      <w:tblPr>
        <w:tblW w:w="10205" w:type="dxa"/>
        <w:jc w:val="center"/>
        <w:tblInd w:w="0" w:type="dxa"/>
        <w:tblLayout w:type="fixed"/>
        <w:tblCellMar>
          <w:top w:w="28" w:type="dxa"/>
          <w:left w:w="28" w:type="dxa"/>
          <w:bottom w:w="28" w:type="dxa"/>
          <w:right w:w="28" w:type="dxa"/>
        </w:tblCellMar>
      </w:tblPr>
      <w:tblGrid>
        <w:gridCol w:w="869"/>
        <w:gridCol w:w="765"/>
        <w:gridCol w:w="709"/>
        <w:gridCol w:w="192"/>
        <w:gridCol w:w="192"/>
        <w:gridCol w:w="192"/>
        <w:gridCol w:w="1400"/>
        <w:gridCol w:w="1400"/>
        <w:gridCol w:w="308"/>
        <w:gridCol w:w="308"/>
        <w:gridCol w:w="176"/>
        <w:gridCol w:w="329"/>
        <w:gridCol w:w="409"/>
        <w:gridCol w:w="317"/>
        <w:gridCol w:w="307"/>
        <w:gridCol w:w="123"/>
        <w:gridCol w:w="123"/>
        <w:gridCol w:w="123"/>
        <w:gridCol w:w="308"/>
        <w:gridCol w:w="308"/>
        <w:gridCol w:w="176"/>
        <w:gridCol w:w="308"/>
        <w:gridCol w:w="308"/>
        <w:gridCol w:w="176"/>
        <w:gridCol w:w="109"/>
        <w:gridCol w:w="109"/>
        <w:gridCol w:w="161"/>
      </w:tblGrid>
      <w:tr>
        <w:trPr/>
        <w:tc>
          <w:tcPr>
            <w:tcW w:w="8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800"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69"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121"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9" w:type="dxa"/>
            <w:tcBorders/>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(1)</w:t>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Worldwide</w:t>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19" w:type="dxa"/>
            <w:gridSpan w:val="8"/>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Prior period international rig count figures were retroactively adjusted by Baker Hughes in the third quarter of 2025.</w:t>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2332" w:type="dxa"/>
            <w:gridSpan w:val="12"/>
            <w:tcBorders/>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Iran Conflict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Iran Conflict, which began in February 2026, has and could continue to significantly disrupt the global oil and gas supply-demand balance, increase commodity price volatility and heighten uncertainty in regional operating conditions. We continue to evaluate our operations and business exposure, with a priority on the safety and well</w:t>
        <w:noBreakHyphen/>
        <w:t>being of our employees, operating in compliance with applicable laws and sanctions, and performing under existing contracts with customers in the region. Disruptions to transportation routes, higher logistics and insurance costs, and changes in customer activity levels or project timing could continue to affect our operating results, liquidity, and cash flows, particularly if conditions persist or escalate. While the situation remains fluid, adverse impacts can continue in future periods. We will continue to monitor developments and, to the extent possible, mitigate potential impacts on our business and financial position.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Russia Ukraine Conflict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2022, the military conflict between Russia and Ukraine (“Russia Ukraine Conflict”) began and in response we evaluated, and continue to evaluate, our operations, with the priority being centered on the safety and well-being of our employees in the impacted regions, as well as operating in full compliance with applicable international laws and sanctions.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Revenues in Russia were just under 10% and 9% of our total revenues for the three and six months ended June 30, 2026, respectively, compared to 7% of our total revenue for both the three and six months ended June 30, 2025. The increase in Russia revenues as a percentage of consolidated results year over year was driven by revenue decreases in the Middle East/North Africa/Asia region as a result of the Iran Conflict and the strengthening of the Ruble against the U.S. dollar. As of June 30, 2026, our Russia operations included $118 million in cash, $178 million in other current assets, $105 million in property, plant and equipment, net and other non-current assets, and $90 million in liabilities. As of December 31, 2025, our Russia operations included $107 million in cash, $152 million in other current assets, $91 million in property, plant and equipment, net and other non-current assets, and $80 million in liabilities.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closely monitor and evaluate the developments in Russia as well as any changes in international laws and sanctions. We believe that operational complexity will increase over time and therefore continually evaluate these potential impacts on our business. As such, we continue to actively evaluate various options, strategies and contingencies with respect to our business in Russia, including, but not limited to: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 xml:space="preserve">continuing the business in compliance with applicable laws and sanctions; </w:t>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 xml:space="preserve">evaluating the continued use or change in products, equipment and service offerings we currently provide in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Russia; </w:t>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 xml:space="preserve">curtailing or winding down our activities over time;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potentially divesting some or all of our assets or businesses in Russia, which could include the option of re-entering the country if and when sanctions or applicable laws would allow for the same; and</w:t>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potential nationalization of the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Consolidated Statements of Operations - Operating Summary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Revenues of $1.1 billion and $2.3 billion in the three and six months ended June 30, 2026, respectively, decreased 8% and 6% compared to $1.2 billion and $2.4 billion in the three and six months ended June 30, 2025, respectively. Year-over-year in the second quarter, product revenues decreased 9% and service revenues decreased 8%. For the same period, revenues declined in all segments with DRE, WCC and PRI responsible for 44%, 23% and 11% of the decrease, respectively, with the remaining decrease from lower activity in integrated services and projects. Year-over-year in the six months ended June 30, 2026, product revenues and service revenues each decreased 6%. For the same period, revenues declined in all segments with DRE, PRI and WCC responsible for 52%, 35% and 15% of the decrease, respectively, with partial offset from a modest increase in integrated services and projects.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Geographically, the year-over-year second quarter revenue decrease was led by declines in Middle East/North Africa/Asia of $78 million and North America of $36 million, and partly offset by a revenue increase of $13 million in the Europe/Sub-Sahara Africa/Russia region. Year-over-year in the six months ended June 30, 2026, revenue decrease was led by declines in Middle East/North Africa/Asia of $105 million and North America of $66 million, and partly offset by a revenue increase of $47 million in the Europe/Sub-Sahara Africa/Russia region. The decrease of revenue was primarily due to market disruptions caused by the Iran Conflict and lower activity in the North America region.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income of $107 million and $230 million in the three and six months ended June 30, 2026, respectively, decreased 55% and 39% compared to $237 million and $379 million in the three and six months ended June 30, 2025, respectively. The second quarter and year-to-date year-over-year decreases were primarily due to the decline in revenue and prior year $70 million gain on the sale of our pressure pumping business in Argentina, with a partial offset from lower cost of products and services, restructuring and research and development costs.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products and services of $772 million and $1,584 million in the three and six months ended June 30, 2026, respectively, decreased 7% and 4% compared to $829 million and $1,648 million in the three and six months ended June 30, 2025, respectively. The year-over-year decrease was primarily due to a decline in product sales and a reduction in headcount leading to lower personnel costs. Our cost of products and services as a percentage of revenues was 70% in both the three and six months ended June 30, 2026, respectively, compared to 69% in both the three and six months ended June 30, 2025, respectively. The higher cost ratio was primarily due to fixed costs decreasing at a slower rate than revenues.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costs of $172 million and $340 million in the three and six months ended June 30, 2026, respectively, increased 5% compared to $164 million and $325 million in the three and six months ended June 30, 2025, respectively. The year-over-year increase was primarily due to an increase in employee incentive programs and share-based compensation. Selling, general and administrative costs as a percentage of revenues were 16% and 15% in the three and six months ended June 30, 2026, respectively, and 14% in both the three and six months ended June 30,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of $20 million and $41 million in the three and six months ended June 30, 2026, respectively, decreased 33% and 31% compared to $30 million and $59 million in the three and six months ended June 30, 2025, respectively. The year-over-year decrease was due to lower costs for research and development projects. Research and development costs as a percentage of revenues was 2% in both the three and six months ended June 30, 2026 and 3% in both the three and six months ended June 30,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Restructuring charges were $9 million and $22 million in the three and six months ended June 30, 2026, respectively, and $11 million and $40 million in the three and six months ended June 30, 2025, respectively. See “Note 4 – Restructuring Charges” for additional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Charges, Net were $25 million and $40 million in the three and six months ended June 30, 2026, respectively, and $3 million and $16 million in the three and six months ended June 30, 2025, respectively. Other Charges, Net primarily included $12 million and $21 million of costs related to the Redomestication, respectively, and $11 million and $14 million related to mergers and acquisitions costs, respectively, in the three and six months ended June 30, 2026 and primarily included fees to third-party financial institutions related to collections of certain receivables from our largest customer in Mexico as well as other miscellaneous charges and credits in the three and six months ended June 30, 2025.</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Consolidated Statements of Operations - Non-Operating Summary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Net was $16 million and $33 million in the three and six months ended June 30, 2026, respectively, and $21 million and $47 million in the three and six months ended June 30, 2025, respectively. Interest Expense, Net is interest expense net of interest income.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was $27 million and $54 million in the three and six months ended June 30, 2026, respectively, and $35 million and $72 million in the three and six months ended June 30, 2025, respectively. The decrease was primarily due to a lower interest rate following the refinancing of long-term debt in the fourth quarter of 2025 and the reduction in our outstanding long-term debt. Interest income was $11 million and $21 million in the three and six months ended June 30, 2026, respectively, and $14 million and $25 million in the three and six months ended June 30, 2025,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Other Expense, 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Net was $16 million and $17 million in the three and six months ended June 30, 2026, respectively, and $25 million and $45 million in the three and six months ended June 30, 2025, respectively. Other Expense, Net primarily represents foreign exchange gains and losses in countries with no or limited markets to hedge, letter of credit fees and other financing charges, including bond redemption premiums partially offset by certain investment gains and losses. When economically advantageous, we enter into foreign currency forward contracts to mitigate the risk of future cash flows denominated in a foreign currency.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Income Taxes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for income taxes based on the laws and rates in effect in the countries in which operations are conducted, or in which we or our subsidiaries are considered residents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certain charges do not result in significant tax benefit as a result of being attributed to a non-income tax jurisdiction or our inability to forecast realization of the tax benefit of such losses. Charges can be partially offset by the utilization of previously unbenefited deferred tax assets, such as net operating loss carryforwards. Please see “Note 11 – Income Taxes” to our Condensed Consolidated Financial Statements for additional details.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Results of Operations by Segment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information by segment is summarized below. </w:t>
      </w:r>
    </w:p>
    <w:p>
      <w:pPr>
        <w:pStyle w:val="TextBody"/>
        <w:bidi w:val="0"/>
        <w:spacing w:before="0" w:after="0"/>
        <w:ind w:left="0" w:right="0" w:firstLine="360"/>
        <w:jc w:val="both"/>
        <w:rPr/>
      </w:pPr>
      <w:r>
        <w:rPr/>
      </w:r>
    </w:p>
    <w:tbl>
      <w:tblPr>
        <w:tblW w:w="7598"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481"/>
        <w:gridCol w:w="109"/>
        <w:gridCol w:w="211"/>
        <w:gridCol w:w="481"/>
        <w:gridCol w:w="109"/>
        <w:gridCol w:w="211"/>
        <w:gridCol w:w="481"/>
        <w:gridCol w:w="109"/>
        <w:gridCol w:w="211"/>
        <w:gridCol w:w="376"/>
        <w:gridCol w:w="109"/>
        <w:gridCol w:w="211"/>
        <w:gridCol w:w="63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69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DRE</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WCC</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w:t>
            </w:r>
          </w:p>
        </w:tc>
        <w:tc>
          <w:tcPr>
            <w:tcW w:w="6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288" w:before="0" w:after="0"/>
        <w:ind w:left="0" w:right="0" w:hanging="270"/>
        <w:jc w:val="both"/>
        <w:rPr/>
      </w:pPr>
      <w:r>
        <w:rPr>
          <w:rFonts w:ascii="Times New Roman;serif" w:hAnsi="Times New Roman;serif"/>
          <w:b w:val="false"/>
          <w:color w:val="000000"/>
          <w:sz w:val="18"/>
        </w:rPr>
        <w:t>(b)Segment selling, general and administrative and research and development costs</w:t>
      </w:r>
      <w:r>
        <w:rPr>
          <w:rFonts w:ascii="Times New Roman;serif" w:hAnsi="Times New Roman;serif"/>
          <w:b w:val="false"/>
          <w:color w:val="000000"/>
          <w:sz w:val="20"/>
        </w:rPr>
        <w:t>.</w:t>
      </w:r>
    </w:p>
    <w:tbl>
      <w:tblPr>
        <w:tblW w:w="7703"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481"/>
        <w:gridCol w:w="109"/>
        <w:gridCol w:w="211"/>
        <w:gridCol w:w="481"/>
        <w:gridCol w:w="109"/>
        <w:gridCol w:w="211"/>
        <w:gridCol w:w="481"/>
        <w:gridCol w:w="109"/>
        <w:gridCol w:w="211"/>
        <w:gridCol w:w="481"/>
        <w:gridCol w:w="109"/>
        <w:gridCol w:w="211"/>
        <w:gridCol w:w="63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DRE</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WCC</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w:t>
            </w:r>
          </w:p>
        </w:tc>
        <w:tc>
          <w:tcPr>
            <w:tcW w:w="8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288" w:before="0" w:after="0"/>
        <w:ind w:left="0" w:right="0" w:hanging="270"/>
        <w:jc w:val="both"/>
        <w:rPr/>
      </w:pPr>
      <w:r>
        <w:rPr>
          <w:rFonts w:ascii="Times New Roman;serif" w:hAnsi="Times New Roman;serif"/>
          <w:b w:val="false"/>
          <w:color w:val="000000"/>
          <w:sz w:val="18"/>
        </w:rPr>
        <w:t>(b)Segment selling, general and administrative and research and development costs</w:t>
      </w:r>
      <w:r>
        <w:rPr>
          <w:rFonts w:ascii="Times New Roman;serif" w:hAnsi="Times New Roman;serif"/>
          <w:b w:val="false"/>
          <w:color w:val="000000"/>
          <w:sz w:val="20"/>
        </w:rPr>
        <w:t>.</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ind w:left="0" w:right="0" w:firstLine="360"/>
        <w:jc w:val="both"/>
        <w:rPr/>
      </w:pPr>
      <w:r>
        <w:rPr/>
      </w:r>
    </w:p>
    <w:tbl>
      <w:tblPr>
        <w:tblW w:w="7598"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481"/>
        <w:gridCol w:w="109"/>
        <w:gridCol w:w="211"/>
        <w:gridCol w:w="481"/>
        <w:gridCol w:w="109"/>
        <w:gridCol w:w="211"/>
        <w:gridCol w:w="481"/>
        <w:gridCol w:w="109"/>
        <w:gridCol w:w="211"/>
        <w:gridCol w:w="376"/>
        <w:gridCol w:w="109"/>
        <w:gridCol w:w="211"/>
        <w:gridCol w:w="63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69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DRE</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WCC</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w:t>
            </w:r>
          </w:p>
        </w:tc>
        <w:tc>
          <w:tcPr>
            <w:tcW w:w="6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288" w:before="0" w:after="0"/>
        <w:ind w:left="0" w:right="0" w:hanging="270"/>
        <w:jc w:val="both"/>
        <w:rPr/>
      </w:pPr>
      <w:r>
        <w:rPr>
          <w:rFonts w:ascii="Times New Roman;serif" w:hAnsi="Times New Roman;serif"/>
          <w:b w:val="false"/>
          <w:color w:val="000000"/>
          <w:sz w:val="18"/>
        </w:rPr>
        <w:t>(b)Segment selling, general and administrative and research and development costs</w:t>
      </w:r>
      <w:r>
        <w:rPr>
          <w:rFonts w:ascii="Times New Roman;serif" w:hAnsi="Times New Roman;serif"/>
          <w:b w:val="false"/>
          <w:color w:val="000000"/>
          <w:sz w:val="20"/>
        </w:rPr>
        <w:t>.</w:t>
      </w:r>
    </w:p>
    <w:p>
      <w:pPr>
        <w:pStyle w:val="TextBody"/>
        <w:bidi w:val="0"/>
        <w:spacing w:before="0" w:after="0"/>
        <w:ind w:left="0" w:right="0" w:firstLine="90"/>
        <w:jc w:val="both"/>
        <w:rPr/>
      </w:pPr>
      <w:r>
        <w:rPr/>
      </w:r>
    </w:p>
    <w:p>
      <w:pPr>
        <w:pStyle w:val="TextBody"/>
        <w:bidi w:val="0"/>
        <w:spacing w:before="0" w:after="0"/>
        <w:ind w:left="0" w:right="0" w:firstLine="90"/>
        <w:jc w:val="both"/>
        <w:rPr/>
      </w:pPr>
      <w:r>
        <w:rPr/>
      </w:r>
    </w:p>
    <w:tbl>
      <w:tblPr>
        <w:tblW w:w="7703"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481"/>
        <w:gridCol w:w="109"/>
        <w:gridCol w:w="211"/>
        <w:gridCol w:w="481"/>
        <w:gridCol w:w="109"/>
        <w:gridCol w:w="211"/>
        <w:gridCol w:w="481"/>
        <w:gridCol w:w="109"/>
        <w:gridCol w:w="211"/>
        <w:gridCol w:w="481"/>
        <w:gridCol w:w="109"/>
        <w:gridCol w:w="211"/>
        <w:gridCol w:w="63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DRE</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WCC</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w:t>
            </w:r>
          </w:p>
        </w:tc>
        <w:tc>
          <w:tcPr>
            <w:tcW w:w="8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Costs</w:t>
            </w:r>
            <w:r>
              <w:rPr>
                <w:rFonts w:ascii="Times New Roman;serif" w:hAnsi="Times New Roman;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(a)Segment cost of sales and direct operating costs.</w:t>
      </w:r>
    </w:p>
    <w:p>
      <w:pPr>
        <w:pStyle w:val="TextBody"/>
        <w:bidi w:val="0"/>
        <w:spacing w:lineRule="auto" w:line="288" w:before="0" w:after="0"/>
        <w:ind w:left="0" w:right="0" w:hanging="270"/>
        <w:jc w:val="both"/>
        <w:rPr/>
      </w:pPr>
      <w:r>
        <w:rPr>
          <w:rFonts w:ascii="Times New Roman;serif" w:hAnsi="Times New Roman;serif"/>
          <w:b w:val="false"/>
          <w:color w:val="000000"/>
          <w:sz w:val="18"/>
        </w:rPr>
        <w:t>(b)Segment selling, general and administrative and research and development costs</w:t>
      </w:r>
      <w:r>
        <w:rPr>
          <w:rFonts w:ascii="Times New Roman;serif" w:hAnsi="Times New Roman;serif"/>
          <w:b w:val="false"/>
          <w:color w:val="000000"/>
          <w:sz w:val="20"/>
        </w:rPr>
        <w:t>.</w:t>
      </w:r>
    </w:p>
    <w:p>
      <w:pPr>
        <w:pStyle w:val="TextBody"/>
        <w:bidi w:val="0"/>
        <w:spacing w:before="10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DRE Results</w:t>
      </w:r>
    </w:p>
    <w:p>
      <w:pPr>
        <w:pStyle w:val="TextBody"/>
        <w:bidi w:val="0"/>
        <w:spacing w:before="0" w:after="0"/>
        <w:ind w:left="0" w:right="0" w:firstLine="360"/>
        <w:jc w:val="both"/>
        <w:rPr/>
      </w:pPr>
      <w:r>
        <w:rPr/>
      </w:r>
    </w:p>
    <w:tbl>
      <w:tblPr>
        <w:tblW w:w="8250" w:type="dxa"/>
        <w:jc w:val="left"/>
        <w:tblInd w:w="0" w:type="dxa"/>
        <w:tblLayout w:type="fixed"/>
        <w:tblCellMar>
          <w:top w:w="28" w:type="dxa"/>
          <w:left w:w="28" w:type="dxa"/>
          <w:bottom w:w="28" w:type="dxa"/>
          <w:right w:w="28" w:type="dxa"/>
        </w:tblCellMar>
      </w:tblPr>
      <w:tblGrid>
        <w:gridCol w:w="929"/>
        <w:gridCol w:w="816"/>
        <w:gridCol w:w="819"/>
        <w:gridCol w:w="109"/>
        <w:gridCol w:w="109"/>
        <w:gridCol w:w="109"/>
        <w:gridCol w:w="284"/>
        <w:gridCol w:w="627"/>
        <w:gridCol w:w="364"/>
        <w:gridCol w:w="109"/>
        <w:gridCol w:w="109"/>
        <w:gridCol w:w="109"/>
        <w:gridCol w:w="284"/>
        <w:gridCol w:w="627"/>
        <w:gridCol w:w="364"/>
        <w:gridCol w:w="109"/>
        <w:gridCol w:w="109"/>
        <w:gridCol w:w="109"/>
        <w:gridCol w:w="211"/>
        <w:gridCol w:w="436"/>
        <w:gridCol w:w="109"/>
        <w:gridCol w:w="109"/>
        <w:gridCol w:w="109"/>
        <w:gridCol w:w="109"/>
        <w:gridCol w:w="218"/>
        <w:gridCol w:w="218"/>
        <w:gridCol w:w="636"/>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or bps</w:t>
            </w:r>
          </w:p>
        </w:tc>
      </w:tr>
      <w:tr>
        <w:trPr/>
        <w:tc>
          <w:tcPr>
            <w:tcW w:w="2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6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6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8250" w:type="dxa"/>
        <w:jc w:val="left"/>
        <w:tblInd w:w="0" w:type="dxa"/>
        <w:tblLayout w:type="fixed"/>
        <w:tblCellMar>
          <w:top w:w="28" w:type="dxa"/>
          <w:left w:w="28" w:type="dxa"/>
          <w:bottom w:w="28" w:type="dxa"/>
          <w:right w:w="28" w:type="dxa"/>
        </w:tblCellMar>
      </w:tblPr>
      <w:tblGrid>
        <w:gridCol w:w="929"/>
        <w:gridCol w:w="816"/>
        <w:gridCol w:w="819"/>
        <w:gridCol w:w="109"/>
        <w:gridCol w:w="109"/>
        <w:gridCol w:w="109"/>
        <w:gridCol w:w="284"/>
        <w:gridCol w:w="627"/>
        <w:gridCol w:w="364"/>
        <w:gridCol w:w="109"/>
        <w:gridCol w:w="109"/>
        <w:gridCol w:w="109"/>
        <w:gridCol w:w="284"/>
        <w:gridCol w:w="627"/>
        <w:gridCol w:w="364"/>
        <w:gridCol w:w="109"/>
        <w:gridCol w:w="109"/>
        <w:gridCol w:w="109"/>
        <w:gridCol w:w="211"/>
        <w:gridCol w:w="436"/>
        <w:gridCol w:w="109"/>
        <w:gridCol w:w="109"/>
        <w:gridCol w:w="109"/>
        <w:gridCol w:w="109"/>
        <w:gridCol w:w="218"/>
        <w:gridCol w:w="218"/>
        <w:gridCol w:w="636"/>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or bps</w:t>
            </w:r>
          </w:p>
        </w:tc>
      </w:tr>
      <w:tr>
        <w:trPr/>
        <w:tc>
          <w:tcPr>
            <w:tcW w:w="2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3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3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3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DRE revenues of $291 million and $612 million in the three and six months ended June 30, 2026, decreased $44 million or 13%, and decreased $73 million or 11% compared to $335 million and $685 million in the three and six months ended June 30, 2025,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 the second quarter year-over-year revenue decrease, approximately 50% of the decrease was from lower activity in wireline and approximately 45% of the decrease from lower activity in drilling related services. Geographically, approximately 35% of the revenue decrease was from Middle East/North Africa/Asia, while North America and Latin America each accounted for approximately 30% of the decrease. The Iran Conflict was the primary contributor to the decline of activity in the Middle East/North Africa/Asia region.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 the year-to-date year-over-year revenue decrease, approximately 50% of the decrease was attributable to lower wireline activity, with the remaining decrease split equally between lower managed pressure drilling activity and lower drilling related services activity. Geographically, approximately 40% of the revenue decrease was from Latin America, approximately 35% of the decrease was from Middle East/North Africa/Asia and approximately 30% of the decrease was from the North America region. This was partly offset by a revenue increase in Europe/Sub-Sahara Africa/Russia.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DRE segment adjusted EBITDA of $58 million and $130 million in the three and six months ended June 30, 2026, decreased $11 million or 16%, and decreased $13 million or 9% compared to $69 million and $143 million in the three and six months ended June 30, 2025, respectively. DRE segment adjusted EBITDA margin was 19.9% and 21.2% in the three and six months ended June 30, 2026 compared to 20.6% and 20.9% in the three and six months ended June 30, 2025, respectively. The second quarter and year-to-date segment adjusted EBITDA decreased year-over-year primarily due to a decline in overall activity. In the second quarter, both direct costs and other expense decreased along with the decrease in activity. The rate of decrease for direct costs and other expense was lower than the decrease in revenue, contributing to the decrease in margin. Year-to-date, both direct costs and other expense decreased along with the decrease in revenue. The rate of decrease for direct costs was higher than the decrease in revenue, resulting in a slight increase in margin.</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605" cy="14605"/>
                <wp:effectExtent l="0" t="0" r="0" b="0"/>
                <wp:wrapNone/>
                <wp:docPr id="26" name="Frame2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WCC Results</w:t>
      </w:r>
    </w:p>
    <w:p>
      <w:pPr>
        <w:pStyle w:val="TextBody"/>
        <w:bidi w:val="0"/>
        <w:spacing w:before="0" w:after="0"/>
        <w:ind w:left="0" w:right="0" w:firstLine="360"/>
        <w:jc w:val="both"/>
        <w:rPr/>
      </w:pPr>
      <w:r>
        <w:rPr/>
      </w:r>
    </w:p>
    <w:tbl>
      <w:tblPr>
        <w:tblW w:w="8354" w:type="dxa"/>
        <w:jc w:val="left"/>
        <w:tblInd w:w="0" w:type="dxa"/>
        <w:tblLayout w:type="fixed"/>
        <w:tblCellMar>
          <w:top w:w="28" w:type="dxa"/>
          <w:left w:w="28" w:type="dxa"/>
          <w:bottom w:w="28" w:type="dxa"/>
          <w:right w:w="28" w:type="dxa"/>
        </w:tblCellMar>
      </w:tblPr>
      <w:tblGrid>
        <w:gridCol w:w="929"/>
        <w:gridCol w:w="816"/>
        <w:gridCol w:w="819"/>
        <w:gridCol w:w="109"/>
        <w:gridCol w:w="109"/>
        <w:gridCol w:w="109"/>
        <w:gridCol w:w="284"/>
        <w:gridCol w:w="627"/>
        <w:gridCol w:w="364"/>
        <w:gridCol w:w="109"/>
        <w:gridCol w:w="109"/>
        <w:gridCol w:w="109"/>
        <w:gridCol w:w="284"/>
        <w:gridCol w:w="627"/>
        <w:gridCol w:w="364"/>
        <w:gridCol w:w="109"/>
        <w:gridCol w:w="109"/>
        <w:gridCol w:w="109"/>
        <w:gridCol w:w="211"/>
        <w:gridCol w:w="436"/>
        <w:gridCol w:w="109"/>
        <w:gridCol w:w="109"/>
        <w:gridCol w:w="109"/>
        <w:gridCol w:w="109"/>
        <w:gridCol w:w="276"/>
        <w:gridCol w:w="264"/>
        <w:gridCol w:w="636"/>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or bps</w:t>
            </w:r>
          </w:p>
        </w:tc>
      </w:tr>
      <w:tr>
        <w:trPr/>
        <w:tc>
          <w:tcPr>
            <w:tcW w:w="2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3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3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6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8354" w:type="dxa"/>
        <w:jc w:val="left"/>
        <w:tblInd w:w="0" w:type="dxa"/>
        <w:tblLayout w:type="fixed"/>
        <w:tblCellMar>
          <w:top w:w="28" w:type="dxa"/>
          <w:left w:w="28" w:type="dxa"/>
          <w:bottom w:w="28" w:type="dxa"/>
          <w:right w:w="28" w:type="dxa"/>
        </w:tblCellMar>
      </w:tblPr>
      <w:tblGrid>
        <w:gridCol w:w="929"/>
        <w:gridCol w:w="816"/>
        <w:gridCol w:w="819"/>
        <w:gridCol w:w="109"/>
        <w:gridCol w:w="109"/>
        <w:gridCol w:w="109"/>
        <w:gridCol w:w="284"/>
        <w:gridCol w:w="627"/>
        <w:gridCol w:w="364"/>
        <w:gridCol w:w="109"/>
        <w:gridCol w:w="109"/>
        <w:gridCol w:w="109"/>
        <w:gridCol w:w="284"/>
        <w:gridCol w:w="627"/>
        <w:gridCol w:w="364"/>
        <w:gridCol w:w="109"/>
        <w:gridCol w:w="109"/>
        <w:gridCol w:w="109"/>
        <w:gridCol w:w="211"/>
        <w:gridCol w:w="436"/>
        <w:gridCol w:w="109"/>
        <w:gridCol w:w="109"/>
        <w:gridCol w:w="109"/>
        <w:gridCol w:w="109"/>
        <w:gridCol w:w="275"/>
        <w:gridCol w:w="265"/>
        <w:gridCol w:w="636"/>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or bps</w:t>
            </w:r>
          </w:p>
        </w:tc>
      </w:tr>
      <w:tr>
        <w:trPr/>
        <w:tc>
          <w:tcPr>
            <w:tcW w:w="2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3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3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3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3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6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WCC revenues of $433 million and $876 million in the three and six months ended June 30, 2026, decreased $23 million, or 5%, and decreased $21 million or 2%, compared to $456 million and $897 million in the three and six months ended June 30, 2025,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second quarter year-over-year decrease was primarily due to lower activity for liner hangers which was responsible for approximately 70% of the decrease within product lines with revenue decreases. This was partly offset by a revenue increase from completions activity. Geographically, approximately all of the revenue decrease was from the Middle East/North Africa/Asia region. The Iran Conflict was the primary contributor to the decline of activity in the Middle East/North Africa/Asia region. The decrease in revenue was partly offset by a revenue increase in the Latin America region.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year-to-date year-over-year revenue decrease was primarily due to lower activity in well services, liner hangers and cementation products, which accounted for approximately 40%, 30% and 25% of the decrease, respectively, among product lines with revenue decreases. This was partly offset by a revenue increase from completions activity. Geographically, all of the revenue decrease was from the Middle East/North Africa/Asia region. This was partly offset by a revenue increase in the Latin America region.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WCC segment adjusted EBITDA of $107 million and $217 million in the three and six months ended June 30, 2026, decreased $11 million or 9%, and decreased $29 million or 12%, compared to $118 million and $246 million in the three and six months ended June 30, 2025, respectively. WCC segment adjusted EBITDA margin was 24.7% and 24.8% in the three and six months ended June 30, 2026, compared to 25.9% and 27.4% in the three and six months ended June 30, 2025, respectively. The second quarter segment adjusted EBITDA decreased year-over-year primarily due to lower activity in the Middle East/North Africa/Asia region. In the second quarter, both direct costs and other expense decreased along with the decrease in activity. However, the rate of decrease in direct costs was lower than the rate of decrease in revenue, contributing to the decrease in margin. The year-to-date segment adjusted EBITDA decreased year-over-year primarily due to lower activity in the Middle East/North Africa/Asia region and an increase in direct operating costs. Year-to-date, direct costs increased while revenue decreased causing the decrease in margin. </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PRI Results</w:t>
      </w:r>
    </w:p>
    <w:p>
      <w:pPr>
        <w:pStyle w:val="TextBody"/>
        <w:bidi w:val="0"/>
        <w:spacing w:before="0" w:after="0"/>
        <w:ind w:left="0" w:right="0" w:firstLine="360"/>
        <w:jc w:val="both"/>
        <w:rPr/>
      </w:pPr>
      <w:r>
        <w:rPr/>
      </w:r>
    </w:p>
    <w:tbl>
      <w:tblPr>
        <w:tblW w:w="8280" w:type="dxa"/>
        <w:jc w:val="left"/>
        <w:tblInd w:w="0" w:type="dxa"/>
        <w:tblLayout w:type="fixed"/>
        <w:tblCellMar>
          <w:top w:w="28" w:type="dxa"/>
          <w:left w:w="28" w:type="dxa"/>
          <w:bottom w:w="28" w:type="dxa"/>
          <w:right w:w="28" w:type="dxa"/>
        </w:tblCellMar>
      </w:tblPr>
      <w:tblGrid>
        <w:gridCol w:w="929"/>
        <w:gridCol w:w="816"/>
        <w:gridCol w:w="819"/>
        <w:gridCol w:w="109"/>
        <w:gridCol w:w="109"/>
        <w:gridCol w:w="109"/>
        <w:gridCol w:w="284"/>
        <w:gridCol w:w="627"/>
        <w:gridCol w:w="364"/>
        <w:gridCol w:w="109"/>
        <w:gridCol w:w="109"/>
        <w:gridCol w:w="109"/>
        <w:gridCol w:w="284"/>
        <w:gridCol w:w="627"/>
        <w:gridCol w:w="364"/>
        <w:gridCol w:w="109"/>
        <w:gridCol w:w="109"/>
        <w:gridCol w:w="109"/>
        <w:gridCol w:w="211"/>
        <w:gridCol w:w="436"/>
        <w:gridCol w:w="109"/>
        <w:gridCol w:w="109"/>
        <w:gridCol w:w="109"/>
        <w:gridCol w:w="109"/>
        <w:gridCol w:w="238"/>
        <w:gridCol w:w="228"/>
        <w:gridCol w:w="636"/>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or bps</w:t>
            </w:r>
          </w:p>
        </w:tc>
      </w:tr>
      <w:tr>
        <w:trPr/>
        <w:tc>
          <w:tcPr>
            <w:tcW w:w="2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3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6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8280" w:type="dxa"/>
        <w:jc w:val="left"/>
        <w:tblInd w:w="0" w:type="dxa"/>
        <w:tblLayout w:type="fixed"/>
        <w:tblCellMar>
          <w:top w:w="28" w:type="dxa"/>
          <w:left w:w="28" w:type="dxa"/>
          <w:bottom w:w="28" w:type="dxa"/>
          <w:right w:w="28" w:type="dxa"/>
        </w:tblCellMar>
      </w:tblPr>
      <w:tblGrid>
        <w:gridCol w:w="929"/>
        <w:gridCol w:w="816"/>
        <w:gridCol w:w="819"/>
        <w:gridCol w:w="109"/>
        <w:gridCol w:w="109"/>
        <w:gridCol w:w="109"/>
        <w:gridCol w:w="284"/>
        <w:gridCol w:w="627"/>
        <w:gridCol w:w="364"/>
        <w:gridCol w:w="109"/>
        <w:gridCol w:w="109"/>
        <w:gridCol w:w="109"/>
        <w:gridCol w:w="284"/>
        <w:gridCol w:w="627"/>
        <w:gridCol w:w="364"/>
        <w:gridCol w:w="109"/>
        <w:gridCol w:w="109"/>
        <w:gridCol w:w="109"/>
        <w:gridCol w:w="211"/>
        <w:gridCol w:w="436"/>
        <w:gridCol w:w="109"/>
        <w:gridCol w:w="109"/>
        <w:gridCol w:w="109"/>
        <w:gridCol w:w="109"/>
        <w:gridCol w:w="239"/>
        <w:gridCol w:w="227"/>
        <w:gridCol w:w="636"/>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or bps</w:t>
            </w:r>
          </w:p>
        </w:tc>
      </w:tr>
      <w:tr>
        <w:trPr/>
        <w:tc>
          <w:tcPr>
            <w:tcW w:w="2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6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PRI revenues of $316 million and $612 million in the three and six months ended June 30, 2026, decreased $11 million or 3% and decreased $49 million or 7%, compared to $327 million and $661 million in the three and six months ended June 30, 2025,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second quarter year-over-year revenue decrease was primarily due to a decline in activity for artificial lift which was responsible for approximately 75% of the decrease within product lines with revenue decreases. This was partly offset by a revenue increase from pressure pumping activity. Geographically, within the regions with revenue decreases, approximately 75% of the decrease was from North America. This was partly offset by a revenue increase in the Europe/Sub-Sahara Africa/Russia region.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year-to-date year-over-year revenue decrease was primarily due to lower activity in artificial lift and intervention services and drilling tools, which accounted for approximately 60% and 40% of the decrease, respectively. Geographically, within the regions with revenue decreases, approximately 60% of the decrease was from North America and approximately 30% of the decrease was from Latin America. This was partly offset by a revenue increase in the Europe/Sub-Sahara Africa/Russia region.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PRI segment adjusted EBITDA of $70 million and $124 million in the three and six months ended June 30, 2026, increased $7 million or 11%, and decreased $1 million or 1%, compared to $63 million and $125 million in the three and six months ended June 30, 2025, respectively. PRI segment adjusted EBITDA margin was 22.2% and 20.3% in the three and six months ended June 30, 2026, compared to 19.3% and 18.9% in the three and six months ended June 30, 2025, respectively. The second quarter segment adjusted EBITDA increased year-over-year primarily due to higher margin activity in intervention services and drilling tools. In the second quarter, both direct costs and other expense decreased along with the decrease in activity. The rate of decrease for direct costs and other expense was higher than the rate of decrease in revenue, contributing to the increase in margin. The year-to-date segment adjusted EBITDA decreased slightly year-over-year with a decline in overall activity offset by reduction of costs and increased higher margin activity in digital solutions. Year-to-date, both direct costs and other expense decreased along with the decrease in revenue. The rate of decrease for direct costs and other expense was higher than the rate of decrease in revenue, contributing to the increase in margin.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All Other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Other results were from non-core business activities that do not individually meet the criteria for segment reporting, including integrated services and projects, which includes pass-through and project management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Other revenues were $65 million and $157 million in the three and six months ended June 30, 2026, compared to $86 million and $154 million in the three and six months ended June 30, 2025. In the second quarter, the year-over-year decrease was due to lower activity in the Middle East/North Africa/Asia region following the completion of certain integrated services and projects that were not renewed. Year-to-date, the year-over-year increase was due to higher international activity for integrated services and projects.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Corporate Costs</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Corporate incurred net expense was $18 million and $34 million in the three and six months ended June 30, 2026 compared to $15 million and $30 million in the three and six months ended June 30, 2025. The year-over-year increase was primarily due to an increase in employee incentive programs.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$71 million and $141 million in the three and six months ended June 30, 2026 compared to $64 million and $126 million in the three and six months ended June 30, 2025. The year-over-year increase was primarily due to a larger asset base.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Share-based Compensation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recognized $11 million and $23 million of share-based compensation in the three and six months ended June 30, 2026 compared to $9 million and $16 million in the three and six months ended June 30, 2025. The year-over-year increase was primarily due to the timing of equity grants and increased expense related to performance-based awards.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Growth and spending in the energy services industry is highly dependent on many external factors. These include but are not limited to; the impact from geopolitical conflicts; our customers’ capital expenditures; environmental, social and other sustainability policies and initiatives; world economic, political, trade, and weather conditions; the price of oil, natural gas, and alternatives; member-country quota compliance within the Organization of Petroleum Exporting Countries and the expanded alliance (OPEC+); and, non-OPEC+ investments and project timing. Imbalances across geographies driven by geopolitical conflicts, investment variances and supply disruptions are driving a greater focus on energy security and resiliency, which in turn is creating a shift towards national oil companies and diversification across multiple energy sources (oil, gas, coal, renewables, etc.) to meet domestic and global demand.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look forward to the third quarter, the pace of recovery in the Middle East remains the primary factor influencing our near-term outlook. Ongoing geopolitical tensions and operational disruptions continue to create uncertainty around the timing of a full return to normalized conditions. For the remainder of 2026, we expect activity levels to gradually recover while recognizing the potential for continued volatility. We continue to closely monitor geopolitical developments, customer spending patterns, supply chain conditions, trade policies, inflationary pressures, and labor and logistical constraints that could impact our operations and financial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the mid to long-term, we continue to believe the industry is supported by structural demand drivers rooted in energy security, infrastructure development, and the need for reliable and diversified energy supply. While near-term activity levels may remain uneven across certain markets, we believe our differentiated technologies, growing offshore and deepwater opportunities, operational execution, and disciplined capital allocation position us well to capitalize on long-cycle growth opportunities.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we had cash and cash equivalents of $1.1 billion and $37 million in restricted cash, compared to $987 million of cash and cash equivalents and $55 million in restricted cash at December 31, 2025.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cash flows provided by (used in) each type of business activity in the periods presented:</w:t>
      </w:r>
    </w:p>
    <w:tbl>
      <w:tblPr>
        <w:tblW w:w="6013" w:type="dxa"/>
        <w:jc w:val="center"/>
        <w:tblInd w:w="0" w:type="dxa"/>
        <w:tblLayout w:type="fixed"/>
        <w:tblCellMar>
          <w:top w:w="28" w:type="dxa"/>
          <w:left w:w="28" w:type="dxa"/>
          <w:bottom w:w="28" w:type="dxa"/>
          <w:right w:w="28" w:type="dxa"/>
        </w:tblCellMar>
      </w:tblPr>
      <w:tblGrid>
        <w:gridCol w:w="1297"/>
        <w:gridCol w:w="1139"/>
        <w:gridCol w:w="1149"/>
        <w:gridCol w:w="290"/>
        <w:gridCol w:w="744"/>
        <w:gridCol w:w="149"/>
        <w:gridCol w:w="290"/>
        <w:gridCol w:w="744"/>
        <w:gridCol w:w="211"/>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11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operating activities was $311 million for the six months ended June 30, 2026 compared to cash provided by operating activities of $270 million for the six months ended June 30, 2025. The increase in cash provided by operating activities in the first six months of 2026 over the same period in 2025 was primarily due to lower payments on accounts payable and lower employee costs, partially offset by lower accounts receivable collections.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was $110 million for the six months ended June 30, 2026. The primary investing use of cash was for capital expenditures of $96 million. Cash used in investing activities also includes $12 million in equity investments. Cash used in investing activities also includes the use of the Blue Chip Swap mechanism in Argentina, of which the purchases of $14 million offset the proceeds of $14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was $36 million for the six months ended June 30, 2025. The primary investing activities were cash used for capital expenditures of $131 million, partially offset by $97 million of proceeds received from the sale of our pressure pumping business in Argentina. Cash used in investing activities also includes the use of the Blue Chip Swap mechanism in Argentina, of which the purchases of $83 million offset the proceeds of $82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was $105 million for the six months ended June 30, 2026. The primary financing uses of cash were for cash dividends of $40 million, share repurchases of $26 million (see “Note 9 – Shareholders’ Equity”), tax remittances on equity awards vested of $18 million and repayments of long-term debt of $17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was $230 million for the six months ended June 30, 2025. The primary financing uses of cash were share repurchases of $87 million, repayments and repurchases of long-term debt of $73 million, cash dividends of $36 million and tax remittances on equity awards of $20 million.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sources of available liquidity include cash generated by our operations, cash and cash equivalent balances, and periodic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collections, we expect to have sufficient cash from operations and cash on hand to fund our cash requirements (discussed below), both in the short-term and long-term.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Cash Requirements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cash requirements will continue to include payments for principal and interest on our long-term debt, capital expenditures, payments on our finance and operating leases, payments for short-term working capital needs and operating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near term we anticipate cash uses to include costs related to our Redomestication, mergers and acquisition activity and restructuring costs. We expect to utilize cash in our capital allocation framework, which includes investments in technology and infrastructure upgrades, and in strategic mergers and acquisitions. Our cash requirements also include personnel costs, including awards under our employee incentive programs and other amounts to settle litigation related matters.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have derivative financial instruments where we have notional amounts that do not generally represent cash amounts exchanged by the parties and are calculated based on the terms of the derivative instrument, however, in the event of a related default, we could potentially be required to pay. See further discussion in our Consolidated Financial Statements included in our Form 10-K for the year ended December 31, 2025 (“2025 Form 10-K”). Our cash requirements also include payments for our shareholder returns programs described in “Note 9 – Shareholders’ Equity.”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had outstanding debt of $236 million in aggregate principal amount for our 2030 Senior Notes and $1.2 billion in aggregate principal amount for our 2033 Senior Notes. We expect to pay $103 million in interest payments in 2026 specific to these notes. See “Note 7 – Borrowings and Other Debt Obligations” for additional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capital spend is expected to be 3-5% of revenue over a 12 to 18 month rolling period and our 2026 capital spend is projected to be within the same framework. Our payments on our operating and finance leases in 2026 are expected to be approximately $61 million and $37 million,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are held by subsidiaries outside of Ireland. At June 30, 2026 and December 31, 2025, we had approximately $156 million and $31 million, respectively, of our cash and cash equivalents that cannot be immediately repatriated from various countries due to country central bank controls or other regulations. As we continue to conduct business in certain countries with cash that cannot be immediately repatriated, we may consider infrequent transactions to safeguard our cash from exposure to the effects of inflation and currency devaluation. Repatriation of those cash balances might result in incremental taxes or costs.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Ratings Services’ Credit Ratings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credit ratings at December 31, 2025 have been maintained as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Moody's Investors Service maintained a Corporate Family Rating of Ba2 and a positive outlook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Standard and Poor maintained issuer credit ratings of ‘BB;’ with a stable outlook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Fitch Ratings maintained our issuer credit ratings of ‘BB;’ with a stable outlook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Customer Receivables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experience delays or defaults in customer payments due to, among other reasons, a weaker economic environment, reductions in our customers’ cash flow from operations, our customers’ inability to access credit markets or reach acceptable financing terms, as well as unsettled political and/or social conditions. Allowances have been recorded for receivables believed to be uncollectible, including amounts for the resolution of potential credit and other collection issues such as disputed invoices. Adjustments to the allowance are made depending on how potential issues are resolved and the financial condition of our customers. In addition, our customers are primarily in fossil fuel-related industries and broad declines in demand for or pricing of oil or natural gas might impact the collections of our customer receivables.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net accounts receivables in Mexico were 25% and 27% of our total net accounts receivables, as of June 30, 2026 and December 31, 2025, respectively, of which our largest customer in the country accounted for 21% and 24% of our total net outstanding accounts receivables, respectively. Our largest customer in Mexico has a history of making late payments and, at times in the past, has utilized third-party financial institutions to pay certain of our receivables. The balances due are not in dispute, however, additional or continued delays in customer payments in the future could differ from historical practice and management’s current expectations; and delays or failures to pay or defaults, if any, could negatively impact the future results of the Company.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our net accounts receivables in the U.S were 10% and 11% of total net accounts receivables, respectively. Our net accounts receivables in Russia was 12% of total net accounts receivables as of June 30, 2026. Except for the above, no other country accounted for more than 10% of our net accounts receivables balance.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Accounts Receivable Factoring</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participate in factoring arrangements to sell accounts receivable to third-party financial institutions for cash proceeds net of discounts and hold-back. During the three and six months ended June 30, 2026, we sold accounts receivable balances of $7 million and </w:t>
      </w:r>
      <w:bookmarkStart w:id="2" w:name="ifa677d24075144af879501454049e6f6_525"/>
      <w:bookmarkEnd w:id="2"/>
      <w:r>
        <w:rPr>
          <w:rFonts w:ascii="Times New Roman;serif" w:hAnsi="Times New Roman;serif"/>
          <w:b w:val="false"/>
          <w:color w:val="000000"/>
          <w:sz w:val="20"/>
        </w:rPr>
        <w:t xml:space="preserve">$13 million, and received cash proceeds of $7 million and $13 million, respectively, at the time of factoring. During the three and six months ended June 30, 2025, we sold accounts receivable balances of $88 million and $143 million, and received cash proceeds of $86 million and $141 million, respectively, at the time of factoring.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above factoring proceeds were included in Net Cash Provided by Operating Activities in the Condensed Consolidated Statements of Cash Flows.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Guarantees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2030 Senior Notes were issued by Weatherford International Ltd. (“Weatherford Bermuda”) and guaranteed by the Company and other subsidiary guarantors party thereto. On December 1, 2022, the indenture related to our 2030 Senior Notes was amended and supplemented to add Weatherford International, LLC (now Weatherford US Holding, LLC following a name change effective March 19, 2026, “Weatherford Delaware”) as co-issuer and co-obligor, and concurrently released the guarantee of Weatherford Delaware.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2033 Senior Notes were issued by Weatherford Bermuda and guaranteed by the Company and other subsidiary guarantors party thereto. On October 24, 2025, the indenture related to our 2033 Senior Notes was amended and supplemented to add Weatherford Delaware as co-issuer and co-obligor, and concurrently released the guarantee of Weatherford Delaware.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Agreement, Letters of Credit and Surety Bonds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June 30, 2026 and December 31, 2025, the Credit Agreement allowed for a total commitment amount of $1 billion, maturing on the date that occurs first: (a) September 18, 2030 or (b) if more than $200 million of the 2030 Senior Notes remain outstanding, the date that is 91 days before the maturity of those notes.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under the Credit Agreement we had zero borrowings, $4 million in financial letters of credit and $243 million in performance letters of credit outstanding. Additionally as of June 30, 2026, we had $233 million letters of credit under various uncommitted bi-lateral facilities ($32 million of which was cash collateral held and recorded in “Restricted Cash” on the Condensed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under the Credit Agreement we had zero borrowings, $7 million in financial letters of credit and $245 million in performance letters of credit outstanding. Additionally as of December 31, 2025, we had $207 million of letters of credit under various uncommitted bi-lateral facilities ($47 million of which was cash collateral held and recorded in “Restricted Cash” on the Condensed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utilize surety bonds as part of our customary business practice in certain regions, primarily Latin America. As of June 30, 2026 and December 31, 2025, we had surety bonds outstanding of $540 million and $629 million, respectively. Any of our outstanding letters of credit or surety bonds could be called by the beneficiaries should we breach certain contractual or performance obligations and could reduce our available liquidity if we are unable to mitigate the issue.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report contains various statements relating to future financial performance and results, business strategy, plans, goals and objectives, including certain projections, business trends, our shareholder returns program, and other statements that are not historical facts. These statements constitute forward-looking statements. These forward-looking statements generally are identified by the words “believe,” “project,” “expect,” “anticipate,” “estimate,” “intend,” “budget,” “strategy,”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guidance,” “outlook,” “may,” “should,” “could,” “will,” “would,” “will be,” “will continue,” “will likely result,” and similar expressions, although not all forward-looking statements contain these identifying words.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this report, or if earlier, as of the date they were made, and we undertake no obligation to correct, update or revise any forward-looking statement, whether as a result of new information, future events, or otherwise, except to the extent required under federal securities laws. The following, together with disclosures under the heading “Item 1A. Risk Factors” in our 2025 Form 10-K, Part I, and “Part II – Other Information – Item 1A. Risk Factors” of this Form 10-Q, sets forth certain risks and uncertainties relating to our forward-looking statements that may cause actual results to be materially different from our present expectations or projections: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global political, economic and market conditions, political disturbances, war or other global conflicts, terrorist attacks, changes in global trade policies, tariffs and sanctions, weak local economic conditions and international currency fluctuations (including the Russia Ukraine Conflict, the Iran Conflict and other conflicts in the Middle East);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general global economic repercussions related to U.S. and global inflationary pressures and potential recessionary concerns;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ensure on-going compliance with current and future laws and government regulations, including but not limited to those related to the Russia Ukraine Conflict, and environmental and tax and accounting laws, rules and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and the administration of, treaties, laws, and regulations, including in response to issues related to the Russia Ukraine Conflict such as nationalization of assets, and the potential for such issues to exacerbate other risks and uncertainties listed or referenced;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increases in the prices and lead times, and the lack of availability of our procured products and services, including due to macroeconomic and geopolitical conditions such as tariffs and changes in trade policies;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timely collect from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effectively and timely address the need to conduct our operations and provide services to our customers more sustainably and with a lower carbon footprint;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price and price volatility of, and demand for, oil, natural gas and natural gas liquids;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member-country quota compliance within the Organization of Petroleum Exporting Countries;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realize expected revenues and profitability levels from current and future contracts;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generate cash flow from operations to fund our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realize cost savings and business enhancements from our revenue and cost improvement efforts;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effectively execute our capital allocation framework;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attract, motivate and retain employees, including key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access the capital markets on terms that are commercially acceptable to the Company;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return capital to shareholders, including those related to the timing and amounts (including any plans or commitments in respect thereof) of any dividends and share repurchases;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service our debt obligations;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non-cash asset impairment charges for long-lived assets, intangible assets or other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weather conditions in certain regions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disease outbreaks and other public health issues, including a pandemic, their impact on the global economy and our business, customers, suppliers and other partners; further spread and potential for a resurgence of a pandemic in a given geographic region and related disruptions to our business, employees, customers, suppliers and other partners and additional regulatory measures or voluntary actions that may be put in place to limit the spread of a pandemic, including vaccination requirements and the associated availability of vaccines, restrictions on business operations or social distancing requirements, and the duration and efficacy of such restrictions;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receive, in a timely manner and on satisfactory terms, required shareholder and court approval, and to satisfy the other conditions to the Redomestication within the expected timeframe or at all;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realize the expected benefits from the Redomestication;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occurrence of difficulties in connection with the Redomestication, including any costs related thereto;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risk that the Proposed Transaction is not consummated as expected, in a timely manner or at all;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any of the anticipated benefits of the Proposed Transaction will not be realized or will not be realized within the expected time period.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Finally, our future results will depend upon various other risks and uncertainties, including, but not limited to, those detailed in our current and past filings with the SEC under the Exchange Act and the Securities Act of 1933, as amended.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exposure to market risk has not changed materially since December 31, 2025. For additional information, see “Note 7 – Borrowings and Other Debt Obligations” in the Notes to Condensed Consolidated Financial Statements, as well as “Other Expense, Net” and “Liquidity and Capital Resources” under Item 2. Management’s Discussion and Analysis of Financial Condition and Results of Operations.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Evaluation of Disclosure Controls and Procedures. </w:t>
      </w:r>
      <w:r>
        <w:rPr>
          <w:rFonts w:ascii="Times New Roman;serif" w:hAnsi="Times New Roman;serif"/>
          <w:b w:val="false"/>
          <w:color w:val="000000"/>
          <w:sz w:val="20"/>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under the supervision and with the participation of our CEO and CFO, evaluated the effectiveness of the design and operation of our disclosure controls and procedures at June 30, 2026. Based on that evaluation, our CEO and CFO concluded that our disclosure controls and procedures were effective as of June 30,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identified no change in our internal control over financial reporting that occurred during the three months ended June 30, 2026 that has materially affected, or is reasonably likely to materially affect, our internal control over financial reporting.</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60" w:after="60"/>
        <w:ind w:left="0" w:right="0" w:firstLine="36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See “Note 8 – Disputes, Litigation and Legal Contingencies” in our Notes to Condensed Consolidated Financial Statements for details regarding our ongoing disputes and litigation.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investment in our securities involves various risks. You should consider carefully all of the risk factors described in our 2025 Form 10-K, Part I, under the heading “Item 1A. Risk Factors” as supplemented by the risk factors described in our definitive proxy statement on Schedule 14A filed with the SEC on July 13, 2026 and Form S-4 registration statement filed with the SEC on July 6, 2026 and amended on July 17, 2026, and other information included and incorporated by reference in this report. As of June 30, 2026, there have been no material changes in our assessment of our risk factors from the aforementioned.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Unregistered Sales of Equity Securities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Issuer Repurchases of Equity Securities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Following is a summary of our repurchases of our ordinary shares during the three months ended June 30, 2026.</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85"/>
        <w:gridCol w:w="250"/>
        <w:gridCol w:w="252"/>
        <w:gridCol w:w="672"/>
        <w:gridCol w:w="538"/>
        <w:gridCol w:w="540"/>
        <w:gridCol w:w="453"/>
        <w:gridCol w:w="453"/>
        <w:gridCol w:w="455"/>
        <w:gridCol w:w="1073"/>
        <w:gridCol w:w="991"/>
        <w:gridCol w:w="994"/>
        <w:gridCol w:w="1086"/>
        <w:gridCol w:w="892"/>
        <w:gridCol w:w="1271"/>
      </w:tblGrid>
      <w:tr>
        <w:trPr/>
        <w:tc>
          <w:tcPr>
            <w:tcW w:w="2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Period</w:t>
            </w:r>
          </w:p>
        </w:tc>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w:t>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Total Number of Shares Purchased as Part of a Publicly Announced Program</w:t>
            </w:r>
            <w:r>
              <w:rPr>
                <w:color w:val="000000"/>
              </w:rPr>
              <w:t xml:space="preserve"> </w:t>
            </w:r>
            <w:r>
              <w:rPr>
                <w:rFonts w:ascii="Times New Roman;serif" w:hAnsi="Times New Roman;serif"/>
                <w:b w:val="false"/>
                <w:color w:val="000000"/>
                <w:sz w:val="16"/>
              </w:rPr>
              <w:t>(1)</w:t>
            </w:r>
          </w:p>
        </w:tc>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Maximum Dollar Value of Shares that may yet be Purchased Under the Program </w:t>
            </w:r>
            <w:r>
              <w:rPr>
                <w:rFonts w:ascii="Times New Roman;serif" w:hAnsi="Times New Roman;serif"/>
                <w:b w:val="false"/>
                <w:color w:val="000000"/>
                <w:sz w:val="16"/>
              </w:rPr>
              <w:t>(1)</w:t>
            </w:r>
          </w:p>
        </w:tc>
      </w:tr>
      <w:tr>
        <w:trPr/>
        <w:tc>
          <w:tcPr>
            <w:tcW w:w="7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1 - 30</w:t>
            </w:r>
          </w:p>
        </w:tc>
        <w:tc>
          <w:tcPr>
            <w:tcW w:w="12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35,033 </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$101.19</w:t>
            </w:r>
          </w:p>
        </w:tc>
        <w:tc>
          <w:tcPr>
            <w:tcW w:w="2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35,033 </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$286,080,885</w:t>
            </w:r>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1 - 31</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29,278 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29,278 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$282,922,327</w:t>
            </w:r>
          </w:p>
        </w:tc>
      </w:tr>
      <w:tr>
        <w:trPr/>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1 - 30</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97,677 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97,677 </w:t>
            </w:r>
          </w:p>
        </w:tc>
        <w:tc>
          <w:tcPr>
            <w:tcW w:w="9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$274,084,632</w:t>
            </w:r>
          </w:p>
        </w:tc>
      </w:tr>
      <w:tr>
        <w:trPr/>
        <w:tc>
          <w:tcPr>
            <w:tcW w:w="78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1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161,988 </w:t>
            </w:r>
          </w:p>
        </w:tc>
        <w:tc>
          <w:tcPr>
            <w:tcW w:w="5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w:t>
            </w:r>
          </w:p>
        </w:tc>
        <w:tc>
          <w:tcPr>
            <w:tcW w:w="206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161,988 </w:t>
            </w:r>
          </w:p>
        </w:tc>
        <w:tc>
          <w:tcPr>
            <w:tcW w:w="9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058" w:type="dxa"/>
            <w:gridSpan w:val="3"/>
            <w:tcBorders/>
            <w:vAlign w:val="center"/>
          </w:tcPr>
          <w:p>
            <w:pPr>
              <w:pStyle w:val="TableContents"/>
              <w:bidi w:val="0"/>
              <w:spacing w:before="0" w:after="283"/>
              <w:jc w:val="left"/>
              <w:rPr>
                <w:sz w:val="4"/>
                <w:szCs w:val="4"/>
              </w:rPr>
            </w:pPr>
            <w:r>
              <w:rPr>
                <w:sz w:val="4"/>
                <w:szCs w:val="4"/>
              </w:rPr>
            </w:r>
          </w:p>
        </w:tc>
        <w:tc>
          <w:tcPr>
            <w:tcW w:w="324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81"/>
        <w:gridCol w:w="599"/>
        <w:gridCol w:w="599"/>
        <w:gridCol w:w="599"/>
        <w:gridCol w:w="599"/>
        <w:gridCol w:w="599"/>
        <w:gridCol w:w="599"/>
        <w:gridCol w:w="599"/>
        <w:gridCol w:w="599"/>
        <w:gridCol w:w="599"/>
        <w:gridCol w:w="599"/>
        <w:gridCol w:w="599"/>
        <w:gridCol w:w="599"/>
        <w:gridCol w:w="599"/>
        <w:gridCol w:w="599"/>
        <w:gridCol w:w="109"/>
        <w:gridCol w:w="109"/>
        <w:gridCol w:w="109"/>
        <w:gridCol w:w="109"/>
        <w:gridCol w:w="109"/>
        <w:gridCol w:w="109"/>
        <w:gridCol w:w="109"/>
        <w:gridCol w:w="109"/>
        <w:gridCol w:w="109"/>
        <w:gridCol w:w="157"/>
      </w:tblGrid>
      <w:tr>
        <w:trPr/>
        <w:tc>
          <w:tcPr>
            <w:tcW w:w="6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067"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On July 23, 2024, we announced a program under which we may repurchase our ordinary shares from time to time, up to $500 million through June 2027. Approximately $274 million remained authorized for repurchases as of June 30, 2026. From the inception of this program in July of 2024 through June 30, 2026, we have repurchased approximately 3.2 million ordinary shares for $226 million.</w:t>
            </w:r>
          </w:p>
        </w:tc>
        <w:tc>
          <w:tcPr>
            <w:tcW w:w="1138" w:type="dxa"/>
            <w:gridSpan w:val="10"/>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executive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exhibits designated with a dagger (†) are filed herewith or double dagger (††) are furnished herewith. </w:t>
      </w:r>
    </w:p>
    <w:tbl>
      <w:tblPr>
        <w:tblW w:w="10205" w:type="dxa"/>
        <w:jc w:val="left"/>
        <w:tblInd w:w="0" w:type="dxa"/>
        <w:tblLayout w:type="fixed"/>
        <w:tblCellMar>
          <w:top w:w="28" w:type="dxa"/>
          <w:left w:w="28" w:type="dxa"/>
          <w:bottom w:w="28" w:type="dxa"/>
          <w:right w:w="28" w:type="dxa"/>
        </w:tblCellMar>
      </w:tblPr>
      <w:tblGrid>
        <w:gridCol w:w="351"/>
        <w:gridCol w:w="308"/>
        <w:gridCol w:w="309"/>
        <w:gridCol w:w="109"/>
        <w:gridCol w:w="109"/>
        <w:gridCol w:w="109"/>
        <w:gridCol w:w="2074"/>
        <w:gridCol w:w="1960"/>
        <w:gridCol w:w="1979"/>
        <w:gridCol w:w="628"/>
        <w:gridCol w:w="628"/>
        <w:gridCol w:w="630"/>
        <w:gridCol w:w="293"/>
        <w:gridCol w:w="293"/>
        <w:gridCol w:w="425"/>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Filed Exhibit</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3"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3"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3"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3"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3"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3"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3"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3"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33firstjoinder4-28.htm">
              <w:r>
                <w:rPr>
                  <w:rStyle w:val="InternetLink"/>
                  <w:rFonts w:ascii="Times New Roman;serif" w:hAnsi="Times New Roman;serif"/>
                  <w:b w:val="false"/>
                  <w:color w:val="0000FF"/>
                  <w:sz w:val="20"/>
                  <w:u w:val="single"/>
                </w:rPr>
                <w:t>Supplemental Indenture, dated as of April 28, 2026, by and among Weatherford International Ltd., Weatherford US Holding, LLC (formerly known as Weatherford International LLC), the guarantors party thereto, and UMB Bank, N.A., as trustee</w:t>
              </w:r>
            </w:hyperlink>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30firstjoinder4-28.htm">
              <w:r>
                <w:rPr>
                  <w:rStyle w:val="InternetLink"/>
                  <w:rFonts w:ascii="Times New Roman;serif" w:hAnsi="Times New Roman;serif"/>
                  <w:b w:val="false"/>
                  <w:color w:val="0000FF"/>
                  <w:sz w:val="20"/>
                  <w:u w:val="single"/>
                </w:rPr>
                <w:t>Supplemental Indenture, dated as of April 28, 2026, by and among Weatherford International Ltd., Weatherford US Holding, LLC (formerly known as Weatherford International LLC), the guarantors party thereto, and Deutsche Bank Trust Company, as trustee</w:t>
              </w:r>
            </w:hyperlink>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33notessupplementalinde.htm">
              <w:r>
                <w:rPr>
                  <w:rStyle w:val="InternetLink"/>
                  <w:rFonts w:ascii="Times New Roman;serif" w:hAnsi="Times New Roman;serif"/>
                  <w:b w:val="false"/>
                  <w:color w:val="0000FF"/>
                  <w:sz w:val="20"/>
                  <w:u w:val="single"/>
                </w:rPr>
                <w:t>Supplemental Indenture, dated as of May 26, 2026, by and among Weatherford International Ltd., Weatherford US Holding, LLC (formerly known as Weatherford International LLC), the guarantors party thereto, and UMB Bank, N.A., as trustee</w:t>
              </w:r>
            </w:hyperlink>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30notessupplementalinde.htm">
              <w:r>
                <w:rPr>
                  <w:rStyle w:val="InternetLink"/>
                  <w:rFonts w:ascii="Times New Roman;serif" w:hAnsi="Times New Roman;serif"/>
                  <w:b w:val="false"/>
                  <w:color w:val="0000FF"/>
                  <w:sz w:val="20"/>
                  <w:u w:val="single"/>
                </w:rPr>
                <w:t>Supplemental Indenture, dated as of May 26, 2026, by and among Weatherford International Ltd., Weatherford US Holding, LLC (formerly known as Weatherford International LLC), the guarantors party thereto, and Deutsche Bank Trust Company, as trustee</w:t>
              </w:r>
            </w:hyperlink>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Weatherford International plc Fifth Amended and Restated 2019 Equity Incentive Plan</w:t>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 to Current Report on Form 8-K filed June 11, 2026</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6-q2ex311ceo302cert.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6-q2ex312cfo302cert.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6-q2ex321ceo906cert.htm">
              <w:r>
                <w:rPr>
                  <w:rStyle w:val="InternetLink"/>
                  <w:rFonts w:ascii="Times New Roman;serif" w:hAnsi="Times New Roman;serif"/>
                  <w:b w:val="false"/>
                  <w:color w:val="0000FF"/>
                  <w:sz w:val="20"/>
                  <w:u w:val="single"/>
                </w:rPr>
                <w:t>Certification of Chief Executive Officer pursuant to Section 906 of the Sarbanes-Oxley Act of 2002.</w:t>
              </w:r>
            </w:hyperlink>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6-q2ex322cfo906cert.htm">
              <w:r>
                <w:rPr>
                  <w:rStyle w:val="InternetLink"/>
                  <w:rFonts w:ascii="Times New Roman;serif" w:hAnsi="Times New Roman;serif"/>
                  <w:b w:val="false"/>
                  <w:color w:val="0000FF"/>
                  <w:sz w:val="20"/>
                  <w:u w:val="single"/>
                </w:rPr>
                <w:t>Certification of Chief Financial Officer pursuant to Section 906 of the Sarbanes-Oxley Act of 2002.</w:t>
              </w:r>
            </w:hyperlink>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File No. 1-36504</w:t>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Management contract or compensatory arrangement.</w:t>
      </w:r>
    </w:p>
    <w:tbl>
      <w:tblPr>
        <w:tblW w:w="8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6613"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Weatherford International plc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Anuj Dhruv</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Anuj Dhruv</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Desmond J. Mills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Desmond J. Mills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THIRD SUPPLEMENTAL INDENTURE</w:t>
      </w:r>
    </w:p>
    <w:p>
      <w:pPr>
        <w:pStyle w:val="TextBody"/>
        <w:bidi w:val="0"/>
        <w:spacing w:lineRule="auto" w:line="288" w:before="0" w:after="0"/>
        <w:ind w:left="0" w:right="0" w:firstLine="720"/>
        <w:jc w:val="both"/>
        <w:rPr/>
      </w:pPr>
      <w:r>
        <w:rPr>
          <w:rFonts w:ascii="Times New Roman;serif" w:hAnsi="Times New Roman;serif"/>
          <w:b w:val="false"/>
          <w:color w:val="000000"/>
          <w:sz w:val="24"/>
        </w:rPr>
        <w:t>THIS THIRD SUPPLEMENTAL INDENTURE, dated as of April 28, 2026 (this “</w:t>
      </w:r>
      <w:r>
        <w:rPr>
          <w:rFonts w:ascii="Times New Roman;serif" w:hAnsi="Times New Roman;serif"/>
          <w:b w:val="false"/>
          <w:color w:val="000000"/>
          <w:sz w:val="24"/>
          <w:u w:val="single"/>
        </w:rPr>
        <w:t>Supplemental Indenture</w:t>
      </w:r>
      <w:r>
        <w:rPr>
          <w:color w:val="000000"/>
        </w:rPr>
        <w:t>”</w:t>
      </w:r>
      <w:r>
        <w:rPr>
          <w:rFonts w:ascii="Times New Roman;serif" w:hAnsi="Times New Roman;serif"/>
          <w:b w:val="false"/>
          <w:color w:val="000000"/>
          <w:sz w:val="24"/>
        </w:rPr>
        <w:t>), is among Weatherford International Ltd., a Bermuda exempted company limited by shares, and Weatherford US Holding, LLC, a Delaware limited liability company (formerly known as Weatherford International, LLC) (each, a “</w:t>
      </w:r>
      <w:r>
        <w:rPr>
          <w:rFonts w:ascii="Times New Roman;serif" w:hAnsi="Times New Roman;serif"/>
          <w:b w:val="false"/>
          <w:color w:val="000000"/>
          <w:sz w:val="24"/>
          <w:u w:val="single"/>
        </w:rPr>
        <w:t>Co-Issuer</w:t>
      </w:r>
      <w:r>
        <w:rPr>
          <w:color w:val="000000"/>
        </w:rPr>
        <w:t xml:space="preserve">” </w:t>
      </w:r>
      <w:r>
        <w:rPr>
          <w:rFonts w:ascii="Times New Roman;serif" w:hAnsi="Times New Roman;serif"/>
          <w:b w:val="false"/>
          <w:color w:val="000000"/>
          <w:sz w:val="24"/>
        </w:rPr>
        <w:t>and, together, the “</w:t>
      </w:r>
      <w:r>
        <w:rPr>
          <w:rFonts w:ascii="Times New Roman;serif" w:hAnsi="Times New Roman;serif"/>
          <w:b w:val="false"/>
          <w:color w:val="000000"/>
          <w:sz w:val="24"/>
          <w:u w:val="single"/>
        </w:rPr>
        <w:t>Co-Issuers</w:t>
      </w:r>
      <w:r>
        <w:rPr>
          <w:color w:val="000000"/>
        </w:rPr>
        <w:t>”</w:t>
      </w:r>
      <w:r>
        <w:rPr>
          <w:rFonts w:ascii="Times New Roman;serif" w:hAnsi="Times New Roman;serif"/>
          <w:b w:val="false"/>
          <w:color w:val="000000"/>
          <w:sz w:val="24"/>
        </w:rPr>
        <w:t>), the new guarantors listed on the signature pages hereto (each, a “</w:t>
      </w:r>
      <w:r>
        <w:rPr>
          <w:rFonts w:ascii="Times New Roman;serif" w:hAnsi="Times New Roman;serif"/>
          <w:b w:val="false"/>
          <w:color w:val="000000"/>
          <w:sz w:val="24"/>
          <w:u w:val="single"/>
        </w:rPr>
        <w:t>New Guarantor</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color w:val="000000"/>
          <w:sz w:val="24"/>
          <w:u w:val="single"/>
        </w:rPr>
        <w:t>New Guarantors</w:t>
      </w:r>
      <w:r>
        <w:rPr>
          <w:color w:val="000000"/>
        </w:rPr>
        <w:t>”</w:t>
      </w:r>
      <w:r>
        <w:rPr>
          <w:rFonts w:ascii="Times New Roman;serif" w:hAnsi="Times New Roman;serif"/>
          <w:b w:val="false"/>
          <w:color w:val="000000"/>
          <w:sz w:val="24"/>
        </w:rPr>
        <w:t>), Weatherford International plc, an Irish public limited company (the “</w:t>
      </w:r>
      <w:r>
        <w:rPr>
          <w:rFonts w:ascii="Times New Roman;serif" w:hAnsi="Times New Roman;serif"/>
          <w:b w:val="false"/>
          <w:color w:val="000000"/>
          <w:sz w:val="24"/>
          <w:u w:val="single"/>
        </w:rPr>
        <w:t>Parent Guarantor</w:t>
      </w:r>
      <w:r>
        <w:rPr>
          <w:color w:val="000000"/>
        </w:rPr>
        <w:t>”</w:t>
      </w:r>
      <w:r>
        <w:rPr>
          <w:rFonts w:ascii="Times New Roman;serif" w:hAnsi="Times New Roman;serif"/>
          <w:b w:val="false"/>
          <w:color w:val="000000"/>
          <w:sz w:val="24"/>
        </w:rPr>
        <w:t>), and UMB Bank, N.A., as trustee under the Indenture referred to herein (in such capacity,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 I T N E S S E T 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the Co-Issuers, the Parent Guarantor, the other Guarantors, and the Trustee have heretofore executed and delivered an Indenture, dated as of October 6, 2025 (the “</w:t>
      </w:r>
      <w:r>
        <w:rPr>
          <w:rFonts w:ascii="Times New Roman;serif" w:hAnsi="Times New Roman;serif"/>
          <w:b w:val="false"/>
          <w:color w:val="000000"/>
          <w:sz w:val="24"/>
          <w:u w:val="single"/>
        </w:rPr>
        <w:t>Base Indenture</w:t>
      </w:r>
      <w:r>
        <w:rPr>
          <w:color w:val="000000"/>
        </w:rPr>
        <w:t xml:space="preserve">” </w:t>
      </w:r>
      <w:r>
        <w:rPr>
          <w:rFonts w:ascii="Times New Roman;serif" w:hAnsi="Times New Roman;serif"/>
          <w:b w:val="false"/>
          <w:color w:val="000000"/>
          <w:sz w:val="24"/>
        </w:rPr>
        <w:t>and, as amended, supplemented, waived, or otherwise modified from time to time as of the date hereof, including, without limitation, by that certain Supplemental Indenture dated as of October 24, 2025, collectively,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providing for the issuance of an unlimited aggregate principal amount of 6.750% Senior Notes due 2033 of the Co-Issuers (the “</w:t>
      </w:r>
      <w:r>
        <w:rPr>
          <w:rFonts w:ascii="Times New Roman;serif" w:hAnsi="Times New Roman;serif"/>
          <w:b w:val="false"/>
          <w:color w:val="000000"/>
          <w:sz w:val="24"/>
          <w:u w:val="single"/>
        </w:rPr>
        <w:t>Notes</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9.1(d) of the Base Indenture, the Co-Issuers, the Parent Guarantor, and the Trustee are authorized to execute and deliver this Supplemental Indenture to amend or supplement the Indenture without the consent of any Holder to add any entity as a guarantor of the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each Co-Issuer desires to amend and supplement the Indenture to evidence the addition of each New Guarantor as a guarantor of the Notes;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Co-Issuers have delivered to the Trustee, and the Trustee has received, accepted and approved from the Co-Issuers, an Officers’ Certificate and an Opinion of Counsel in accordance with Sections 9.1(d), 11.3 and 11.4 of the Base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each Co-Issuer, each New Guarantor, the Parent Guarantor and the Trustee mutually covenant and agree for the equal and ratable benefit of the Holders as follows: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4"/>
        </w:rPr>
        <w:t>Article I.</w:t>
      </w:r>
      <w:r>
        <w:rPr>
          <w:rFonts w:ascii="Times New Roman;serif" w:hAnsi="Times New Roman;serif"/>
          <w:b w:val="false"/>
          <w:color w:val="000000"/>
          <w:sz w:val="24"/>
          <w:u w:val="single"/>
        </w:rPr>
        <w:t>Definitions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Section 1.01</w:t>
      </w:r>
      <w:r>
        <w:rPr>
          <w:rFonts w:ascii="Times New Roman;serif" w:hAnsi="Times New Roman;serif"/>
          <w:b w:val="false"/>
          <w:color w:val="000000"/>
          <w:sz w:val="24"/>
          <w:u w:val="single"/>
        </w:rPr>
        <w:t>Defined Terms</w:t>
      </w:r>
      <w:r>
        <w:rPr>
          <w:rFonts w:ascii="Times New Roman;serif" w:hAnsi="Times New Roman;serif"/>
          <w:b w:val="false"/>
          <w:color w:val="000000"/>
          <w:sz w:val="24"/>
        </w:rPr>
        <w:t xml:space="preserve">. As used in this Supplemental Indenture, capitalized terms defined in the Indenture or in the preamble or recitals thereto are used herein as therein defined. The words “herein,” “hereof” and “hereby” and other words of similar import used in this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2100"/>
                <wp:effectExtent l="0" t="0" r="0" b="0"/>
                <wp:wrapNone/>
                <wp:docPr id="38" name="Frame3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Supplemental Indenture refer to this Supplemental Indenture as a whole and not to any particular section hereof.</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Article II.</w:t>
      </w:r>
      <w:r>
        <w:rPr>
          <w:rFonts w:ascii="Times New Roman;serif" w:hAnsi="Times New Roman;serif"/>
          <w:b w:val="false"/>
          <w:color w:val="000000"/>
          <w:sz w:val="24"/>
          <w:u w:val="single"/>
        </w:rPr>
        <w:t>Agreement to Guarantee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Section 2.01</w:t>
      </w:r>
      <w:r>
        <w:rPr>
          <w:rFonts w:ascii="Times New Roman;serif" w:hAnsi="Times New Roman;serif"/>
          <w:b w:val="false"/>
          <w:color w:val="000000"/>
          <w:sz w:val="24"/>
          <w:u w:val="single"/>
        </w:rPr>
        <w:t>Agreement to Guarantee</w:t>
      </w:r>
      <w:r>
        <w:rPr>
          <w:rFonts w:ascii="Times New Roman;serif" w:hAnsi="Times New Roman;serif"/>
          <w:b w:val="false"/>
          <w:color w:val="000000"/>
          <w:sz w:val="24"/>
        </w:rPr>
        <w:t>. Each New Guarantor hereby agrees to become a Guarantor under the Indenture and to be bound by all of the terms and provisions of the Indenture applicable to Guarantors, including, but not limited to, Article X of the Base Indenture. Each New Guarantor hereby, jointly and severally, fully and unconditionally, with the Parent Guarantor and all other Guarantors, guarantees to each Holder and to the Trustee the Obligations pursuant to Article X of the Base Indenture on the terms and subject to the conditions set forth therein.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Article III.</w:t>
      </w:r>
      <w:r>
        <w:rPr>
          <w:rFonts w:ascii="Times New Roman;serif" w:hAnsi="Times New Roman;serif"/>
          <w:b w:val="false"/>
          <w:color w:val="000000"/>
          <w:sz w:val="24"/>
          <w:u w:val="single"/>
        </w:rPr>
        <w:t>Miscellaneous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Section 3.01</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Supplemental Indenture shall be governed by, and construed in accordance with, the laws of the State of New York.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Section 3.02</w:t>
      </w:r>
      <w:r>
        <w:rPr>
          <w:rFonts w:ascii="Times New Roman;serif" w:hAnsi="Times New Roman;serif"/>
          <w:b w:val="false"/>
          <w:color w:val="000000"/>
          <w:sz w:val="24"/>
          <w:u w:val="single"/>
        </w:rPr>
        <w:t>Severability Clause</w:t>
      </w:r>
      <w:r>
        <w:rPr>
          <w:rFonts w:ascii="Times New Roman;serif" w:hAnsi="Times New Roman;serif"/>
          <w:b w:val="false"/>
          <w:color w:val="000000"/>
          <w:sz w:val="24"/>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Section 3.03</w:t>
      </w:r>
      <w:r>
        <w:rPr>
          <w:rFonts w:ascii="Times New Roman;serif" w:hAnsi="Times New Roman;serif"/>
          <w:b w:val="false"/>
          <w:color w:val="000000"/>
          <w:sz w:val="24"/>
          <w:u w:val="single"/>
        </w:rPr>
        <w:t>Ratification of Indenture; Supplemental Indentures Part of Indenture; No Liability of Trustee</w:t>
      </w:r>
      <w:r>
        <w:rPr>
          <w:rFonts w:ascii="Times New Roman;serif" w:hAnsi="Times New Roman;serif"/>
          <w:b w:val="false"/>
          <w:color w:val="000000"/>
          <w:sz w:val="24"/>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a Note heretofore or hereafter authenticated and delivered shall be bound hereby. The Trustee makes no representation or warranty as to the validity or sufficiency of this Supplemental Indenture. Additionally, the Trustee shall not be responsible in any manner whatsoever for or with respect to any of the recitals or statements contained herein, all of which recitals or statements are made solely by the Co-Issuers, the Parent Guarantor and the New Guarantors, and the Trustee makes no representation with respect to any such matters.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Section 3.04</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This Supplemental Indenture may be executed in two or more counterparts, which when so executed shall constitute one and the same agreement. The exchange of copies of this Supplemental Indenture and of signature pages by facsimile or PDF transmission shall constitute effective execution and delivery of this Supplemental Indenture as to the parties hereto and may be used in lieu of the original Indenture for all purposes. Signatures of the parties hereto transmitted by facsimile or PDF shall be deemed to be their original signatures for all purposes. The words “execution,” “signed,” “signature,” “delivery,” and words of like import in or relating to this Supplemental Indenture or any document to be signed in connection with this Supplemental Indenture shall be deemed to include electronic signatures,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67360"/>
                <wp:effectExtent l="0" t="0" r="0" b="0"/>
                <wp:wrapNone/>
                <wp:docPr id="39" name="Frame39"/>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deliveries or the keeping of records in electronic form, each of which shall be of the same legal effect, validity or enforceability as a manually executed signature, physical delivery thereof or the use of a paper based recordkeeping system, as the case may be, and the parties hereto consent to conduct the transactions contemplated hereunder by electronic means.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Section 3.05</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of the Articles and the sections in this Supplemental Indenture are for convenience of reference only and shall not be deemed to alter or affect the meaning or interpretation of any provisions hereof.</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Section 3.06</w:t>
      </w:r>
      <w:r>
        <w:rPr>
          <w:rFonts w:ascii="Times New Roman;serif" w:hAnsi="Times New Roman;serif"/>
          <w:b w:val="false"/>
          <w:color w:val="000000"/>
          <w:sz w:val="24"/>
          <w:u w:val="single"/>
        </w:rPr>
        <w:t>The Trustee</w:t>
      </w:r>
      <w:r>
        <w:rPr>
          <w:rFonts w:ascii="Times New Roman;serif" w:hAnsi="Times New Roman;serif"/>
          <w:b w:val="false"/>
          <w:color w:val="000000"/>
          <w:sz w:val="24"/>
        </w:rPr>
        <w:t>. The Trustee shall not be responsible in any manner whatsoever for or in respect of the validity or sufficiency of this Supplemental Indenture or for or in respect of the recitals contained herein, all of which recitals are made solely by the Co-Issuers, the Parent Guarantor and the New Guarantors.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67360"/>
                <wp:effectExtent l="0" t="0" r="0" b="0"/>
                <wp:wrapNone/>
                <wp:docPr id="40" name="Frame40"/>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IN WITNESS WHEREOF, the parties hereto have caused this Supplemental Indenture to be duly executed as of the date first above written.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4"/>
        </w:rPr>
        <w:t>WEATHERFORD US HOLDING, LLC</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limited liability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/s/ Maximiliano A. Kricorian        </w:t>
      </w: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Maximiliano A. Kricorian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WEATHERFORD INTERNATIONAL LTD</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Bermuda exempted company limited by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Maximiliano A. Kricorian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Maximiliano A. Kricorian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 and Treasurer</w:t>
      </w:r>
    </w:p>
    <w:p>
      <w:pPr>
        <w:pStyle w:val="TextBody"/>
        <w:bidi w:val="0"/>
        <w:spacing w:before="0" w:after="1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WEATHERFORD INTERNATIONAL PLC</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an Irish public limited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Maximiliano A. Kricorian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Maximiliano A. Kricorian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 and Treasurer</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Supplemental Indenture]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Supplemental Indenture]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NEW GUARANTORS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WFRD Holdings Inc.</w:t>
      </w:r>
      <w:r>
        <w:rPr>
          <w:rFonts w:ascii="Times New Roman;serif" w:hAnsi="Times New Roman;serif"/>
          <w:b w:val="false"/>
          <w:color w:val="000000"/>
          <w:sz w:val="22"/>
        </w:rPr>
        <w:t>, a Texas corporation</w:t>
        <w:br/>
        <w:br/>
      </w:r>
      <w:r>
        <w:rPr>
          <w:rFonts w:ascii="Times New Roman;serif" w:hAnsi="Times New Roman;serif"/>
          <w:b w:val="false"/>
          <w:color w:val="000000"/>
          <w:sz w:val="22"/>
          <w:u w:val="single"/>
        </w:rPr>
        <w:t>/s/ Beth Ann Dranguet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Beth Ann Dranguet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xml:space="preserve">Title: Vice President and Secretary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WFRD Holdings GmbH</w:t>
      </w:r>
      <w:r>
        <w:rPr>
          <w:rFonts w:ascii="Times New Roman;serif" w:hAnsi="Times New Roman;serif"/>
          <w:b w:val="false"/>
          <w:color w:val="000000"/>
          <w:sz w:val="22"/>
        </w:rPr>
        <w:t>, a limited liability company under the laws of Switzerland</w:t>
        <w:br/>
        <w:br/>
        <w:br/>
      </w:r>
      <w:r>
        <w:rPr>
          <w:rFonts w:ascii="Times New Roman;serif" w:hAnsi="Times New Roman;serif"/>
          <w:b w:val="false"/>
          <w:color w:val="000000"/>
          <w:sz w:val="22"/>
          <w:u w:val="single"/>
        </w:rPr>
        <w:t>/s/ Mathias Neuenschwander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Mathias Neuenschwander</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Managing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Weatherford International Holdings GmbH</w:t>
      </w:r>
      <w:r>
        <w:rPr>
          <w:rFonts w:ascii="Times New Roman;serif" w:hAnsi="Times New Roman;serif"/>
          <w:b w:val="false"/>
          <w:color w:val="000000"/>
          <w:sz w:val="22"/>
        </w:rPr>
        <w:t>, a limited liability company under the laws of Switzerland</w:t>
        <w:br/>
        <w:br/>
        <w:br/>
      </w:r>
      <w:r>
        <w:rPr>
          <w:rFonts w:ascii="Times New Roman;serif" w:hAnsi="Times New Roman;serif"/>
          <w:b w:val="false"/>
          <w:color w:val="000000"/>
          <w:sz w:val="22"/>
          <w:u w:val="single"/>
        </w:rPr>
        <w:t>/s/ Mathias Neuenschwander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Mathias Neuenschwander</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Managing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Weatherford South America GmbH</w:t>
      </w:r>
      <w:r>
        <w:rPr>
          <w:rFonts w:ascii="Times New Roman;serif" w:hAnsi="Times New Roman;serif"/>
          <w:b w:val="false"/>
          <w:color w:val="000000"/>
          <w:sz w:val="28"/>
        </w:rPr>
        <w:t>,</w:t>
      </w:r>
      <w:r>
        <w:rPr>
          <w:color w:val="000000"/>
        </w:rPr>
        <w:t xml:space="preserve"> </w:t>
      </w:r>
      <w:r>
        <w:rPr>
          <w:rFonts w:ascii="Times New Roman;serif" w:hAnsi="Times New Roman;serif"/>
          <w:b w:val="false"/>
          <w:color w:val="000000"/>
          <w:sz w:val="22"/>
        </w:rPr>
        <w:t>a limited liability company under the laws of Switzerland</w:t>
        <w:br/>
        <w:br/>
        <w:br/>
      </w:r>
      <w:r>
        <w:rPr>
          <w:rFonts w:ascii="Times New Roman;serif" w:hAnsi="Times New Roman;serif"/>
          <w:b w:val="false"/>
          <w:color w:val="000000"/>
          <w:sz w:val="22"/>
          <w:u w:val="single"/>
        </w:rPr>
        <w:t>/s/ Mathias Neuenschwander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Mathias Neuenschwander</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Managing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Supplemental Indenture]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Supplemental Indenture]</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4"/>
        </w:rPr>
        <w:t>UMB BANK, N.A.</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Trustee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Shazia Flores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Shazia Flores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Supplemental Indenture]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Supplemental Indenture]</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SUPPLEMENTAL INDENTURE</w:t>
      </w:r>
    </w:p>
    <w:p>
      <w:pPr>
        <w:pStyle w:val="TextBody"/>
        <w:bidi w:val="0"/>
        <w:spacing w:lineRule="auto" w:line="288" w:before="0" w:after="240"/>
        <w:ind w:left="0" w:right="0" w:firstLine="720"/>
        <w:jc w:val="left"/>
        <w:rPr/>
      </w:pPr>
      <w:r>
        <w:rPr>
          <w:rFonts w:ascii="Times New Roman;serif" w:hAnsi="Times New Roman;serif"/>
          <w:b w:val="false"/>
          <w:color w:val="000000"/>
          <w:sz w:val="24"/>
        </w:rPr>
        <w:t>THIS SUPPLEMENTAL INDENTURE (this “</w:t>
      </w:r>
      <w:r>
        <w:rPr>
          <w:rFonts w:ascii="Times New Roman;serif" w:hAnsi="Times New Roman;serif"/>
          <w:b w:val="false"/>
          <w:color w:val="000000"/>
          <w:sz w:val="24"/>
          <w:u w:val="single"/>
        </w:rPr>
        <w:t>Supplemental Indenture</w:t>
      </w:r>
      <w:r>
        <w:rPr>
          <w:color w:val="000000"/>
        </w:rPr>
        <w:t>”</w:t>
      </w:r>
      <w:r>
        <w:rPr>
          <w:rFonts w:ascii="Times New Roman;serif" w:hAnsi="Times New Roman;serif"/>
          <w:b w:val="false"/>
          <w:color w:val="000000"/>
          <w:sz w:val="24"/>
        </w:rPr>
        <w:t>), dated as of April 28, 2026, is among Weatherford International Ltd., a Bermuda exempted company limited by shares, and Weatherford US Holding, LLC, a Delaware limited liability company (formerly known as Weatherford International, LLC) (each, a “</w:t>
      </w:r>
      <w:r>
        <w:rPr>
          <w:rFonts w:ascii="Times New Roman;serif" w:hAnsi="Times New Roman;serif"/>
          <w:b w:val="false"/>
          <w:color w:val="000000"/>
          <w:sz w:val="24"/>
          <w:u w:val="single"/>
        </w:rPr>
        <w:t>Co-Issuer</w:t>
      </w:r>
      <w:r>
        <w:rPr>
          <w:color w:val="000000"/>
        </w:rPr>
        <w:t xml:space="preserve">” </w:t>
      </w:r>
      <w:r>
        <w:rPr>
          <w:rFonts w:ascii="Times New Roman;serif" w:hAnsi="Times New Roman;serif"/>
          <w:b w:val="false"/>
          <w:color w:val="000000"/>
          <w:sz w:val="24"/>
        </w:rPr>
        <w:t>and, together, the “</w:t>
      </w:r>
      <w:r>
        <w:rPr>
          <w:rFonts w:ascii="Times New Roman;serif" w:hAnsi="Times New Roman;serif"/>
          <w:b w:val="false"/>
          <w:color w:val="000000"/>
          <w:sz w:val="24"/>
          <w:u w:val="single"/>
        </w:rPr>
        <w:t>Co-Issuers</w:t>
      </w:r>
      <w:r>
        <w:rPr>
          <w:color w:val="000000"/>
        </w:rPr>
        <w:t>”</w:t>
      </w:r>
      <w:r>
        <w:rPr>
          <w:rFonts w:ascii="Times New Roman;serif" w:hAnsi="Times New Roman;serif"/>
          <w:b w:val="false"/>
          <w:color w:val="000000"/>
          <w:sz w:val="24"/>
        </w:rPr>
        <w:t>), the new guarantors listed on the signature pages hereto (each, a “</w:t>
      </w:r>
      <w:r>
        <w:rPr>
          <w:rFonts w:ascii="Times New Roman;serif" w:hAnsi="Times New Roman;serif"/>
          <w:b w:val="false"/>
          <w:color w:val="000000"/>
          <w:sz w:val="24"/>
          <w:u w:val="single"/>
        </w:rPr>
        <w:t>New Guarantor</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color w:val="000000"/>
          <w:sz w:val="24"/>
          <w:u w:val="single"/>
        </w:rPr>
        <w:t>New Guarantors</w:t>
      </w:r>
      <w:r>
        <w:rPr>
          <w:color w:val="000000"/>
        </w:rPr>
        <w:t>”</w:t>
      </w:r>
      <w:r>
        <w:rPr>
          <w:rFonts w:ascii="Times New Roman;serif" w:hAnsi="Times New Roman;serif"/>
          <w:b w:val="false"/>
          <w:color w:val="000000"/>
          <w:sz w:val="24"/>
        </w:rPr>
        <w:t>), Weatherford International plc, an Irish public limited company (the “</w:t>
      </w:r>
      <w:r>
        <w:rPr>
          <w:rFonts w:ascii="Times New Roman;serif" w:hAnsi="Times New Roman;serif"/>
          <w:b w:val="false"/>
          <w:color w:val="000000"/>
          <w:sz w:val="24"/>
          <w:u w:val="single"/>
        </w:rPr>
        <w:t>Parent Guarantor</w:t>
      </w:r>
      <w:r>
        <w:rPr>
          <w:color w:val="000000"/>
        </w:rPr>
        <w:t>”</w:t>
      </w:r>
      <w:r>
        <w:rPr>
          <w:rFonts w:ascii="Times New Roman;serif" w:hAnsi="Times New Roman;serif"/>
          <w:b w:val="false"/>
          <w:color w:val="000000"/>
          <w:sz w:val="24"/>
        </w:rPr>
        <w:t>), and Deutsche Bank Trust Company Americas, as trustee under the Indenture referred to herein (in such capacity, the “Trustee”).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 I T N E S S E T H:</w:t>
      </w:r>
    </w:p>
    <w:p>
      <w:pPr>
        <w:pStyle w:val="TextBody"/>
        <w:bidi w:val="0"/>
        <w:spacing w:lineRule="auto" w:line="288" w:before="0" w:after="240"/>
        <w:ind w:left="0" w:right="0" w:firstLine="720"/>
        <w:jc w:val="left"/>
        <w:rPr/>
      </w:pPr>
      <w:r>
        <w:rPr>
          <w:rFonts w:ascii="Times New Roman;serif" w:hAnsi="Times New Roman;serif"/>
          <w:b w:val="false"/>
          <w:color w:val="000000"/>
          <w:sz w:val="24"/>
        </w:rPr>
        <w:t>WHEREAS, the Co-Issuers, the Parent Guarantor, and the Trustee are parties to an Indenture, dated as of October 27, 2021 relating to the 8.625% Senior Notes due 2030 (the “</w:t>
      </w:r>
      <w:r>
        <w:rPr>
          <w:rFonts w:ascii="Times New Roman;serif" w:hAnsi="Times New Roman;serif"/>
          <w:b w:val="false"/>
          <w:color w:val="000000"/>
          <w:sz w:val="24"/>
          <w:u w:val="single"/>
        </w:rPr>
        <w:t>Notes</w:t>
      </w:r>
      <w:r>
        <w:rPr>
          <w:color w:val="000000"/>
        </w:rPr>
        <w:t>”</w:t>
      </w:r>
      <w:r>
        <w:rPr>
          <w:rFonts w:ascii="Times New Roman;serif" w:hAnsi="Times New Roman;serif"/>
          <w:b w:val="false"/>
          <w:color w:val="000000"/>
          <w:sz w:val="24"/>
        </w:rPr>
        <w:t>) of the Co-Issuers (the “</w:t>
      </w:r>
      <w:r>
        <w:rPr>
          <w:rFonts w:ascii="Times New Roman;serif" w:hAnsi="Times New Roman;serif"/>
          <w:b w:val="false"/>
          <w:color w:val="000000"/>
          <w:sz w:val="24"/>
          <w:u w:val="single"/>
        </w:rPr>
        <w:t>Base Indenture</w:t>
      </w:r>
      <w:r>
        <w:rPr>
          <w:color w:val="000000"/>
        </w:rPr>
        <w:t xml:space="preserve">” </w:t>
      </w:r>
      <w:r>
        <w:rPr>
          <w:rFonts w:ascii="Times New Roman;serif" w:hAnsi="Times New Roman;serif"/>
          <w:b w:val="false"/>
          <w:color w:val="000000"/>
          <w:sz w:val="24"/>
        </w:rPr>
        <w:t>and, as amended, supplemented or otherwise modified as of the date hereof, including, without limitation, by that certain Supplemental Indenture dated as of December 1, 2022, collectively,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pursuant to Section 9.01(5) of the Base Indenture, the Co-Issuers, the Parent Guarantor and the Trustee are authorized to execute and deliver this Supplemental Indenture to amend or supplement the Indenture without the consent of any Holder to add any entity as a guarantor of the Notes;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each Co-Issuer desires to amend and supplement the Indenture to evidence the addition of each New Guarantor as a guarantor of the Notes;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Co-Issuers have delivered to the Trustee, and the Trustee has received, accepted and approved from the Co-Issuers, an Officers’ Certificate and an Opinion of Counsel in accordance with Sections 1.02, 1.03, 9.01(5), and 9.03 of the Base Indenture;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each Co-Issuer, the Parent Guarantor, each New Guarantor, and the Trustee mutually covenant and agree for the equal and ratable benefit of the Holders of the Notes as follows:</w:t>
      </w:r>
    </w:p>
    <w:p>
      <w:pPr>
        <w:pStyle w:val="TextBody"/>
        <w:bidi w:val="0"/>
        <w:spacing w:lineRule="auto" w:line="240"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rPr>
        <w:t>CAPITALIZED TERMS. Capitalized terms used herein without definition shall have the meanings assigned to them in the Indenture.</w:t>
      </w:r>
    </w:p>
    <w:p>
      <w:pPr>
        <w:pStyle w:val="TextBody"/>
        <w:bidi w:val="0"/>
        <w:spacing w:lineRule="auto" w:line="240"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rPr>
        <w:t xml:space="preserve">AGREEMENT TO GUARANTEE. </w:t>
      </w:r>
      <w:r>
        <w:rPr>
          <w:rFonts w:ascii="Times New Roman;serif" w:hAnsi="Times New Roman;serif"/>
          <w:b w:val="false"/>
          <w:color w:val="0F0E0B"/>
          <w:sz w:val="24"/>
          <w:shd w:fill="FFFFFF" w:val="clear"/>
        </w:rPr>
        <w:t>Each of the New Guarantors hereby agrees, jointly and severally, with the Parent Guarantor and all other Guarantors, to fully, irrevocably, unconditionally, and absolutely guarantee to each Holder and to the Trustee the Indenture Obligations, to the extent set forth in Article Fourteen of the Base Indenture and subject to the provisions thereof.</w:t>
      </w:r>
      <w:r>
        <w:rPr>
          <w:color w:val="000000"/>
        </w:rPr>
        <w:t xml:space="preserve"> </w:t>
      </w:r>
      <w:r>
        <w:rPr>
          <w:rFonts w:ascii="Times New Roman;serif" w:hAnsi="Times New Roman;serif"/>
          <w:b w:val="false"/>
          <w:color w:val="000000"/>
          <w:sz w:val="24"/>
        </w:rPr>
        <w:t xml:space="preserve">The obligations of the Guarantors to the Holders of Notes and to the Trustee pursuant to the Guarantees are expressly set forth in Article Fourteen of the Base Indenture, and reference is hereby made to such Article for the precise terms of the Guarantees. </w:t>
      </w:r>
    </w:p>
    <w:p>
      <w:pPr>
        <w:pStyle w:val="TextBody"/>
        <w:bidi w:val="0"/>
        <w:spacing w:lineRule="auto" w:line="240"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rPr>
        <w:t>NEW YORK LAW TO GOVERN. THE LAWS OF THE STATE OF NEW YORK SHALL GOVERN AND BE USED TO CONSTRUE AND ENFORCE THIS SUPPLEMENTAL INDENTURE.</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0520"/>
                <wp:effectExtent l="0" t="0" r="0" b="0"/>
                <wp:wrapNone/>
                <wp:docPr id="44" name="Frame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rPr>
        <w:t>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Signatures of the parties hereto transmitted by facsimile, PDF, electronic signature or other electronic transmission shall be deemed to be their original signatures for all purposes.</w:t>
      </w:r>
    </w:p>
    <w:p>
      <w:pPr>
        <w:pStyle w:val="TextBody"/>
        <w:bidi w:val="0"/>
        <w:spacing w:lineRule="auto" w:line="240"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rPr>
        <w:t>EFFECT OF HEADINGS. The Section headings herein are for convenience only and shall not affect the construction hereof.</w:t>
      </w:r>
    </w:p>
    <w:p>
      <w:pPr>
        <w:pStyle w:val="TextBody"/>
        <w:bidi w:val="0"/>
        <w:spacing w:lineRule="auto" w:line="240" w:before="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rPr>
        <w:t>THE TRUSTEE.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pStyle w:val="TextBody"/>
        <w:bidi w:val="0"/>
        <w:spacing w:lineRule="auto" w:line="288" w:before="0" w:after="240"/>
        <w:jc w:val="center"/>
        <w:rPr/>
      </w:pPr>
      <w:r>
        <w:rPr>
          <w:rFonts w:ascii="Times New Roman;serif" w:hAnsi="Times New Roman;serif"/>
          <w:b/>
          <w:color w:val="000000"/>
          <w:sz w:val="24"/>
        </w:rPr>
        <w:t>[</w:t>
      </w:r>
      <w:r>
        <w:rPr>
          <w:rFonts w:ascii="Times New Roman;serif" w:hAnsi="Times New Roman;serif"/>
          <w:b w:val="false"/>
          <w:color w:val="000000"/>
          <w:sz w:val="24"/>
        </w:rPr>
        <w:t>Remainder of Page Intentionally Left Blank.</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Supplemental Indenture to be duly executed as of the date first above written.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WEATHERFORD US HOLDING, LLC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limited liability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/s/ Maximiliano A. Kricorian    </w:t>
      </w: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Maximiliano A. Kricorian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WEATHERFORD INTERNATIONAL LTD.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Bermuda exempted company limited by shares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/s/ Maximiliano A. Kricorian    </w:t>
      </w: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Maximiliano A. Kricorian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WEATHERFORD INTERNATIONAL PLC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 Irish public limited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/s/ Maximiliano A. Kricorian    </w:t>
      </w: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Maximiliano A. Kricorian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 and 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Supplemental Indenture</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Supplemental Indenture</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NEW GUARANTORS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WFRD Holdings Inc.</w:t>
      </w:r>
      <w:r>
        <w:rPr>
          <w:rFonts w:ascii="Times New Roman;serif" w:hAnsi="Times New Roman;serif"/>
          <w:b w:val="false"/>
          <w:color w:val="000000"/>
          <w:sz w:val="22"/>
        </w:rPr>
        <w:t>, a Texas corporation</w:t>
        <w:br/>
        <w:br/>
      </w:r>
      <w:r>
        <w:rPr>
          <w:rFonts w:ascii="Times New Roman;serif" w:hAnsi="Times New Roman;serif"/>
          <w:b w:val="false"/>
          <w:color w:val="000000"/>
          <w:sz w:val="24"/>
          <w:u w:val="single"/>
        </w:rPr>
        <w:t>/s/ Beth Ann Dranguet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Beth Ann Dranguet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Vice President and Secretary</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WFRD Holdings GmbH</w:t>
      </w:r>
      <w:r>
        <w:rPr>
          <w:rFonts w:ascii="Times New Roman;serif" w:hAnsi="Times New Roman;serif"/>
          <w:b w:val="false"/>
          <w:color w:val="000000"/>
          <w:sz w:val="22"/>
        </w:rPr>
        <w:t>, a limited liability company under the laws of Switzerland</w:t>
        <w:br/>
        <w:br/>
        <w:br/>
      </w:r>
      <w:r>
        <w:rPr>
          <w:rFonts w:ascii="Times New Roman;serif" w:hAnsi="Times New Roman;serif"/>
          <w:b w:val="false"/>
          <w:color w:val="000000"/>
          <w:sz w:val="22"/>
          <w:u w:val="single"/>
        </w:rPr>
        <w:t>/s/ Mathias Neuenschwander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Mathias Neuenschwander</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Managing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Weatherford International Holdings GmbH</w:t>
      </w:r>
      <w:r>
        <w:rPr>
          <w:rFonts w:ascii="Times New Roman;serif" w:hAnsi="Times New Roman;serif"/>
          <w:b w:val="false"/>
          <w:color w:val="000000"/>
          <w:sz w:val="22"/>
        </w:rPr>
        <w:t>, a limited liability company under the laws of Switzerland</w:t>
        <w:br/>
        <w:br/>
        <w:br/>
      </w:r>
      <w:r>
        <w:rPr>
          <w:rFonts w:ascii="Times New Roman;serif" w:hAnsi="Times New Roman;serif"/>
          <w:b w:val="false"/>
          <w:color w:val="000000"/>
          <w:sz w:val="22"/>
          <w:u w:val="single"/>
        </w:rPr>
        <w:t>/s/ Mathias Neuenschwander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Mathias Neuenschwander</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Managing Officer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Weatherford South America GmbH</w:t>
      </w:r>
      <w:r>
        <w:rPr>
          <w:rFonts w:ascii="Times New Roman;serif" w:hAnsi="Times New Roman;serif"/>
          <w:b w:val="false"/>
          <w:color w:val="000000"/>
          <w:sz w:val="28"/>
        </w:rPr>
        <w:t>,</w:t>
      </w:r>
      <w:r>
        <w:rPr>
          <w:color w:val="000000"/>
        </w:rPr>
        <w:t xml:space="preserve"> </w:t>
      </w:r>
      <w:r>
        <w:rPr>
          <w:rFonts w:ascii="Times New Roman;serif" w:hAnsi="Times New Roman;serif"/>
          <w:b w:val="false"/>
          <w:color w:val="000000"/>
          <w:sz w:val="22"/>
        </w:rPr>
        <w:t>a limited liability company under the laws of Switzerland</w:t>
        <w:br/>
        <w:br/>
        <w:br/>
      </w:r>
      <w:r>
        <w:rPr>
          <w:rFonts w:ascii="Times New Roman;serif" w:hAnsi="Times New Roman;serif"/>
          <w:b w:val="false"/>
          <w:color w:val="000000"/>
          <w:sz w:val="22"/>
          <w:u w:val="single"/>
        </w:rPr>
        <w:t>/s/ Mathias Neuenschwander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Mathias Neuenschwander</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Managing Officer</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Supplemental Indenture</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Supplemental Indenture</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DEUTSCHE BANK TRUST COMPANY AMERICAS</w:t>
      </w:r>
      <w:r>
        <w:rPr>
          <w:rFonts w:ascii="Times New Roman;serif" w:hAnsi="Times New Roman;serif"/>
          <w:b w:val="false"/>
          <w:color w:val="000000"/>
          <w:sz w:val="24"/>
        </w:rPr>
        <w:t>,</w:t>
      </w:r>
    </w:p>
    <w:p>
      <w:pPr>
        <w:pStyle w:val="TextBody"/>
        <w:bidi w:val="0"/>
        <w:spacing w:lineRule="auto" w:line="288" w:before="0" w:after="0"/>
        <w:jc w:val="left"/>
        <w:rPr/>
      </w:pPr>
      <w:r>
        <w:rPr>
          <w:rFonts w:ascii="Times New Roman;serif" w:hAnsi="Times New Roman;serif"/>
          <w:b w:val="false"/>
          <w:color w:val="000000"/>
          <w:sz w:val="24"/>
        </w:rPr>
        <w:t xml:space="preserve">as </w:t>
      </w:r>
      <w:r>
        <w:rPr>
          <w:rFonts w:ascii="Times New Roman;serif" w:hAnsi="Times New Roman;serif"/>
          <w:b w:val="false"/>
          <w:i/>
          <w:color w:val="000000"/>
          <w:sz w:val="24"/>
        </w:rPr>
        <w:t>Trustee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Carol Ng    </w:t>
      </w: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Carol 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Arian Kalaba    </w:t>
      </w:r>
      <w:r>
        <w:rPr>
          <w:rFonts w:ascii="Times New Roman;serif" w:hAnsi="Times New Roman;serif"/>
          <w:b w:val="false"/>
          <w:color w:val="000000"/>
          <w:sz w:val="24"/>
        </w:rPr>
        <w:br/>
        <w:t>Name: Arian Kalaba</w:t>
        <w:br/>
        <w:t>Title: Associate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Supplemental Indenture</w:t>
                            </w:r>
                            <w:r>
                              <w:rPr>
                                <w:rFonts w:ascii="Times New Roman;serif" w:hAnsi="Times New Roman;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Supplemental Indenture</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FOURTH SUPPLEMENTAL INDENTURE</w:t>
      </w:r>
    </w:p>
    <w:p>
      <w:pPr>
        <w:pStyle w:val="TextBody"/>
        <w:bidi w:val="0"/>
        <w:spacing w:lineRule="auto" w:line="288" w:before="0" w:after="0"/>
        <w:ind w:left="0" w:right="0" w:firstLine="720"/>
        <w:jc w:val="both"/>
        <w:rPr/>
      </w:pPr>
      <w:r>
        <w:rPr>
          <w:rFonts w:ascii="Times New Roman;serif" w:hAnsi="Times New Roman;serif"/>
          <w:b w:val="false"/>
          <w:color w:val="000000"/>
          <w:sz w:val="24"/>
        </w:rPr>
        <w:t>THIS FOURTH SUPPLEMENTAL INDENTURE, dated as of May 26, 2026 (this “</w:t>
      </w:r>
      <w:r>
        <w:rPr>
          <w:rFonts w:ascii="Times New Roman;serif" w:hAnsi="Times New Roman;serif"/>
          <w:b w:val="false"/>
          <w:color w:val="000000"/>
          <w:sz w:val="24"/>
          <w:u w:val="single"/>
        </w:rPr>
        <w:t>Supplemental Indenture</w:t>
      </w:r>
      <w:r>
        <w:rPr>
          <w:color w:val="000000"/>
        </w:rPr>
        <w:t>”</w:t>
      </w:r>
      <w:r>
        <w:rPr>
          <w:rFonts w:ascii="Times New Roman;serif" w:hAnsi="Times New Roman;serif"/>
          <w:b w:val="false"/>
          <w:color w:val="000000"/>
          <w:sz w:val="24"/>
        </w:rPr>
        <w:t>), is among Weatherford International Ltd., a Bermuda exempted company limited by shares, and Weatherford US Holding, LLC, a Delaware limited liability company (formerly known as Weatherford International, LLC) (each, a “</w:t>
      </w:r>
      <w:r>
        <w:rPr>
          <w:rFonts w:ascii="Times New Roman;serif" w:hAnsi="Times New Roman;serif"/>
          <w:b w:val="false"/>
          <w:color w:val="000000"/>
          <w:sz w:val="24"/>
          <w:u w:val="single"/>
        </w:rPr>
        <w:t>Co-Issuer</w:t>
      </w:r>
      <w:r>
        <w:rPr>
          <w:color w:val="000000"/>
        </w:rPr>
        <w:t xml:space="preserve">” </w:t>
      </w:r>
      <w:r>
        <w:rPr>
          <w:rFonts w:ascii="Times New Roman;serif" w:hAnsi="Times New Roman;serif"/>
          <w:b w:val="false"/>
          <w:color w:val="000000"/>
          <w:sz w:val="24"/>
        </w:rPr>
        <w:t>and, together, the “</w:t>
      </w:r>
      <w:r>
        <w:rPr>
          <w:rFonts w:ascii="Times New Roman;serif" w:hAnsi="Times New Roman;serif"/>
          <w:b w:val="false"/>
          <w:color w:val="000000"/>
          <w:sz w:val="24"/>
          <w:u w:val="single"/>
        </w:rPr>
        <w:t>Co-Issuers</w:t>
      </w:r>
      <w:r>
        <w:rPr>
          <w:color w:val="000000"/>
        </w:rPr>
        <w:t>”</w:t>
      </w:r>
      <w:r>
        <w:rPr>
          <w:rFonts w:ascii="Times New Roman;serif" w:hAnsi="Times New Roman;serif"/>
          <w:b w:val="false"/>
          <w:color w:val="000000"/>
          <w:sz w:val="24"/>
        </w:rPr>
        <w:t>), the new guarantors listed on the signature pages hereto (each, a “</w:t>
      </w:r>
      <w:r>
        <w:rPr>
          <w:rFonts w:ascii="Times New Roman;serif" w:hAnsi="Times New Roman;serif"/>
          <w:b w:val="false"/>
          <w:color w:val="000000"/>
          <w:sz w:val="24"/>
          <w:u w:val="single"/>
        </w:rPr>
        <w:t>New Guarantor</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color w:val="000000"/>
          <w:sz w:val="24"/>
          <w:u w:val="single"/>
        </w:rPr>
        <w:t>New Guarantors</w:t>
      </w:r>
      <w:r>
        <w:rPr>
          <w:color w:val="000000"/>
        </w:rPr>
        <w:t>”</w:t>
      </w:r>
      <w:r>
        <w:rPr>
          <w:rFonts w:ascii="Times New Roman;serif" w:hAnsi="Times New Roman;serif"/>
          <w:b w:val="false"/>
          <w:color w:val="000000"/>
          <w:sz w:val="24"/>
        </w:rPr>
        <w:t>), Weatherford International plc, an Irish public limited company (the “</w:t>
      </w:r>
      <w:r>
        <w:rPr>
          <w:rFonts w:ascii="Times New Roman;serif" w:hAnsi="Times New Roman;serif"/>
          <w:b w:val="false"/>
          <w:color w:val="000000"/>
          <w:sz w:val="24"/>
          <w:u w:val="single"/>
        </w:rPr>
        <w:t>Parent Guarantor</w:t>
      </w:r>
      <w:r>
        <w:rPr>
          <w:color w:val="000000"/>
        </w:rPr>
        <w:t>”</w:t>
      </w:r>
      <w:r>
        <w:rPr>
          <w:rFonts w:ascii="Times New Roman;serif" w:hAnsi="Times New Roman;serif"/>
          <w:b w:val="false"/>
          <w:color w:val="000000"/>
          <w:sz w:val="24"/>
        </w:rPr>
        <w:t>), and UMB Bank, N.A., as trustee under the Indenture referred to herein (in such capacity,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 I T N E S S E T 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the Co-Issuers, the Parent Guarantor, the other Guarantors, and the Trustee have heretofore executed and delivered an Indenture, dated as of October 6, 2025 (the “</w:t>
      </w:r>
      <w:r>
        <w:rPr>
          <w:rFonts w:ascii="Times New Roman;serif" w:hAnsi="Times New Roman;serif"/>
          <w:b w:val="false"/>
          <w:color w:val="000000"/>
          <w:sz w:val="24"/>
          <w:u w:val="single"/>
        </w:rPr>
        <w:t>Base Indenture</w:t>
      </w:r>
      <w:r>
        <w:rPr>
          <w:color w:val="000000"/>
        </w:rPr>
        <w:t xml:space="preserve">” </w:t>
      </w:r>
      <w:r>
        <w:rPr>
          <w:rFonts w:ascii="Times New Roman;serif" w:hAnsi="Times New Roman;serif"/>
          <w:b w:val="false"/>
          <w:color w:val="000000"/>
          <w:sz w:val="24"/>
        </w:rPr>
        <w:t>and, as amended, supplemented, waived, or otherwise modified from time to time as of the date hereof, including, without limitation, by that certain Supplemental Indenture dated as of October 24, 2025, collectively,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providing for the issuance of an unlimited aggregate principal amount of 6.750% Senior Notes due 2033 of the Co-Issuers (the “</w:t>
      </w:r>
      <w:r>
        <w:rPr>
          <w:rFonts w:ascii="Times New Roman;serif" w:hAnsi="Times New Roman;serif"/>
          <w:b w:val="false"/>
          <w:color w:val="000000"/>
          <w:sz w:val="24"/>
          <w:u w:val="single"/>
        </w:rPr>
        <w:t>Notes</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9.1(d) of the Base Indenture, the Co-Issuers, the Parent Guarantor, and the Trustee are authorized to execute and deliver this Supplemental Indenture to amend or supplement the Indenture without the consent of any Holder to add any entity as a guarantor of the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each Co-Issuer desires to amend and supplement the Indenture to evidence the addition of each New Guarantor as a guarantor of the Notes;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Co-Issuers have delivered to the Trustee, and the Trustee has received, accepted and approved from the Co-Issuers, an Officers’ Certificate and an Opinion of Counsel in accordance with Sections 9.1(d), 11.3 and 11.4 of the Base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each Co-Issuer, each New Guarantor, the Parent Guarantor and the Trustee mutually covenant and agree for the equal and ratable benefit of the Holders as follows: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4"/>
        </w:rPr>
        <w:t>Article I.</w:t>
      </w:r>
      <w:r>
        <w:rPr>
          <w:rFonts w:ascii="Times New Roman;serif" w:hAnsi="Times New Roman;serif"/>
          <w:b w:val="false"/>
          <w:color w:val="000000"/>
          <w:sz w:val="24"/>
          <w:u w:val="single"/>
        </w:rPr>
        <w:t>Definitions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Section 1.01</w:t>
      </w:r>
      <w:r>
        <w:rPr>
          <w:rFonts w:ascii="Times New Roman;serif" w:hAnsi="Times New Roman;serif"/>
          <w:b w:val="false"/>
          <w:color w:val="000000"/>
          <w:sz w:val="24"/>
          <w:u w:val="single"/>
        </w:rPr>
        <w:t>Defined Terms</w:t>
      </w:r>
      <w:r>
        <w:rPr>
          <w:rFonts w:ascii="Times New Roman;serif" w:hAnsi="Times New Roman;serif"/>
          <w:b w:val="false"/>
          <w:color w:val="000000"/>
          <w:sz w:val="24"/>
        </w:rPr>
        <w:t xml:space="preserve">. As used in this Supplemental Indenture, capitalized terms defined in the Indenture or in the preamble or recitals thereto are used herein as therein defined. The words “herein,” “hereof” and “hereby” and other words of similar import used in this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2100"/>
                <wp:effectExtent l="0" t="0" r="0" b="0"/>
                <wp:wrapNone/>
                <wp:docPr id="49" name="Frame4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Supplemental Indenture refer to this Supplemental Indenture as a whole and not to any particular section hereof.</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Article II.</w:t>
      </w:r>
      <w:r>
        <w:rPr>
          <w:rFonts w:ascii="Times New Roman;serif" w:hAnsi="Times New Roman;serif"/>
          <w:b w:val="false"/>
          <w:color w:val="000000"/>
          <w:sz w:val="24"/>
          <w:u w:val="single"/>
        </w:rPr>
        <w:t>Agreement to Guarantee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Section 2.01</w:t>
      </w:r>
      <w:r>
        <w:rPr>
          <w:rFonts w:ascii="Times New Roman;serif" w:hAnsi="Times New Roman;serif"/>
          <w:b w:val="false"/>
          <w:color w:val="000000"/>
          <w:sz w:val="24"/>
          <w:u w:val="single"/>
        </w:rPr>
        <w:t>Agreement to Guarantee</w:t>
      </w:r>
      <w:r>
        <w:rPr>
          <w:rFonts w:ascii="Times New Roman;serif" w:hAnsi="Times New Roman;serif"/>
          <w:b w:val="false"/>
          <w:color w:val="000000"/>
          <w:sz w:val="24"/>
        </w:rPr>
        <w:t>. Each New Guarantor hereby agrees to become a Guarantor under the Indenture and to be bound by all of the terms and provisions of the Indenture applicable to Guarantors, including, but not limited to, Article X of the Base Indenture. Each New Guarantor hereby, jointly and severally, fully and unconditionally, with the Parent Guarantor and all other Guarantors, guarantees to each Holder and to the Trustee the Obligations pursuant to Article X of the Base Indenture on the terms and subject to the conditions set forth therein.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Article III.</w:t>
      </w:r>
      <w:r>
        <w:rPr>
          <w:rFonts w:ascii="Times New Roman;serif" w:hAnsi="Times New Roman;serif"/>
          <w:b w:val="false"/>
          <w:color w:val="000000"/>
          <w:sz w:val="24"/>
          <w:u w:val="single"/>
        </w:rPr>
        <w:t>Miscellaneous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Section 3.01</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Supplemental Indenture shall be governed by, and construed in accordance with, the laws of the State of New York.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Section 3.02</w:t>
      </w:r>
      <w:r>
        <w:rPr>
          <w:rFonts w:ascii="Times New Roman;serif" w:hAnsi="Times New Roman;serif"/>
          <w:b w:val="false"/>
          <w:color w:val="000000"/>
          <w:sz w:val="24"/>
          <w:u w:val="single"/>
        </w:rPr>
        <w:t>Severability Clause</w:t>
      </w:r>
      <w:r>
        <w:rPr>
          <w:rFonts w:ascii="Times New Roman;serif" w:hAnsi="Times New Roman;serif"/>
          <w:b w:val="false"/>
          <w:color w:val="000000"/>
          <w:sz w:val="24"/>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Section 3.03</w:t>
      </w:r>
      <w:r>
        <w:rPr>
          <w:rFonts w:ascii="Times New Roman;serif" w:hAnsi="Times New Roman;serif"/>
          <w:b w:val="false"/>
          <w:color w:val="000000"/>
          <w:sz w:val="24"/>
          <w:u w:val="single"/>
        </w:rPr>
        <w:t>Ratification of Indenture; Supplemental Indentures Part of Indenture; No Liability of Trustee</w:t>
      </w:r>
      <w:r>
        <w:rPr>
          <w:rFonts w:ascii="Times New Roman;serif" w:hAnsi="Times New Roman;serif"/>
          <w:b w:val="false"/>
          <w:color w:val="000000"/>
          <w:sz w:val="24"/>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a Note heretofore or hereafter authenticated and delivered shall be bound hereby. The Trustee makes no representation or warranty as to the validity or sufficiency of this Supplemental Indenture. Additionally, the Trustee shall not be responsible in any manner whatsoever for or with respect to any of the recitals or statements contained herein, all of which recitals or statements are made solely by the Co-Issuers, the Parent Guarantor and the New Guarantors, and the Trustee makes no representation with respect to any such matters.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Section 3.04</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This Supplemental Indenture may be executed in two or more counterparts, which when so executed shall constitute one and the same agreement. The exchange of copies of this Supplemental Indenture and of signature pages by facsimile or PDF transmission shall constitute effective execution and delivery of this Supplemental Indenture as to the parties hereto and may be used in lieu of the original Indenture for all purposes. Signatures of the parties hereto transmitted by facsimile or PDF shall be deemed to be their original signatures for all purposes. The words “execution,” “signed,” “signature,” “delivery,” and words of like import in or relating to this Supplemental Indenture or any document to be signed in connection with this Supplemental Indenture shall be deemed to include electronic signatures,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67360"/>
                <wp:effectExtent l="0" t="0" r="0" b="0"/>
                <wp:wrapNone/>
                <wp:docPr id="50" name="Frame50"/>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deliveries or the keeping of records in electronic form, each of which shall be of the same legal effect, validity or enforceability as a manually executed signature, physical delivery thereof or the use of a paper based recordkeeping system, as the case may be, and the parties hereto consent to conduct the transactions contemplated hereunder by electronic means.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Section 3.05</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of the Articles and the sections in this Supplemental Indenture are for convenience of reference only and shall not be deemed to alter or affect the meaning or interpretation of any provisions hereof.</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Section 3.06</w:t>
      </w:r>
      <w:r>
        <w:rPr>
          <w:rFonts w:ascii="Times New Roman;serif" w:hAnsi="Times New Roman;serif"/>
          <w:b w:val="false"/>
          <w:color w:val="000000"/>
          <w:sz w:val="24"/>
          <w:u w:val="single"/>
        </w:rPr>
        <w:t>The Trustee</w:t>
      </w:r>
      <w:r>
        <w:rPr>
          <w:rFonts w:ascii="Times New Roman;serif" w:hAnsi="Times New Roman;serif"/>
          <w:b w:val="false"/>
          <w:color w:val="000000"/>
          <w:sz w:val="24"/>
        </w:rPr>
        <w:t>. The Trustee shall not be responsible in any manner whatsoever for or in respect of the validity or sufficiency of this Supplemental Indenture or for or in respect of the recitals contained herein, all of which recitals are made solely by the Co-Issuers, the Parent Guarantor and the New Guarantors.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67360"/>
                <wp:effectExtent l="0" t="0" r="0" b="0"/>
                <wp:wrapNone/>
                <wp:docPr id="51" name="Frame51"/>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IN WITNESS WHEREOF, the parties hereto have caused this Supplemental Indenture to be duly executed as of the date first above written.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4"/>
        </w:rPr>
        <w:t>WEATHERFORD US HOLDING, LLC</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limited liability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/s/ Maximiliano A. Kricorian        </w:t>
      </w: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Maximiliano A. Kricorian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WEATHERFORD INTERNATIONAL LTD</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Bermuda exempted company limited by shares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/s/ Maximiliano A. Kricorian        </w:t>
      </w:r>
      <w:r>
        <w:rPr>
          <w:rFonts w:ascii="Times New Roman;serif" w:hAnsi="Times New Roman;serif"/>
          <w:b w:val="false"/>
          <w:color w:val="000000"/>
          <w:sz w:val="24"/>
        </w:rPr>
        <w:t>Name: Maximiliano A. Kricorian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 and Treasurer</w:t>
      </w:r>
    </w:p>
    <w:p>
      <w:pPr>
        <w:pStyle w:val="TextBody"/>
        <w:bidi w:val="0"/>
        <w:spacing w:before="0" w:after="1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WEATHERFORD INTERNATIONAL PLC</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an Irish public limited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Maximiliano A. Kricorian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Maximiliano A. Kricorian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 and Treasurer</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Supplemental Indenture]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Supplemental Indenture]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NEW GUARANTORS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4"/>
        </w:rPr>
        <w:t>Weatherford Irish Holdings 2 Limited</w:t>
      </w:r>
      <w:r>
        <w:rPr>
          <w:rFonts w:ascii="Times New Roman;serif" w:hAnsi="Times New Roman;serif"/>
          <w:b/>
          <w:color w:val="000000"/>
          <w:sz w:val="22"/>
        </w:rPr>
        <w:t>.</w:t>
      </w:r>
      <w:r>
        <w:rPr>
          <w:rFonts w:ascii="Times New Roman;serif" w:hAnsi="Times New Roman;serif"/>
          <w:b w:val="false"/>
          <w:color w:val="000000"/>
          <w:sz w:val="22"/>
        </w:rPr>
        <w:t xml:space="preserve">, an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incorporated private company limited by shares under the laws of Ireland</w:t>
      </w:r>
    </w:p>
    <w:p>
      <w:pPr>
        <w:pStyle w:val="TextBody"/>
        <w:bidi w:val="0"/>
        <w:spacing w:lineRule="auto" w:line="288" w:before="0" w:after="0"/>
        <w:jc w:val="left"/>
        <w:rPr/>
      </w:pPr>
      <w:r>
        <w:rPr>
          <w:rFonts w:ascii="Times New Roman;serif" w:hAnsi="Times New Roman;serif"/>
          <w:b w:val="false"/>
          <w:color w:val="000000"/>
          <w:sz w:val="22"/>
        </w:rPr>
        <w:br/>
      </w:r>
      <w:r>
        <w:rPr>
          <w:rFonts w:ascii="Times New Roman;serif" w:hAnsi="Times New Roman;serif"/>
          <w:b w:val="false"/>
          <w:color w:val="000000"/>
          <w:sz w:val="22"/>
          <w:u w:val="single"/>
        </w:rPr>
        <w:t>/s/ Beth Ann Dranguet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Beth Ann Dranguet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xml:space="preserve">Title: Assistant Secretary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Weatherford Irish Holdings 3 Limited</w:t>
      </w:r>
      <w:r>
        <w:rPr>
          <w:rFonts w:ascii="Times New Roman;serif" w:hAnsi="Times New Roman;serif"/>
          <w:b/>
          <w:color w:val="000000"/>
          <w:sz w:val="22"/>
        </w:rPr>
        <w:t>.</w:t>
      </w:r>
      <w:r>
        <w:rPr>
          <w:rFonts w:ascii="Times New Roman;serif" w:hAnsi="Times New Roman;serif"/>
          <w:b w:val="false"/>
          <w:color w:val="000000"/>
          <w:sz w:val="22"/>
        </w:rPr>
        <w:t xml:space="preserve">, an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incorporated private company limited by shares under the laws of Ireland</w:t>
      </w:r>
    </w:p>
    <w:p>
      <w:pPr>
        <w:pStyle w:val="TextBody"/>
        <w:bidi w:val="0"/>
        <w:spacing w:lineRule="auto" w:line="288" w:before="0" w:after="0"/>
        <w:jc w:val="left"/>
        <w:rPr/>
      </w:pPr>
      <w:r>
        <w:rPr>
          <w:rFonts w:ascii="Times New Roman;serif" w:hAnsi="Times New Roman;serif"/>
          <w:b w:val="false"/>
          <w:color w:val="000000"/>
          <w:sz w:val="22"/>
        </w:rPr>
        <w:br/>
      </w:r>
      <w:r>
        <w:rPr>
          <w:rFonts w:ascii="Times New Roman;serif" w:hAnsi="Times New Roman;serif"/>
          <w:b w:val="false"/>
          <w:color w:val="000000"/>
          <w:sz w:val="22"/>
          <w:u w:val="single"/>
        </w:rPr>
        <w:t>/s/ Beth Ann Dranguet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Beth Ann Dranguet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Assistant Secretary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Supplemental Indenture]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Supplemental Indenture]</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4"/>
        </w:rPr>
        <w:t>UMB BANK, N.A.</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Trustee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Shazia Flores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Shazia Flores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Supplemental Indenture]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Supplemental Indenture]</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SUPPLEMENTAL INDENTURE</w:t>
      </w:r>
    </w:p>
    <w:p>
      <w:pPr>
        <w:pStyle w:val="TextBody"/>
        <w:bidi w:val="0"/>
        <w:spacing w:lineRule="auto" w:line="288" w:before="0" w:after="240"/>
        <w:ind w:left="0" w:right="0" w:firstLine="720"/>
        <w:jc w:val="left"/>
        <w:rPr/>
      </w:pPr>
      <w:r>
        <w:rPr>
          <w:rFonts w:ascii="Times New Roman;serif" w:hAnsi="Times New Roman;serif"/>
          <w:b w:val="false"/>
          <w:color w:val="000000"/>
          <w:sz w:val="24"/>
        </w:rPr>
        <w:t>THIS SUPPLEMENTAL INDENTURE (this “</w:t>
      </w:r>
      <w:r>
        <w:rPr>
          <w:rFonts w:ascii="Times New Roman;serif" w:hAnsi="Times New Roman;serif"/>
          <w:b w:val="false"/>
          <w:color w:val="000000"/>
          <w:sz w:val="24"/>
          <w:u w:val="single"/>
        </w:rPr>
        <w:t>Supplemental Indenture</w:t>
      </w:r>
      <w:r>
        <w:rPr>
          <w:color w:val="000000"/>
        </w:rPr>
        <w:t>”</w:t>
      </w:r>
      <w:r>
        <w:rPr>
          <w:rFonts w:ascii="Times New Roman;serif" w:hAnsi="Times New Roman;serif"/>
          <w:b w:val="false"/>
          <w:color w:val="000000"/>
          <w:sz w:val="24"/>
        </w:rPr>
        <w:t>), dated as of May 26, 2026, is among Weatherford International Ltd., a Bermuda exempted company limited by shares, and Weatherford US Holding, LLC, a Delaware limited liability company (formerly known as Weatherford International, LLC) (each, a “</w:t>
      </w:r>
      <w:r>
        <w:rPr>
          <w:rFonts w:ascii="Times New Roman;serif" w:hAnsi="Times New Roman;serif"/>
          <w:b w:val="false"/>
          <w:color w:val="000000"/>
          <w:sz w:val="24"/>
          <w:u w:val="single"/>
        </w:rPr>
        <w:t>Co-Issuer</w:t>
      </w:r>
      <w:r>
        <w:rPr>
          <w:color w:val="000000"/>
        </w:rPr>
        <w:t xml:space="preserve">” </w:t>
      </w:r>
      <w:r>
        <w:rPr>
          <w:rFonts w:ascii="Times New Roman;serif" w:hAnsi="Times New Roman;serif"/>
          <w:b w:val="false"/>
          <w:color w:val="000000"/>
          <w:sz w:val="24"/>
        </w:rPr>
        <w:t>and, together, the “</w:t>
      </w:r>
      <w:r>
        <w:rPr>
          <w:rFonts w:ascii="Times New Roman;serif" w:hAnsi="Times New Roman;serif"/>
          <w:b w:val="false"/>
          <w:color w:val="000000"/>
          <w:sz w:val="24"/>
          <w:u w:val="single"/>
        </w:rPr>
        <w:t>Co-Issuers</w:t>
      </w:r>
      <w:r>
        <w:rPr>
          <w:color w:val="000000"/>
        </w:rPr>
        <w:t>”</w:t>
      </w:r>
      <w:r>
        <w:rPr>
          <w:rFonts w:ascii="Times New Roman;serif" w:hAnsi="Times New Roman;serif"/>
          <w:b w:val="false"/>
          <w:color w:val="000000"/>
          <w:sz w:val="24"/>
        </w:rPr>
        <w:t>), the new guarantors listed on the signature pages hereto (each, a “</w:t>
      </w:r>
      <w:r>
        <w:rPr>
          <w:rFonts w:ascii="Times New Roman;serif" w:hAnsi="Times New Roman;serif"/>
          <w:b w:val="false"/>
          <w:color w:val="000000"/>
          <w:sz w:val="24"/>
          <w:u w:val="single"/>
        </w:rPr>
        <w:t>New Guarantor</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color w:val="000000"/>
          <w:sz w:val="24"/>
          <w:u w:val="single"/>
        </w:rPr>
        <w:t>New Guarantors</w:t>
      </w:r>
      <w:r>
        <w:rPr>
          <w:color w:val="000000"/>
        </w:rPr>
        <w:t>”</w:t>
      </w:r>
      <w:r>
        <w:rPr>
          <w:rFonts w:ascii="Times New Roman;serif" w:hAnsi="Times New Roman;serif"/>
          <w:b w:val="false"/>
          <w:color w:val="000000"/>
          <w:sz w:val="24"/>
        </w:rPr>
        <w:t>), Weatherford International plc, an Irish public limited company (the “</w:t>
      </w:r>
      <w:r>
        <w:rPr>
          <w:rFonts w:ascii="Times New Roman;serif" w:hAnsi="Times New Roman;serif"/>
          <w:b w:val="false"/>
          <w:color w:val="000000"/>
          <w:sz w:val="24"/>
          <w:u w:val="single"/>
        </w:rPr>
        <w:t>Parent Guarantor</w:t>
      </w:r>
      <w:r>
        <w:rPr>
          <w:color w:val="000000"/>
        </w:rPr>
        <w:t>”</w:t>
      </w:r>
      <w:r>
        <w:rPr>
          <w:rFonts w:ascii="Times New Roman;serif" w:hAnsi="Times New Roman;serif"/>
          <w:b w:val="false"/>
          <w:color w:val="000000"/>
          <w:sz w:val="24"/>
        </w:rPr>
        <w:t>), and Deutsche Bank Trust Company Americas, as trustee under the Indenture referred to herein (in such capacity, the “Trustee”).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 I T N E S S E T H:</w:t>
      </w:r>
    </w:p>
    <w:p>
      <w:pPr>
        <w:pStyle w:val="TextBody"/>
        <w:bidi w:val="0"/>
        <w:spacing w:lineRule="auto" w:line="288" w:before="0" w:after="240"/>
        <w:ind w:left="0" w:right="0" w:firstLine="720"/>
        <w:jc w:val="left"/>
        <w:rPr/>
      </w:pPr>
      <w:r>
        <w:rPr>
          <w:rFonts w:ascii="Times New Roman;serif" w:hAnsi="Times New Roman;serif"/>
          <w:b w:val="false"/>
          <w:color w:val="000000"/>
          <w:sz w:val="24"/>
        </w:rPr>
        <w:t>WHEREAS, the Co-Issuers, the Parent Guarantor, and the Trustee are parties to an Indenture, dated as of October 27, 2021 relating to the 8.625% Senior Notes due 2030 (the “</w:t>
      </w:r>
      <w:r>
        <w:rPr>
          <w:rFonts w:ascii="Times New Roman;serif" w:hAnsi="Times New Roman;serif"/>
          <w:b w:val="false"/>
          <w:color w:val="000000"/>
          <w:sz w:val="24"/>
          <w:u w:val="single"/>
        </w:rPr>
        <w:t>Notes</w:t>
      </w:r>
      <w:r>
        <w:rPr>
          <w:color w:val="000000"/>
        </w:rPr>
        <w:t>”</w:t>
      </w:r>
      <w:r>
        <w:rPr>
          <w:rFonts w:ascii="Times New Roman;serif" w:hAnsi="Times New Roman;serif"/>
          <w:b w:val="false"/>
          <w:color w:val="000000"/>
          <w:sz w:val="24"/>
        </w:rPr>
        <w:t>) of the Co-Issuers (the “</w:t>
      </w:r>
      <w:r>
        <w:rPr>
          <w:rFonts w:ascii="Times New Roman;serif" w:hAnsi="Times New Roman;serif"/>
          <w:b w:val="false"/>
          <w:color w:val="000000"/>
          <w:sz w:val="24"/>
          <w:u w:val="single"/>
        </w:rPr>
        <w:t>Base Indenture</w:t>
      </w:r>
      <w:r>
        <w:rPr>
          <w:color w:val="000000"/>
        </w:rPr>
        <w:t xml:space="preserve">” </w:t>
      </w:r>
      <w:r>
        <w:rPr>
          <w:rFonts w:ascii="Times New Roman;serif" w:hAnsi="Times New Roman;serif"/>
          <w:b w:val="false"/>
          <w:color w:val="000000"/>
          <w:sz w:val="24"/>
        </w:rPr>
        <w:t>and, as amended, supplemented or otherwise modified as of the date hereof, including, without limitation, by that certain Supplemental Indenture dated as of December 1, 2022, collectively,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pursuant to Section 9.01(5) of the Base Indenture, the Co-Issuers, the Parent Guarantor and the Trustee are authorized to execute and deliver this Supplemental Indenture to amend or supplement the Indenture without the consent of any Holder to add any entity as a guarantor of the Notes;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each Co-Issuer desires to amend and supplement the Indenture to evidence the addition of each New Guarantor as a guarantor of the Notes;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Co-Issuers have delivered to the Trustee, and the Trustee has received, accepted and approved from the Co-Issuers, an Officers’ Certificate and an Opinion of Counsel in accordance with Sections 1.02, 1.03, 9.01(5), and 9.03 of the Base Indenture;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each Co-Issuer, the Parent Guarantor, each New Guarantor, and the Trustee mutually covenant and agree for the equal and ratable benefit of the Holders of the Notes as follows:</w:t>
      </w:r>
    </w:p>
    <w:p>
      <w:pPr>
        <w:pStyle w:val="TextBody"/>
        <w:bidi w:val="0"/>
        <w:spacing w:lineRule="auto" w:line="240"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rPr>
        <w:t>CAPITALIZED TERMS. Capitalized terms used herein without definition shall have the meanings assigned to them in the Indenture.</w:t>
      </w:r>
    </w:p>
    <w:p>
      <w:pPr>
        <w:pStyle w:val="TextBody"/>
        <w:bidi w:val="0"/>
        <w:spacing w:lineRule="auto" w:line="240"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rPr>
        <w:t xml:space="preserve">AGREEMENT TO GUARANTEE. </w:t>
      </w:r>
      <w:r>
        <w:rPr>
          <w:rFonts w:ascii="Times New Roman;serif" w:hAnsi="Times New Roman;serif"/>
          <w:b w:val="false"/>
          <w:color w:val="0F0E0B"/>
          <w:sz w:val="24"/>
          <w:shd w:fill="FFFFFF" w:val="clear"/>
        </w:rPr>
        <w:t>Each of the New Guarantors hereby agrees, jointly and severally, with the Parent Guarantor and all other Guarantors, to fully, irrevocably, unconditionally, and absolutely guarantee to each Holder and to the Trustee the Indenture Obligations, to the extent set forth in Article Fourteen of the Base Indenture and subject to the provisions thereof.</w:t>
      </w:r>
      <w:r>
        <w:rPr>
          <w:color w:val="000000"/>
        </w:rPr>
        <w:t xml:space="preserve"> </w:t>
      </w:r>
      <w:r>
        <w:rPr>
          <w:rFonts w:ascii="Times New Roman;serif" w:hAnsi="Times New Roman;serif"/>
          <w:b w:val="false"/>
          <w:color w:val="000000"/>
          <w:sz w:val="24"/>
        </w:rPr>
        <w:t xml:space="preserve">The obligations of the Guarantors to the Holders of Notes and to the Trustee pursuant to the Guarantees are expressly set forth in Article Fourteen of the Base Indenture, and reference is hereby made to such Article for the precise terms of the Guarantees. </w:t>
      </w:r>
    </w:p>
    <w:p>
      <w:pPr>
        <w:pStyle w:val="TextBody"/>
        <w:bidi w:val="0"/>
        <w:spacing w:lineRule="auto" w:line="240"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rPr>
        <w:t>NEW YORK LAW TO GOVERN. THE LAWS OF THE STATE OF NEW YORK SHALL GOVERN AND BE USED TO CONSTRUE AND ENFORCE THIS SUPPLEMENTAL INDENTURE.</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0520"/>
                <wp:effectExtent l="0" t="0" r="0" b="0"/>
                <wp:wrapNone/>
                <wp:docPr id="55" name="Frame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rPr>
        <w:t>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Signatures of the parties hereto transmitted by facsimile, PDF, electronic signature or other electronic transmission shall be deemed to be their original signatures for all purposes.</w:t>
      </w:r>
    </w:p>
    <w:p>
      <w:pPr>
        <w:pStyle w:val="TextBody"/>
        <w:bidi w:val="0"/>
        <w:spacing w:lineRule="auto" w:line="240"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rPr>
        <w:t>EFFECT OF HEADINGS. The Section headings herein are for convenience only and shall not affect the construction hereof.</w:t>
      </w:r>
    </w:p>
    <w:p>
      <w:pPr>
        <w:pStyle w:val="TextBody"/>
        <w:bidi w:val="0"/>
        <w:spacing w:lineRule="auto" w:line="240" w:before="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rPr>
        <w:t>THE TRUSTEE.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pStyle w:val="TextBody"/>
        <w:bidi w:val="0"/>
        <w:spacing w:lineRule="auto" w:line="288" w:before="0" w:after="240"/>
        <w:jc w:val="center"/>
        <w:rPr/>
      </w:pPr>
      <w:r>
        <w:rPr>
          <w:rFonts w:ascii="Times New Roman;serif" w:hAnsi="Times New Roman;serif"/>
          <w:b/>
          <w:color w:val="000000"/>
          <w:sz w:val="24"/>
        </w:rPr>
        <w:t>[</w:t>
      </w:r>
      <w:r>
        <w:rPr>
          <w:rFonts w:ascii="Times New Roman;serif" w:hAnsi="Times New Roman;serif"/>
          <w:b w:val="false"/>
          <w:color w:val="000000"/>
          <w:sz w:val="24"/>
        </w:rPr>
        <w:t>Remainder of Page Intentionally Left Blank.</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Supplemental Indenture to be duly executed as of the date first above written.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WEATHERFORD US HOLDING, LLC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limited liability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Maximiliano A. Kricorian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Maximiliano A. Kricorian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WEATHERFORD INTERNATIONAL LTD.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Bermuda exempted company limited by shares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/s/ Maximiliano A. Kricorian    </w:t>
      </w: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Maximiliano A. Kricorian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WEATHERFORD INTERNATIONAL PLC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 Irish public limited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/s/ Maximiliano A. Kricorian    </w:t>
      </w: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Maximiliano A. Kricorian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 and 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Supplemental Indenture</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Supplemental Indenture</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NEW GUARANTORS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4"/>
        </w:rPr>
        <w:t>Weatherford Irish Holdings 2 Limited</w:t>
      </w:r>
      <w:r>
        <w:rPr>
          <w:rFonts w:ascii="Times New Roman;serif" w:hAnsi="Times New Roman;serif"/>
          <w:b/>
          <w:color w:val="000000"/>
          <w:sz w:val="22"/>
        </w:rPr>
        <w:t>.</w:t>
      </w:r>
      <w:r>
        <w:rPr>
          <w:rFonts w:ascii="Times New Roman;serif" w:hAnsi="Times New Roman;serif"/>
          <w:b w:val="false"/>
          <w:color w:val="000000"/>
          <w:sz w:val="22"/>
        </w:rPr>
        <w:t xml:space="preserve">, an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incorporated private company limited by shares under the laws of Ireland</w:t>
      </w:r>
    </w:p>
    <w:p>
      <w:pPr>
        <w:pStyle w:val="TextBody"/>
        <w:bidi w:val="0"/>
        <w:spacing w:lineRule="auto" w:line="288" w:before="0" w:after="0"/>
        <w:jc w:val="left"/>
        <w:rPr/>
      </w:pPr>
      <w:r>
        <w:rPr>
          <w:rFonts w:ascii="Times New Roman;serif" w:hAnsi="Times New Roman;serif"/>
          <w:b w:val="false"/>
          <w:color w:val="000000"/>
          <w:sz w:val="22"/>
        </w:rPr>
        <w:br/>
        <w:t>By:</w:t>
      </w:r>
      <w:r>
        <w:rPr>
          <w:color w:val="000000"/>
          <w:u w:val="single"/>
        </w:rPr>
        <w:t xml:space="preserve"> </w:t>
      </w:r>
      <w:r>
        <w:rPr>
          <w:rFonts w:ascii="Times New Roman;serif" w:hAnsi="Times New Roman;serif"/>
          <w:b w:val="false"/>
          <w:color w:val="000000"/>
          <w:sz w:val="22"/>
          <w:u w:val="single"/>
        </w:rPr>
        <w:t>/s/ Mohammed Dadhiwala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Mohammed Dadhiwala</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Director</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Weatherford Irish Holdings 3 Limited</w:t>
      </w:r>
      <w:r>
        <w:rPr>
          <w:rFonts w:ascii="Times New Roman;serif" w:hAnsi="Times New Roman;serif"/>
          <w:b/>
          <w:color w:val="000000"/>
          <w:sz w:val="22"/>
        </w:rPr>
        <w:t>.</w:t>
      </w:r>
      <w:r>
        <w:rPr>
          <w:rFonts w:ascii="Times New Roman;serif" w:hAnsi="Times New Roman;serif"/>
          <w:b w:val="false"/>
          <w:color w:val="000000"/>
          <w:sz w:val="22"/>
        </w:rPr>
        <w:t xml:space="preserve">, an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incorporated private company limited by shares under the laws of Ireland</w:t>
      </w:r>
    </w:p>
    <w:p>
      <w:pPr>
        <w:pStyle w:val="TextBody"/>
        <w:bidi w:val="0"/>
        <w:spacing w:lineRule="auto" w:line="288" w:before="0" w:after="0"/>
        <w:jc w:val="left"/>
        <w:rPr/>
      </w:pPr>
      <w:r>
        <w:rPr>
          <w:rFonts w:ascii="Times New Roman;serif" w:hAnsi="Times New Roman;serif"/>
          <w:b w:val="false"/>
          <w:color w:val="000000"/>
          <w:sz w:val="22"/>
        </w:rPr>
        <w:br/>
        <w:t>By:</w:t>
      </w:r>
      <w:r>
        <w:rPr>
          <w:color w:val="000000"/>
          <w:u w:val="single"/>
        </w:rPr>
        <w:t xml:space="preserve"> </w:t>
      </w:r>
      <w:r>
        <w:rPr>
          <w:rFonts w:ascii="Times New Roman;serif" w:hAnsi="Times New Roman;serif"/>
          <w:b w:val="false"/>
          <w:color w:val="000000"/>
          <w:sz w:val="22"/>
          <w:u w:val="single"/>
        </w:rPr>
        <w:t>/s/ A.J. Masterson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A. J. Masterson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Supplemental Indenture</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Supplemental Indenture</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DEUTSCHE BANK TRUST COMPANY AMERICAS</w:t>
      </w:r>
      <w:r>
        <w:rPr>
          <w:rFonts w:ascii="Times New Roman;serif" w:hAnsi="Times New Roman;serif"/>
          <w:b w:val="false"/>
          <w:color w:val="000000"/>
          <w:sz w:val="24"/>
        </w:rPr>
        <w:t>,</w:t>
      </w:r>
    </w:p>
    <w:p>
      <w:pPr>
        <w:pStyle w:val="TextBody"/>
        <w:bidi w:val="0"/>
        <w:spacing w:lineRule="auto" w:line="288" w:before="0" w:after="0"/>
        <w:jc w:val="left"/>
        <w:rPr/>
      </w:pPr>
      <w:r>
        <w:rPr>
          <w:rFonts w:ascii="Times New Roman;serif" w:hAnsi="Times New Roman;serif"/>
          <w:b w:val="false"/>
          <w:color w:val="000000"/>
          <w:sz w:val="24"/>
        </w:rPr>
        <w:t xml:space="preserve">as </w:t>
      </w:r>
      <w:r>
        <w:rPr>
          <w:rFonts w:ascii="Times New Roman;serif" w:hAnsi="Times New Roman;serif"/>
          <w:b w:val="false"/>
          <w:i/>
          <w:color w:val="000000"/>
          <w:sz w:val="24"/>
        </w:rPr>
        <w:t>Trustee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Mary Miselis    </w:t>
      </w: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Mary Miselis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Arian Kalaba    </w:t>
      </w:r>
      <w:r>
        <w:rPr>
          <w:rFonts w:ascii="Times New Roman;serif" w:hAnsi="Times New Roman;serif"/>
          <w:b w:val="false"/>
          <w:color w:val="000000"/>
          <w:sz w:val="24"/>
        </w:rPr>
        <w:br/>
        <w:t>Name: Arian Kalaba</w:t>
        <w:br/>
        <w:t>Title: Associate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Supplemental Indenture</w:t>
                            </w:r>
                            <w:r>
                              <w:rPr>
                                <w:rFonts w:ascii="Times New Roman;serif" w:hAnsi="Times New Roman;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Supplemental Indenture</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Girishchandra K. Saligram, certify that: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Weatherford International plc;</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551" w:type="dxa"/>
        <w:jc w:val="left"/>
        <w:tblInd w:w="0" w:type="dxa"/>
        <w:tblLayout w:type="fixed"/>
        <w:tblCellMar>
          <w:top w:w="28" w:type="dxa"/>
          <w:left w:w="28" w:type="dxa"/>
          <w:bottom w:w="28" w:type="dxa"/>
          <w:right w:w="28" w:type="dxa"/>
        </w:tblCellMar>
      </w:tblPr>
      <w:tblGrid>
        <w:gridCol w:w="124"/>
        <w:gridCol w:w="109"/>
        <w:gridCol w:w="109"/>
        <w:gridCol w:w="319"/>
        <w:gridCol w:w="319"/>
        <w:gridCol w:w="322"/>
        <w:gridCol w:w="657"/>
        <w:gridCol w:w="657"/>
        <w:gridCol w:w="9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22,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erif" w:hAnsi="Times New Roman;serif"/>
                <w:b w:val="false"/>
                <w:color w:val="000000"/>
                <w:sz w:val="20"/>
              </w:rPr>
            </w:pPr>
            <w:r>
              <w:rPr>
                <w:rFonts w:ascii="Times New Roman;serif" w:hAnsi="Times New Roman;serif"/>
                <w:b w:val="false"/>
                <w:color w:val="000000"/>
                <w:sz w:val="20"/>
              </w:rPr>
              <w:t>/s/ Girishchandra K. Saligram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Girishchandra K. Saligram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 Anuj Dhruv, certify that: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Weatherford International plc;</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80" w:type="dxa"/>
        <w:jc w:val="left"/>
        <w:tblInd w:w="0" w:type="dxa"/>
        <w:tblLayout w:type="fixed"/>
        <w:tblCellMar>
          <w:top w:w="28" w:type="dxa"/>
          <w:left w:w="28" w:type="dxa"/>
          <w:bottom w:w="28" w:type="dxa"/>
          <w:right w:w="28" w:type="dxa"/>
        </w:tblCellMar>
      </w:tblPr>
      <w:tblGrid>
        <w:gridCol w:w="124"/>
        <w:gridCol w:w="109"/>
        <w:gridCol w:w="109"/>
        <w:gridCol w:w="442"/>
        <w:gridCol w:w="442"/>
        <w:gridCol w:w="447"/>
        <w:gridCol w:w="908"/>
        <w:gridCol w:w="908"/>
        <w:gridCol w:w="12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22,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erif" w:hAnsi="Times New Roman;serif"/>
                <w:b w:val="false"/>
                <w:color w:val="000000"/>
                <w:sz w:val="20"/>
              </w:rPr>
            </w:pPr>
            <w:r>
              <w:rPr>
                <w:rFonts w:ascii="Times New Roman;serif" w:hAnsi="Times New Roman;serif"/>
                <w:b w:val="false"/>
                <w:color w:val="000000"/>
                <w:sz w:val="20"/>
              </w:rPr>
              <w:t>/s/ Anuj Dhruv</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Anuj Dhruv</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SECTION 906 OF THE SARBANES-OXLEY ACT OF 2002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Weatherford International plc (the "Company") for the period ended June 30, 2026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pStyle w:val="TextBody"/>
        <w:bidi w:val="0"/>
        <w:spacing w:before="0" w:after="0"/>
        <w:jc w:val="both"/>
        <w:rPr/>
      </w:pPr>
      <w:r>
        <w:rPr/>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509" w:type="dxa"/>
        <w:jc w:val="left"/>
        <w:tblInd w:w="0" w:type="dxa"/>
        <w:tblLayout w:type="fixed"/>
        <w:tblCellMar>
          <w:top w:w="28" w:type="dxa"/>
          <w:left w:w="28" w:type="dxa"/>
          <w:bottom w:w="28" w:type="dxa"/>
          <w:right w:w="28" w:type="dxa"/>
        </w:tblCellMar>
      </w:tblPr>
      <w:tblGrid>
        <w:gridCol w:w="233"/>
        <w:gridCol w:w="205"/>
        <w:gridCol w:w="207"/>
        <w:gridCol w:w="1054"/>
        <w:gridCol w:w="1054"/>
        <w:gridCol w:w="1057"/>
        <w:gridCol w:w="109"/>
        <w:gridCol w:w="109"/>
        <w:gridCol w:w="109"/>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Girishchandra K. Saligram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Girishchandra K. Saligram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has been provided to the Company and will be retained by the Company and furnished to the Securities and Exchange Commission or its staff upon request.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Weatherford International plc (the "Company") for the period ended June 30, 2026 as filed with the Securities and Exchange Commission on the date hereof (the "Report"), I, Anuj Dhruv, Executive Vice President and Chief Financial Officer of the Company, certify, pursuant to 18 U.S.C. Section 1350, as adopted pursuant to Section 906 of the Sarbanes-Oxley Act of 2002, that:</w:t>
      </w:r>
    </w:p>
    <w:p>
      <w:pPr>
        <w:pStyle w:val="TextBody"/>
        <w:bidi w:val="0"/>
        <w:spacing w:before="0" w:after="0"/>
        <w:jc w:val="both"/>
        <w:rPr/>
      </w:pPr>
      <w:r>
        <w:rPr/>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and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739" w:type="dxa"/>
        <w:jc w:val="left"/>
        <w:tblInd w:w="0" w:type="dxa"/>
        <w:tblLayout w:type="fixed"/>
        <w:tblCellMar>
          <w:top w:w="28" w:type="dxa"/>
          <w:left w:w="28" w:type="dxa"/>
          <w:bottom w:w="28" w:type="dxa"/>
          <w:right w:w="28" w:type="dxa"/>
        </w:tblCellMar>
      </w:tblPr>
      <w:tblGrid>
        <w:gridCol w:w="233"/>
        <w:gridCol w:w="205"/>
        <w:gridCol w:w="207"/>
        <w:gridCol w:w="1463"/>
        <w:gridCol w:w="1463"/>
        <w:gridCol w:w="1469"/>
        <w:gridCol w:w="109"/>
        <w:gridCol w:w="109"/>
        <w:gridCol w:w="109"/>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60"/>
              <w:jc w:val="left"/>
              <w:rPr>
                <w:rFonts w:ascii="Times New Roman;serif" w:hAnsi="Times New Roman;serif"/>
                <w:b w:val="false"/>
                <w:color w:val="000000"/>
                <w:sz w:val="20"/>
              </w:rPr>
            </w:pPr>
            <w:r>
              <w:rPr>
                <w:rFonts w:ascii="Times New Roman;serif" w:hAnsi="Times New Roman;serif"/>
                <w:b w:val="false"/>
                <w:color w:val="000000"/>
                <w:sz w:val="20"/>
              </w:rPr>
              <w:t>/s/ Anuj Dhruv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Anuj Dhruv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has been provided to the Company and will be retained by the Company and furnished to the Securities and Exchange Commission or its staff upon request.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20918</Words>
  <Characters>113875</Characters>
  <CharactersWithSpaces>133707</CharactersWithSpaces>
  <Paragraphs>2729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