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-59055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6, 2025</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65" w:lineRule="exact"/>
        <w:rPr>
          <w:sz w:val="24"/>
          <w:szCs w:val="24"/>
          <w:color w:val="auto"/>
        </w:rPr>
      </w:pPr>
    </w:p>
    <w:tbl>
      <w:tblPr>
        <w:tblLayout w:type="fixed"/>
        <w:tblInd w:w="16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3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2000 St. James Place,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5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October 6, 2025, Weatherford International Ltd. (the “Issuer”), a wholly owned subsidiary of Weatherford International plc (the “Weatherford”), issued $1,200 million in aggregate principal amount of 6.750% Senior Notes due 2033 (the “Notes”) in a private offering at an offering price of 100% of the principal amount thereof (the “Notes Offering”). The Notes were offered to persons reasonably believed to be qualified institutional buyers in an offering exempt from registration in reliance on Rule 144A under the Securities Act of 1933 (the “Securities Act”), and outside the United States in reliance on Regulation S under the Securities Act. The Issuer intends to use the proceeds from the Notes Offering, together with cash on hand, to (i) fund its previously announced tender offer (the “Tender Offer”) for up to $1,300 million of its 8.625% Senior Unsecured Notes due 2030 (the “2030 Notes”) and (ii) pay accrued and unpaid interest on the 2030 Notes as well as pay related transaction fees and expenses.</w:t>
      </w:r>
    </w:p>
    <w:p>
      <w:pPr>
        <w:spacing w:after="0" w:line="7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Notes were issued pursuant to a separate indenture (the “Indenture”), by and among the Issuer, Weatherford, as guarantor, and UMB Bank, N.A., as trustee. The Notes are senior unsecured obligations of the Issuer and are unconditionally guaranteed on an unsecured basis by Weatherford and certain of Weatherford’s restricted subsidiaries.</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Notes bear interest at a rate of 6.750% per annum. Interest on the Notes accrues from October 6, 2025 and is payable in arrears on April 15 and October 15 of each year, commencing on April 15, 2026. The Notes mature on October 15, 2033 unless earlier redeemed or repurchased, and are subject to the terms and conditions set forth in the Indenture. The Issuer may redeem some or all of the Notes at the redemption prices and on the terms specified in the Indenture. If the Issuer experiences specific kinds of changes in control, then the Issuer must offer to repurchase the Notes on the terms set forth in the Indenture. The Indenture limits, among other things, Weatherford’s ability and the ability of its restricted subsidiaries to (i) grant or incur liens, (ii) enter into sale and lease-back transactions and (iii) engage in a merger or consolidation. The Indenture contains customary events of default, including, among other things, failure to make required payments, failure to comply with certain agreements or covenants, failure to pay or acceleration of certain other indebtedness, certain events of bankruptcy and insolvency, and failure to pay certain judgments. The foregoing description of the Indenture does not purport to be complete and is qualified in its entirety by reference to the Indenture, a copy of which is attached hereto as Exhibit 4.1 and is incorporated herein by reference.</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into this Item 2.03 by reference.</w:t>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1500" w:hanging="915"/>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20" w:type="dxa"/>
            <w:vAlign w:val="bottom"/>
            <w:tcBorders>
              <w:bottom w:val="single" w:sz="8" w:color="auto"/>
            </w:tcBorders>
          </w:tcPr>
          <w:p>
            <w:pPr>
              <w:spacing w:after="0"/>
              <w:rPr>
                <w:sz w:val="2"/>
                <w:szCs w:val="2"/>
                <w:color w:val="auto"/>
              </w:rPr>
            </w:pPr>
          </w:p>
        </w:tc>
      </w:tr>
      <w:tr>
        <w:trPr>
          <w:trHeight w:val="191"/>
        </w:trPr>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9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Indenture, dated as of October 6, 2025, by and among Weatherford International Ltd., as issuer, UMB Bank, N.A., as trustee, and the</w:t>
            </w: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Guarantors party thereto.</w:t>
            </w:r>
          </w:p>
        </w:tc>
      </w:tr>
      <w:tr>
        <w:trPr>
          <w:trHeight w:val="25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2"/>
                <w:szCs w:val="22"/>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6.750% Senior Notes due 2033 (included as Exhibit A to Exhibit 4.1).</w:t>
            </w:r>
          </w:p>
        </w:tc>
      </w:tr>
    </w:tbl>
    <w:p>
      <w:pPr>
        <w:spacing w:after="0" w:line="22" w:lineRule="exact"/>
        <w:rPr>
          <w:sz w:val="20"/>
          <w:szCs w:val="20"/>
          <w:color w:val="auto"/>
        </w:rPr>
      </w:pPr>
    </w:p>
    <w:p>
      <w:pPr>
        <w:ind w:left="1640" w:hanging="1011"/>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0"/>
        <w:spacing w:after="0"/>
        <w:tabs>
          <w:tab w:leader="none" w:pos="2860" w:val="left"/>
          <w:tab w:leader="none" w:pos="3380" w:val="left"/>
        </w:tabs>
        <w:rPr>
          <w:sz w:val="20"/>
          <w:szCs w:val="20"/>
          <w:color w:val="auto"/>
        </w:rPr>
      </w:pPr>
      <w:r>
        <w:rPr>
          <w:rFonts w:ascii="Times New Roman" w:cs="Times New Roman" w:eastAsia="Times New Roman" w:hAnsi="Times New Roman"/>
          <w:sz w:val="18"/>
          <w:szCs w:val="18"/>
          <w:color w:val="auto"/>
        </w:rPr>
        <w:t>Date: October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72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4.1</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Final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1984375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line="2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6.750% SENIOR NOTES DUE 2033</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 OCTOBER 6, 2025</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UMB BANK, N.A.,</w:t>
      </w:r>
    </w:p>
    <w:p>
      <w:pPr>
        <w:spacing w:after="0" w:line="2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878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20" w:type="dxa"/>
            <w:vAlign w:val="bottom"/>
          </w:tcPr>
          <w:p>
            <w:pPr>
              <w:spacing w:after="0"/>
              <w:rPr>
                <w:sz w:val="24"/>
                <w:szCs w:val="24"/>
                <w:color w:val="auto"/>
              </w:rPr>
            </w:pPr>
          </w:p>
        </w:tc>
      </w:tr>
      <w:tr>
        <w:trPr>
          <w:trHeight w:val="946"/>
        </w:trPr>
        <w:tc>
          <w:tcPr>
            <w:tcW w:w="8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 DEFINITIONS AND INCORPORATION BY REFERENCE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1.1 Definitions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1.2 Other Definitions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1.3 Rules of Construction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82"/>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1.4 Limited Condition Transaction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528"/>
        </w:trPr>
        <w:tc>
          <w:tcPr>
            <w:tcW w:w="8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II THE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 Form and Dating</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2.2 Execution and Authentication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2.3 Registrar; Paying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2.4 Paying Agent to Hold Money in Trust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2.5 Holder Lists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2.6 Book-Entry Provisions for Global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2.7 Replacement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2.8 Outstanding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2.9 Treasury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2.10 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2.11 Cancellation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2.12 Defaulted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2.13 Computation of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2.14 CUSIP Number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2.15 Special Transfer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82"/>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2.16 Issuance of Additional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528"/>
        </w:trPr>
        <w:tc>
          <w:tcPr>
            <w:tcW w:w="8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III REDEMPTION AND PREPAYMENT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3.1 Notices to Trustee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3.2 Selection of Notes to be Redeemed</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3.3 Notice of Optional Redemption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3.4 Effect of Notice of Redemption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3.5 Deposit of Redemption Price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3.6 Notes Redeemed in Part</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3.7 Optional Redemption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82"/>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3.8 Redemption for Tax Reasons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528"/>
        </w:trPr>
        <w:tc>
          <w:tcPr>
            <w:tcW w:w="8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IV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 Payment of Notes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82"/>
        </w:trPr>
        <w:tc>
          <w:tcPr>
            <w:tcW w:w="8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4.2 Maintenance of Office or Agency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pacing w:after="0" w:line="200" w:lineRule="exact"/>
        <w:rPr>
          <w:sz w:val="20"/>
          <w:szCs w:val="20"/>
          <w:color w:val="auto"/>
        </w:rPr>
      </w:pPr>
    </w:p>
    <w:p>
      <w:pPr>
        <w:sectPr>
          <w:pgSz w:w="11900" w:h="16838" w:orient="portrait"/>
          <w:cols w:equalWidth="0" w:num="1">
            <w:col w:w="11200"/>
          </w:cols>
          <w:pgMar w:left="3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18" w:right="359" w:bottom="1440" w:gutter="0" w:footer="0" w:header="0"/>
          <w:type w:val="continuous"/>
        </w:sectPr>
      </w:pPr>
    </w:p>
    <w:bookmarkStart w:id="5" w:name="page6"/>
    <w:bookmarkEnd w:id="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4.3 Provision of Financial Information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4.4 Compliance Certificate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4.5 [Reserved]</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4.6 Stay, Execution and Usury Laws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4.7 Limitation on Restricted Payments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4.8 Limitation on Dividend and Other Restrictions Affecting Restricted Subsidiaries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4.9 Limitation on Additional Indebtedness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4.10 Limitation on Asset Sales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4.11 Limitation on Transactions with Affiliates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4.12 Limitation on Liens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4.13 Offer to Purchase upon Change of Control Triggering Event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4.14 Corporate Existence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4.15 Additional Guarantees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4.16 Limitation on Designation of Unrestricted Subsidiaries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4.17 Additional Amounts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82"/>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4.18 Effectiveness of Covenants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528"/>
        </w:trPr>
        <w:tc>
          <w:tcPr>
            <w:tcW w:w="9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V SUCCESSORS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82"/>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5.1 Consolidation, Merger, Conveyance, Transfer or Lease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528"/>
        </w:trPr>
        <w:tc>
          <w:tcPr>
            <w:tcW w:w="9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VI DEFAULTS AND REMEDIES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6.1 Events of Default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6.2 Acceleration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6.3 Other Remedies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6.4 Waiver of Past Defaults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6.5 Control by Majority</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6.6 Limitation on Suits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6.7 Rights of Holders of Notes to Receive Payment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6.8 Collection Suit by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6.9 Trustee May File Proofs of Claim</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6.10 Priorities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6.11 Undertaking for Costs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82"/>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6.12 Noteholder Direction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528"/>
        </w:trPr>
        <w:tc>
          <w:tcPr>
            <w:tcW w:w="9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VII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7.1 Duties of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7.2 Rights of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7.3 Individual Rights of the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7.4 Trustee's Disclaimer</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82"/>
        </w:trPr>
        <w:tc>
          <w:tcPr>
            <w:tcW w:w="9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7.5 Notice of Defaults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6" w:name="page7"/>
    <w:bookmarkEnd w:id="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7.6 Compensation and Indemnity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7.7 Replacement of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7.8 Successor Trustee by Merger, Etc.</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82"/>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7.9 Eligibility; Disqualification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528"/>
        </w:trPr>
        <w:tc>
          <w:tcPr>
            <w:tcW w:w="10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VIII DEFEASANCE; DISCHARGE OF THIS INDENTURE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8.1 Option to Effect Legal Defeasance or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8.2 Legal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8.3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8.4 Conditions to Legal or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0" w:type="dxa"/>
            <w:vAlign w:val="bottom"/>
          </w:tcPr>
          <w:p>
            <w:pPr>
              <w:spacing w:after="0"/>
              <w:rPr>
                <w:sz w:val="1"/>
                <w:szCs w:val="1"/>
                <w:color w:val="auto"/>
              </w:rPr>
            </w:pPr>
          </w:p>
        </w:tc>
      </w:tr>
      <w:tr>
        <w:trPr>
          <w:trHeight w:val="216"/>
        </w:trPr>
        <w:tc>
          <w:tcPr>
            <w:tcW w:w="10140" w:type="dxa"/>
            <w:vAlign w:val="bottom"/>
          </w:tcPr>
          <w:p>
            <w:pPr>
              <w:ind w:left="240"/>
              <w:spacing w:after="0" w:line="217" w:lineRule="exact"/>
              <w:rPr>
                <w:sz w:val="20"/>
                <w:szCs w:val="20"/>
                <w:color w:val="auto"/>
              </w:rPr>
            </w:pPr>
            <w:r>
              <w:rPr>
                <w:rFonts w:ascii="Times New Roman" w:cs="Times New Roman" w:eastAsia="Times New Roman" w:hAnsi="Times New Roman"/>
                <w:sz w:val="22"/>
                <w:szCs w:val="22"/>
                <w:color w:val="auto"/>
              </w:rPr>
              <w:t>Section 8.5 Deposited Money and U.S. Government Obligations to be Held in Trust; Other Miscellaneous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96</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Provisions</w:t>
            </w: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8.6 Repayment to Issuer</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8.7 Reinstatement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82"/>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8.8 Discharge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528"/>
        </w:trPr>
        <w:tc>
          <w:tcPr>
            <w:tcW w:w="10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IX AMENDMENT, SUPPLEMENT AND WAIVER</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9.1 Without Consent of Holders of the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9.2 With Consent of Holders of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9.3 Revocation and Effect of Consents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9.4 Notation on or Exchange of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0" w:type="dxa"/>
            <w:vAlign w:val="bottom"/>
          </w:tcPr>
          <w:p>
            <w:pPr>
              <w:spacing w:after="0"/>
              <w:rPr>
                <w:sz w:val="1"/>
                <w:szCs w:val="1"/>
                <w:color w:val="auto"/>
              </w:rPr>
            </w:pPr>
          </w:p>
        </w:tc>
      </w:tr>
      <w:tr>
        <w:trPr>
          <w:trHeight w:val="282"/>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9.5 Trustee to Sign Amendments, Etc.</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0" w:type="dxa"/>
            <w:vAlign w:val="bottom"/>
          </w:tcPr>
          <w:p>
            <w:pPr>
              <w:spacing w:after="0"/>
              <w:rPr>
                <w:sz w:val="1"/>
                <w:szCs w:val="1"/>
                <w:color w:val="auto"/>
              </w:rPr>
            </w:pPr>
          </w:p>
        </w:tc>
      </w:tr>
      <w:tr>
        <w:trPr>
          <w:trHeight w:val="528"/>
        </w:trPr>
        <w:tc>
          <w:tcPr>
            <w:tcW w:w="10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X GUARANTEES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 Guarantees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10.2 Execution and Delivery of Guarantee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10.3 Severability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10.4 Limitation of Guarantors' Liability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10.5 Releases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10.6 Benefits Acknowledged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10.7 Luxenbourg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10.8 Norwegian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10.9 Irish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10.10 Swiss Financial Assistance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10.11 Parallel Debt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10.12 Dutch Covenants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10.13 German Limitation of Liability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10.14 English Law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10.15 Mexican Law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0" w:type="dxa"/>
            <w:vAlign w:val="bottom"/>
          </w:tcPr>
          <w:p>
            <w:pPr>
              <w:spacing w:after="0"/>
              <w:rPr>
                <w:sz w:val="1"/>
                <w:szCs w:val="1"/>
                <w:color w:val="auto"/>
              </w:rPr>
            </w:pPr>
          </w:p>
        </w:tc>
      </w:tr>
      <w:tr>
        <w:trPr>
          <w:trHeight w:val="270"/>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10.16 Argentine Law Limitations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0" w:type="dxa"/>
            <w:vAlign w:val="bottom"/>
          </w:tcPr>
          <w:p>
            <w:pPr>
              <w:spacing w:after="0"/>
              <w:rPr>
                <w:sz w:val="1"/>
                <w:szCs w:val="1"/>
                <w:color w:val="auto"/>
              </w:rPr>
            </w:pPr>
          </w:p>
        </w:tc>
      </w:tr>
      <w:tr>
        <w:trPr>
          <w:trHeight w:val="282"/>
        </w:trPr>
        <w:tc>
          <w:tcPr>
            <w:tcW w:w="10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Section 10.17 Brazilian Law Limitations and Waivers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7" w:name="page8"/>
    <w:bookmarkEnd w:id="7"/>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10.18 Joinder by Supplemental Indenture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528"/>
        </w:trPr>
        <w:tc>
          <w:tcPr>
            <w:tcW w:w="9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ARTICLE XI MISCELLANEOUS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11.1 Concerning the Trust Indenture Act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11.2 Notices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11.3 Certificate and Opinion as to Conditions Precedent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11.4 Statements Required in Certificate or Opinion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11.5 Rules by Trustee and Agents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13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Section 11.6</w:t>
            </w:r>
          </w:p>
        </w:tc>
        <w:tc>
          <w:tcPr>
            <w:tcW w:w="7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 Personal Liability of Directors, Officers, Employees and Stockholders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13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Section 11.7</w:t>
            </w:r>
          </w:p>
        </w:tc>
        <w:tc>
          <w:tcPr>
            <w:tcW w:w="7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Governing Law; Consent to Jurisdiction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13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Section 11.8</w:t>
            </w:r>
          </w:p>
        </w:tc>
        <w:tc>
          <w:tcPr>
            <w:tcW w:w="7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 Adverse Interpretation of Other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13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Section 11.9</w:t>
            </w:r>
          </w:p>
        </w:tc>
        <w:tc>
          <w:tcPr>
            <w:tcW w:w="7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Successors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11.10 Severability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11.11 Execution in Counterparts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11.12 Table of Contents, Headings, Etc.</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Section 11.13</w:t>
            </w:r>
          </w:p>
        </w:tc>
        <w:tc>
          <w:tcPr>
            <w:tcW w:w="7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Acts of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Section 11.14</w:t>
            </w:r>
          </w:p>
        </w:tc>
        <w:tc>
          <w:tcPr>
            <w:tcW w:w="7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Force Majeure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Section 11.15</w:t>
            </w:r>
          </w:p>
        </w:tc>
        <w:tc>
          <w:tcPr>
            <w:tcW w:w="7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Legal Holidays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Section 11.16 USA PATRIOT Act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82"/>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Section 11.17</w:t>
            </w:r>
          </w:p>
        </w:tc>
        <w:tc>
          <w:tcPr>
            <w:tcW w:w="7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Waiver of Jury Trial</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1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Note</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Supplemental Indenture to be Delivered by Subsequent Guarantors</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Certificate to be Delivered in Connection with Transfers Pursuant to Rule 144A</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Certificate to be Delivered in Connection with Transfers Pursuant to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20"/>
          </w:cols>
          <w:pgMar w:left="320" w:top="1440" w:right="35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Indenture, dated as of October 6, 2025, is by and among Weatherford International Ltd., a Bermuda exempted company limited by shares (as more fully defined herein,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Weatherford International plc, an Irish public limited company (the “</w:t>
      </w:r>
      <w:r>
        <w:rPr>
          <w:rFonts w:ascii="Times New Roman" w:cs="Times New Roman" w:eastAsia="Times New Roman" w:hAnsi="Times New Roman"/>
          <w:sz w:val="22"/>
          <w:szCs w:val="22"/>
          <w:i w:val="1"/>
          <w:iCs w:val="1"/>
          <w:color w:val="auto"/>
        </w:rPr>
        <w:t>Parent Guarantor</w:t>
      </w:r>
      <w:r>
        <w:rPr>
          <w:rFonts w:ascii="Times New Roman" w:cs="Times New Roman" w:eastAsia="Times New Roman" w:hAnsi="Times New Roman"/>
          <w:sz w:val="22"/>
          <w:szCs w:val="22"/>
          <w:color w:val="auto"/>
        </w:rPr>
        <w:t>”), the Guarantors listed on the signature pages hereto, and UMB Bank, N.A., as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paying agent and registrar.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Issuer, the Guarantors and the Trustee agree as follows for the benefit of each other and for the equal and ratable benefit of the Holders (as defined herein) of (i) the Issuer’s 6.750% Senior Notes due 2033 issued on the date hereof (the “</w:t>
      </w:r>
      <w:r>
        <w:rPr>
          <w:rFonts w:ascii="Times New Roman" w:cs="Times New Roman" w:eastAsia="Times New Roman" w:hAnsi="Times New Roman"/>
          <w:sz w:val="22"/>
          <w:szCs w:val="22"/>
          <w:i w:val="1"/>
          <w:i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and (ii) Additional Notes (as defined herein) that are subsequently issued subject to the conditions and in compliance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provisions of this Indenture:</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2820"/>
        <w:spacing w:after="0"/>
        <w:rPr>
          <w:sz w:val="20"/>
          <w:szCs w:val="20"/>
          <w:color w:val="auto"/>
        </w:rPr>
      </w:pPr>
      <w:r>
        <w:rPr>
          <w:rFonts w:ascii="Times New Roman" w:cs="Times New Roman" w:eastAsia="Times New Roman" w:hAnsi="Times New Roman"/>
          <w:sz w:val="22"/>
          <w:szCs w:val="22"/>
          <w:b w:val="1"/>
          <w:bCs w:val="1"/>
          <w:color w:val="auto"/>
        </w:rPr>
        <w:t>DEFINITIONS AND INCORPORATION BY REFERENCE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Acquired Indebtedness</w:t>
      </w:r>
      <w:r>
        <w:rPr>
          <w:rFonts w:ascii="Times New Roman" w:cs="Times New Roman" w:eastAsia="Times New Roman" w:hAnsi="Times New Roman"/>
          <w:sz w:val="22"/>
          <w:szCs w:val="22"/>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Notes</w:t>
      </w:r>
      <w:r>
        <w:rPr>
          <w:rFonts w:ascii="Times New Roman" w:cs="Times New Roman" w:eastAsia="Times New Roman" w:hAnsi="Times New Roman"/>
          <w:sz w:val="22"/>
          <w:szCs w:val="22"/>
          <w:color w:val="auto"/>
        </w:rPr>
        <w:t xml:space="preserve">” means Notes (other than the Initial Notes) issued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otherwise in compliance with the provisions of this Indenture whether or not they bear the same CUSIP number.</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of any Person means any other Person which directly or indirectly controls or is controlled by, or is under direct or indirect common control with, the referent Person. For purposes of this definition, “control” of a Person means the power to direct the management and policies of such Person, directly or indirectly, whether through the ownership of voting securities, by contract or otherwise.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means any Registrar, Paying Agent, co-registrar or other agent appointed pursuant to this Indenture.</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w:t>
      </w:r>
      <w:r>
        <w:rPr>
          <w:rFonts w:ascii="Times New Roman" w:cs="Times New Roman" w:eastAsia="Times New Roman" w:hAnsi="Times New Roman"/>
          <w:sz w:val="22"/>
          <w:szCs w:val="22"/>
          <w:color w:val="auto"/>
        </w:rPr>
        <w:t>” means to amend, supplement, restate, amend and restate or otherwise modify, including successively, and “amendment” shall have a correlative meaning.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Premium</w:t>
      </w:r>
      <w:r>
        <w:rPr>
          <w:rFonts w:ascii="Times New Roman" w:cs="Times New Roman" w:eastAsia="Times New Roman" w:hAnsi="Times New Roman"/>
          <w:sz w:val="22"/>
          <w:szCs w:val="22"/>
          <w:color w:val="auto"/>
        </w:rPr>
        <w:t>” means, with respect to any Note on any applicable redemption date, the greater of:</w:t>
      </w:r>
    </w:p>
    <w:p>
      <w:pPr>
        <w:spacing w:after="0" w:line="18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of the principal amount of such Note;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if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22" w:right="339" w:bottom="1440" w:gutter="0" w:footer="0" w:header="0"/>
        </w:sectPr>
      </w:pPr>
    </w:p>
    <w:bookmarkStart w:id="9" w:name="page10"/>
    <w:bookmarkEnd w:id="9"/>
    <w:p>
      <w:pPr>
        <w:jc w:val="both"/>
        <w:ind w:left="440" w:firstLine="644"/>
        <w:spacing w:after="0" w:line="227" w:lineRule="auto"/>
        <w:tabs>
          <w:tab w:leader="none" w:pos="173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present value at such redemption date of (i) the redemption price of such Note at October 15, 2028 (such redemption price being set forth in the table appearing in </w:t>
      </w:r>
      <w:r>
        <w:rPr>
          <w:rFonts w:ascii="Times New Roman" w:cs="Times New Roman" w:eastAsia="Times New Roman" w:hAnsi="Times New Roman"/>
          <w:sz w:val="21"/>
          <w:szCs w:val="21"/>
          <w:u w:val="single" w:color="auto"/>
          <w:color w:val="auto"/>
        </w:rPr>
        <w:t>Section 3.7(a)</w:t>
      </w:r>
      <w:r>
        <w:rPr>
          <w:rFonts w:ascii="Times New Roman" w:cs="Times New Roman" w:eastAsia="Times New Roman" w:hAnsi="Times New Roman"/>
          <w:sz w:val="21"/>
          <w:szCs w:val="21"/>
          <w:color w:val="auto"/>
        </w:rPr>
        <w:t>) plus (ii) all required interest payments (in each case excluding accrued and unpaid interest to such redemption date) due on such Note through October 15, 2028, computed using a discount rate equal to the Treasury Rate as of such redemption date plus 50 basis points discounted to the redemption date on a semi-annual basis (assuming a 360-day year consisting of twelve 30-day months); over</w:t>
      </w:r>
    </w:p>
    <w:p>
      <w:pPr>
        <w:spacing w:after="0" w:line="153" w:lineRule="exact"/>
        <w:rPr>
          <w:rFonts w:ascii="Times New Roman" w:cs="Times New Roman" w:eastAsia="Times New Roman" w:hAnsi="Times New Roman"/>
          <w:sz w:val="21"/>
          <w:szCs w:val="21"/>
          <w:color w:val="auto"/>
        </w:rPr>
      </w:pPr>
    </w:p>
    <w:p>
      <w:pPr>
        <w:ind w:left="1720" w:hanging="636"/>
        <w:spacing w:after="0"/>
        <w:tabs>
          <w:tab w:leader="none" w:pos="1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w:t>
      </w:r>
      <w:r>
        <w:rPr>
          <w:rFonts w:ascii="Times New Roman" w:cs="Times New Roman" w:eastAsia="Times New Roman" w:hAnsi="Times New Roman"/>
          <w:sz w:val="22"/>
          <w:szCs w:val="22"/>
          <w:color w:val="auto"/>
        </w:rPr>
        <w:t>” means any asset or property, including, without limitation, Equity Interests.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 Acquisition</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jc w:val="both"/>
        <w:ind w:left="-220" w:firstLine="656"/>
        <w:spacing w:after="0" w:line="225" w:lineRule="auto"/>
        <w:tabs>
          <w:tab w:leader="none" w:pos="10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Investment by the Parent Guarantor or any Restricted Subsidiary of the Parent Guarantor in any other Person if, as a result of such Investment, such Person shall become a Restricted Subsidiary of the Parent Guarantor, or shall be merged with or into the Parent Guarantor or any Restricted Subsidiary of the Parent Guarantor, or</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the Parent Guarantor or any Restricted Subsidiary of the Parent Guarantor of all or substantially all of the assets of any other Person (other than a Restricted Subsidiary of the Parent Guarantor) or any division or line of business of any such other Person (other than in the ordinary course of business), or</w:t>
      </w:r>
    </w:p>
    <w:p>
      <w:pPr>
        <w:spacing w:after="0" w:line="152" w:lineRule="exact"/>
        <w:rPr>
          <w:rFonts w:ascii="Times New Roman" w:cs="Times New Roman" w:eastAsia="Times New Roman" w:hAnsi="Times New Roman"/>
          <w:sz w:val="22"/>
          <w:szCs w:val="22"/>
          <w:color w:val="auto"/>
        </w:rPr>
      </w:pPr>
    </w:p>
    <w:p>
      <w:pPr>
        <w:ind w:left="-220" w:firstLine="656"/>
        <w:spacing w:after="0" w:line="236" w:lineRule="auto"/>
        <w:tabs>
          <w:tab w:leader="none" w:pos="10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the Parent Guarantor or any Restricted Subsidiaries of one or more material assets outside the ordinary course of business.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 Sale</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jc w:val="both"/>
        <w:ind w:left="-220" w:firstLine="656"/>
        <w:spacing w:after="0" w:line="217" w:lineRule="auto"/>
        <w:tabs>
          <w:tab w:leader="none" w:pos="107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conveyance, transfer, lease, license, assignment or other disposition by the Parent Guarantor or any Restricted Subsidiary to any Person other than the Parent Guarantor or any Restricted Subsidiary (including by means of a sale and leaseback transaction or an amalgamation, a merger or consolidation), of any assets of the Parent Guarantor or any of its Restricted Subsidiaries, including, without limitation, Equity Interests in any Person, other than in the ordinary course of business; or</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issuance of Equity Interests of a Restricted Subsidiary (other than Preferred Stock of Restricted Subsidiaries issued in compliance with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to any Person other than the Parent Guarantor or any Restricted Subsidiary (the actions described in these clauses (1) and (2), collectively, for purposes of this definition, a “transfer”).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For purposes of this definition, the term “</w:t>
      </w:r>
      <w:r>
        <w:rPr>
          <w:rFonts w:ascii="Times New Roman" w:cs="Times New Roman" w:eastAsia="Times New Roman" w:hAnsi="Times New Roman"/>
          <w:sz w:val="22"/>
          <w:szCs w:val="22"/>
          <w:i w:val="1"/>
          <w:iCs w:val="1"/>
          <w:color w:val="auto"/>
        </w:rPr>
        <w:t>Asset Sale</w:t>
      </w:r>
      <w:r>
        <w:rPr>
          <w:rFonts w:ascii="Times New Roman" w:cs="Times New Roman" w:eastAsia="Times New Roman" w:hAnsi="Times New Roman"/>
          <w:sz w:val="22"/>
          <w:szCs w:val="22"/>
          <w:color w:val="auto"/>
        </w:rPr>
        <w:t>” shall not include:</w:t>
      </w:r>
    </w:p>
    <w:p>
      <w:pPr>
        <w:spacing w:after="0" w:line="183" w:lineRule="exact"/>
        <w:rPr>
          <w:sz w:val="20"/>
          <w:szCs w:val="20"/>
          <w:color w:val="auto"/>
        </w:rPr>
      </w:pPr>
    </w:p>
    <w:p>
      <w:pPr>
        <w:ind w:left="1720" w:hanging="636"/>
        <w:spacing w:after="0"/>
        <w:tabs>
          <w:tab w:leader="none" w:pos="17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cash or Cash Equivalents;</w:t>
      </w:r>
    </w:p>
    <w:p>
      <w:pPr>
        <w:spacing w:after="0" w:line="179"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assets (including Equity Interests) that are governed by, and made in accordance with,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Investments and Restricted Payments permitted under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Receivables in connection with any Permitted Receivables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395" w:right="339" w:bottom="1440" w:gutter="0" w:footer="0" w:header="0"/>
        </w:sectPr>
      </w:pPr>
    </w:p>
    <w:bookmarkStart w:id="10" w:name="page11"/>
    <w:bookmarkEnd w:id="10"/>
    <w:p>
      <w:pPr>
        <w:ind w:left="440" w:right="20" w:firstLine="644"/>
        <w:spacing w:after="0" w:line="236" w:lineRule="auto"/>
        <w:tabs>
          <w:tab w:leader="none" w:pos="173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of or realization on any Lien not prohibited under this Indenture and any transfer of assets resulting from the enforcement or foreclosure of any such Lien;</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36" w:lineRule="auto"/>
        <w:tabs>
          <w:tab w:leader="none" w:pos="173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or grants of licenses or sublicenses to use the patents, trade secrets, know-how and other Intellectual Property, and licenses, leases or subleases of other assets, of the Parent Guarantor or any Restricted Subsidiary to the extent not materially interfering with the business of the Parent Guarantor and the Restricted Subsidiaries;</w:t>
      </w:r>
    </w:p>
    <w:p>
      <w:pPr>
        <w:spacing w:after="0" w:line="151" w:lineRule="exact"/>
        <w:rPr>
          <w:rFonts w:ascii="Times New Roman" w:cs="Times New Roman" w:eastAsia="Times New Roman" w:hAnsi="Times New Roman"/>
          <w:sz w:val="21"/>
          <w:szCs w:val="21"/>
          <w:color w:val="auto"/>
        </w:rPr>
      </w:pPr>
    </w:p>
    <w:p>
      <w:pPr>
        <w:ind w:left="1720" w:hanging="636"/>
        <w:spacing w:after="0"/>
        <w:tabs>
          <w:tab w:leader="none" w:pos="17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inventory in the ordinary course of business;</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receivables in connection with the compromise, settlement or collection thereof in the ordinary course of business or in bankruptcy or similar proceedings and exclusive of factoring and similar arrangements or transfers or dispositions of rights in respect of judgments, lawsuits or other claims;</w:t>
      </w:r>
    </w:p>
    <w:p>
      <w:pPr>
        <w:spacing w:after="0" w:line="152" w:lineRule="exact"/>
        <w:rPr>
          <w:rFonts w:ascii="Times New Roman" w:cs="Times New Roman" w:eastAsia="Times New Roman" w:hAnsi="Times New Roman"/>
          <w:sz w:val="22"/>
          <w:szCs w:val="22"/>
          <w:color w:val="auto"/>
        </w:rPr>
      </w:pPr>
    </w:p>
    <w:p>
      <w:pPr>
        <w:ind w:left="440" w:firstLine="644"/>
        <w:spacing w:after="0" w:line="255" w:lineRule="auto"/>
        <w:tabs>
          <w:tab w:leader="none" w:pos="172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of Investments in joint ventures to the extent required by, or made pursuant to, customary buy/sell arrangements between joint venture parties set forth in, joint venture agreements or any similar binding arrangements;</w:t>
      </w:r>
    </w:p>
    <w:p>
      <w:pPr>
        <w:spacing w:after="0" w:line="134" w:lineRule="exact"/>
        <w:rPr>
          <w:rFonts w:ascii="Times New Roman" w:cs="Times New Roman" w:eastAsia="Times New Roman" w:hAnsi="Times New Roman"/>
          <w:sz w:val="21"/>
          <w:szCs w:val="21"/>
          <w:color w:val="auto"/>
        </w:rPr>
      </w:pPr>
    </w:p>
    <w:p>
      <w:pPr>
        <w:ind w:left="1720" w:hanging="636"/>
        <w:spacing w:after="0"/>
        <w:tabs>
          <w:tab w:leader="none" w:pos="17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of assets received in settlement of debts accrued in the ordinary course of business;</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surrender or waiver in the ordinary course of business of contract rights or the settlement, release or surrender of contractual, non-contractual or other claims of any kind and (ii) any transfers of property or assets effected as part of a closure or buyout of a pension or other defined benefit plan or in furtherance of a recovery plan in support of any such pension or other defined benefit plan;</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Equity Interests in or Indebtedness of an Unrestricted Subsidiary;</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2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issuance or sale of Equity Interests of any Restricted Subsidiary to the Parent Guarantor or any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such an issuance by a non-wholly owned Restricted Subsidiary, such issuance may also be made to any other owner of Equity Interests of such non-wholly owned Restricted Subsidiary based on such owner’s relative ownership interests (or lesser share) of the relevant class of Equity Interests;</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or series of related transfers that, but for this clause (n), would be Asset Sales, if after giving effect to such transfers, the aggregate Fair Market Value of the assets transferred in such transaction or any such series of related transactions does not exceed $35.0 million per occurrence;</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transfers of property subject to casualty or condemnation proceedings (or similar events) and (B) any expropriation, taking, sale or other disposition of assets (including any receipt of proceeds related thereto) by a foreign government or any of its political subdivisions, agencies or controlled entities;</w:t>
      </w:r>
    </w:p>
    <w:p>
      <w:pPr>
        <w:spacing w:after="0" w:line="152"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and subleases of real or personal property in the ordinary course of business and not interfering in any material respect with the business of the Parent Guarantor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395" w:right="339" w:bottom="1440" w:gutter="0" w:footer="0" w:header="0"/>
        </w:sectPr>
      </w:pPr>
    </w:p>
    <w:bookmarkStart w:id="11" w:name="page12"/>
    <w:bookmarkEnd w:id="11"/>
    <w:p>
      <w:pPr>
        <w:jc w:val="both"/>
        <w:ind w:left="660" w:firstLine="644"/>
        <w:spacing w:after="0" w:line="225" w:lineRule="auto"/>
        <w:tabs>
          <w:tab w:leader="none" w:pos="195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the disposition of any assets made in connection with the approval of any applicable antitrust authority or otherwise necessary or advisable in the good faith determination of the Issuer to consummate any acquisition or disposition permitted under this Indenture;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equipment, personal property, fixtures or other assets that are either (i) obsolete, worn-out or no longer used or useable in the ordinary course of business for their intended purposes, or (ii) replaced by equipment, personal property, fixtures or assets of comparable suitability within 365 days of such transfer;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abandoning, failing to maintain, allowing to lapse or otherwise disposing of Intellectual Property rights that are not material to the conduct of the business of the Parent Guarantor and the Restricted Subsidiaries, taken as a whole, or that the Parent Guarantor or any Restricted Subsidiary determines, in its reasonable business judgment, are not economically practicable to maintain.</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 Swap</w:t>
      </w:r>
      <w:r>
        <w:rPr>
          <w:rFonts w:ascii="Times New Roman" w:cs="Times New Roman" w:eastAsia="Times New Roman" w:hAnsi="Times New Roman"/>
          <w:sz w:val="22"/>
          <w:szCs w:val="22"/>
          <w:color w:val="auto"/>
        </w:rPr>
        <w:t xml:space="preserve">” means any transaction or series of related transactions pursuant to which the Parent Guarantor and/or one or more Restricted Subsidiaries shall exchange, with a Person that is not an Affiliate, one or more Permitted Business Assets owned by them for one or more Permitted Business Assets owned by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cash or Cash Equivalents received in connection with an Asset Swap that constitutes an Asset Sale must be applied in accordance with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Law</w:t>
      </w:r>
      <w:r>
        <w:rPr>
          <w:rFonts w:ascii="Times New Roman" w:cs="Times New Roman" w:eastAsia="Times New Roman" w:hAnsi="Times New Roman"/>
          <w:sz w:val="22"/>
          <w:szCs w:val="22"/>
          <w:color w:val="auto"/>
        </w:rPr>
        <w:t>” means Title 11, U.S. Code or any similar federal, state or foreign law for the relief of debtors, and all other liquidation, conservatorship, bankruptcy, concurso mercantil, quiebra, insolvencia, assignment for the benefit of creditors, moratorium, rearrangement, receivership, insolvency, reorganization, winding-up, restructuring, examinership or similar debtor relief laws in any jurisdiction.</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w:t>
      </w:r>
      <w:r>
        <w:rPr>
          <w:rFonts w:ascii="Times New Roman" w:cs="Times New Roman" w:eastAsia="Times New Roman" w:hAnsi="Times New Roman"/>
          <w:sz w:val="22"/>
          <w:szCs w:val="22"/>
          <w:color w:val="auto"/>
        </w:rPr>
        <w:t>” has the meaning assigned to such term in Rule 13d-3 and Rule 13d-5 under the Exchange Act, except that in calculating the beneficial ownership of any particular “person”(as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share, unit or asset purchase agreement, merger agreement or similar agreement (or voting or option or similar agreement related thereto) until consummation of the transactions or, as applicable, series of related transactions contemplated by such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means, with respect to any Person, (i) in the case of any corporation or company, the board of directors or sole administrator of such Person and (ii) in any other case, the functional equivalent of the foregoing or, in each case, any duly authorized committee of such body.</w:t>
      </w:r>
    </w:p>
    <w:p>
      <w:pPr>
        <w:spacing w:after="0" w:line="1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 Day</w:t>
      </w:r>
      <w:r>
        <w:rPr>
          <w:rFonts w:ascii="Times New Roman" w:cs="Times New Roman" w:eastAsia="Times New Roman" w:hAnsi="Times New Roman"/>
          <w:sz w:val="21"/>
          <w:szCs w:val="21"/>
          <w:color w:val="auto"/>
        </w:rPr>
        <w:t>” means a day other than a Saturday, Sunday or other day on which banking institutions in the State of New York, Houston, Texas, or in the place of payment, are authorized or required by law, regulation or executive order to close.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Equivalents</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ind w:firstLine="656"/>
        <w:spacing w:after="0" w:line="236"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obligations issued or directly and fully guaranteed or insured by the governments of the United States, the United Kingdom, any member state of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27" w:lineRule="auto"/>
        <w:rPr>
          <w:sz w:val="20"/>
          <w:szCs w:val="20"/>
          <w:color w:val="auto"/>
        </w:rPr>
      </w:pPr>
      <w:r>
        <w:rPr>
          <w:rFonts w:ascii="Times New Roman" w:cs="Times New Roman" w:eastAsia="Times New Roman" w:hAnsi="Times New Roman"/>
          <w:sz w:val="22"/>
          <w:szCs w:val="22"/>
          <w:color w:val="auto"/>
        </w:rPr>
        <w:t>Union, Canada, Japan, Singapore, Australia or New Zealand or, in each case, any agency or instrumentality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full faith and credit of such government is pledged in support thereof), maturing within one year of the date of acquisition thereof;</w:t>
      </w:r>
    </w:p>
    <w:p>
      <w:pPr>
        <w:spacing w:after="0" w:line="150" w:lineRule="exact"/>
        <w:rPr>
          <w:sz w:val="20"/>
          <w:szCs w:val="20"/>
          <w:color w:val="auto"/>
        </w:rPr>
      </w:pPr>
    </w:p>
    <w:p>
      <w:pPr>
        <w:jc w:val="both"/>
        <w:ind w:firstLine="656"/>
        <w:spacing w:after="0" w:line="225"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and time deposits and certificates of deposit of any lender under any Debt Facility or any Eligible Bank organized under the laws of the United States, any state thereof or the District of Columbia or a U.S. branch of any other Eligible Bank maturing within one year of the date of acquisition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and Eurocommercial paper rated at least A1 or the equivalent thereof by S&amp;P, at least P-1 or the equivalent thereof by Moody’s, at least an F-1 by Fitch or an equivalent rating by a nationally recognized rating agency if each of S&amp;P, Moody’s and Fitch cease publishing ratings of commercial paper issuers generally, and in each case maturing not more than one year after the date of acquisition thereof;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one year for underlying securities of the types described in clause (1) above entered into with any Eligible Bank and maturing not more than one year after such time;</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and fully guaranteed by any state, commonwealth or territory of the United States, the United Kingdom, any member state of the European Union or Canada, Japan, Singapore, Australia or New Zealand or by any political subdivision or taxing authority thereof, rated at least A by Moody’s or S&amp;P and having maturities of not more than one year from the date of acquisition;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or other funds substantially all of whose assets comprise securities of the types described in clauses (1) through (5) above;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 accounts maintained in the ordinary course of business; and</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Subsidiary of the Parent Guarantor organized or having its principal place of business outside the United States, investments denominated in the currency of the jurisdiction in which such Subsidiary is organized or has its principal place of business which are similar to the items specified in clauses (1) through (7) above.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means the occurrence of any of the following events after the Issue Date:</w:t>
      </w:r>
    </w:p>
    <w:p>
      <w:pPr>
        <w:spacing w:after="0" w:line="183" w:lineRule="exact"/>
        <w:rPr>
          <w:sz w:val="20"/>
          <w:szCs w:val="20"/>
          <w:color w:val="auto"/>
        </w:rPr>
      </w:pPr>
    </w:p>
    <w:p>
      <w:pPr>
        <w:jc w:val="both"/>
        <w:ind w:firstLine="656"/>
        <w:spacing w:after="0" w:line="220"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or indirect sale, transfer, conveyance or other disposition (other than by way of merger or consolidation), in one or a series of related transactions, of all or substantially all of the properties or assets of the Parent Guarantor and its Restricted Subsidiaries, taken as a whole, to any “person” or “group” (as such terms are used in Section 13(d) of the Exchange Act) other than a Restricted Subsidiary;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a plan relating to the liquidation or dissolution of the Issuer; or</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transaction (including, without limitation, any merger or consolidation), the result of which is that any “person” or “group” becomes the Beneficial Owner, directly or indirectly, of more than 50% of the Voting Stock of the Issuer, measured by voting power rather than number of shares.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13" w:name="page14"/>
    <w:bookmarkEnd w:id="13"/>
    <w:p>
      <w:pPr>
        <w:jc w:val="both"/>
        <w:spacing w:after="0" w:line="215" w:lineRule="auto"/>
        <w:rPr>
          <w:sz w:val="20"/>
          <w:szCs w:val="20"/>
          <w:color w:val="auto"/>
        </w:rPr>
      </w:pPr>
      <w:r>
        <w:rPr>
          <w:rFonts w:ascii="Times New Roman" w:cs="Times New Roman" w:eastAsia="Times New Roman" w:hAnsi="Times New Roman"/>
          <w:sz w:val="22"/>
          <w:szCs w:val="22"/>
          <w:color w:val="auto"/>
        </w:rPr>
        <w:t>agreement (or voting or option or similar agreement related thereto) until the consummation of the acquisition of the Voting Stock in connection with the transactions contemplated by such agreement, and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of such parent entity.</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Notwithstanding the preceding, (a) a transaction will not be deemed to involve a Change of Control if (i) (A) the Parent Guarantor (or any Parent Company) becomes a direct or indirect wholly owned Subsidiary of a Parent Company, enters into any Redomestication or (B) enters into a Reverse Morris Trust transaction or other reverse merger that does not otherwise qualify as a Change of Control pursuant to clause (1) or (2) of the definition thereof and (ii) immediately following that transaction no Person (other than a Parent Company satisfying the requirements of this sentence) is the Beneficial Owner, directly or indirectly, of more than 50% of the Voting Stock of such Parent Company (or its general partner, if applicable), and (b) (i) a conversion of the Parent Guarantor or any of its Restricted Subsidiaries from a limited partnership, corporation, limited liability company or other form of entity to a limited liability company, corporation, limited partnership or other form of entity or (ii) an exchange of all the outstanding Equity Interests in one form of entity for Equity Interests in another form of entity each shall not constitute a Change of Control, so long as immediately following such conversion or exchange or transaction no “person” Beneficially Owns more than 50% of the Voting Stock of such entity (or its general partner, if applicable). No Change of Control will be deemed to have occurred unless and until such Change of Control has actually been consummated.</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 Triggering Event</w:t>
      </w:r>
      <w:r>
        <w:rPr>
          <w:rFonts w:ascii="Times New Roman" w:cs="Times New Roman" w:eastAsia="Times New Roman" w:hAnsi="Times New Roman"/>
          <w:sz w:val="22"/>
          <w:szCs w:val="22"/>
          <w:color w:val="auto"/>
        </w:rPr>
        <w:t>” means the occurrence of both a Change of Control and a Rating Decline with respect to the Notes.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Common Stock</w:t>
      </w:r>
      <w:r>
        <w:rPr>
          <w:rFonts w:ascii="Times New Roman" w:cs="Times New Roman" w:eastAsia="Times New Roman" w:hAnsi="Times New Roman"/>
          <w:sz w:val="22"/>
          <w:szCs w:val="22"/>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 or common shares.</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Amortization Expense</w:t>
      </w:r>
      <w:r>
        <w:rPr>
          <w:rFonts w:ascii="Times New Roman" w:cs="Times New Roman" w:eastAsia="Times New Roman" w:hAnsi="Times New Roman"/>
          <w:sz w:val="22"/>
          <w:szCs w:val="22"/>
          <w:color w:val="auto"/>
        </w:rPr>
        <w:t>” for any period means the amortization expense of the relevant Person and its Restricted Subsidiaries for such period, determined on a consolidated basis in accordance with GAAP.</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Cash Flow</w:t>
      </w:r>
      <w:r>
        <w:rPr>
          <w:rFonts w:ascii="Times New Roman" w:cs="Times New Roman" w:eastAsia="Times New Roman" w:hAnsi="Times New Roman"/>
          <w:sz w:val="22"/>
          <w:szCs w:val="22"/>
          <w:color w:val="auto"/>
        </w:rPr>
        <w:t>” for any period means, with respect to any specified Person and its Restricted Subsidiaries, without duplication, the sum of the amounts for such period of:</w:t>
      </w:r>
    </w:p>
    <w:p>
      <w:pPr>
        <w:spacing w:after="0" w:line="15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Income, plus</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(a) the amount of net cost savings, operating expense reductions and synergies projected by the Issuer in good faith to be realized as a result of specified actions taken or to be taken (which cost savings, operating expense reductions or synergies shall be calculated on a pro forma basis as though such cost savings, operating expense reductions or synergies had been realized on the first day of such period), net of the amount of actual benefits realized during such period from such 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cost savings, operating expense reductions or synergies are reasonably identifiable and factually supportable, (B) such actions have been taken or are to be taken within 18 months after the date of determination to take such action and (C) the aggregate amounts added to Consolidated Cash Flow pursuant to this clause (2)(a) in any such period, together with any such amounts added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4" w:name="page15"/>
    <w:bookmarkEnd w:id="14"/>
    <w:p>
      <w:pPr>
        <w:jc w:val="both"/>
        <w:spacing w:after="0" w:line="220" w:lineRule="auto"/>
        <w:rPr>
          <w:sz w:val="20"/>
          <w:szCs w:val="20"/>
          <w:color w:val="auto"/>
        </w:rPr>
      </w:pPr>
      <w:r>
        <w:rPr>
          <w:rFonts w:ascii="Times New Roman" w:cs="Times New Roman" w:eastAsia="Times New Roman" w:hAnsi="Times New Roman"/>
          <w:sz w:val="21"/>
          <w:szCs w:val="21"/>
          <w:color w:val="auto"/>
        </w:rPr>
        <w:t>Consolidated Cash Flow pursuant to clause (3)(g) below, shall not exceed 15% of Consolidated Cash Flow for such period (calculated before giving effect to the adjustment set forth in this clause (2)(a)), (b) gains, losses and non-cash charges related to the cancellation of debt, swaps and/or other derivatives, (c) any non-cash adjustments and charges stemming from the application of fresh start accounting, (d) transaction expenses and integration costs incurred in connection with any acquisition or disposition,</w:t>
      </w:r>
    </w:p>
    <w:p>
      <w:pPr>
        <w:spacing w:after="0" w:line="3" w:lineRule="exact"/>
        <w:rPr>
          <w:sz w:val="20"/>
          <w:szCs w:val="20"/>
          <w:color w:val="auto"/>
        </w:rPr>
      </w:pPr>
    </w:p>
    <w:p>
      <w:pPr>
        <w:ind w:firstLine="8"/>
        <w:spacing w:after="0" w:line="225" w:lineRule="auto"/>
        <w:tabs>
          <w:tab w:leader="none" w:pos="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and expenses relating to employee benefit plans, management incentive plans, equity compensation plans or other stock-based compensation arrangements, plus</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only to the extent deducted in determining Consolidated Net Income,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Income Tax Expense,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Amortization Expense,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Depreciation Expense,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cash proceeds from business interruption insurance or reimbursement of expenses received related to any acquisition or disposition,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56"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charges, costs or losses attributable to severance in connection with any undertaking or implementation of restructurings (including any tax restructuring), cost savings initiatives and cost rationalization programs, business optimization initiatives, systems implementation, termination or modification of material contracts, entry into new markets, strategic initiatives, expansion or relocation, consolidation of any facility, modification to any pension and post-retirement employee benefit plan, software development, new systems design, project startup, consulting, business integrity and corporate development;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of cash charges, costs or losses under this clause</w:t>
      </w:r>
    </w:p>
    <w:p>
      <w:pPr>
        <w:spacing w:after="0" w:line="3" w:lineRule="exact"/>
        <w:rPr>
          <w:rFonts w:ascii="Times New Roman" w:cs="Times New Roman" w:eastAsia="Times New Roman" w:hAnsi="Times New Roman"/>
          <w:sz w:val="21"/>
          <w:szCs w:val="21"/>
          <w:color w:val="auto"/>
        </w:rPr>
      </w:pPr>
    </w:p>
    <w:p>
      <w:pPr>
        <w:jc w:val="both"/>
        <w:ind w:left="66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(3)(f), together with any amounts added to Consolidated Cash Flow pursuant to clause (2)(a) above, shall not exceed 15% of Consolidated Cash Flow for such period (calculated before giving effect to the adjustment set forth in clause (2)(a) above), and</w:t>
      </w:r>
    </w:p>
    <w:p>
      <w:pPr>
        <w:spacing w:after="0" w:line="150" w:lineRule="exact"/>
        <w:rPr>
          <w:rFonts w:ascii="Times New Roman" w:cs="Times New Roman" w:eastAsia="Times New Roman" w:hAnsi="Times New Roman"/>
          <w:sz w:val="21"/>
          <w:szCs w:val="21"/>
          <w:color w:val="auto"/>
        </w:rPr>
      </w:pPr>
    </w:p>
    <w:p>
      <w:pPr>
        <w:ind w:left="660" w:firstLine="644"/>
        <w:spacing w:after="0" w:line="236" w:lineRule="auto"/>
        <w:tabs>
          <w:tab w:leader="none" w:pos="1951"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non-cash items reducing the Consolidated Net Income (excluding any non-cash charge that results in an accrual of a reserve for cash charges in any future period) for such period.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Depreciation Expense</w:t>
      </w:r>
      <w:r>
        <w:rPr>
          <w:rFonts w:ascii="Times New Roman" w:cs="Times New Roman" w:eastAsia="Times New Roman" w:hAnsi="Times New Roman"/>
          <w:sz w:val="22"/>
          <w:szCs w:val="22"/>
          <w:color w:val="auto"/>
        </w:rPr>
        <w:t>” for any period means the depreciation expense of the relevant Person and its Restricted Subsidiaries for such period, determined on a consolidated basis in accordance with GAAP.</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Income Tax Expense</w:t>
      </w:r>
      <w:r>
        <w:rPr>
          <w:rFonts w:ascii="Times New Roman" w:cs="Times New Roman" w:eastAsia="Times New Roman" w:hAnsi="Times New Roman"/>
          <w:sz w:val="22"/>
          <w:szCs w:val="22"/>
          <w:color w:val="auto"/>
        </w:rPr>
        <w:t>” for any period means the provision for taxes of the relevant Person and its Restricted Subsidiaries, determined on a consolidated basis in accordance with GAAP.</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Interest Coverage Ratio</w:t>
      </w:r>
      <w:r>
        <w:rPr>
          <w:rFonts w:ascii="Times New Roman" w:cs="Times New Roman" w:eastAsia="Times New Roman" w:hAnsi="Times New Roman"/>
          <w:sz w:val="22"/>
          <w:szCs w:val="22"/>
          <w:color w:val="auto"/>
        </w:rPr>
        <w:t>” means, on any date of determination, with respect to any Person, the ratio of (x) Consolidated Cash Flow during the Four-Quarter Period ending on or prior to the date of the transaction giving rise to the need to calculate the Consolidated Interest Coverage Ratio (the “Transaction Date”) to (y) Consolidated Interest Expense for the Four-Quarter Period. For purposes of this definition, Consolidated Cash Flow and Consolidated Interest Expense shall be calculated after giving effect on a pro forma basis for the period of such calculation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5" w:name="page16"/>
    <w:bookmarkEnd w:id="15"/>
    <w:p>
      <w:pPr>
        <w:jc w:val="both"/>
        <w:ind w:firstLine="656"/>
        <w:spacing w:after="0" w:line="211"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incurrence of any Indebtedness or the issuance of any Disqualified Equity Interests of the Parent Guarantor or Disqualified Equity Interests or Preferred Stock of any Restricted Subsidiary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(subject to the proviso below), as if such incurrence, repayment, repurchase, issuance or redemption, as the case may be (and the application of the proceeds thereof), occurred on the first day of the Four-Quarter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pro forma calculation shall not give effect to any Indebtedness incurred on the Transaction Date pursuant to the provisions described in </w:t>
      </w:r>
      <w:r>
        <w:rPr>
          <w:rFonts w:ascii="Times New Roman" w:cs="Times New Roman" w:eastAsia="Times New Roman" w:hAnsi="Times New Roman"/>
          <w:sz w:val="22"/>
          <w:szCs w:val="22"/>
          <w:u w:val="single" w:color="auto"/>
          <w:color w:val="auto"/>
        </w:rPr>
        <w:t>Section 4.9(b)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4.9(g)</w:t>
      </w:r>
      <w:r>
        <w:rPr>
          <w:rFonts w:ascii="Times New Roman" w:cs="Times New Roman" w:eastAsia="Times New Roman" w:hAnsi="Times New Roman"/>
          <w:sz w:val="22"/>
          <w:szCs w:val="22"/>
          <w:color w:val="auto"/>
        </w:rPr>
        <w:t>, other than those provisions that are based on a ratio; and</w:t>
      </w:r>
    </w:p>
    <w:p>
      <w:pPr>
        <w:spacing w:after="0" w:line="151"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Asset Sale or other material disposition of assets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such pro forma calculations shall be determined in good faith by a responsible financial or accounting officer of the Parent Guarantor whether or not such pro forma adjustments would be permitted under SEC rules or guidelines.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calculating Consolidated Interest Expense for purposes of this Consolidated Interest Coverage Ratio:</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clause (a) or (b)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Interest Expense</w:t>
      </w:r>
      <w:r>
        <w:rPr>
          <w:rFonts w:ascii="Times New Roman" w:cs="Times New Roman" w:eastAsia="Times New Roman" w:hAnsi="Times New Roman"/>
          <w:sz w:val="22"/>
          <w:szCs w:val="22"/>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5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imputed interest on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6" w:name="page17"/>
    <w:bookmarkEnd w:id="16"/>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costs associated with Hedging Obligations related to interest rates;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issuance costs, debt discount or premium and other financing fees and expenses;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portion of any deferred payment obligations;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non-cash interest expense;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interest;</w:t>
      </w:r>
    </w:p>
    <w:p>
      <w:pPr>
        <w:spacing w:after="0" w:line="179"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dividend payments on any series of Disqualified Equity Interests or Designated Preferred Stock of the Parent Guarantor or any Preferred Stock of any Restricted Subsidiary (other than dividends on Equity Interests to the extent payable in Qualified Equity Interests of the Parent Guarantor or to the Parent Guarantor or a Restricted Subsidiary of the Parent Guarantor);</w:t>
      </w:r>
    </w:p>
    <w:p>
      <w:pPr>
        <w:spacing w:after="0" w:line="15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payable with respect to discontinued operations;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on any Indebtedness described in clause (6) or (7) of the definition of Indebtedness.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Notwithstanding the foregoing, the interest component of any lease that is not a Finance Lease will not be included in Consolidated Interest Expense.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xml:space="preserve">” for any period means the net income (or loss) of such Person and its Restricted Subsidiaries, in each case for such period determined on a consolidated basis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be excluded in calculating such net income (or loss), to the extent otherwise included therein, without duplication:</w:t>
      </w:r>
    </w:p>
    <w:p>
      <w:pPr>
        <w:spacing w:after="0" w:line="150" w:lineRule="exact"/>
        <w:rPr>
          <w:sz w:val="20"/>
          <w:szCs w:val="20"/>
          <w:color w:val="auto"/>
        </w:rPr>
      </w:pPr>
    </w:p>
    <w:p>
      <w:pPr>
        <w:jc w:val="both"/>
        <w:ind w:firstLine="656"/>
        <w:spacing w:after="0" w:line="217" w:lineRule="auto"/>
        <w:tabs>
          <w:tab w:leader="none" w:pos="129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income (or loss) of any Person (other than a Restricted Subsidiary) in which any Person other than the Parent Guarantor and the Restricted Subsidiaries has an ownership interest, except (i) to the extent that cash in an amount equal to any such income or other return on investment has actually been received by such Person or to any of its Restricted Subsidiaries or (ii) the amount of any loans repaid by such other Person to such Person or to any of its Restricted Subsidiaries during such period, as the case may be;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includible in the net income (or loss) of the Parent Guarantor pursuant to the foregoing clause</w:t>
      </w:r>
    </w:p>
    <w:p>
      <w:pPr>
        <w:jc w:val="both"/>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the net income (or loss) of any Person that accrued prior to the date that (a) such Person becomes a Restricted Subsidiary or is merged into or consolidated with the Parent Guarantor or any Restricted Subsidiary or (b) the assets of such Person are acquired by the Parent Guarantor or any Restricted Subsidiary;</w:t>
      </w:r>
    </w:p>
    <w:p>
      <w:pPr>
        <w:spacing w:after="0" w:line="150" w:lineRule="exact"/>
        <w:rPr>
          <w:rFonts w:ascii="Times New Roman" w:cs="Times New Roman" w:eastAsia="Times New Roman" w:hAnsi="Times New Roman"/>
          <w:sz w:val="21"/>
          <w:szCs w:val="21"/>
          <w:color w:val="auto"/>
        </w:rPr>
      </w:pPr>
    </w:p>
    <w:p>
      <w:pPr>
        <w:jc w:val="both"/>
        <w:ind w:firstLine="656"/>
        <w:spacing w:after="0" w:line="219" w:lineRule="auto"/>
        <w:tabs>
          <w:tab w:leader="none" w:pos="1291"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of any Unrestricted Subsidiary except to the extent of (i) the amount of dividends or distributions or other return on investment actually paid in cash during such period by such Unrestricted Subsidiary to the Parent Guarantor or to any of its Restricted Subsidiaries (or to the extent non-cash dividends or distributions are received and converted into cash by the Parent Guarantor or any of its Restricted Subsidiaries during such period), as the case may be, (ii) the amount of any loans repaid by such Unrestricted Subsidiary to the Parent Guarantor or to any of its Restricted Subsidiaries, as the case may be and</w:t>
      </w:r>
    </w:p>
    <w:p>
      <w:pPr>
        <w:spacing w:after="0" w:line="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paid in cash by such Unrestricted Subsidiary pursuant to the Revolving Credit Facility;</w:t>
      </w:r>
    </w:p>
    <w:p>
      <w:pPr>
        <w:spacing w:after="0" w:line="155"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income (but not loss) of any Restricted Subsidiary other than a Guarantor during such period to the extent that the declaration or payment of dividends or similar distributions by such Restricted Subsidiary of that income is not permitted by operation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7" w:name="page18"/>
    <w:bookmarkEnd w:id="17"/>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terms of its charter or any agreement or instrument applicable to that Subsidiary (other than by the terms of any Indebtedness of such Restricted Subsidiary outstanding pursuant to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except to the extent such income is actually paid in cash during such period by such Restricted Subsidiary to the Parent Guarantor or another Restricted Subsidiary (or to the extent non-cash dividends or distributions are received and converted into cash by the Parent Guarantor or any of its Restricted Subsidiaries during such period);</w:t>
      </w:r>
    </w:p>
    <w:p>
      <w:pPr>
        <w:spacing w:after="0" w:line="152" w:lineRule="exact"/>
        <w:rPr>
          <w:sz w:val="20"/>
          <w:szCs w:val="20"/>
          <w:color w:val="auto"/>
        </w:rPr>
      </w:pPr>
    </w:p>
    <w:p>
      <w:pPr>
        <w:jc w:val="both"/>
        <w:ind w:firstLine="656"/>
        <w:spacing w:after="0" w:line="225"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 non-cash compensation charge or expense arising from any issue or grant of shares or stock, stock options or other equity based awards and any non-cash deemed finance charges in respect of any pension liabilities or other provisions and (ii) income (loss) attributable to deferred compensation plans or trusts;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or losses attributable to discontinued operations;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and losses due solely to fluctuations in currency values and the related tax effects according to GAAP;</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any change in accounting principles or policies;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gains and losses and the related tax effects;</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costs, expenses or charges (including advisory, legal and professional fees) related to any issuance of debt or equity, investments, acquisition, disposition, recapitalization or incurrence, amendment, waiver, modification, extinguishment or refinancing of any Indebtedness, whether or not consummated, including such fees, expenses or charges related to the offering of the Notes and any Debt Facilities, (B) any costs, expenses or charges relating to the Transactions, and (C) legal settlement expenses;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gains or losses or positive or negative adjustments under ASC 815 (and any statements replacing, modifying or superseding such statement) as the result of changes in the fair market value of derivatives;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write-ups, write-downs or other non-cash impairments of goodwill or other assets.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Assets</w:t>
      </w:r>
      <w:r>
        <w:rPr>
          <w:rFonts w:ascii="Times New Roman" w:cs="Times New Roman" w:eastAsia="Times New Roman" w:hAnsi="Times New Roman"/>
          <w:sz w:val="22"/>
          <w:szCs w:val="22"/>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Debt Ratio</w:t>
      </w:r>
      <w:r>
        <w:rPr>
          <w:rFonts w:ascii="Times New Roman" w:cs="Times New Roman" w:eastAsia="Times New Roman" w:hAnsi="Times New Roman"/>
          <w:sz w:val="22"/>
          <w:szCs w:val="22"/>
          <w:color w:val="auto"/>
        </w:rPr>
        <w:t>” means, as of any date of determination, the ratio of (1) (i) Consolidated Total Indebtedness of the Parent Guarantor and its Restricted Subsidiaries minus (ii) unrestricted cash and Cash Equivalents of the Parent Guarantor and its Restricted Subsidiaries, in each case, as of the end of the Four-Quarter Period immediately preceding the date of determination to (2) Consolidated Cash Flow of the Parent Guarantor for such Four-Quarter Period, with such pro forma adjustments to Consolidated Total Indebtedness, Cash Equivalents and Consolidated Cash Flow as are appropriate and consistent with the pro forma adjustment provisions set forth in the definition of “Consolidated Interest Coverage Ratio.”</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Indebtedness</w:t>
      </w:r>
      <w:r>
        <w:rPr>
          <w:rFonts w:ascii="Times New Roman" w:cs="Times New Roman" w:eastAsia="Times New Roman" w:hAnsi="Times New Roman"/>
          <w:sz w:val="22"/>
          <w:szCs w:val="22"/>
          <w:color w:val="auto"/>
        </w:rPr>
        <w:t>” means, as at any date of determination, an amount equal to the sum of (1) the aggregate amount of all outstanding Indebtedness of the Parent Guarantor and its Restricted Subsidiaries on a consolidated basis consisting of Indebtedness for borrowed money or Obligations in respect of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8" w:name="page19"/>
    <w:bookmarkEnd w:id="18"/>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Corporate Trust Office</w:t>
      </w:r>
      <w:r>
        <w:rPr>
          <w:rFonts w:ascii="Times New Roman" w:cs="Times New Roman" w:eastAsia="Times New Roman" w:hAnsi="Times New Roman"/>
          <w:sz w:val="22"/>
          <w:szCs w:val="22"/>
          <w:color w:val="auto"/>
        </w:rPr>
        <w:t>” means the offices of the Trustee at which at any time its corporate trust business shall be principally administered, which office as of the date hereof is located at 5555 San Felipe Street, Suite 870, Houston, Texas 77056, or such other address as the Trustee may designate from time to time by notice to the Holders and the Issuer, or the corporate trust office of any successor trustee (or such other address as such successor trustee may designate from time to time by notice to the Holders and the Issuer).</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Coverage Ratio Exception</w:t>
      </w:r>
      <w:r>
        <w:rPr>
          <w:rFonts w:ascii="Times New Roman" w:cs="Times New Roman" w:eastAsia="Times New Roman" w:hAnsi="Times New Roman"/>
          <w:sz w:val="22"/>
          <w:szCs w:val="22"/>
          <w:color w:val="auto"/>
        </w:rPr>
        <w:t xml:space="preserve">” has the meaning set forth in the proviso in </w:t>
      </w:r>
      <w:r>
        <w:rPr>
          <w:rFonts w:ascii="Times New Roman" w:cs="Times New Roman" w:eastAsia="Times New Roman" w:hAnsi="Times New Roman"/>
          <w:sz w:val="22"/>
          <w:szCs w:val="22"/>
          <w:u w:val="single" w:color="auto"/>
          <w:color w:val="auto"/>
        </w:rPr>
        <w:t>Section 4.9(a)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Customary Recourse Exceptions</w:t>
      </w:r>
      <w:r>
        <w:rPr>
          <w:rFonts w:ascii="Times New Roman" w:cs="Times New Roman" w:eastAsia="Times New Roman" w:hAnsi="Times New Roman"/>
          <w:sz w:val="22"/>
          <w:szCs w:val="22"/>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Debt Facilities</w:t>
      </w:r>
      <w:r>
        <w:rPr>
          <w:rFonts w:ascii="Times New Roman" w:cs="Times New Roman" w:eastAsia="Times New Roman" w:hAnsi="Times New Roman"/>
          <w:sz w:val="22"/>
          <w:szCs w:val="22"/>
          <w:color w:val="auto"/>
        </w:rPr>
        <w:t>” means one or more debt facilities or other credit agreements, indentures or commercial paper facilities (which may be outstanding at the same time and including, without limitation, the Revolving Credit Facility) providing for revolving credit loans, swingline loans, term loans, overdraft loans, debt securities, capital markets financings,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means (1) any Event of Default or (2) any event, act or condition that, after notice or the passage of time or both, would be an Event of Default.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Depositary</w:t>
      </w:r>
      <w:r>
        <w:rPr>
          <w:rFonts w:ascii="Times New Roman" w:cs="Times New Roman" w:eastAsia="Times New Roman" w:hAnsi="Times New Roman"/>
          <w:sz w:val="22"/>
          <w:szCs w:val="22"/>
          <w:color w:val="auto"/>
        </w:rPr>
        <w:t xml:space="preserve">” means with respect to the Notes issuable or issued in whole or in part in global form, the Person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hereof as the Depositary with respect to the Global Notes, and any and all successors thereto appointed as depositary hereunder and having become such pursuant to the applicable provision of this Indenture.</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Derivative Instrument</w:t>
      </w:r>
      <w:r>
        <w:rPr>
          <w:rFonts w:ascii="Times New Roman" w:cs="Times New Roman" w:eastAsia="Times New Roman" w:hAnsi="Times New Roman"/>
          <w:sz w:val="21"/>
          <w:szCs w:val="21"/>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and/or the creditworthiness of the Performance References.</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Non-cash Consideration</w:t>
      </w:r>
      <w:r>
        <w:rPr>
          <w:rFonts w:ascii="Times New Roman" w:cs="Times New Roman" w:eastAsia="Times New Roman" w:hAnsi="Times New Roman"/>
          <w:sz w:val="22"/>
          <w:szCs w:val="22"/>
          <w:color w:val="auto"/>
        </w:rPr>
        <w:t>” means the Fair Market Value of non-cash consideration received by the Parent Guarantor or a Restricted Subsidiary of the Parent Guarantor in connection with an Asset Sale that is so designated as Designated Non-cash Consideration.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Designation</w:t>
      </w:r>
      <w:r>
        <w:rPr>
          <w:rFonts w:ascii="Times New Roman" w:cs="Times New Roman" w:eastAsia="Times New Roman" w:hAnsi="Times New Roman"/>
          <w:sz w:val="22"/>
          <w:szCs w:val="22"/>
          <w:color w:val="auto"/>
        </w:rPr>
        <w:t xml:space="preserve">” has the meaning given to this term in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Preferred Stock”</w:t>
      </w:r>
      <w:r>
        <w:rPr>
          <w:rFonts w:ascii="Times New Roman" w:cs="Times New Roman" w:eastAsia="Times New Roman" w:hAnsi="Times New Roman"/>
          <w:sz w:val="22"/>
          <w:szCs w:val="22"/>
          <w:color w:val="auto"/>
        </w:rPr>
        <w:t xml:space="preserve"> means Preferred Stock of the Parent Guarantor that is designated as such by the Issuer pursuant to an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Designation Amount</w:t>
      </w:r>
      <w:r>
        <w:rPr>
          <w:rFonts w:ascii="Times New Roman" w:cs="Times New Roman" w:eastAsia="Times New Roman" w:hAnsi="Times New Roman"/>
          <w:sz w:val="22"/>
          <w:szCs w:val="22"/>
          <w:color w:val="auto"/>
        </w:rPr>
        <w:t xml:space="preserve">” has the meaning given to this term in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Equity Interests</w:t>
      </w:r>
      <w:r>
        <w:rPr>
          <w:rFonts w:ascii="Times New Roman" w:cs="Times New Roman" w:eastAsia="Times New Roman" w:hAnsi="Times New Roman"/>
          <w:sz w:val="22"/>
          <w:szCs w:val="22"/>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however, that any Equity Interests that would not constitute Disqualified Equity Interests but for provisions thereof giving holders thereof (or the holders of any security into or for which such Equity Interests are convertible, exchangeable or exercisable) the right to require the such Person to repurchase or redeem such Equity Interests upon the occurrence of a change in control or an Asset Sale occurring prior to the 91st day after the Stated Maturity of the Notes shall not constitute Disqualified Equity Interests if the Equity Interests specifically provide that such Person will not repurchase or redeem any such Equity Interests pursuant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respectively.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means lawful money of the United States.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Restricted Subsidiary</w:t>
      </w:r>
      <w:r>
        <w:rPr>
          <w:rFonts w:ascii="Times New Roman" w:cs="Times New Roman" w:eastAsia="Times New Roman" w:hAnsi="Times New Roman"/>
          <w:sz w:val="22"/>
          <w:szCs w:val="22"/>
          <w:color w:val="auto"/>
        </w:rPr>
        <w:t>” means, a Restricted Subsidiary that is any direct or indirect Subsidiary of the Parent Guarantor that is organized under the laws of the United States, any state of the United States or the District of Columbia.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DTC</w:t>
      </w:r>
      <w:r>
        <w:rPr>
          <w:rFonts w:ascii="Times New Roman" w:cs="Times New Roman" w:eastAsia="Times New Roman" w:hAnsi="Times New Roman"/>
          <w:sz w:val="22"/>
          <w:szCs w:val="22"/>
          <w:color w:val="auto"/>
        </w:rPr>
        <w:t>” means The Depository Trust Company and any successor.</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Bank</w:t>
      </w:r>
      <w:r>
        <w:rPr>
          <w:rFonts w:ascii="Times New Roman" w:cs="Times New Roman" w:eastAsia="Times New Roman" w:hAnsi="Times New Roman"/>
          <w:sz w:val="22"/>
          <w:szCs w:val="22"/>
          <w:color w:val="auto"/>
        </w:rPr>
        <w:t>” means any commercial bank having, or which is the principal banking subsidiary of a bank holding company having, capital and surplus aggregating in excess of $250.0 million (or in the equivalent thereof in a foreign currency as of the date of determination) and a rating of “A” (or such other similar equivalent rating) or higher by at least one nationally recognized statistical rating organization.</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or exchangeable for any combination of Equity Interests and/or cash or Cash Equivalents, regardless of whether such debt securities include any right of participation with Equity Interests.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Notes”</w:t>
      </w:r>
      <w:r>
        <w:rPr>
          <w:rFonts w:ascii="Times New Roman" w:cs="Times New Roman" w:eastAsia="Times New Roman" w:hAnsi="Times New Roman"/>
          <w:sz w:val="22"/>
          <w:szCs w:val="22"/>
          <w:color w:val="auto"/>
        </w:rPr>
        <w:t xml:space="preserve"> means the Issuer’s 8.635% senior notes due 2030.</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means, with respect to any asset, the price (after taking into account any liabilities relating to such asset) that would be negotiated in an arm’s-length transaction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20" w:name="page21"/>
    <w:bookmarkEnd w:id="20"/>
    <w:p>
      <w:pPr>
        <w:jc w:val="both"/>
        <w:spacing w:after="0" w:line="236" w:lineRule="auto"/>
        <w:rPr>
          <w:sz w:val="20"/>
          <w:szCs w:val="20"/>
          <w:color w:val="auto"/>
        </w:rPr>
      </w:pPr>
      <w:r>
        <w:rPr>
          <w:rFonts w:ascii="Times New Roman" w:cs="Times New Roman" w:eastAsia="Times New Roman" w:hAnsi="Times New Roman"/>
          <w:sz w:val="22"/>
          <w:szCs w:val="22"/>
          <w:color w:val="auto"/>
        </w:rPr>
        <w:t>cash between a willing seller and a willing and able buyer, neither of which is under any compulsion to complete the transaction as such price is determined in good faith by management of the Parent Guarantor.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Finance Lease Obligations</w:t>
      </w:r>
      <w:r>
        <w:rPr>
          <w:rFonts w:ascii="Times New Roman" w:cs="Times New Roman" w:eastAsia="Times New Roman" w:hAnsi="Times New Roman"/>
          <w:sz w:val="22"/>
          <w:szCs w:val="22"/>
          <w:color w:val="auto"/>
        </w:rPr>
        <w:t>” means, for any Person, the aggregate amount of such Person’s liabilities under all leases that are classified as financing leases (and not operating leases) required to be capitalized on the balance sheet of such Person as determined in accordance with GAAP.</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Fitch</w:t>
      </w:r>
      <w:r>
        <w:rPr>
          <w:rFonts w:ascii="Times New Roman" w:cs="Times New Roman" w:eastAsia="Times New Roman" w:hAnsi="Times New Roman"/>
          <w:sz w:val="22"/>
          <w:szCs w:val="22"/>
          <w:color w:val="auto"/>
        </w:rPr>
        <w:t>” means Fitch Ratings Ltd. or any successor to the rating agency business thereof.</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means any Restricted Subsidiary of the Parent Guarantor that is not a Domestic Restricted Subsidiary.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Four-Quarter Period</w:t>
      </w:r>
      <w:r>
        <w:rPr>
          <w:rFonts w:ascii="Times New Roman" w:cs="Times New Roman" w:eastAsia="Times New Roman" w:hAnsi="Times New Roman"/>
          <w:sz w:val="22"/>
          <w:szCs w:val="22"/>
          <w:color w:val="auto"/>
        </w:rPr>
        <w:t>” means the most recently ended four-fiscal quarter period of the Parent Guarantor for which internal financial statements are available.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in the United States, which are in effect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Global Note Legend</w:t>
      </w:r>
      <w:r>
        <w:rPr>
          <w:rFonts w:ascii="Times New Roman" w:cs="Times New Roman" w:eastAsia="Times New Roman" w:hAnsi="Times New Roman"/>
          <w:sz w:val="22"/>
          <w:szCs w:val="22"/>
          <w:color w:val="auto"/>
        </w:rPr>
        <w:t xml:space="preserve">” means the legend identified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xml:space="preserve">” means the Notes that are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issued in global form and registered in the name of the Depositary or its nominee.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means a direct or indirect guarantee by any Person of any Indebtedness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means, individually, any guarantee of payment of the Notes by a Guarantor pursuant to the terms of this Indenture and any supplemental indenture hereto, and, collectively, all such guarantees.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means the Parent Guarantor and each Restricted Subsidiary of the Parent Guarantor on the Issue Date that is a party to this Indenture for purposes of providing a Guarantee with respect to the Notes, and each other Person that is required to, or at the election of the Issuer, does become a Guarantor by the terms of this Indenture after the Issue Date, in each case, until such Person is released from its Guarantee in accordance with the terms of this Indenture.</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Obligations</w:t>
      </w:r>
      <w:r>
        <w:rPr>
          <w:rFonts w:ascii="Times New Roman" w:cs="Times New Roman" w:eastAsia="Times New Roman" w:hAnsi="Times New Roman"/>
          <w:sz w:val="22"/>
          <w:szCs w:val="22"/>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Holder</w:t>
      </w:r>
      <w:r>
        <w:rPr>
          <w:rFonts w:ascii="Times New Roman" w:cs="Times New Roman" w:eastAsia="Times New Roman" w:hAnsi="Times New Roman"/>
          <w:sz w:val="22"/>
          <w:szCs w:val="22"/>
          <w:color w:val="auto"/>
        </w:rPr>
        <w:t>” means any registered holder, from time to time, of the Notes.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incur</w:t>
      </w:r>
      <w:r>
        <w:rPr>
          <w:rFonts w:ascii="Times New Roman" w:cs="Times New Roman" w:eastAsia="Times New Roman" w:hAnsi="Times New Roman"/>
          <w:sz w:val="21"/>
          <w:szCs w:val="21"/>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(1) the Indebtedness of a Person existing at the time such Person becomes a Restricted Subsidiary of the Parent Guarantor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1" w:name="page22"/>
    <w:bookmarkEnd w:id="21"/>
    <w:p>
      <w:pPr>
        <w:jc w:val="both"/>
        <w:spacing w:after="0" w:line="225" w:lineRule="auto"/>
        <w:rPr>
          <w:sz w:val="20"/>
          <w:szCs w:val="20"/>
          <w:color w:val="auto"/>
        </w:rPr>
      </w:pPr>
      <w:r>
        <w:rPr>
          <w:rFonts w:ascii="Times New Roman" w:cs="Times New Roman" w:eastAsia="Times New Roman" w:hAnsi="Times New Roman"/>
          <w:sz w:val="22"/>
          <w:szCs w:val="22"/>
          <w:color w:val="auto"/>
        </w:rPr>
        <w:t>deemed to have been incurred by such Restricted Subsidiary at the time it becomes a Restricted Subsidiary of the Parent Guarantor and (2) neither the accrual of interest nor the accretion of original issue discount or the accretion or accumulation of dividends on any Equity Interests shall be deemed to be an incurrence of Indebtedness.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of any Person at any date means, without duplication:</w:t>
      </w:r>
    </w:p>
    <w:p>
      <w:pPr>
        <w:spacing w:after="0" w:line="183" w:lineRule="exact"/>
        <w:rPr>
          <w:sz w:val="20"/>
          <w:szCs w:val="20"/>
          <w:color w:val="auto"/>
        </w:rPr>
      </w:pPr>
    </w:p>
    <w:p>
      <w:pPr>
        <w:ind w:right="20" w:firstLine="656"/>
        <w:spacing w:after="0" w:line="236"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contingent or otherwise, of such Person for borrowed money (whether or not the recourse of the lender is to the whole of the assets of such Person or only to a portion thereof);</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evidenced by bonds, debentures, bankers’ acceptances, notes or other similar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w:t>
      </w:r>
    </w:p>
    <w:p>
      <w:pPr>
        <w:spacing w:after="0" w:line="14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 obligations of such Person in respect of letters of credit, letters of guaranty and similar credit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and unpaid purchase price of property or services due more than six months after such property is acquired or services are provided;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Finance Lease Obligations of such Person (but not any lease that is not a Finance Lease Obligation);</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others secured by a Lien on any asset of such Person, whether or not such Indebtedness is assumed by such Person;</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Indebtedness of others guaranteed by such Person to the extent of such guarantee;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Indebtedness of the Parent Guarantor or its Subsidiaries that is guaranteed by the Parent Guarantor or the Parent Guarantor’s Subsidiaries shall only be counted once in the calculation of the amount of Indebtedness of the Parent Guarantor and its Subsidiaries on a consolidated basis;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net Hedging Obligations of such Person;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under conditional sale or other title retention agreements relating to assets purchased by such Person;</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if and to the extent that any of the foregoing items (other than letters of credit or Hedging Obligations) would appear on a balance sheet of such Person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definition of “Indebtedness” shall not include: (i) purchase price holdbacks in respect of a portion of the purchase price of an asset to satisfy warranty, indemnity or other unperformed obligations of the seller of such asset; (ii) customary cash pooling and cash management practices and other intercompany indebtedness having a term not exceeding 364 days (inclusive of any roll-over or extension of terms) incurred in the ordinary course of business); (iii) deferred compensation, trade payables and accrued expenses arising in the ordinary course of business, deferred taxes, obligations assumed or liabilities incurred under service agreements in the ordinary course of business (e.g., bid bonds, performance guarantees or similar contracts which have not yet been earned), or obligations in respect of Equity Interests that do not constitute Disqualified Equity Interests; (iv) liabilities resulting from endorsements of instruments for collection in the ordinary course of business; (v) any indebtedness with respect to which cash or Cash Equivalents in an amount sufficient to repay in full the principal and accrued interest on such indebtedness has been escrowed with the trustee or other depository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2" w:name="page23"/>
    <w:bookmarkEnd w:id="22"/>
    <w:p>
      <w:pPr>
        <w:jc w:val="both"/>
        <w:spacing w:after="0" w:line="212" w:lineRule="auto"/>
        <w:rPr>
          <w:sz w:val="20"/>
          <w:szCs w:val="20"/>
          <w:color w:val="auto"/>
        </w:rPr>
      </w:pPr>
      <w:r>
        <w:rPr>
          <w:rFonts w:ascii="Times New Roman" w:cs="Times New Roman" w:eastAsia="Times New Roman" w:hAnsi="Times New Roman"/>
          <w:sz w:val="22"/>
          <w:szCs w:val="22"/>
          <w:color w:val="auto"/>
        </w:rPr>
        <w:t>benefit of the lenders or holders in respect of such indebtedness but only to the extent the foregoing constitutes a complete defeasance of such indebtedness pursuant to the applicable agreement governing such indebtedness and (vi) any repayment or reimbursement obligation of a Person or any of its Restricted Subsidiaries with respect to Customary Recourse Exceptions, unless and until an event or circumstance occurs that triggers the Person’s or such Restricted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 For purposes of this Indenture, the Indebtedness of any Person shall include the Indebtedness of any partnership or joint venture to the extent such Indebtedness is recourse to such Person.</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(6), the lesser of (a) the Fair Market Value of any asset subject to a Lien securing the Indebtedness of others on the date that the Lien attaches and (b) the amount of the Indebtedness secured.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means all patents, patent applications, trademarks, trade names, service marks, copyrights, technology, trade secrets, proprietary information, domain names, know-how and processes necessary for the conduct of the Parent Guarantor’s or any Restricted Subsidiary’s business.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Grade Rating</w:t>
      </w:r>
      <w:r>
        <w:rPr>
          <w:rFonts w:ascii="Times New Roman" w:cs="Times New Roman" w:eastAsia="Times New Roman" w:hAnsi="Times New Roman"/>
          <w:sz w:val="22"/>
          <w:szCs w:val="22"/>
          <w:color w:val="auto"/>
        </w:rPr>
        <w:t>” means a rating equal to or higher than Baa3 (or the equivalent) by Moody’s, BBB- (or the equivalent) by Fitch, and BBB- (or the equivalent) by S&amp;P, in each case, with a stable or better outlook.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of any Person means:</w:t>
      </w:r>
    </w:p>
    <w:p>
      <w:pPr>
        <w:spacing w:after="0" w:line="183" w:lineRule="exact"/>
        <w:rPr>
          <w:sz w:val="20"/>
          <w:szCs w:val="20"/>
          <w:color w:val="auto"/>
        </w:rPr>
      </w:pPr>
    </w:p>
    <w:p>
      <w:pPr>
        <w:jc w:val="both"/>
        <w:ind w:firstLine="656"/>
        <w:spacing w:after="0" w:line="225" w:lineRule="auto"/>
        <w:tabs>
          <w:tab w:leader="none" w:pos="129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52" w:lineRule="exact"/>
        <w:rPr>
          <w:rFonts w:ascii="Times New Roman" w:cs="Times New Roman" w:eastAsia="Times New Roman" w:hAnsi="Times New Roman"/>
          <w:sz w:val="22"/>
          <w:szCs w:val="22"/>
          <w:color w:val="auto"/>
        </w:rPr>
      </w:pPr>
    </w:p>
    <w:p>
      <w:pPr>
        <w:jc w:val="both"/>
        <w:ind w:firstLine="656"/>
        <w:spacing w:after="0" w:line="226" w:lineRule="auto"/>
        <w:tabs>
          <w:tab w:leader="none" w:pos="1291"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purchases (or other acquisitions for consideration) by such Person of Indebtedness, Equity Interests or other securities of any other Person (other than any such purchase that constitutes a Restricted Payment of the type described in clause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items that would be classified as investments in another Person on a balance sheet of such Person prepared in accordance with GAAP;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any Subsidiary as an Unrestricted Subsidiary.</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If the Parent Guarantor or any Restricted Subsidiary sells or otherwise disposes of any Equity Interests of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3" w:name="page24"/>
    <w:bookmarkEnd w:id="23"/>
    <w:p>
      <w:pPr>
        <w:jc w:val="both"/>
        <w:spacing w:after="0" w:line="217" w:lineRule="auto"/>
        <w:rPr>
          <w:sz w:val="20"/>
          <w:szCs w:val="20"/>
          <w:color w:val="auto"/>
        </w:rPr>
      </w:pPr>
      <w:r>
        <w:rPr>
          <w:rFonts w:ascii="Times New Roman" w:cs="Times New Roman" w:eastAsia="Times New Roman" w:hAnsi="Times New Roman"/>
          <w:sz w:val="22"/>
          <w:szCs w:val="22"/>
          <w:color w:val="auto"/>
        </w:rPr>
        <w:t>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Issue Date</w:t>
      </w:r>
      <w:r>
        <w:rPr>
          <w:rFonts w:ascii="Times New Roman" w:cs="Times New Roman" w:eastAsia="Times New Roman" w:hAnsi="Times New Roman"/>
          <w:sz w:val="22"/>
          <w:szCs w:val="22"/>
          <w:color w:val="auto"/>
        </w:rPr>
        <w:t>” means the date on which the original Notes are originally issued.</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xml:space="preserve">” means Weatherford International Ltd., a Bermuda exempted company limited by shares, and any successor Person resulting from any transaction permitted by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means, with respect to any asset, any mortgage, deed of trust, lien (statutory or other), assignment, assignment by way of security, pledge, trust, lease, easement, restriction, covenant, charge, security interest or similar encumbrance of any kind or nature in respect of such asset, whether or not filed, recorded or otherwise perfected under applicable law, including any conditional sale or other title retention agreement.</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Limited Condition Transaction</w:t>
      </w:r>
      <w:r>
        <w:rPr>
          <w:rFonts w:ascii="Times New Roman" w:cs="Times New Roman" w:eastAsia="Times New Roman" w:hAnsi="Times New Roman"/>
          <w:sz w:val="22"/>
          <w:szCs w:val="22"/>
          <w:color w:val="auto"/>
        </w:rPr>
        <w:t>” means (1) any Restricted Payment or acquisition or issuance of indebtedness (whether by merger, amalgamation, consolidation or other business combination or the acquisition of Equity Interests or otherwise), whose consummation is not conditioned on the availability of, or on obtaining, third-party financing (or, if such a condition does exist, the Parent Guarantor or any Restricted Subsidiary would be required to pay any fee, liquidated damages or other amount or be subject to any indemnity, claim or other liability as a result of such third party financing not having been available or obtained) and (2) any redemption, repurchase, defeasance, satisfaction and discharge or repayment of Indebtedness, Disqualified Equity Interests or Preferred Stock requiring irrevocable notice in advance of such redemption, repurchase, defeasance, satisfaction and discharge or repayment.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Long Derivative Instrument</w:t>
      </w:r>
      <w:r>
        <w:rPr>
          <w:rFonts w:ascii="Times New Roman" w:cs="Times New Roman" w:eastAsia="Times New Roman" w:hAnsi="Times New Roman"/>
          <w:sz w:val="22"/>
          <w:szCs w:val="2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means Moody’s Investors Service, Inc., or any successor to its rating agency business.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Available Proceeds</w:t>
      </w:r>
      <w:r>
        <w:rPr>
          <w:rFonts w:ascii="Times New Roman" w:cs="Times New Roman" w:eastAsia="Times New Roman" w:hAnsi="Times New Roman"/>
          <w:sz w:val="22"/>
          <w:szCs w:val="22"/>
          <w:color w:val="auto"/>
        </w:rPr>
        <w:t>” means, with respect to any Asset Sale, the proceeds thereof in the form of cash or Cash Equivalents received by the Parent Guarantor or any of its Restricted Subsidiaries from such Asset Sale, net of:</w:t>
      </w:r>
    </w:p>
    <w:p>
      <w:pPr>
        <w:spacing w:after="0" w:line="150" w:lineRule="exact"/>
        <w:rPr>
          <w:sz w:val="20"/>
          <w:szCs w:val="20"/>
          <w:color w:val="auto"/>
        </w:rPr>
      </w:pPr>
    </w:p>
    <w:p>
      <w:pPr>
        <w:ind w:firstLine="656"/>
        <w:spacing w:after="0" w:line="236"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brokerage commissions and other fees and expenses (including fees, discounts and expenses of legal counsel, accountants and investment banks, consultants and placement agents) of such Asset Sale;</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for taxes payable (including any withholding or other taxes paid or reasonably estimated to be payable in connection with the transfer to the Parent Guarantor of such proceeds from any Restricted Subsidiary that received such proceeds) as a result of such Asset Sale (after taking into account any available tax credits or deductions and any tax sharing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4" w:name="page25"/>
    <w:bookmarkEnd w:id="24"/>
    <w:p>
      <w:pPr>
        <w:ind w:firstLine="656"/>
        <w:spacing w:after="0" w:line="236"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required to be paid to any Person (other than the Parent Guarantor or any Restricted Subsidiary) owning a beneficial interest in the assets subject to the Asset Sale or having a Lien thereon;</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unassumed liabilities (not constituting Indebtedness) relating to the assets sold at the time of, or within 30 days after the date of, such Asset Sale; and</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appropriate amounts to be provided by the Parent Guarantor or any Restricted Subsidiary, as the case may be, as a reserve required in accordance with GAAP against any adjustment in the sale price of such asset or assets or liabilities associated with such Asset Sale and retained by the Parent Guarantor or any Restricted Subsidiary, as the case may be, after such Asset Sale, including pensions and other post-employment benefit liabilities, liabilities related to environmental matters and liabilities under any indemnification obligations associated with such Asset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amounts remaining after adjustments, revaluations or liquidations of such reserves shall constitute Net Available Proceeds.</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Short</w:t>
      </w:r>
      <w:r>
        <w:rPr>
          <w:rFonts w:ascii="Times New Roman" w:cs="Times New Roman" w:eastAsia="Times New Roman" w:hAnsi="Times New Roman"/>
          <w:sz w:val="22"/>
          <w:szCs w:val="22"/>
          <w:color w:val="auto"/>
        </w:rPr>
        <w:t>” means, with respect to a holder of Notes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any Guarantor or any Parent Company immediately prior to such date of determination.</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Debt</w:t>
      </w:r>
      <w:r>
        <w:rPr>
          <w:rFonts w:ascii="Times New Roman" w:cs="Times New Roman" w:eastAsia="Times New Roman" w:hAnsi="Times New Roman"/>
          <w:sz w:val="22"/>
          <w:szCs w:val="22"/>
          <w:color w:val="auto"/>
        </w:rPr>
        <w:t>” means Indebtedness of an Unrestricted Subsidiary as to which neither the Parent Guarantor nor any Restricted Subsidiary (a) provides credit support of any kind through any undertaking, agreement or instrument that would constitute Indebtedness, except for Customary Recourse Exceptions, or (b) is directly or indirectly liable as a guarantor or otherwise, except in each case with pledges of Equity Interests in an Unrestricted Subsidiary.</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 Custodian</w:t>
      </w:r>
      <w:r>
        <w:rPr>
          <w:rFonts w:ascii="Times New Roman" w:cs="Times New Roman" w:eastAsia="Times New Roman" w:hAnsi="Times New Roman"/>
          <w:sz w:val="22"/>
          <w:szCs w:val="22"/>
          <w:color w:val="auto"/>
        </w:rPr>
        <w:t>” means the Person appointed as custodian for the Depositary with respect to the Global Notes, or any successor entity thereto.</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 means the Initial Notes and any Additional Notes. The Initial Notes and the Additional Notes, if any, shall be treated as a single class for all purposes under this Indenture.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w:t>
      </w:r>
      <w:r>
        <w:rPr>
          <w:rFonts w:ascii="Times New Roman" w:cs="Times New Roman" w:eastAsia="Times New Roman" w:hAnsi="Times New Roman"/>
          <w:sz w:val="22"/>
          <w:szCs w:val="22"/>
          <w:color w:val="auto"/>
        </w:rPr>
        <w:t>” means any principal, interest, penalties, fees, indemnification, reimbursements, costs, expenses, damages and other liabilities payable under the documentation governing any Indebtedness.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 Memorandum</w:t>
      </w:r>
      <w:r>
        <w:rPr>
          <w:rFonts w:ascii="Times New Roman" w:cs="Times New Roman" w:eastAsia="Times New Roman" w:hAnsi="Times New Roman"/>
          <w:sz w:val="22"/>
          <w:szCs w:val="22"/>
          <w:color w:val="auto"/>
        </w:rPr>
        <w:t>” means the Issuer’s offering memorandum, dated September 22, 2025, related to the offer and sale of the Initial Notes.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w:t>
      </w:r>
      <w:r>
        <w:rPr>
          <w:rFonts w:ascii="Times New Roman" w:cs="Times New Roman" w:eastAsia="Times New Roman" w:hAnsi="Times New Roman"/>
          <w:sz w:val="22"/>
          <w:szCs w:val="22"/>
          <w:color w:val="auto"/>
        </w:rPr>
        <w:t>” means any of the following of the Parent Guarantor, the Issuer or any Subsidiary Guarantor: the Chairman of the Board of Directors, the Chief Executive Officer, the Chief Financial Officer, the President, any Vice President, Managing Director, the Treasurer, the Secretary or the Assistant Secretary.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xml:space="preserve">” means a certificate signed by two Officers that meets the requirements of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of this Indenture.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Opinion of Counsel</w:t>
      </w:r>
      <w:r>
        <w:rPr>
          <w:rFonts w:ascii="Times New Roman" w:cs="Times New Roman" w:eastAsia="Times New Roman" w:hAnsi="Times New Roman"/>
          <w:sz w:val="22"/>
          <w:szCs w:val="22"/>
          <w:color w:val="auto"/>
        </w:rPr>
        <w:t>” means a written opinion from legal counsel who is acceptable to the Trustee. The counsel may be an employee of or counsel to the Parent Guarantor or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Issue Reference Date</w:t>
      </w:r>
      <w:r>
        <w:rPr>
          <w:rFonts w:ascii="Times New Roman" w:cs="Times New Roman" w:eastAsia="Times New Roman" w:hAnsi="Times New Roman"/>
          <w:sz w:val="22"/>
          <w:szCs w:val="22"/>
          <w:color w:val="auto"/>
        </w:rPr>
        <w:t>” means September 30, 2021.</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means any Person that is or becomes after the Issue Date a direct or indirect parent (which may be organized as, among other things, a partnership) of the Parent Guarantor.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Guarantor</w:t>
      </w:r>
      <w:r>
        <w:rPr>
          <w:rFonts w:ascii="Times New Roman" w:cs="Times New Roman" w:eastAsia="Times New Roman" w:hAnsi="Times New Roman"/>
          <w:sz w:val="22"/>
          <w:szCs w:val="22"/>
          <w:color w:val="auto"/>
        </w:rPr>
        <w:t>” means Weatherford International plc, an Irish public limited company.</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Indebtedness</w:t>
      </w:r>
      <w:r>
        <w:rPr>
          <w:rFonts w:ascii="Times New Roman" w:cs="Times New Roman" w:eastAsia="Times New Roman" w:hAnsi="Times New Roman"/>
          <w:sz w:val="22"/>
          <w:szCs w:val="22"/>
          <w:color w:val="auto"/>
        </w:rPr>
        <w:t>” means any Indebtedness of the Parent Guarantor or any Restricted Subsidiary that is not Subordinated Indebtedness.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means, with respect to the Depositary, a Person who has an account with the Depositary.</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means any Person authorized by the Issuer to pay the principal of, premium, if any, or interest on any Notes on behalf of the Issuer.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Default</w:t>
      </w:r>
      <w:r>
        <w:rPr>
          <w:rFonts w:ascii="Times New Roman" w:cs="Times New Roman" w:eastAsia="Times New Roman" w:hAnsi="Times New Roman"/>
          <w:sz w:val="22"/>
          <w:szCs w:val="22"/>
          <w:color w:val="auto"/>
        </w:rPr>
        <w:t>” means any default in payment of amounts when due on the Notes, without giving effect to any grace</w:t>
      </w: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Performance References</w:t>
      </w:r>
      <w:r>
        <w:rPr>
          <w:rFonts w:ascii="Times New Roman" w:cs="Times New Roman" w:eastAsia="Times New Roman" w:hAnsi="Times New Roman"/>
          <w:sz w:val="22"/>
          <w:szCs w:val="22"/>
          <w:color w:val="auto"/>
        </w:rPr>
        <w:t>” means any one or more of the Issuer, the Guarantors or any Parent Company.</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w:t>
      </w:r>
      <w:r>
        <w:rPr>
          <w:rFonts w:ascii="Times New Roman" w:cs="Times New Roman" w:eastAsia="Times New Roman" w:hAnsi="Times New Roman"/>
          <w:sz w:val="22"/>
          <w:szCs w:val="22"/>
          <w:color w:val="auto"/>
        </w:rPr>
        <w:t>” means any business that is the same as or related, ancillary or complementary to any of the businesses of the Parent Guarantor or the Restricted Subsidiaries on the Issue Date and any reasonable extension or evolution of any of the foregoing as determined in good faith by the Issuer.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 Asset</w:t>
      </w:r>
      <w:r>
        <w:rPr>
          <w:rFonts w:ascii="Times New Roman" w:cs="Times New Roman" w:eastAsia="Times New Roman" w:hAnsi="Times New Roman"/>
          <w:sz w:val="22"/>
          <w:szCs w:val="22"/>
          <w:color w:val="auto"/>
        </w:rPr>
        <w:t>” means any asset that is useful in a Permitted Business.</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 Investment</w:t>
      </w:r>
      <w:r>
        <w:rPr>
          <w:rFonts w:ascii="Times New Roman" w:cs="Times New Roman" w:eastAsia="Times New Roman" w:hAnsi="Times New Roman"/>
          <w:sz w:val="22"/>
          <w:szCs w:val="22"/>
          <w:color w:val="auto"/>
        </w:rPr>
        <w:t>” means Investments in any Person (including an Unrestricted Subsidiary or joint venture) engaged in Permitted Business.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jc w:val="both"/>
        <w:ind w:firstLine="656"/>
        <w:spacing w:after="0" w:line="220"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amalgamation, merger or consolidation;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Parent Guarantor by any Restricted Subsidiary;</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directors, employees and officers of the Parent Guarantor and its Restricted Subsidiaries (i) in the ordinary course of business (including payroll, travel and entertainment related advances) (other than any loans or advances to any director or executive officer (or equivalent thereof) that would be in violation of Section 402 of the Sarbanes Oxley Act) and (ii) to purchase Equity Interests of the Parent Guarantor not in excess of $10.0 million in the aggregate outstanding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1" w:right="339" w:bottom="1440" w:gutter="0" w:footer="0" w:header="0"/>
        </w:sectPr>
      </w:pPr>
    </w:p>
    <w:bookmarkStart w:id="26" w:name="page27"/>
    <w:bookmarkEnd w:id="26"/>
    <w:p>
      <w:pPr>
        <w:ind w:firstLine="656"/>
        <w:spacing w:after="0" w:line="236" w:lineRule="auto"/>
        <w:tabs>
          <w:tab w:leader="none" w:pos="129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Obligations entered into in the ordinary course of business for bona fide hedging purposes of the Parent Guarantor or any Restricted Subsidiary not for the purpose of speculation;</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Cash Equivalents, U.S. Treasury securities, government securities of the United Kingdom, any member state of the European Union, Norway, Singapore, Japan, Canada, Australia and New Zealand, investment grade corporate debt securities or any fund invested primarily in the foregoing;</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receivables owing to the Parent Guarantor or any Restricted Subsidiary if created or acquired, and advances or extensions of credit in the nature of accounts receivable arising from the sale or lease of goods or services, the leasing of equipment or the licensing of property, in each case in the ordinary course of business and payable or dischargeable in accordance with customary trade terms;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trade terms may include such concessionary trade terms as the Parent Guarantor or any such Restricted Subsidiary deems reasonable under the circumstances;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by the Parent Guarantor or any Restricted Subsidiary as a result of consideration received in connection with an Asset Sale made in compliance with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utility and other similar deposits in the ordinary course of business;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shares, obligations or securities received in settlement of debts created in the ordinary course of business and owing to the Parent Guarantor or any Restricted Subsidiary or in satisfaction of judgments;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Unrestricted Subsidiaries not to exceed the greater of (x) $75.0 million and (y) 1.5% of the Parent Guarantor’s Consolidated Total Assets determined at the time of Investment;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Investment pursuant to this clause (11) is made in any Person that later becomes a Restricted Subsidiary after such date, such investment shall thereafter be deemed to have been made pursuant to clause (1) above and shall cease to have been made pursuant to this clause</w:t>
      </w:r>
    </w:p>
    <w:p>
      <w:pPr>
        <w:spacing w:after="0" w:line="2"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such Person continues to be a Restricted Subsidiary;</w:t>
      </w:r>
    </w:p>
    <w:p>
      <w:pPr>
        <w:spacing w:after="0" w:line="155"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Indebtedness of the Parent Guarantor or any of its Restricted Subsidiaries permitted in accordance with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repurchases of, or other Investments in the Notes or other Indebtedness of the Parent Guarantor and its Restricted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155"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existing on, or made pursuant to binding commitments existing on, the Issue Date, and any modifications, renewals or extensions that do not increase the amount of the Investment being modified, renewed or extended (as determined as of such date of modification, renewal or extension) unless the incremental increase in such Investment is otherwise permitted hereunder;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the payment for which consists of Equity Interests (exclusive of Disqualified Equity Interests) of the Parent Guarantor;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Interests will not increase the amount available for Restricted Payments under the Restricted Payments Builder Basket;</w:t>
      </w:r>
    </w:p>
    <w:p>
      <w:pPr>
        <w:spacing w:after="0" w:line="179" w:lineRule="exact"/>
        <w:rPr>
          <w:sz w:val="20"/>
          <w:szCs w:val="20"/>
          <w:color w:val="auto"/>
        </w:rPr>
      </w:pPr>
    </w:p>
    <w:p>
      <w:pPr>
        <w:jc w:val="both"/>
        <w:ind w:firstLine="656"/>
        <w:spacing w:after="0" w:line="220"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(16) since the Issue Date and then outstanding, do not exceed the greater of (a) $150.0 million and (b) 3.0% of the Parent Guarantor’s Consolidated Total Assets determined at the time of Investment;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guarantees of any trade or non-financial operating contract (other than such contract that itself constitutes Indebtedness) in the ordinary course of business;</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accordance with recovery plans to support defined benefit plans or pension schemes sponsored by the Parent Guarantor or any Restricted Subsidiary;</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evidencing the right to right to receive a deferred purchase price or other consideration for the disposition of Receivables and Receivables Related Security in connection with any Permitted Receivables Transaction;</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the licensing or contribution of intellectual property pursuant to joint marketing arrangements with other Persons in the ordinary course of business;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Business Investments in an unlimited amount so long as after giving pro forma effect thereto the Consolidated Total Debt Ratio does not exceed 1.50 to 1.00; and</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by any Note Party or Restricted Subsidiary in overnight time deposits in Argentina made in the ordinary course of business for bona fide business purposes of the Parent Guarantor or any Restricted Subsidiary and not for the purpose of speculation,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outstanding amount of such Investments shall not exceed $75.0 million at any time outstanding.</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In determining whether any Investment is a Permitted Investment, the Issuer may allocate or reallocate all or any portion of an Investment among the clauses of this definition and any of the provisions of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means the following types of Liens:</w:t>
      </w:r>
    </w:p>
    <w:p>
      <w:pPr>
        <w:spacing w:after="0" w:line="183" w:lineRule="exact"/>
        <w:rPr>
          <w:sz w:val="20"/>
          <w:szCs w:val="20"/>
          <w:color w:val="auto"/>
        </w:rPr>
      </w:pPr>
    </w:p>
    <w:p>
      <w:pPr>
        <w:jc w:val="both"/>
        <w:ind w:firstLine="656"/>
        <w:spacing w:after="0" w:line="225"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or levies not yet due and payable or delinquent or that are being contested in good faith by appropriate proceedings;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adequate reserves with respect thereto are maintained on the books of the Parent Guarantor or its Restricted Subsidiaries, as the case may be, in conformity with GAAP;</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respect of property of the Parent Guarantor or any Restricted Subsidiary imposed by law or contract, which were not incurred or created to secure Indebtedness for borrowed money, such as carriers’, warehousemen’s, materialmen’s, landlords’, workmen’s, suppliers’, repairmen’s and mechanics’ Liens and other similar Liens arising in the ordinary course of business, and which do not in the aggregate materially detract from the value of the property of the Parent Guarantor or its Restricted Subsidiaries, taken as a whole, and do not materially impair the use thereof in the operation of the business of the Parent Guarantor and its Restricted Subsidiaries, taken as a whole;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pledges or deposits made in connection therewith in the ordinary course of business in connection with obligations of the type described in </w:t>
      </w:r>
      <w:r>
        <w:rPr>
          <w:rFonts w:ascii="Times New Roman" w:cs="Times New Roman" w:eastAsia="Times New Roman" w:hAnsi="Times New Roman"/>
          <w:sz w:val="22"/>
          <w:szCs w:val="22"/>
          <w:u w:val="single" w:color="auto"/>
          <w:color w:val="auto"/>
        </w:rPr>
        <w:t>Section 4.9(b)(7)</w:t>
      </w:r>
      <w:r>
        <w:rPr>
          <w:rFonts w:ascii="Times New Roman" w:cs="Times New Roman" w:eastAsia="Times New Roman" w:hAnsi="Times New Roman"/>
          <w:sz w:val="22"/>
          <w:szCs w:val="22"/>
          <w:color w:val="auto"/>
        </w:rPr>
        <w:t xml:space="preserve"> and (ii)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8" w:name="page29"/>
    <w:bookmarkEnd w:id="28"/>
    <w:p>
      <w:pPr>
        <w:spacing w:after="0" w:line="236" w:lineRule="auto"/>
        <w:rPr>
          <w:sz w:val="20"/>
          <w:szCs w:val="20"/>
          <w:color w:val="auto"/>
        </w:rPr>
      </w:pPr>
      <w:r>
        <w:rPr>
          <w:rFonts w:ascii="Times New Roman" w:cs="Times New Roman" w:eastAsia="Times New Roman" w:hAnsi="Times New Roman"/>
          <w:sz w:val="22"/>
          <w:szCs w:val="22"/>
          <w:color w:val="auto"/>
        </w:rPr>
        <w:t>incurred in connection with or for the benefit of defined benefit plans or pension schemes sponsored by the Parent Guarantor or its Restricted Subsidiaries;</w:t>
      </w:r>
    </w:p>
    <w:p>
      <w:pPr>
        <w:spacing w:after="0" w:line="150" w:lineRule="exact"/>
        <w:rPr>
          <w:sz w:val="20"/>
          <w:szCs w:val="20"/>
          <w:color w:val="auto"/>
        </w:rPr>
      </w:pPr>
    </w:p>
    <w:p>
      <w:pPr>
        <w:jc w:val="both"/>
        <w:ind w:firstLine="656"/>
        <w:spacing w:after="0" w:line="217"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incurred in the ordinary course of business to secure the performance of tenders, bids, trade contracts, stay and customs bonds, leases, statutory obligations, surety and appeal bonds, statutory bonds, government contracts, performance and return money bonds and other similar obligations (exclusive of obligations for the payment of borrowed money) or (ii) incurred in the ordinary course of business to secure liability for premiums or in respect of reimbursement or indemnification obligations to insurance carriers;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judgments or awards not resulting in a Default or an Event of Default so long as such Lien is adequately bonded and any appropriate legal proceedings which may have been duly initiated for the review of such judgment have not been finally terminated or the period within which such proceedings may be initiated has not expired;</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minor defects, irregularities and deficiencies in title to, and easements, rights of way, restrictions (including zoning restrictions), covenants, encroachments, protrusions and other similar restrictions, charges or encumbrances, defects and irregularities in the physical placement and location of pipelines within areas covered by, and other rights in real property in favor of the Parent Guarantor or any Restricted Subsidiary, in each case which do not interfere with the ordinary conduct of business, and which do not materially detract from the value of the property which they affect;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securing reimbursement obligations with respect to commercial letters of credit which encumber documents and other assets relating to such letters of credit and products and proceeds thereof, and (ii) Liens securing Indebtedness represented by letters of credit, bankers’ acceptances, letters of guaranty and similar credit transactions (or reimbursement agreements in respect thereof);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deposits made to secure obligations arising from statutory, regulatory, contractual or warranty requirements of the Parent Guarantor or any Restricted Subsidiary, including rights of offset and setoff;</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other similar Liens existing solely with respect to cash and Cash Equivalents on deposit in one or more accounts maintained by the Parent Guarantor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lease entered into by the Parent Guarantor or any Restricted Subsidiary not in violation of this Indenture;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UCC financing statements solely as a precautionary measure in connection with operating leases, consignments of goods or transfers of accounts, in each case to the extent not securing performance of a payment or other obligation;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Notes and any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29" w:name="page30"/>
    <w:bookmarkEnd w:id="29"/>
    <w:p>
      <w:pPr>
        <w:ind w:left="-220" w:right="20" w:firstLine="656"/>
        <w:spacing w:after="0" w:line="236" w:lineRule="auto"/>
        <w:tabs>
          <w:tab w:leader="none" w:pos="107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Hedging Obligations entered into for bona fide hedging purposes of the Parent Guarantor or any Restricted Subsidiary not for the purpose of speculation;</w:t>
      </w:r>
    </w:p>
    <w:p>
      <w:pPr>
        <w:spacing w:after="0" w:line="150"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Specified Cash Management Agreements entered into in the ordinary course of business;</w:t>
      </w:r>
    </w:p>
    <w:p>
      <w:pPr>
        <w:spacing w:after="0" w:line="179"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Parent Guarantor or a Restricted Subsidiary;</w:t>
      </w:r>
    </w:p>
    <w:p>
      <w:pPr>
        <w:spacing w:after="0" w:line="179"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under Debt Facilities incurred and then outstanding pursuant to </w:t>
      </w:r>
      <w:r>
        <w:rPr>
          <w:rFonts w:ascii="Times New Roman" w:cs="Times New Roman" w:eastAsia="Times New Roman" w:hAnsi="Times New Roman"/>
          <w:sz w:val="22"/>
          <w:szCs w:val="22"/>
          <w:u w:val="single" w:color="auto"/>
          <w:color w:val="auto"/>
        </w:rPr>
        <w:t>Section 4.9(b)(1)</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left="-220" w:firstLine="656"/>
        <w:spacing w:after="0" w:line="216" w:lineRule="auto"/>
        <w:tabs>
          <w:tab w:leader="none" w:pos="107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pursuant to Purchase Money Indebtedness or Finance Lease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Indebtedness (including any fees and expenses incurred in connection therewith) secured by any such Lien (including refinancings thereof) does not exceed 100.0% of the cost of the property being acquired or leased at the time of the incurrence of such Indebtedness and (ii) any such Liens attach only to the property being financed pursuant to such Purchase Money Indebtedness (plus improvements, accessions, proceeds, replacements or dividends or distributions in respect thereof) and do not encumber any other property of the Parent Guarantor or any Restricted Subsidiary;</w:t>
      </w:r>
    </w:p>
    <w:p>
      <w:pPr>
        <w:spacing w:after="0" w:line="145" w:lineRule="exact"/>
        <w:rPr>
          <w:rFonts w:ascii="Times New Roman" w:cs="Times New Roman" w:eastAsia="Times New Roman" w:hAnsi="Times New Roman"/>
          <w:sz w:val="22"/>
          <w:szCs w:val="22"/>
          <w:color w:val="auto"/>
        </w:rPr>
      </w:pPr>
    </w:p>
    <w:p>
      <w:pPr>
        <w:jc w:val="both"/>
        <w:ind w:left="-220" w:firstLine="656"/>
        <w:spacing w:after="0" w:line="214" w:lineRule="auto"/>
        <w:tabs>
          <w:tab w:leader="none" w:pos="107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Acquired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was not initially incurred in connection with, or in contemplation of (other than liens securing refinancing indebtedness of indebtedness not otherwise incurred in connection with, or in contemplation of such Person becoming a Restricted Subsidiary or being acquired or merged into the Parent Guarantor or a Restricted Subsidiary of the Parent Guarantor), such Person becoming a Restricted Subsidiary or being acquired or merged into the Parent Guarantor or a Restricted Subsidiary of the Parent Guarantor and such Liens do not extend to assets not subject to such Lien at the time of acquisition (plus improvements, accessions, proceeds, replacements or dividends or distributions in respect thereof);</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property of a Person existing at the time such Person is acquired or amalgamated or merged with or into or consolidated with the Parent Guarantor or any Restricted Subsidiary (and not created in anticipation or contemplation thereof) other than liens securing refinancing indebtedness of indebtedness not otherwise incurred in connection with, or in contemplation of such Person becoming a Restricted Subsidiary or being acquired or merged into or amalgamated with the Parent Guarantor or a Restricted Subsidiary of the Parent Guarantor;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Liens do not extend to property not subject to such Liens at the time of acquisition (plus improvements, accessions, proceeds, replacements or dividends or distributions in respect thereof);</w:t>
      </w:r>
    </w:p>
    <w:p>
      <w:pPr>
        <w:spacing w:after="0" w:line="153" w:lineRule="exact"/>
        <w:rPr>
          <w:rFonts w:ascii="Times New Roman" w:cs="Times New Roman" w:eastAsia="Times New Roman" w:hAnsi="Times New Roman"/>
          <w:sz w:val="21"/>
          <w:szCs w:val="21"/>
          <w:color w:val="auto"/>
        </w:rPr>
      </w:pPr>
    </w:p>
    <w:p>
      <w:pPr>
        <w:jc w:val="both"/>
        <w:ind w:left="-220" w:firstLine="656"/>
        <w:spacing w:after="0" w:line="225" w:lineRule="auto"/>
        <w:tabs>
          <w:tab w:leader="none" w:pos="107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and pledges of the Equity Interests of any Unrestricted Subsidiary or any joint venture owned by the Parent Guarantor or any Restricted Subsidiary of the Parent Guarantor to the extent securing Non-Recourse Debt or other Indebtedness of such Unrestricted Subsidiary or joint venture;</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the deposit of funds or securities in trust for the purpose of decreasing or defeasing Indebtedness so long as such deposit of funds or securities and such decreasing or defeasing of Indebtedness are permitted under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sales or grants of licenses or sublicenses of (or other grants of rights to use or exploit) licenses of Intellectual Property (x) existing as of the Issue Date, or (y) between or among the Parent Guarantor and its Restricted Subsidiaries or between or among any of the Restricted Subsidiaries, or (ii) licenses of Intellectual Property granted by the Parent Guarantor or any Restricted Subsidiary in the ordinary course of business and not interfering in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20"/>
          </w:cols>
          <w:pgMar w:left="540" w:top="13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respect with the ordinary conduct of the business of the Parent Guarantor or such Restricted Subsidiary;</w:t>
      </w:r>
    </w:p>
    <w:p>
      <w:pPr>
        <w:spacing w:after="0" w:line="179" w:lineRule="exact"/>
        <w:rPr>
          <w:sz w:val="20"/>
          <w:szCs w:val="20"/>
          <w:color w:val="auto"/>
        </w:rPr>
      </w:pPr>
    </w:p>
    <w:p>
      <w:pPr>
        <w:ind w:firstLine="656"/>
        <w:spacing w:after="0" w:line="236" w:lineRule="auto"/>
        <w:tabs>
          <w:tab w:leader="none" w:pos="12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the sale of goods entered into by the Parent Guarantor or any Restricted Subsidiary in the ordinary course of business;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Trustee as provided for in this Indenture on money or property held or collected by the Trustee in its capacity as Trustee;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the Issue Date (other than pursuant to the Revolving Credit Facility);</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Liens with respect to obligations which do not in the aggregate exceed at any time outstanding the greater of</w:t>
      </w:r>
    </w:p>
    <w:p>
      <w:pPr>
        <w:ind w:left="260" w:hanging="252"/>
        <w:spacing w:after="0"/>
        <w:tabs>
          <w:tab w:leader="none" w:pos="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$175.0 million and (ii) 3.5% of the Parent Guarantor’s Consolidated Total Assets determined at the time of incurrence;</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Permitted Indebtedness recorded as finance leases in accordance with GAAP;</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precautionary liens on Receivables arising in connection with Permitted Receivables Transactions;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of set-off arising under common law or by statute or customary account documentation;</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the ordinary course of business under any joint venture agreement with respect to a joint venture; and</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renewing, extending, refinancing or refunding a Lien permitted by clauses (13), (16), (18), (19), (20), (26), (27) and this clause (32);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do not extend to any additional assets (other than improvements, accessions, proceeds, replacements or dividends or distributions in respect thereof) and the amount of such Indebtedness is not increased except as necessary to pay accrued and unpaid interest, premiums, fees or expenses in connection with such refinancing.</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If any Liens securing obligations are incurred to refinance Liens securing obligations initially incurred in reliance on a basket measured by reference to a percentage of Consolidated Total Assets, and such refinancing would cause the percentage of Consolidated Total Assets to be exceeded if calculated based on the Consolidated Total Assets on the date of such refinancing, such percentage of Consolidated Total Assets will not be deemed to be exceeded to the extent the principal amount of such obligations secured by such newly incurred Lien does not exceed the principal amount of such obligations secured by such Liens being refinanced, plus any accrued and unpaid interest on the Indebtedness plus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Receivables Transaction</w:t>
      </w:r>
      <w:r>
        <w:rPr>
          <w:rFonts w:ascii="Times New Roman" w:cs="Times New Roman" w:eastAsia="Times New Roman" w:hAnsi="Times New Roman"/>
          <w:sz w:val="22"/>
          <w:szCs w:val="22"/>
          <w:color w:val="auto"/>
        </w:rPr>
        <w:t>” means receivables purchase facilities and factoring transactions in existence on the Issue Date or entered into by Parent Guarantor or any Restricted Subsidiary with respect to Receivables originated by Parent Guarantor or such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Subsidiary in the ordinary course of business, which may contain Standard Securitization Undertakings.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individual, corporation, company, exempted company, partnership, limited liability company, joint venture, incorporated or unincorporated association, joint-stock company, trust, mutual fund trust, unincorporated organization or government or other agency or political subdivision thereof or other legal entity of any kind.</w:t>
      </w:r>
    </w:p>
    <w:p>
      <w:pPr>
        <w:spacing w:after="0" w:line="14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Preferred Stock</w:t>
      </w:r>
      <w:r>
        <w:rPr>
          <w:rFonts w:ascii="Times New Roman" w:cs="Times New Roman" w:eastAsia="Times New Roman" w:hAnsi="Times New Roman"/>
          <w:sz w:val="22"/>
          <w:szCs w:val="22"/>
          <w:color w:val="auto"/>
        </w:rPr>
        <w:t>” means, with respect to any Person, any and all preferred or preference shares or stock or other Equity Interests (however designated) of such Person whether now outstanding or issued after the Issue Date that is preferred as to the payment of dividends upon liquidation, dissolution or winding up.</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principal</w:t>
      </w:r>
      <w:r>
        <w:rPr>
          <w:rFonts w:ascii="Times New Roman" w:cs="Times New Roman" w:eastAsia="Times New Roman" w:hAnsi="Times New Roman"/>
          <w:sz w:val="22"/>
          <w:szCs w:val="22"/>
          <w:color w:val="auto"/>
        </w:rPr>
        <w:t>” means, with respect to the Notes, the principal of, and premium, if any, on the Notes.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Money Indebtedness</w:t>
      </w:r>
      <w:r>
        <w:rPr>
          <w:rFonts w:ascii="Times New Roman" w:cs="Times New Roman" w:eastAsia="Times New Roman" w:hAnsi="Times New Roman"/>
          <w:sz w:val="22"/>
          <w:szCs w:val="22"/>
          <w:color w:val="auto"/>
        </w:rPr>
        <w:t xml:space="preserve">” means Indebtedness, including Finance Lease Obligations, of the Parent Guarantor or any Restricted Subsidiary incurred for the purpose of financing or refinancing all or any part of the purchase price of property, plant or equipment used or useful in the business of the Parent Guarantor or any Restricted Subsidiary or the cost of renovation, repair, upgrade installation, construction or improvement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(except in the case of Finance Lease Obligations) the amount of such Indebtedness shall not exceed such purchase price or cost of such activities.</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Equity Interests</w:t>
      </w:r>
      <w:r>
        <w:rPr>
          <w:rFonts w:ascii="Times New Roman" w:cs="Times New Roman" w:eastAsia="Times New Roman" w:hAnsi="Times New Roman"/>
          <w:sz w:val="22"/>
          <w:szCs w:val="22"/>
          <w:color w:val="auto"/>
        </w:rPr>
        <w:t xml:space="preserve">” of any Person means Equity Interests of such Person other than Disqualified Equity Interests;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Equity Interests shall not be deemed Qualified Equity Interests to the extent sold or owed to a Subsidiary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Qualified Equity Offering</w:t>
      </w:r>
      <w:r>
        <w:rPr>
          <w:rFonts w:ascii="Times New Roman" w:cs="Times New Roman" w:eastAsia="Times New Roman" w:hAnsi="Times New Roman"/>
          <w:sz w:val="21"/>
          <w:szCs w:val="21"/>
          <w:color w:val="auto"/>
        </w:rPr>
        <w:t>” means any public or private sale of Equity Interests (other than Disqualified Equity Interests) made for cash on a primary basis by the Parent Guarantor, or other cash equity contribution to the Parent Guarantor, other than</w:t>
      </w:r>
    </w:p>
    <w:p>
      <w:pPr>
        <w:ind w:left="320" w:hanging="312"/>
        <w:spacing w:after="0" w:line="215" w:lineRule="auto"/>
        <w:tabs>
          <w:tab w:leader="none" w:pos="3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pursuant to employee benefit plans or otherwise in compensation to officers, directors, trustees or employees or</w:t>
      </w:r>
    </w:p>
    <w:p>
      <w:pPr>
        <w:ind w:firstLine="8"/>
        <w:spacing w:after="0" w:line="225" w:lineRule="auto"/>
        <w:tabs>
          <w:tab w:leader="none" w:pos="31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offerings with respect to the Parent Guarantor’s Qualified Equity Interests (or options, warrants or rights with respect thereto) registered on Form S-4 or S-8.</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 Agencies</w:t>
      </w:r>
      <w:r>
        <w:rPr>
          <w:rFonts w:ascii="Times New Roman" w:cs="Times New Roman" w:eastAsia="Times New Roman" w:hAnsi="Times New Roman"/>
          <w:sz w:val="22"/>
          <w:szCs w:val="22"/>
          <w:color w:val="auto"/>
        </w:rPr>
        <w:t>” means Moody’s, S&amp;P and Fitch.</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 Decline</w:t>
      </w:r>
      <w:r>
        <w:rPr>
          <w:rFonts w:ascii="Times New Roman" w:cs="Times New Roman" w:eastAsia="Times New Roman" w:hAnsi="Times New Roman"/>
          <w:sz w:val="22"/>
          <w:szCs w:val="22"/>
          <w:color w:val="auto"/>
        </w:rPr>
        <w:t xml:space="preserve">” means the occurrence of a decrease in the rating of the Notes by two or more of the Rating Agencies (including gradations within the ratings categories, as well as between categories) within 60 days after the earlier of (a) the date of the first public announcement of the occurrence of a Change of Control or of the intention by the Issuer to effect a Change of Control or (b) the occurrence of a Change of Control (which 60 day period shall be extended for a Rating Agency for a period no longer than 60 days so long as the rating of the Notes is under publicly announced consideration for possible downgrade by such Rating Agency);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Rating Decline otherwise arising by virtue of a particular reduction in rating will not be deemed to have occurred in respect of a particular Change of Control (and thus will not be deemed a Change of Control Triggering Event for purposes of the definition of Change of Control Triggering Event) unless each such Rating Agency making the reduction in rating to which this definition would otherwise apply announces or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32" w:name="page33"/>
    <w:bookmarkEnd w:id="32"/>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confirms or informs the Trustee in writing at the request of the Issuer or the Trustee that the reduction was the result, in whole or in part, of any event or circumstance comprised of or arising as a result of, or in respect of, the applicable Change of Control (whether or not the applicable Change of Control has occurred at the time of the Rating Decline).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 Related Security</w:t>
      </w:r>
      <w:r>
        <w:rPr>
          <w:rFonts w:ascii="Times New Roman" w:cs="Times New Roman" w:eastAsia="Times New Roman" w:hAnsi="Times New Roman"/>
          <w:sz w:val="22"/>
          <w:szCs w:val="2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Receivables Transactions.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Repurchase Obligation</w:t>
      </w:r>
      <w:r>
        <w:rPr>
          <w:rFonts w:ascii="Times New Roman" w:cs="Times New Roman" w:eastAsia="Times New Roman" w:hAnsi="Times New Roman"/>
          <w:sz w:val="22"/>
          <w:szCs w:val="22"/>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Redomestication</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jc w:val="both"/>
        <w:ind w:firstLine="656"/>
        <w:spacing w:after="0" w:line="215"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amalgamation, merger, plan or scheme of arrangement, exchange offer, business combination, reincorporation, reorganization, consolidation or similar action of the Parent Guarantor or any Parent Company with or into any other person (as such term is used in Section 13(d) of the Exchange Act), or of any other person (as such term is used in Section 13(d) of the Exchange Act) with or into any such entity, or the sale, distribution or other disposition (other than by lease) of all or substantially all of the properties or assets of such entity and its Subsidiaries taken as a whole to any other person (as such term is used in Section 13(d) of the Exchange Act);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discontinuation, domestication, redomestication, amalgamation, merger, plan or scheme of arrangement, exchange offer, business combination, reincorporation, reorganization, conversion, consolidation or similar action with respect to the Parent Guarantor or any Parent Company pursuant to the law of the jurisdiction of its organization and of any other jurisdiction; or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of a Person that becomes, as part of the transaction or series of related transactions, the direct or indirect owner of substantially all of the voting shares of the Parent Guarantor or any Parent Company (the “</w:t>
      </w:r>
      <w:r>
        <w:rPr>
          <w:rFonts w:ascii="Times New Roman" w:cs="Times New Roman" w:eastAsia="Times New Roman" w:hAnsi="Times New Roman"/>
          <w:sz w:val="22"/>
          <w:szCs w:val="22"/>
          <w:i w:val="1"/>
          <w:iCs w:val="1"/>
          <w:color w:val="auto"/>
        </w:rPr>
        <w:t>New Parent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as a result thereof</w:t>
      </w:r>
    </w:p>
    <w:p>
      <w:pPr>
        <w:spacing w:after="0" w:line="179" w:lineRule="exact"/>
        <w:rPr>
          <w:sz w:val="20"/>
          <w:szCs w:val="20"/>
          <w:color w:val="auto"/>
        </w:rPr>
      </w:pPr>
    </w:p>
    <w:p>
      <w:pPr>
        <w:jc w:val="both"/>
        <w:ind w:firstLine="656"/>
        <w:spacing w:after="0" w:line="213" w:lineRule="auto"/>
        <w:tabs>
          <w:tab w:leader="none" w:pos="96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action specified in clause (1),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 (y) in the case of any action specified in clause (2), the entity that constituted the Parent Guarantor or such other Parent Company immediately prior thereto, or (z) in the case of any action specified in clause (3), the New Parent (in any such case described in clause (x), (y) or (z), the “</w:t>
      </w:r>
      <w:r>
        <w:rPr>
          <w:rFonts w:ascii="Times New Roman" w:cs="Times New Roman" w:eastAsia="Times New Roman" w:hAnsi="Times New Roman"/>
          <w:sz w:val="22"/>
          <w:szCs w:val="22"/>
          <w:i w:val="1"/>
          <w:iCs w:val="1"/>
          <w:color w:val="auto"/>
        </w:rPr>
        <w:t>Surviving Person</w:t>
      </w:r>
      <w:r>
        <w:rPr>
          <w:rFonts w:ascii="Times New Roman" w:cs="Times New Roman" w:eastAsia="Times New Roman" w:hAnsi="Times New Roman"/>
          <w:sz w:val="22"/>
          <w:szCs w:val="22"/>
          <w:color w:val="auto"/>
        </w:rPr>
        <w:t>”) is a corporation or other entity, validly incorporated or formed and existing in good standing (to the extent the concept of good standing is applicable) under the laws of Bermuda,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33" w:name="page34"/>
    <w:bookmarkEnd w:id="33"/>
    <w:p>
      <w:pPr>
        <w:jc w:val="both"/>
        <w:spacing w:after="0" w:line="213" w:lineRule="auto"/>
        <w:rPr>
          <w:sz w:val="20"/>
          <w:szCs w:val="20"/>
          <w:color w:val="auto"/>
        </w:rPr>
      </w:pPr>
      <w:r>
        <w:rPr>
          <w:rFonts w:ascii="Times New Roman" w:cs="Times New Roman" w:eastAsia="Times New Roman" w:hAnsi="Times New Roman"/>
          <w:sz w:val="22"/>
          <w:szCs w:val="22"/>
          <w:color w:val="auto"/>
        </w:rPr>
        <w:t>Kingdom, any member country of the European Union (as constituted on the Issue Date). the United States, any state thereof, the District of Columbia, or any territory thereof, whose voting shares of each class of capital stock or shares issued and outstanding immediately following such action, and giving effect thereto, shall be beneficially owned by substantially the same Persons, in substantially the same percentages, as was such capital stock or shares of the entity constituting the Parent guarantor or any Parent Company immediately prior thereto and, if the Surviving Person is the New Parent, the Surviving Person continues to be owned, directly or indirectly, by substantially all of the Persons who were shareholders of the Parent Guarantor or such Parent Company immediately prior to such transaction.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w:t>
      </w:r>
      <w:r>
        <w:rPr>
          <w:rFonts w:ascii="Times New Roman" w:cs="Times New Roman" w:eastAsia="Times New Roman" w:hAnsi="Times New Roman"/>
          <w:sz w:val="22"/>
          <w:szCs w:val="22"/>
          <w:color w:val="auto"/>
        </w:rPr>
        <w:t>” means to redeem, refinance, replace, defease, discharge, refund or otherwise retire for value.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 Indebtedness</w:t>
      </w:r>
      <w:r>
        <w:rPr>
          <w:rFonts w:ascii="Times New Roman" w:cs="Times New Roman" w:eastAsia="Times New Roman" w:hAnsi="Times New Roman"/>
          <w:sz w:val="22"/>
          <w:szCs w:val="22"/>
          <w:color w:val="auto"/>
        </w:rPr>
        <w:t xml:space="preserve">” means Indebtedness of the Parent Guarantor or a Restricted Subsidiary incurred in exchange for, or the proceeds of which are used to redeem, refinance, replace, defease, discharge, refund or otherwise retire for value, in whole or in part, any Indebtedness of the Parent Guarantor or any Restricted Subsidiary (the “Refinanced Indebtedness”);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w:t>
      </w:r>
    </w:p>
    <w:p>
      <w:pPr>
        <w:spacing w:after="0" w:line="152" w:lineRule="exact"/>
        <w:rPr>
          <w:sz w:val="20"/>
          <w:szCs w:val="20"/>
          <w:color w:val="auto"/>
        </w:rPr>
      </w:pPr>
    </w:p>
    <w:p>
      <w:pPr>
        <w:jc w:val="both"/>
        <w:ind w:firstLine="656"/>
        <w:spacing w:after="0" w:line="220"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in the case of Indebtedness issued at a discount) of the Refinancing Indebtedness does not exceed the principal amount of the Refinanced Indebtedness plus the amount of accrued and unpaid interest on the Refinanced Indebtedness, any premium paid to the holders of the Refinanced Indebtedness and reasonable fees and expenses incurred in connection with the incurrence of the Refinancing Indebtedness;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of the Refinancing Indebtedness does not include any Person (other than the Issuer or any Guarantor) that is not an obligor of the Refinanced Indebtedness;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Refinancing Indebtedness has a Stated Maturity either (a) no earlier than the Refinanced Indebtedness being refinanced or (b) no earlier than 91 days after the maturity date of the Notes; and</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refinanced that is scheduled to mature on or prior to the maturity date of the Notes.</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Regulated Bank</w:t>
      </w:r>
      <w:r>
        <w:rPr>
          <w:rFonts w:ascii="Times New Roman" w:cs="Times New Roman" w:eastAsia="Times New Roman" w:hAnsi="Times New Roman"/>
          <w:sz w:val="22"/>
          <w:szCs w:val="22"/>
          <w:color w:val="auto"/>
        </w:rPr>
        <w:t>” means a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S Legend</w:t>
      </w:r>
      <w:r>
        <w:rPr>
          <w:rFonts w:ascii="Times New Roman" w:cs="Times New Roman" w:eastAsia="Times New Roman" w:hAnsi="Times New Roman"/>
          <w:sz w:val="22"/>
          <w:szCs w:val="22"/>
          <w:color w:val="auto"/>
        </w:rPr>
        <w:t xml:space="preserve">” means the legend identified as such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Taxes</w:t>
      </w:r>
      <w:r>
        <w:rPr>
          <w:rFonts w:ascii="Times New Roman" w:cs="Times New Roman" w:eastAsia="Times New Roman" w:hAnsi="Times New Roman"/>
          <w:sz w:val="22"/>
          <w:szCs w:val="22"/>
          <w:color w:val="auto"/>
        </w:rPr>
        <w:t>” means, without duplication:</w:t>
      </w:r>
    </w:p>
    <w:p>
      <w:pPr>
        <w:spacing w:after="0" w:line="183" w:lineRule="exact"/>
        <w:rPr>
          <w:sz w:val="20"/>
          <w:szCs w:val="20"/>
          <w:color w:val="auto"/>
        </w:rPr>
      </w:pPr>
    </w:p>
    <w:p>
      <w:pPr>
        <w:jc w:val="both"/>
        <w:ind w:firstLine="656"/>
        <w:spacing w:after="0" w:line="220"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taxes are in fact paid) by any Successor Parent by virtue of its: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incorporated or organized or having Equity Interests issued and outstanding (but not by virtue of owning shares, stock or other Equity Interests of any corporation or other entity other than, directly or indirectly, the Parent Guarantor or any of the Parent Guarantor’s Subsidiaries);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holding company parent, directly or indirectly, of the Parent Guarantor or any of the Parent Guarantor’s Subsidiaries;</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receiving dividends from or other distributions in respect of the Equity Interests of, directly or indirectly, the Parent Guarantor or any of the Parent Guarantor’s Subsidiaries; or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having made any payment in respect to any of the items for which the Parent Guarantor or any of the Parent Guarantor’s Subsidiaries is permitted to make payments to any Successor Parent pursuant to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 which taxes in respect of an Unrestricted Subsidiary shall be permitted only to the extent that cash distributions for such taxes were made by an Unrestricted Subsidiary to the Successor Parent or any of its Restricted Subsidiaries.</w:t>
      </w:r>
    </w:p>
    <w:p>
      <w:pPr>
        <w:spacing w:after="0" w:line="15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Responsible Officer</w:t>
      </w:r>
      <w:r>
        <w:rPr>
          <w:rFonts w:ascii="Times New Roman" w:cs="Times New Roman" w:eastAsia="Times New Roman" w:hAnsi="Times New Roman"/>
          <w:sz w:val="21"/>
          <w:szCs w:val="21"/>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in each case, shall have direct responsibility for the administration of this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Notes Legend</w:t>
      </w:r>
      <w:r>
        <w:rPr>
          <w:rFonts w:ascii="Times New Roman" w:cs="Times New Roman" w:eastAsia="Times New Roman" w:hAnsi="Times New Roman"/>
          <w:sz w:val="22"/>
          <w:szCs w:val="22"/>
          <w:color w:val="auto"/>
        </w:rPr>
        <w:t xml:space="preserve">” means the legend identified as such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w:t>
      </w:r>
      <w:r>
        <w:rPr>
          <w:rFonts w:ascii="Times New Roman" w:cs="Times New Roman" w:eastAsia="Times New Roman" w:hAnsi="Times New Roman"/>
          <w:sz w:val="22"/>
          <w:szCs w:val="22"/>
          <w:color w:val="auto"/>
        </w:rPr>
        <w:t>” means any of the following:</w:t>
      </w:r>
    </w:p>
    <w:p>
      <w:pPr>
        <w:spacing w:after="0" w:line="183" w:lineRule="exact"/>
        <w:rPr>
          <w:sz w:val="20"/>
          <w:szCs w:val="20"/>
          <w:color w:val="auto"/>
        </w:rPr>
      </w:pPr>
    </w:p>
    <w:p>
      <w:pPr>
        <w:jc w:val="both"/>
        <w:ind w:firstLine="656"/>
        <w:spacing w:after="0" w:line="215"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amalgamation, merger or consolidation involving the Parent Guarantor or any of its Restricted Subsidiaries but excluding (a) dividends or distributions payable solely in Qualified Equity Interests or through accretion or accumulation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1" w:right="339" w:bottom="1440" w:gutter="0" w:footer="0" w:header="0"/>
        </w:sectPr>
      </w:pPr>
    </w:p>
    <w:bookmarkStart w:id="35" w:name="page36"/>
    <w:bookmarkEnd w:id="35"/>
    <w:p>
      <w:pPr>
        <w:jc w:val="both"/>
        <w:spacing w:after="0" w:line="220" w:lineRule="auto"/>
        <w:rPr>
          <w:sz w:val="20"/>
          <w:szCs w:val="20"/>
          <w:color w:val="auto"/>
        </w:rPr>
      </w:pPr>
      <w:r>
        <w:rPr>
          <w:rFonts w:ascii="Times New Roman" w:cs="Times New Roman" w:eastAsia="Times New Roman" w:hAnsi="Times New Roman"/>
          <w:sz w:val="22"/>
          <w:szCs w:val="22"/>
          <w:color w:val="auto"/>
        </w:rPr>
        <w:t>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 or a basis more favorable to the Parent Guarantor and other Restricted Subsidiaries);</w:t>
      </w:r>
    </w:p>
    <w:p>
      <w:pPr>
        <w:spacing w:after="0" w:line="152" w:lineRule="exact"/>
        <w:rPr>
          <w:sz w:val="20"/>
          <w:szCs w:val="20"/>
          <w:color w:val="auto"/>
        </w:rPr>
      </w:pPr>
    </w:p>
    <w:p>
      <w:pPr>
        <w:jc w:val="both"/>
        <w:ind w:firstLine="656"/>
        <w:spacing w:after="0" w:line="220"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redemption, defeasance or other acquisition or retirement for value of any Equity Interests of the Parent Guarantor or any direct or indirect parent of the Parent Guarantor held by Persons other than the Parent Guarantor or a Restricted Subsidiary (including, without limitation, any payment in connection with any amalgamation, merger or consolidation involving the Parent Guarantor);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other than a Permitted Investment; or</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w:t>
      </w:r>
      <w:r>
        <w:rPr>
          <w:rFonts w:ascii="Times New Roman" w:cs="Times New Roman" w:eastAsia="Times New Roman" w:hAnsi="Times New Roman"/>
          <w:sz w:val="22"/>
          <w:szCs w:val="22"/>
          <w:u w:val="single" w:color="auto"/>
          <w:color w:val="auto"/>
        </w:rPr>
        <w:t>Section 4.9(b)(6)</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Payments Builder Basket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the 40-day distribution compliance period as defined in Regulation S promulgated under the Securities Act.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Subsidiary</w:t>
      </w:r>
      <w:r>
        <w:rPr>
          <w:rFonts w:ascii="Times New Roman" w:cs="Times New Roman" w:eastAsia="Times New Roman" w:hAnsi="Times New Roman"/>
          <w:sz w:val="22"/>
          <w:szCs w:val="22"/>
          <w:color w:val="auto"/>
        </w:rPr>
        <w:t>” means any Subsidiary (including any Issuer) other than an Unrestricted Subsidiary.</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Credit Facility</w:t>
      </w:r>
      <w:r>
        <w:rPr>
          <w:rFonts w:ascii="Times New Roman" w:cs="Times New Roman" w:eastAsia="Times New Roman" w:hAnsi="Times New Roman"/>
          <w:sz w:val="22"/>
          <w:szCs w:val="22"/>
          <w:color w:val="auto"/>
        </w:rPr>
        <w:t>” means the Amended and Restated Credit Agreement dated as of October 17, 2022 by and among the Issuer, Weatherford Canada Ltd., Weatherford International, LLC, WOFS International Finance GmbH, Weatherford Ireland (as parent), the other subsidiary guarantors party thereto, the lenders party thereto, Wells Fargo Bank, National Association, as administrative agent, and certain other lenders and parties thereto, as may be amended.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means S&amp;P Global Ratings or any successor to its rating agency business.</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Screened Affiliate</w:t>
      </w:r>
      <w:r>
        <w:rPr>
          <w:rFonts w:ascii="Times New Roman" w:cs="Times New Roman" w:eastAsia="Times New Roman" w:hAnsi="Times New Roman"/>
          <w:sz w:val="21"/>
          <w:szCs w:val="21"/>
          <w:color w:val="auto"/>
        </w:rPr>
        <w:t>” means any Affiliate of a Holder of Notes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Issuer, its Subsidiaries or any Parent Company,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36" w:name="page37"/>
    <w:bookmarkEnd w:id="36"/>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Short Derivative Instrument</w:t>
      </w:r>
      <w:r>
        <w:rPr>
          <w:rFonts w:ascii="Times New Roman" w:cs="Times New Roman" w:eastAsia="Times New Roman" w:hAnsi="Times New Roman"/>
          <w:sz w:val="22"/>
          <w:szCs w:val="22"/>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Significant Subsidiary</w:t>
      </w:r>
      <w:r>
        <w:rPr>
          <w:rFonts w:ascii="Times New Roman" w:cs="Times New Roman" w:eastAsia="Times New Roman" w:hAnsi="Times New Roman"/>
          <w:sz w:val="22"/>
          <w:szCs w:val="22"/>
          <w:color w:val="auto"/>
        </w:rPr>
        <w:t>” means any Restricted Subsidiary that would be a “significant subsidiary” as defined in Rule 1-02 of Regulation S-X promulgated pursuant to the Securities Act as such Regulation was in effect on the Issue Date.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Cash Management Agreements</w:t>
      </w:r>
      <w:r>
        <w:rPr>
          <w:rFonts w:ascii="Times New Roman" w:cs="Times New Roman" w:eastAsia="Times New Roman" w:hAnsi="Times New Roman"/>
          <w:sz w:val="22"/>
          <w:szCs w:val="22"/>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provider thereof.</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Securitization Undertakings</w:t>
      </w:r>
      <w:r>
        <w:rPr>
          <w:rFonts w:ascii="Times New Roman" w:cs="Times New Roman" w:eastAsia="Times New Roman" w:hAnsi="Times New Roman"/>
          <w:sz w:val="22"/>
          <w:szCs w:val="22"/>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w:t>
      </w:r>
      <w:r>
        <w:rPr>
          <w:rFonts w:ascii="Times New Roman" w:cs="Times New Roman" w:eastAsia="Times New Roman" w:hAnsi="Times New Roman"/>
          <w:sz w:val="22"/>
          <w:szCs w:val="22"/>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Subordinated Indebtedness</w:t>
      </w:r>
      <w:r>
        <w:rPr>
          <w:rFonts w:ascii="Times New Roman" w:cs="Times New Roman" w:eastAsia="Times New Roman" w:hAnsi="Times New Roman"/>
          <w:sz w:val="22"/>
          <w:szCs w:val="22"/>
          <w:color w:val="auto"/>
        </w:rPr>
        <w:t>” means Indebtedness of the Issuer or any Guarantor that is expressly subordinated in right of payment to the Notes or the Guarantees, respectively.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with respect to any Person:</w:t>
      </w:r>
    </w:p>
    <w:p>
      <w:pPr>
        <w:spacing w:after="0" w:line="183" w:lineRule="exact"/>
        <w:rPr>
          <w:sz w:val="20"/>
          <w:szCs w:val="20"/>
          <w:color w:val="auto"/>
        </w:rPr>
      </w:pPr>
    </w:p>
    <w:p>
      <w:pPr>
        <w:jc w:val="both"/>
        <w:ind w:firstLine="656"/>
        <w:spacing w:after="0" w:line="220"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company, exempted company, limited liability company, association, trust or other business entity of which more than 50.0% of the total voting power of the Equity Interests entitled (without regard to the occurrence of any contingency) to vote in the election of the Board of Directors thereof is at the time owned or controlled, directly or indirectly, by such Person or one or more of the other Subsidiaries of such Person (or a combination thereof);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this Indenture.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 Guarantor</w:t>
      </w:r>
      <w:r>
        <w:rPr>
          <w:rFonts w:ascii="Times New Roman" w:cs="Times New Roman" w:eastAsia="Times New Roman" w:hAnsi="Times New Roman"/>
          <w:sz w:val="22"/>
          <w:szCs w:val="22"/>
          <w:color w:val="auto"/>
        </w:rPr>
        <w:t>” means any Guarantor that is a Restricted Subsidiary of the Parent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1" w:right="339" w:bottom="1440" w:gutter="0" w:footer="0" w:header="0"/>
        </w:sectPr>
      </w:pPr>
    </w:p>
    <w:bookmarkStart w:id="37" w:name="page38"/>
    <w:bookmarkEnd w:id="37"/>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Successor Parent</w:t>
      </w:r>
      <w:r>
        <w:rPr>
          <w:rFonts w:ascii="Times New Roman" w:cs="Times New Roman" w:eastAsia="Times New Roman" w:hAnsi="Times New Roman"/>
          <w:sz w:val="22"/>
          <w:szCs w:val="22"/>
          <w:color w:val="auto"/>
        </w:rPr>
        <w:t>” means any Person which legally and beneficially owns more than 50% of the Voting Stock and/or Equity Interests of the Parent Guarantor or any Restricted Subsidiary, either directly or through one or more Subsidiaries.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Trust Indenture Act</w:t>
      </w:r>
      <w:r>
        <w:rPr>
          <w:rFonts w:ascii="Times New Roman" w:cs="Times New Roman" w:eastAsia="Times New Roman" w:hAnsi="Times New Roman"/>
          <w:sz w:val="22"/>
          <w:szCs w:val="22"/>
          <w:color w:val="auto"/>
        </w:rPr>
        <w:t>” means the Trust Indenture Act of 1939 (15 U.S. Code §§ 77aaa-77bbbb), as amended.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Date</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i w:val="1"/>
          <w:iCs w:val="1"/>
          <w:color w:val="auto"/>
        </w:rPr>
        <w:t>Consolidated Interest Coverage Ratio</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has the meaning set forth in the Offering Memorandum.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Restricted Notes</w:t>
      </w:r>
      <w:r>
        <w:rPr>
          <w:rFonts w:ascii="Times New Roman" w:cs="Times New Roman" w:eastAsia="Times New Roman" w:hAnsi="Times New Roman"/>
          <w:sz w:val="22"/>
          <w:szCs w:val="22"/>
          <w:color w:val="auto"/>
        </w:rPr>
        <w:t>” means Notes that bear or are required to bear the Restricted Notes Legend.</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Treasury Rate</w:t>
      </w:r>
      <w:r>
        <w:rPr>
          <w:rFonts w:ascii="Times New Roman" w:cs="Times New Roman" w:eastAsia="Times New Roman" w:hAnsi="Times New Roman"/>
          <w:sz w:val="22"/>
          <w:szCs w:val="22"/>
          <w:color w:val="auto"/>
        </w:rPr>
        <w:t xml:space="preserve">” means, as of any redemption date, the yield to maturity at the time of computation of United States Treasury securities with a constant maturity (as compiled and published in the most recent Federal Reserve Statistical Release H.15 which has become publicly available at least two Business Days prior to the redemption date (or, if such Statistical Release is no longer published, any publicly available source or similar market data)) most nearly equal to the period from the redemption date to October 15, 2028;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period from the redemption date to October 15, 2028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October 15, 2028 is less than one year, the weekly average yield on actually traded United States Treasury securities adjusted to a constant maturity of one year shall be used.</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Uniform Commercial Code</w:t>
      </w:r>
      <w:r>
        <w:rPr>
          <w:rFonts w:ascii="Times New Roman" w:cs="Times New Roman" w:eastAsia="Times New Roman" w:hAnsi="Times New Roman"/>
          <w:sz w:val="22"/>
          <w:szCs w:val="22"/>
          <w:color w:val="auto"/>
        </w:rPr>
        <w:t>” means the Uniform Commercial Code or any successor provision thereof as the same may from time to time be in effect in the State of New York.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means the United States of America.</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xml:space="preserve">” means (1) any Subsidiary that at the time of determination shall be designated an Unrestricted Subsidiary by the Board of Directors of the Parent Guarantor in accordance with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xml:space="preserve"> and (2) any Subsidiary of an Unrestricted Subsidiary.</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Obligations</w:t>
      </w:r>
      <w:r>
        <w:rPr>
          <w:rFonts w:ascii="Times New Roman" w:cs="Times New Roman" w:eastAsia="Times New Roman" w:hAnsi="Times New Roman"/>
          <w:sz w:val="22"/>
          <w:szCs w:val="22"/>
          <w:color w:val="auto"/>
        </w:rPr>
        <w:t>” means direct non-callable obligations of, or guaranteed by, the United States for the payment of which guarantee or obligations the full faith and credit of the United States is pledged.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with respect to any Person, means securities of any class of Equity Interests of such Person entitling the holders thereof (whether at all times or only so long as no senior class of shares or stock or other relevant equity interest has voting power by reason of any contingency) to vote in the election of members of the Board of Directors of such Person.</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Weighted Average Life to Maturity</w:t>
      </w:r>
      <w:r>
        <w:rPr>
          <w:rFonts w:ascii="Times New Roman" w:cs="Times New Roman" w:eastAsia="Times New Roman" w:hAnsi="Times New Roman"/>
          <w:sz w:val="22"/>
          <w:szCs w:val="22"/>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and the making of such payment by (2) the then outstanding principal amount of such Indebtedness.</w:t>
      </w:r>
    </w:p>
    <w:p>
      <w:pPr>
        <w:spacing w:after="0" w:line="17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Wholly-Owned Subsidiary</w:t>
      </w:r>
      <w:r>
        <w:rPr>
          <w:rFonts w:ascii="Times New Roman" w:cs="Times New Roman" w:eastAsia="Times New Roman" w:hAnsi="Times New Roman"/>
          <w:sz w:val="22"/>
          <w:szCs w:val="22"/>
          <w:color w:val="auto"/>
        </w:rPr>
        <w:t>” means a Restricted Subsidiary, all of the Equity Interests of which (other than directors’ qualifying shares) are owned by the Parent Guarantor or another Wholly-Owned Subsidiary.</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Other Definitions</w:t>
      </w:r>
      <w:r>
        <w:rPr>
          <w:rFonts w:ascii="Times New Roman" w:cs="Times New Roman" w:eastAsia="Times New Roman" w:hAnsi="Times New Roman"/>
          <w:sz w:val="21"/>
          <w:szCs w:val="21"/>
          <w:color w:val="auto"/>
        </w:rPr>
        <w: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b w:val="1"/>
                <w:bCs w:val="1"/>
                <w:color w:val="auto"/>
                <w:w w:val="96"/>
              </w:rPr>
              <w:t>Defined in Section</w:t>
            </w:r>
          </w:p>
        </w:tc>
      </w:tr>
      <w:tr>
        <w:trPr>
          <w:trHeight w:val="20"/>
        </w:trPr>
        <w:tc>
          <w:tcPr>
            <w:tcW w:w="5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343"/>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“acceleration declaration”</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6.2</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“Act”</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11.13</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“Affiliate Transaction”</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4.11</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“Alternate Offer”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4.13(f)</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“Applicable Premium Deficit”</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8.8(b)</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“Argentine Guarantor”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10.16</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“Auditor’s Determination”</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10.13(f)</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“Brazilian Guarantor”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10.17</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“Change of Control Offer”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4.13(b)</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“Change of Control Payment Date”</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4.13(b)</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“Change of Control Purchase Price”</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4.13(a)</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“Corresponding Debt”</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10.11</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“Covenant Defeasance”</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8.3</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“Delayed Joinder Guarantor”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10.18</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“Directing Holder”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6.12(a)</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“EDGAR”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4.3(c)</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“Enforcement Notice”</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10.13(e)</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“Event of Default”</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6.1</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“Excess Proceeds”</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4.10(b)</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“Freely Disposable Amount”</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10.10</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“German Guarantor”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10.13(a)(3)</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“Guaranteed Obligor”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10.13(b)</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“Initial Lien”</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4.12(a)</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“Initial Notes”</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“LCT Election”</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1.4(c)</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“LCT Test Date”</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1.4(c)</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“Legal Defeasance”</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8.2</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“Lux Subordinated Debt”</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10.7</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“Luxembourg Guarantor”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10.7</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“Management Determination”</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10.13(e)</w:t>
            </w:r>
          </w:p>
        </w:tc>
      </w:tr>
      <w:tr>
        <w:trPr>
          <w:trHeight w:val="311"/>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“Mexican Guarantor”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10.15</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Assets”</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10.13(a)(6)</w:t>
            </w: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Proceeds Offer”</w:t>
            </w:r>
          </w:p>
        </w:tc>
        <w:tc>
          <w:tcPr>
            <w:tcW w:w="3560" w:type="dxa"/>
            <w:vAlign w:val="bottom"/>
            <w:gridSpan w:val="2"/>
          </w:tcPr>
          <w:p>
            <w:pPr>
              <w:ind w:left="1880"/>
              <w:spacing w:after="0"/>
              <w:rPr>
                <w:sz w:val="20"/>
                <w:szCs w:val="20"/>
                <w:color w:val="auto"/>
              </w:rPr>
            </w:pPr>
            <w:r>
              <w:rPr>
                <w:rFonts w:ascii="Times New Roman" w:cs="Times New Roman" w:eastAsia="Times New Roman" w:hAnsi="Times New Roman"/>
                <w:sz w:val="22"/>
                <w:szCs w:val="22"/>
                <w:color w:val="auto"/>
              </w:rPr>
              <w:t>4.10(c)</w:t>
            </w:r>
          </w:p>
        </w:tc>
      </w:tr>
    </w:tbl>
    <w:p>
      <w:pPr>
        <w:spacing w:after="0" w:line="200" w:lineRule="exact"/>
        <w:rPr>
          <w:sz w:val="20"/>
          <w:szCs w:val="20"/>
          <w:color w:val="auto"/>
        </w:rPr>
      </w:pPr>
    </w:p>
    <w:p>
      <w:pPr>
        <w:sectPr>
          <w:pgSz w:w="11900" w:h="16838" w:orient="portrait"/>
          <w:cols w:equalWidth="0" w:num="1">
            <w:col w:w="11220"/>
          </w:cols>
          <w:pgMar w:left="320" w:top="13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20"/>
          </w:cols>
          <w:pgMar w:left="320" w:top="1395" w:right="359" w:bottom="1440" w:gutter="0" w:footer="0" w:header="0"/>
          <w:type w:val="continuous"/>
        </w:sectPr>
      </w:pPr>
    </w:p>
    <w:bookmarkStart w:id="39" w:name="page40"/>
    <w:bookmarkEnd w:id="3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b w:val="1"/>
                <w:bCs w:val="1"/>
                <w:color w:val="auto"/>
                <w:w w:val="96"/>
              </w:rPr>
              <w:t>Defined in Section</w:t>
            </w:r>
          </w:p>
        </w:tc>
      </w:tr>
      <w:tr>
        <w:trPr>
          <w:trHeight w:val="20"/>
        </w:trPr>
        <w:tc>
          <w:tcPr>
            <w:tcW w:w="5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343"/>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Proceeds Offer Amount”</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4.10(d)</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Proceeds Offer Period”</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4.10(d)</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Proceeds Purchase Date”</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4.10(d)</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“Norwegian Companies Act”</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10.8</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“Norwegian Limitations”</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10.8</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“Noteholder Direction”</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6.12(a)</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“Own Funds”</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10.7</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“Parallel Debt”</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10.11</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“Position Representation”</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6.12(a)</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“Process Agent”</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11.07</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“Qualified Reporting Subsidiary”</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4.3(b)</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“QIBs”</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2.1(b)</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“Redesignation”</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4.16(c)</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“Registrar”</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2.3</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“Regulation S”</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2.1(b)</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“Regulation S Global Note”</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2.1(b)</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“Restricted Obligations”</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10.10</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“Rule 144A”</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2.1(b)</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“Rule 144A Global Note”</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2.1(b)</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“Successor”</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5.1(a)</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“Swiss Guarantor”</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10.10</w:t>
            </w:r>
          </w:p>
        </w:tc>
      </w:tr>
      <w:tr>
        <w:trPr>
          <w:trHeight w:val="311"/>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Redemption”</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3.8</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Redemption Date”</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3.8</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Redemption Price”</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3.8</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“Trustee”</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“Verification Covenant”</w:t>
            </w:r>
          </w:p>
        </w:tc>
        <w:tc>
          <w:tcPr>
            <w:tcW w:w="368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6.12(a)</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Unless the context otherwise requires:</w:t>
      </w:r>
    </w:p>
    <w:p>
      <w:pPr>
        <w:spacing w:after="0" w:line="179" w:lineRule="exact"/>
        <w:rPr>
          <w:sz w:val="20"/>
          <w:szCs w:val="20"/>
          <w:color w:val="auto"/>
        </w:rPr>
      </w:pPr>
    </w:p>
    <w:p>
      <w:pPr>
        <w:ind w:left="1180" w:hanging="644"/>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herein;</w:t>
      </w:r>
    </w:p>
    <w:p>
      <w:pPr>
        <w:spacing w:after="0" w:line="179" w:lineRule="exact"/>
        <w:rPr>
          <w:rFonts w:ascii="Times New Roman" w:cs="Times New Roman" w:eastAsia="Times New Roman" w:hAnsi="Times New Roman"/>
          <w:sz w:val="22"/>
          <w:szCs w:val="22"/>
          <w:color w:val="auto"/>
        </w:rPr>
      </w:pPr>
    </w:p>
    <w:p>
      <w:pPr>
        <w:ind w:left="1180" w:hanging="644"/>
        <w:spacing w:after="0"/>
        <w:tabs>
          <w:tab w:leader="none" w:pos="11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accounting term not otherwise defined herein has the meaning assigned to it in accordance with GAAP;</w:t>
      </w:r>
    </w:p>
    <w:p>
      <w:pPr>
        <w:spacing w:after="0" w:line="190" w:lineRule="exact"/>
        <w:rPr>
          <w:rFonts w:ascii="Times New Roman" w:cs="Times New Roman" w:eastAsia="Times New Roman" w:hAnsi="Times New Roman"/>
          <w:sz w:val="21"/>
          <w:szCs w:val="21"/>
          <w:color w:val="auto"/>
        </w:rPr>
      </w:pPr>
    </w:p>
    <w:p>
      <w:pPr>
        <w:ind w:left="1180" w:hanging="644"/>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179" w:lineRule="exact"/>
        <w:rPr>
          <w:rFonts w:ascii="Times New Roman" w:cs="Times New Roman" w:eastAsia="Times New Roman" w:hAnsi="Times New Roman"/>
          <w:sz w:val="22"/>
          <w:szCs w:val="22"/>
          <w:color w:val="auto"/>
        </w:rPr>
      </w:pPr>
    </w:p>
    <w:p>
      <w:pPr>
        <w:ind w:left="1180" w:hanging="644"/>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is not limiting;</w:t>
      </w:r>
    </w:p>
    <w:p>
      <w:pPr>
        <w:spacing w:after="0" w:line="179" w:lineRule="exact"/>
        <w:rPr>
          <w:rFonts w:ascii="Times New Roman" w:cs="Times New Roman" w:eastAsia="Times New Roman" w:hAnsi="Times New Roman"/>
          <w:sz w:val="22"/>
          <w:szCs w:val="22"/>
          <w:color w:val="auto"/>
        </w:rPr>
      </w:pPr>
    </w:p>
    <w:p>
      <w:pPr>
        <w:ind w:left="1180" w:hanging="644"/>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w:t>
      </w:r>
    </w:p>
    <w:p>
      <w:pPr>
        <w:spacing w:after="0" w:line="179" w:lineRule="exact"/>
        <w:rPr>
          <w:rFonts w:ascii="Times New Roman" w:cs="Times New Roman" w:eastAsia="Times New Roman" w:hAnsi="Times New Roman"/>
          <w:sz w:val="22"/>
          <w:szCs w:val="22"/>
          <w:color w:val="auto"/>
        </w:rPr>
      </w:pPr>
    </w:p>
    <w:p>
      <w:pPr>
        <w:ind w:left="1180" w:hanging="644"/>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shall be interpreted to express a command;</w:t>
      </w:r>
    </w:p>
    <w:p>
      <w:pPr>
        <w:sectPr>
          <w:pgSz w:w="11900" w:h="16838" w:orient="portrait"/>
          <w:cols w:equalWidth="0" w:num="1">
            <w:col w:w="10400"/>
          </w:cols>
          <w:pgMar w:left="44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400"/>
          </w:cols>
          <w:pgMar w:left="440" w:top="1440" w:right="1059" w:bottom="1440" w:gutter="0" w:footer="0" w:header="0"/>
          <w:type w:val="continuous"/>
        </w:sectPr>
      </w:pPr>
    </w:p>
    <w:bookmarkStart w:id="40" w:name="page41"/>
    <w:bookmarkEnd w:id="40"/>
    <w:p>
      <w:pPr>
        <w:ind w:left="-8" w:firstLine="656"/>
        <w:spacing w:after="0" w:line="236" w:lineRule="auto"/>
        <w:tabs>
          <w:tab w:leader="none" w:pos="128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any reference to Section, Article or Exhibit refers to such Section, Article or Exhibit, as the case may be, of this Indenture;</w:t>
      </w:r>
    </w:p>
    <w:p>
      <w:pPr>
        <w:spacing w:after="0" w:line="150"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apply to successive events and transactions; and</w:t>
      </w:r>
    </w:p>
    <w:p>
      <w:pPr>
        <w:spacing w:after="0" w:line="179" w:lineRule="exact"/>
        <w:rPr>
          <w:rFonts w:ascii="Times New Roman" w:cs="Times New Roman" w:eastAsia="Times New Roman" w:hAnsi="Times New Roman"/>
          <w:sz w:val="22"/>
          <w:szCs w:val="22"/>
          <w:color w:val="auto"/>
        </w:rPr>
      </w:pPr>
    </w:p>
    <w:p>
      <w:pPr>
        <w:ind w:left="-8" w:firstLine="656"/>
        <w:spacing w:after="0" w:line="236" w:lineRule="auto"/>
        <w:tabs>
          <w:tab w:leader="none" w:pos="127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sections of or rules under the Securities Act or the Exchange Act shall be deemed to include substitute, replacement or successor sections of rules adopted by the SEC from time to time.</w:t>
      </w:r>
    </w:p>
    <w:p>
      <w:pPr>
        <w:spacing w:after="0" w:line="150" w:lineRule="exact"/>
        <w:rPr>
          <w:sz w:val="20"/>
          <w:szCs w:val="20"/>
          <w:color w:val="auto"/>
        </w:rPr>
      </w:pPr>
    </w:p>
    <w:p>
      <w:pPr>
        <w:ind w:left="652"/>
        <w:spacing w:after="0"/>
        <w:tabs>
          <w:tab w:leader="none" w:pos="1932"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Limited Condition Transaction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8" w:right="20" w:firstLine="656"/>
        <w:spacing w:after="0" w:line="226" w:lineRule="auto"/>
        <w:tabs>
          <w:tab w:leader="none" w:pos="128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Indenture, when (a) determining compliance with any provision of this Indenture which requires the calculation of the Consolidated Interest Coverage Ratio or the Consolidated Total Debt Ratio,</w:t>
      </w:r>
    </w:p>
    <w:p>
      <w:pPr>
        <w:spacing w:after="0" w:line="1" w:lineRule="exact"/>
        <w:rPr>
          <w:rFonts w:ascii="Times New Roman" w:cs="Times New Roman" w:eastAsia="Times New Roman" w:hAnsi="Times New Roman"/>
          <w:sz w:val="21"/>
          <w:szCs w:val="21"/>
          <w:color w:val="auto"/>
        </w:rPr>
      </w:pPr>
    </w:p>
    <w:p>
      <w:pPr>
        <w:jc w:val="both"/>
        <w:ind w:left="-8" w:firstLine="8"/>
        <w:spacing w:after="0" w:line="209" w:lineRule="auto"/>
        <w:tabs>
          <w:tab w:leader="none" w:pos="3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compliance with any provision of this Indenture which requires that no Default or Event of Default has occurred, is continuing or would result therefrom or (c) testing availability under baskets set forth in this Indenture (including baskets measured as a percentage of Consolidated Total Assets),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availability under any baskets shall, at the option of the Issuer (the Issuer’s election to exercise such option in connection with any Limited Condition Transaction, an “</w:t>
      </w:r>
      <w:r>
        <w:rPr>
          <w:rFonts w:ascii="Times New Roman" w:cs="Times New Roman" w:eastAsia="Times New Roman" w:hAnsi="Times New Roman"/>
          <w:sz w:val="22"/>
          <w:szCs w:val="22"/>
          <w:i w:val="1"/>
          <w:iCs w:val="1"/>
          <w:color w:val="auto"/>
        </w:rPr>
        <w:t>LCT Election</w:t>
      </w:r>
      <w:r>
        <w:rPr>
          <w:rFonts w:ascii="Times New Roman" w:cs="Times New Roman" w:eastAsia="Times New Roman" w:hAnsi="Times New Roman"/>
          <w:sz w:val="22"/>
          <w:szCs w:val="22"/>
          <w:color w:val="auto"/>
        </w:rPr>
        <w:t>,” which LCT Election may be in respect of one or more of clauses (a), (b) and (c) above), be deemed to be the date the definitive agreements (or other relevant definitive documentation) for such Limited Condition Transaction are entered into (the “</w:t>
      </w:r>
      <w:r>
        <w:rPr>
          <w:rFonts w:ascii="Times New Roman" w:cs="Times New Roman" w:eastAsia="Times New Roman" w:hAnsi="Times New Roman"/>
          <w:sz w:val="22"/>
          <w:szCs w:val="22"/>
          <w:i w:val="1"/>
          <w:iCs w:val="1"/>
          <w:color w:val="auto"/>
        </w:rPr>
        <w:t>LCT Test Date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left="-8" w:firstLine="656"/>
        <w:spacing w:after="0" w:line="213" w:lineRule="auto"/>
        <w:tabs>
          <w:tab w:leader="none" w:pos="128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 pro forma basis after giving effect to such Limited Condition Transaction and the other transactions to be entered into in connection therewith (including any incurrence or issuance of Indebtedness, Disqualified Equity Interests or Preferred Stock and the use of proceeds thereof), with such ratios and other provisions calculated as if such Limited Condition Transaction or other transactions had occurred at the beginning of the most recently ended period prior to the LCT Test Date for which annual or quarterly consolidated financial statements of the Issuer are available (as determined in good faith by the Issuer), the Issuer could have taken such action on the relevant LCT Test Date in compliance with the applicable ratios or other provisions, such provisions shall be deemed to have been complied with.</w:t>
      </w:r>
    </w:p>
    <w:p>
      <w:pPr>
        <w:spacing w:after="0" w:line="156" w:lineRule="exact"/>
        <w:rPr>
          <w:rFonts w:ascii="Times New Roman" w:cs="Times New Roman" w:eastAsia="Times New Roman" w:hAnsi="Times New Roman"/>
          <w:sz w:val="22"/>
          <w:szCs w:val="22"/>
          <w:color w:val="auto"/>
        </w:rPr>
      </w:pPr>
    </w:p>
    <w:p>
      <w:pPr>
        <w:jc w:val="both"/>
        <w:ind w:left="-8" w:firstLine="656"/>
        <w:spacing w:after="0" w:line="209" w:lineRule="auto"/>
        <w:tabs>
          <w:tab w:leader="none" w:pos="128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 if, following the LCT Test Date, any of such ratios or other provisions are exceeded or breached as a result of fluctuations in such ratio (including due to fluctuations any components of such ratio (including due to fluctuations of the target of any Limited Condition Transaction)) or other provisions at or prior to the consummation of the relevant Limited Condition Transaction, such ratios and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If the Issuer has made an LCT Election for any Limited Condition Transaction, then in connection with any subsequent calculation of any ratio, basket availability or compliance with any other provision hereunder on or following the relevant LCT Test Date and prior to the earliest of the date on which such Limited Condition Transaction is consummated, the date that the definitive agreement for such Limited Condition Transaction is terminated or expires without consummation of such Limited Condition Transaction, any such ratio, basket or compliance with any other provision hereunder shall be calculated on a pro forma basis assuming such Limited Condition Transaction and other transactions in connection therewith (including any incurrence or issuance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32"/>
          </w:cols>
          <w:pgMar w:left="328" w:top="1395" w:right="339" w:bottom="1440" w:gutter="0" w:footer="0" w:header="0"/>
        </w:sectPr>
      </w:pPr>
    </w:p>
    <w:bookmarkStart w:id="41" w:name="page42"/>
    <w:bookmarkEnd w:id="41"/>
    <w:p>
      <w:pPr>
        <w:spacing w:after="0" w:line="236" w:lineRule="auto"/>
        <w:rPr>
          <w:sz w:val="20"/>
          <w:szCs w:val="20"/>
          <w:color w:val="auto"/>
        </w:rPr>
      </w:pPr>
      <w:r>
        <w:rPr>
          <w:rFonts w:ascii="Times New Roman" w:cs="Times New Roman" w:eastAsia="Times New Roman" w:hAnsi="Times New Roman"/>
          <w:sz w:val="22"/>
          <w:szCs w:val="22"/>
          <w:color w:val="auto"/>
        </w:rPr>
        <w:t>Disqualified Equity Interests or preferred stock or shares, and the use of proceeds thereof) had been consummated on the LCT Test Date.</w:t>
      </w:r>
    </w:p>
    <w:p>
      <w:pPr>
        <w:spacing w:after="0" w:line="150" w:lineRule="exact"/>
        <w:rPr>
          <w:sz w:val="20"/>
          <w:szCs w:val="20"/>
          <w:color w:val="auto"/>
        </w:rPr>
      </w:pPr>
    </w:p>
    <w:p>
      <w:pPr>
        <w:jc w:val="both"/>
        <w:ind w:firstLine="656"/>
        <w:spacing w:after="0" w:line="225" w:lineRule="auto"/>
        <w:tabs>
          <w:tab w:leader="none" w:pos="129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Issuer may at any time withdraw any LCT Election, in which case any Indebtedness and Liens incurred in reliance on such LCT Election in accordance with the foregoing outstanding at such time, if any, shall be deemed to be incurred on the date of such withdrawal.</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ind w:left="5000"/>
        <w:spacing w:after="0"/>
        <w:rPr>
          <w:sz w:val="20"/>
          <w:szCs w:val="20"/>
          <w:color w:val="auto"/>
        </w:rPr>
      </w:pPr>
      <w:r>
        <w:rPr>
          <w:rFonts w:ascii="Times New Roman" w:cs="Times New Roman" w:eastAsia="Times New Roman" w:hAnsi="Times New Roman"/>
          <w:sz w:val="22"/>
          <w:szCs w:val="22"/>
          <w:b w:val="1"/>
          <w:bCs w:val="1"/>
          <w:color w:val="auto"/>
        </w:rPr>
        <w:t>THE NOTES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Form and Dating</w:t>
      </w:r>
      <w:r>
        <w:rPr>
          <w:rFonts w:ascii="Times New Roman" w:cs="Times New Roman" w:eastAsia="Times New Roman" w:hAnsi="Times New Roman"/>
          <w:sz w:val="22"/>
          <w:szCs w:val="22"/>
          <w:color w:val="auto"/>
        </w:rPr>
        <w:t>. The Notes shall be substantially in the form of Exhibit A attached hereto. The Notes may have notations, legends or endorsements required by law, stock exchange rule or usage. Each Note shall be dated the date of its authentication. The Notes will be issued in registered form, without coupons, and in minimum denominations of $2,000 and integral multiples of $1,000 in excess thereof. The registered Holder will be treated as the owner of such Note for all purposes.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2" w:lineRule="exact"/>
        <w:rPr>
          <w:sz w:val="20"/>
          <w:szCs w:val="20"/>
          <w:color w:val="auto"/>
        </w:rPr>
      </w:pPr>
    </w:p>
    <w:p>
      <w:pPr>
        <w:jc w:val="both"/>
        <w:ind w:firstLine="656"/>
        <w:spacing w:after="0" w:line="225" w:lineRule="auto"/>
        <w:tabs>
          <w:tab w:leader="none" w:pos="12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issued initially in the form of one or more Global Notes, which shall be deposited on behalf of the purchasers of the Notes represented thereby with the Note Custodian, and registered in the name of the Depositary or a nominee of the Depositary, duly executed by the Issuer and authenticated by the Trustee as hereinafter provided.</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Each Global Note shall represent such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redemptions and transfers of interests. Any endorsement of a Global Note to reflect the amount of any increase or decrease in the amount of outstanding Notes represented thereby shall be made by the Trustee or the Note Custodian, at the direction of the Trustee, in accordance with instructions given by the Holder thereof as required by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56"/>
        <w:spacing w:after="0" w:line="220" w:lineRule="auto"/>
        <w:tabs>
          <w:tab w:leader="none" w:pos="129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Initial Notes are being issued by the Issuer only (i) to persons reasonably believed to be “qualified institutional buyers” (as defined in Rule 144A under the Securities Act (“</w:t>
      </w:r>
      <w:r>
        <w:rPr>
          <w:rFonts w:ascii="Times New Roman" w:cs="Times New Roman" w:eastAsia="Times New Roman" w:hAnsi="Times New Roman"/>
          <w:sz w:val="21"/>
          <w:szCs w:val="21"/>
          <w:i w:val="1"/>
          <w:iCs w:val="1"/>
          <w:color w:val="auto"/>
        </w:rPr>
        <w:t>Rule 144A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QIBs</w:t>
      </w:r>
      <w:r>
        <w:rPr>
          <w:rFonts w:ascii="Times New Roman" w:cs="Times New Roman" w:eastAsia="Times New Roman" w:hAnsi="Times New Roman"/>
          <w:sz w:val="21"/>
          <w:szCs w:val="21"/>
          <w:color w:val="auto"/>
        </w:rPr>
        <w:t>”) and (ii) in reliance on Regulation S under the Securities Act (“</w:t>
      </w:r>
      <w:r>
        <w:rPr>
          <w:rFonts w:ascii="Times New Roman" w:cs="Times New Roman" w:eastAsia="Times New Roman" w:hAnsi="Times New Roman"/>
          <w:sz w:val="21"/>
          <w:szCs w:val="21"/>
          <w:i w:val="1"/>
          <w:iCs w:val="1"/>
          <w:color w:val="auto"/>
        </w:rPr>
        <w:t>Regulation S</w:t>
      </w:r>
      <w:r>
        <w:rPr>
          <w:rFonts w:ascii="Times New Roman" w:cs="Times New Roman" w:eastAsia="Times New Roman" w:hAnsi="Times New Roman"/>
          <w:sz w:val="21"/>
          <w:szCs w:val="21"/>
          <w:color w:val="auto"/>
        </w:rPr>
        <w:t xml:space="preserve">”). After such initial issuance, Initial Notes that are Transfer Restricted Notes may be transferred to QIBs in reliance on Rule 144A, outside the United States pursuant to Regulation S, to the Issuer, in accordance with certain transfer restrictions. Initial Notes that are offered in reliance on Rule 144A shall be issued in the form of one or more permanent Global Notes substantially in the form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bear the Restricted Notes Legend and the Global Notes Legend (collectively, the “</w:t>
      </w:r>
      <w:r>
        <w:rPr>
          <w:rFonts w:ascii="Times New Roman" w:cs="Times New Roman" w:eastAsia="Times New Roman" w:hAnsi="Times New Roman"/>
          <w:sz w:val="21"/>
          <w:szCs w:val="21"/>
          <w:i w:val="1"/>
          <w:iCs w:val="1"/>
          <w:color w:val="auto"/>
        </w:rPr>
        <w:t>Rule 144A Global Note</w:t>
      </w:r>
      <w:r>
        <w:rPr>
          <w:rFonts w:ascii="Times New Roman" w:cs="Times New Roman" w:eastAsia="Times New Roman" w:hAnsi="Times New Roman"/>
          <w:sz w:val="21"/>
          <w:szCs w:val="21"/>
          <w:color w:val="auto"/>
        </w:rPr>
        <w:t xml:space="preserve">”), deposited with the Note Custodian, duly executed by the Issuer and authenticated by the Trustee as hereinafter provided. Initial Notes that are offered in offshore transactions in reliance on Regulation S shall be initially issued in the form of one or more permanent Global Notes substantially in the form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bearing the Regulation S Legend and the Global Notes Legend (collectively, the “</w:t>
      </w:r>
      <w:r>
        <w:rPr>
          <w:rFonts w:ascii="Times New Roman" w:cs="Times New Roman" w:eastAsia="Times New Roman" w:hAnsi="Times New Roman"/>
          <w:sz w:val="21"/>
          <w:szCs w:val="21"/>
          <w:i w:val="1"/>
          <w:iCs w:val="1"/>
          <w:color w:val="auto"/>
        </w:rPr>
        <w:t>Regulation S Global Note</w:t>
      </w:r>
      <w:r>
        <w:rPr>
          <w:rFonts w:ascii="Times New Roman" w:cs="Times New Roman" w:eastAsia="Times New Roman" w:hAnsi="Times New Roman"/>
          <w:sz w:val="21"/>
          <w:szCs w:val="21"/>
          <w:color w:val="auto"/>
        </w:rPr>
        <w:t xml:space="preserve">”), deposited with the Note Custodian, duly executed by the Issuer and authenticated by the Trustee as hereinafter provided. To the extent CUSIP numbers are issued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the Rule 144A Global Note and the Regulation S Global Note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42" w:name="page43"/>
    <w:bookmarkEnd w:id="42"/>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each be issued with separate CUSIP numbers. The aggregate principal amount of each Global Note may from time to time be increased or decreased by adjustments made on the records of the Note Custodian, at the direction of the Trustee, in accordance with the instructions given by the Holder thereof as required by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hereof. Transfers of Notes among QIBs and to or by purchasers pursuant to Regulation S shall be represented by appropriate increases and decreases to the respective amounts of the appropriate Global Notes, as more fully provided in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shall apply only to Global Notes deposited with or on behalf of the Depositary.</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The Issuer shall execute and the Trustee shall, in accordance with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authenticate and deliver the Global Notes that (i) shall be registered in the name of the Depositary or the nominee of the Depositary and (ii) shall be delivered by the Trustee to the Depositary or pursuant to the Depositary’s instructions or held by the Note Custodian for the Depositary.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Execution and Authentication</w:t>
      </w:r>
      <w:r>
        <w:rPr>
          <w:rFonts w:ascii="Times New Roman" w:cs="Times New Roman" w:eastAsia="Times New Roman" w:hAnsi="Times New Roman"/>
          <w:sz w:val="22"/>
          <w:szCs w:val="22"/>
          <w:color w:val="auto"/>
        </w:rPr>
        <w:t>. An Officer shall sign the Notes for the Issuer by manual or facsimile signature.</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If an Officer whose signature is on a Note no longer holds that office at the time a Note is authenticated, the Note shall nevertheless be valid.</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 Note shall not be valid until authenticated by the manual signature of an authorized signatory of the Trustee. The signature of an authorized signatory of the Trustee shall be conclusive evidence that the Note has been authenticated under this Indenture.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Trustee shall, upon receipt of a written order of the Issuer signed by one Officer directing the Trustee to authenticate the Notes and certifying that all conditions precedent to the issuance of the Notes contained herein have been complied with and receipt of an Opinion of Counsel, authenticate Notes for original issue in the aggregate principal amount stated in such written order.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Trustee may appoint an authenticating agent reasonably acceptable to the Issuer to authenticate Notes. Unless limited by the terms of such appointment, an authenticating agent may authenticate Notes whenever the Trustee may do so. Each reference in this Indenture to authentication by the Trustee includes authentication by such agent or agents. An authenticating agent has the same rights as an Agent to deal with Holders or the Issuer or an Affiliate of the Issuer.</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Registrar; Paying Agent</w:t>
      </w:r>
      <w:r>
        <w:rPr>
          <w:rFonts w:ascii="Times New Roman" w:cs="Times New Roman" w:eastAsia="Times New Roman" w:hAnsi="Times New Roman"/>
          <w:sz w:val="22"/>
          <w:szCs w:val="22"/>
          <w:color w:val="auto"/>
        </w:rPr>
        <w:t>. The Issuer shall maintain (i) an office or agency where Notes may be presented for registration of transfer or for exchange (“</w:t>
      </w:r>
      <w:r>
        <w:rPr>
          <w:rFonts w:ascii="Times New Roman" w:cs="Times New Roman" w:eastAsia="Times New Roman" w:hAnsi="Times New Roman"/>
          <w:sz w:val="22"/>
          <w:szCs w:val="22"/>
          <w:i w:val="1"/>
          <w:iCs w:val="1"/>
          <w:color w:val="auto"/>
        </w:rPr>
        <w:t>Registrar</w:t>
      </w:r>
      <w:r>
        <w:rPr>
          <w:rFonts w:ascii="Times New Roman" w:cs="Times New Roman" w:eastAsia="Times New Roman" w:hAnsi="Times New Roman"/>
          <w:sz w:val="22"/>
          <w:szCs w:val="22"/>
          <w:color w:val="auto"/>
        </w:rPr>
        <w:t>”) and (ii) an office or agency where Notes may be presented for payment to a Paying Agent. The Registrar shall keep a register of the Notes and of their transfer and exchange. The Issuer may appoint one or more co-registrars and one or more additional Paying Agents. The term “</w:t>
      </w:r>
      <w:r>
        <w:rPr>
          <w:rFonts w:ascii="Times New Roman" w:cs="Times New Roman" w:eastAsia="Times New Roman" w:hAnsi="Times New Roman"/>
          <w:sz w:val="22"/>
          <w:szCs w:val="22"/>
          <w:i w:val="1"/>
          <w:iCs w:val="1"/>
          <w:color w:val="auto"/>
        </w:rPr>
        <w:t>Registrar</w:t>
      </w:r>
      <w:r>
        <w:rPr>
          <w:rFonts w:ascii="Times New Roman" w:cs="Times New Roman" w:eastAsia="Times New Roman" w:hAnsi="Times New Roman"/>
          <w:sz w:val="22"/>
          <w:szCs w:val="22"/>
          <w:color w:val="auto"/>
        </w:rPr>
        <w:t>” includes any co-registrar, and the term “</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includes any additional Paying Agent. The Issuer may change any Paying Agent or Registrar without notice to any Holder. The Issuer and/or any Restricted Subsidiary may act as Paying Agent or Registrar.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The Issuer shall notify the Trustee in writing and the Holders, of the name and address of any Agent not a party to this Indenture. The Issuer shall enter into an appropriate agency agreement with any Agent not a party to this Indenture. If the Issuer fails to appoint or maintain a Registrar or Paying Agent, or fails to give the foregoing notice, the Trustee shall act as such, and shall be entitled to appropriate compensation in accordance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22"/>
          <w:szCs w:val="22"/>
          <w:color w:val="auto"/>
        </w:rPr>
        <w:t>The Issuer initially appoints the Trustee to act as the Registrar and Paying Agent, at its Corporate Trust Office.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Issuer initially appoints DTC to act as the Depositary with respect to the Global Notes.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Paying Agent to Hold Money in Trust</w:t>
      </w:r>
      <w:r>
        <w:rPr>
          <w:rFonts w:ascii="Times New Roman" w:cs="Times New Roman" w:eastAsia="Times New Roman" w:hAnsi="Times New Roman"/>
          <w:sz w:val="22"/>
          <w:szCs w:val="22"/>
          <w:color w:val="auto"/>
        </w:rPr>
        <w:t xml:space="preserve">. The Issuer shall require each Paying Agent other than the Trustee to agree in writing that the Paying Agent shall hold in trust for the benefit of the Holders or the Trustee all money held by the Paying Agent for the payment of principal or premium, if any, or interest on the Notes, and shall notify the Trustee in writing of any Default by the Issuer in making any such payment. While any such Default continues, the Trustee may require a Paying Agent to pay to the Trustee all money held by it in trust for the benefit of the Holders or the Trustee. The Issuer at any time may require a Paying Agent to pay all money held by it in trust for the benefit of the Holders or the Trustee to the Trustee. Upon payment over to the Trustee, the Paying Agent (if other than the Issuer or any of its Subsidiaries) shall have no further liability for such money. If the Issuer or any of its Subsidiaries acts as Paying Agent, it shall segregate and hold in a separate trust fund for the benefit of the Holders all money held by it as Paying Agent. Upon the occurrence of any of the events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the Trustee shall serve as Paying Agent for the Notes.</w:t>
      </w:r>
    </w:p>
    <w:p>
      <w:pPr>
        <w:spacing w:after="0" w:line="15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Holder Lists</w:t>
      </w:r>
      <w:r>
        <w:rPr>
          <w:rFonts w:ascii="Times New Roman" w:cs="Times New Roman" w:eastAsia="Times New Roman" w:hAnsi="Times New Roman"/>
          <w:sz w:val="21"/>
          <w:szCs w:val="21"/>
          <w:color w:val="auto"/>
        </w:rPr>
        <w:t>. 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Book-Entry Provisions for Global Notes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Global Note shall (i) deposited with the Trustee as custodian for DTC, (ii) registered in the name of Cede &amp; Co., as nominee of DTC, and (iii) bear the Global Note legends as required by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Ownership of beneficial interest in each global note shall be limited to Participants in the Depositary or persons who hold interests through Participants.</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Members of, or Participants in, the Depositary shall have no rights under this Indenture with respect to any Global Note held on their behalf by the Depositary, or the Note Custodian, or under such Global Note, and the Depositary may be treated by the Issuer, and the Trustee or any Agent and any of their respective agents, as the absolute owner of such Global Note for all purposes whatsoever. Notwithstanding the foregoing, nothing herein shall prevent the Issuer, the Trustee or any Agent or their respective agents from giving effect to any written certification, proxy or other authorization furnished by the Depositary or impair, as between the Depositary and its Participants, the operation of customary practices governing the exercise of the rights of an owner of a beneficial interest in any Global Note.</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Neither the Trustee nor any Agent shall have any responsibility or obligation to any Holder that is a member of (or a Participant in) the Depositary or any other Person with respect to the accuracy of the records of the Depositary (or its nominee) or of any member or Participant thereof, with respect to any ownership interest in the Notes or with respect to the delivery of any notice (including any notice of redemption) or the payment of any amount or delivery of any Notes (or other security or property) under or with respect to the Notes. The Trustee and any Agent may rely (and shall be fully protected in relying) upon information furnished by the Depositary with respect to its members, Participants and any Beneficial Owners in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22"/>
          <w:szCs w:val="22"/>
          <w:color w:val="auto"/>
        </w:rPr>
        <w:t>Neither the Trustee nor any Agent shall have any responsibility for any actions taken or not taken by the Depositary.</w:t>
      </w:r>
    </w:p>
    <w:p>
      <w:pPr>
        <w:spacing w:after="0" w:line="179" w:lineRule="exact"/>
        <w:rPr>
          <w:sz w:val="20"/>
          <w:szCs w:val="20"/>
          <w:color w:val="auto"/>
        </w:rPr>
      </w:pPr>
    </w:p>
    <w:p>
      <w:pPr>
        <w:jc w:val="both"/>
        <w:ind w:left="-220" w:firstLine="656"/>
        <w:spacing w:after="0" w:line="212" w:lineRule="auto"/>
        <w:tabs>
          <w:tab w:leader="none" w:pos="107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a Global Note shall be limited to transfers of such Global Note in whole, but not in part, to the Depositary, its successors or their respective nominees. Interests of Beneficial Owners in a Global Note may be transferred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the rules and procedures of the Depositary. In addition, certificated Notes shall be transferred to Beneficial Owners in exchange for their beneficial interests only if (i) the Depositary notifies the Issuer that it is unwilling or unable to continue as Depositary for the Global Notes or the Depositary ceases to be a “clearing agency” registered under the Exchange Act and, in each case, a successor depositary is not appointed by the Issuer within 90 days or (ii) the Issuer, in its sole discretion, notifies the Trustee that it elects to cause the issuance of certificated Notes and any Participant requests a certificated Note in accordance with the Depositary’s procedures.</w:t>
      </w:r>
    </w:p>
    <w:p>
      <w:pPr>
        <w:spacing w:after="0" w:line="156" w:lineRule="exact"/>
        <w:rPr>
          <w:rFonts w:ascii="Times New Roman" w:cs="Times New Roman" w:eastAsia="Times New Roman" w:hAnsi="Times New Roman"/>
          <w:sz w:val="22"/>
          <w:szCs w:val="22"/>
          <w:color w:val="auto"/>
        </w:rPr>
      </w:pPr>
    </w:p>
    <w:p>
      <w:pPr>
        <w:jc w:val="both"/>
        <w:ind w:left="-220" w:firstLine="656"/>
        <w:spacing w:after="0" w:line="231" w:lineRule="auto"/>
        <w:tabs>
          <w:tab w:leader="none" w:pos="107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the transfer of an entire Global Note to Beneficial Owners pursuant to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such Global Note shall be deemed to be surrendered to the Trustee for cancellation, and the Issuer shall execute, and the Trustee (in accordance with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shall authenticate and deliver to each Beneficial Owner identified by the Depositary in exchange for its beneficial interest in such Global Note an equal aggregate principal amount of certificated Notes of authorized denominations.</w:t>
      </w:r>
    </w:p>
    <w:p>
      <w:pPr>
        <w:spacing w:after="0" w:line="150" w:lineRule="exact"/>
        <w:rPr>
          <w:rFonts w:ascii="Times New Roman" w:cs="Times New Roman" w:eastAsia="Times New Roman" w:hAnsi="Times New Roman"/>
          <w:sz w:val="21"/>
          <w:szCs w:val="21"/>
          <w:color w:val="auto"/>
        </w:rPr>
      </w:pPr>
    </w:p>
    <w:p>
      <w:pPr>
        <w:jc w:val="both"/>
        <w:ind w:left="-220" w:firstLine="656"/>
        <w:spacing w:after="0" w:line="225" w:lineRule="auto"/>
        <w:tabs>
          <w:tab w:leader="none" w:pos="107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Holder of a Global Note may grant proxies and otherwise authorize any Person, including Participants and Persons that may hold interests through Participants, to take any action which a Holder is entitled to take under this Indenture or the Notes.</w:t>
      </w:r>
    </w:p>
    <w:p>
      <w:pPr>
        <w:spacing w:after="0" w:line="152"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Global Note shall bear the Global Note Legend on the face thereof.</w:t>
      </w:r>
    </w:p>
    <w:p>
      <w:pPr>
        <w:spacing w:after="0" w:line="179" w:lineRule="exact"/>
        <w:rPr>
          <w:rFonts w:ascii="Times New Roman" w:cs="Times New Roman" w:eastAsia="Times New Roman" w:hAnsi="Times New Roman"/>
          <w:sz w:val="22"/>
          <w:szCs w:val="22"/>
          <w:color w:val="auto"/>
        </w:rPr>
      </w:pPr>
    </w:p>
    <w:p>
      <w:pPr>
        <w:jc w:val="both"/>
        <w:ind w:left="-220" w:firstLine="656"/>
        <w:spacing w:after="0" w:line="215" w:lineRule="auto"/>
        <w:tabs>
          <w:tab w:leader="none" w:pos="107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such time as all beneficial interests in Global Notes have been exchanged for certificated Notes, redeemed, repurchased or cancelled, all Global Notes shall be returned to or retained and cancelled by the Trustee in accordance with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At any time prior to such cancellation, if any beneficial interest in a Global Note is exchanged for certificated Notes, redeemed, repurchased or cancelled, the principal amount of Notes represented by such Global Note shall be reduced accordingly and an endorsement shall be made on such Global Note, by the Trustee or the Note Custodian, at the direction of the Trustee, to reflect such reduction.</w:t>
      </w:r>
    </w:p>
    <w:p>
      <w:pPr>
        <w:spacing w:after="0" w:line="152"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 Relating to Transfers and Exchanges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permit registrations of transfers and exchanges, the Issuer shall execute and the Trustee shall authenticate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Global Notes and certificated Notes at the Registrar’s request.</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service charge shall be made to a Holder for any registration of transfer or exchange, but the Issuer may require payment of a sum sufficient to cover any stamp or transfer tax or similar governmental charge payable in connection therewith (other than any such stamp or transfer taxes or similar governmental charge payable upon exchange or transfer pursuant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Global Notes and certificated Notes issued upon any registration of transfer or exchange of Global Notes or certificated Notes shall be the valid obligations of the Issuer, evidencing the same debt, and entitled to the same benefits under this Indenture, as the Global Notes (or interests therein) or certificated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020"/>
          </w:cols>
          <w:pgMar w:left="540" w:top="1395" w:right="339" w:bottom="1440" w:gutter="0" w:footer="0" w:header="0"/>
        </w:sectPr>
      </w:pPr>
    </w:p>
    <w:bookmarkStart w:id="45" w:name="page46"/>
    <w:bookmarkEnd w:id="45"/>
    <w:p>
      <w:pPr>
        <w:jc w:val="both"/>
        <w:ind w:left="660" w:firstLine="644"/>
        <w:spacing w:after="0" w:line="215"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Issuer, the Trustee or the Registrar is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(subject to the rights of Holders as of the relevant record dates) and for all other purposes, and none of the Trustee, any Agent, or the Issuer shall be affected by notice to the contrary.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authenticate Global Notes and certificated Notes in accordance with the provisions of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neither the Trustee nor the Registrar shall authenticate or deliver any certificated Note in exchange for a Global Note.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agrees to indemnify the Issuer, the Trustee and the Agents against any liability that may result from the transfer, exchange or assignment of such Holder’s Note in violation of any provision of this Indenture and/or applicable United States federal or state securities law.</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proposed exchange of a certificated Note for a Global Note, the Issuer or the Depositary shall be required to provide or cause to be provided to the Trustee all information necessary to allow the Trustee to comply with any applicable tax reporting obligations, including without limitation any cost basis reporting obligations under Section 6045 of the Code. The Trustee may rely on information provided to it and shall have no responsibility to verify or ensure the accuracy of such information.</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Replacement Notes</w:t>
      </w:r>
      <w:r>
        <w:rPr>
          <w:rFonts w:ascii="Times New Roman" w:cs="Times New Roman" w:eastAsia="Times New Roman" w:hAnsi="Times New Roman"/>
          <w:sz w:val="22"/>
          <w:szCs w:val="22"/>
          <w:color w:val="auto"/>
        </w:rPr>
        <w:t>. If any mutilated Note is surrendered to the Trustee, or the Issuer and the Trustee receive evidence to their satisfaction of the destruction, loss or theft of any Note, the Issuer shall issue and the Trustee, upon the written order of the Issuer signed by an Officer of the Issuer, shall authenticate a replacement Note if the Trustee’s requirements are met. An indemnity bond must be supplied by the Holder that is sufficient in the judgment of the Trustee to protect the Trustee and in the judgement of the Issuer to protect the Issuer, the Trustee, any Agent and any authenticating agent from any loss that any of them may suffer if a Note is replaced. The Issuer, the Trustee and the Agents may charge for their expenses in replacing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46" w:name="page47"/>
    <w:bookmarkEnd w:id="4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Every replacement Note is an additional obligation of the Issuer and shall be entitled to all of the benefits of this Indenture equally and proportionately with all other Notes duly issued hereunder.</w:t>
      </w:r>
    </w:p>
    <w:p>
      <w:pPr>
        <w:spacing w:after="0" w:line="13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Outstanding Notes</w:t>
      </w:r>
      <w:r>
        <w:rPr>
          <w:rFonts w:ascii="Times New Roman" w:cs="Times New Roman" w:eastAsia="Times New Roman" w:hAnsi="Times New Roman"/>
          <w:sz w:val="22"/>
          <w:szCs w:val="22"/>
          <w:color w:val="auto"/>
        </w:rPr>
        <w:t xml:space="preserve">. The Notes outstanding at any time are all the Notes authenticated by the Trustee except for those cancelled by it, those delivered to it for cancellation, those reductions in the interest in a Global Note effected by the Trustee in accordance with the provisions hereof, and those described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as not outstanding. Except as set forth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a Note does not cease to be outstanding because the Issuer or an Affiliate of the Issuer holds the Note.</w:t>
      </w:r>
    </w:p>
    <w:p>
      <w:pPr>
        <w:spacing w:after="0" w:line="17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 xml:space="preserve">If a Note is replaced pursuant to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it ceases to be outstanding unless the Trustee receives proof satisfactory to it that the replaced Note is held by a protected purchaser within the meaning of Section 8-405 of the Uniform Commercial Code.</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Paying Agent (other than the Issuer, a Subsidiary or an Affiliate of any thereof) holds, on any payment date, money sufficient to pay the amounts under the Notes payable on that date, then on and after that date such Notes shall be deemed to be no longer outstanding and shall cease to accrue interest.</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Treasury Notes</w:t>
      </w:r>
      <w:r>
        <w:rPr>
          <w:rFonts w:ascii="Times New Roman" w:cs="Times New Roman" w:eastAsia="Times New Roman" w:hAnsi="Times New Roman"/>
          <w:sz w:val="22"/>
          <w:szCs w:val="22"/>
          <w:color w:val="auto"/>
        </w:rPr>
        <w:t>. In determining whether the Holders of the required aggregate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of which a Responsible Officer of the Trustee has written notice as being so owned shall be so disregarded. Notwithstanding the foregoing, Notes that are to be acquired by the Issuer or an Affiliate of the Issuer pursuant to an exchange offer, tender offer or other agreement shall not be deemed to be owned by such entity until legal title to such Notes passes to such entity.</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xml:space="preserve">. The Issuer at any time may deliver to the Trustee for cancellation any Notes previously authenticated and delivered hereunder or which the Issuer may have acquired in any manner whatsoever, and all Notes so delivered shall be promptly cancelled by the Trustee. All Notes surrendered for registration of transfer, exchange or payment, if surrendered to any Person other than the Trustee, shall be delivered to the Trustee. The Trustee and no one else shall cancel all Notes surrendered for registration of transfer, exchange, payment, replacement or cancellation. Subject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the Issuer may not issue new Notes to replace Notes that it has redeemed or paid or that have been delivered to the Trustee for cancellation. All cancelled Notes held by the Trustee shall be disposed of in accordance with its retention policy then in effect, and certification of their disposal delivered to the Issuer upon its written request therefor.</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Defaulted Interest</w:t>
      </w:r>
      <w:r>
        <w:rPr>
          <w:rFonts w:ascii="Times New Roman" w:cs="Times New Roman" w:eastAsia="Times New Roman" w:hAnsi="Times New Roman"/>
          <w:sz w:val="21"/>
          <w:szCs w:val="21"/>
          <w:color w:val="auto"/>
        </w:rPr>
        <w:t xml:space="preserve">. If the Issuer defaults in a payment of interest on the Notes, it shall pay the defaulted interest in any lawful manner plus, to the extent lawful, interest payable on the defaulted interest, to the Persons who are Holders on a subsequent special record date, which date shall be the earliest practicable date but in all events at least five Business Days prior to the payment date, in each case at the rate provided in the Notes and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The Issuer shall fix or cause to be fixed each such special record date and payment date and shall promptly thereafter notify the Trustee of any such date. At least 15 days before the special record date, the Issuer (or, at the written request of the Issuer, the Trustee, in the name and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25" w:lineRule="auto"/>
        <w:rPr>
          <w:sz w:val="20"/>
          <w:szCs w:val="20"/>
          <w:color w:val="auto"/>
        </w:rPr>
      </w:pPr>
      <w:r>
        <w:rPr>
          <w:rFonts w:ascii="Times New Roman" w:cs="Times New Roman" w:eastAsia="Times New Roman" w:hAnsi="Times New Roman"/>
          <w:sz w:val="22"/>
          <w:szCs w:val="22"/>
          <w:color w:val="auto"/>
        </w:rPr>
        <w:t>expense of the Issuer) shall send or cause to be sent to Holders a notice that states the special record date, the related payment date and the amount of such interest to be paid. The Trustee will have no duty whatsoever to determine whether any defaulted interest is payable or the amount thereof.</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Notwithstanding the foregoing, if the Issuer pays the defaulted interest prior to the date that is 30 days after the date of default in payment of interest, no special record date will be set and payment will be made to the Holders as of the original record date.</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Computation of Interest</w:t>
      </w:r>
      <w:r>
        <w:rPr>
          <w:rFonts w:ascii="Times New Roman" w:cs="Times New Roman" w:eastAsia="Times New Roman" w:hAnsi="Times New Roman"/>
          <w:sz w:val="22"/>
          <w:szCs w:val="22"/>
          <w:color w:val="auto"/>
        </w:rPr>
        <w:t>. Interest, if any, on the Notes shall be computed on the basis of a 360-day year comprised of twelve 30-day months.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CUSIP Number</w:t>
      </w:r>
      <w:r>
        <w:rPr>
          <w:rFonts w:ascii="Times New Roman" w:cs="Times New Roman" w:eastAsia="Times New Roman" w:hAnsi="Times New Roman"/>
          <w:sz w:val="22"/>
          <w:szCs w:val="22"/>
          <w:color w:val="auto"/>
        </w:rPr>
        <w:t>. The Issuer in issuing the Notes may use a “</w:t>
      </w:r>
      <w:r>
        <w:rPr>
          <w:rFonts w:ascii="Times New Roman" w:cs="Times New Roman" w:eastAsia="Times New Roman" w:hAnsi="Times New Roman"/>
          <w:sz w:val="22"/>
          <w:szCs w:val="22"/>
          <w:i w:val="1"/>
          <w:iCs w:val="1"/>
          <w:color w:val="auto"/>
        </w:rPr>
        <w:t>CUSIP</w:t>
      </w:r>
      <w:r>
        <w:rPr>
          <w:rFonts w:ascii="Times New Roman" w:cs="Times New Roman" w:eastAsia="Times New Roman" w:hAnsi="Times New Roman"/>
          <w:sz w:val="22"/>
          <w:szCs w:val="22"/>
          <w:color w:val="auto"/>
        </w:rPr>
        <w:t xml:space="preserve">” number, and if it does so, the Trustee shall use the CUSIP number in notices of redemption or exchange as a convenience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notice may state that no representation is made as to the correctness or accuracy of the CUSIP number printed in the notice or on the Notes and that reliance may be placed only on the other identification numbers printed on the Notes, and any such redemption or exchange shall not be affected by any defect in or omission of such numbers. The Issuer shall promptly notify the Trustee in writing of any change in any CUSIP number.</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Special Transfer Provisions</w:t>
      </w:r>
      <w:r>
        <w:rPr>
          <w:rFonts w:ascii="Times New Roman" w:cs="Times New Roman" w:eastAsia="Times New Roman" w:hAnsi="Times New Roman"/>
          <w:sz w:val="22"/>
          <w:szCs w:val="22"/>
          <w:color w:val="auto"/>
        </w:rPr>
        <w:t>. Each Note issued pursuant to an exemption from registration under the Securities Act (other than in reliance on Regulation S) will constitute a Transfer Restricted Note and be required to bear the Restricted Notes Legend until the date that is six months after the later of the date of original issue and the last date on which the Issuer or any affiliate (within the meaning of Rule 405 under the Securities Act) of the Issuer was the owner of such Notes (or any predecessor thereto), unless and until such Transfer Restricted Note is transferred or exchanged pursuant to an effective registration statement under the Securities Act.</w:t>
      </w:r>
    </w:p>
    <w:p>
      <w:pPr>
        <w:spacing w:after="0" w:line="152" w:lineRule="exact"/>
        <w:rPr>
          <w:sz w:val="20"/>
          <w:szCs w:val="20"/>
          <w:color w:val="auto"/>
        </w:rPr>
      </w:pPr>
    </w:p>
    <w:p>
      <w:pPr>
        <w:ind w:right="20" w:firstLine="656"/>
        <w:spacing w:after="0" w:line="236"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to QIBs</w:t>
      </w:r>
      <w:r>
        <w:rPr>
          <w:rFonts w:ascii="Times New Roman" w:cs="Times New Roman" w:eastAsia="Times New Roman" w:hAnsi="Times New Roman"/>
          <w:sz w:val="22"/>
          <w:szCs w:val="22"/>
          <w:color w:val="auto"/>
        </w:rPr>
        <w:t>. The following provisions shall apply with respect to the registration of any proposed transfer of a Note issued in reliance on Regulation S to a QIB:</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Registrar shall register the transfer of a Note issued in reliance on Regulation S by a Holder to a QIB if such transfer is being made by a proposed transferor who has provided the Registrar with (a) an appropriately completed certificate of transfer in the form attached to the Note and (b) a certificate substantially in the form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from the proposed transferor;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letter required by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only be required prior to the expiration of the Restricted Period.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proposed transferee is a Participant and the Note to be transferred consists of an interest in the Regulation S Global Note, upon receipt by the Registrar of (x) the items required by </w:t>
      </w:r>
      <w:r>
        <w:rPr>
          <w:rFonts w:ascii="Times New Roman" w:cs="Times New Roman" w:eastAsia="Times New Roman" w:hAnsi="Times New Roman"/>
          <w:sz w:val="22"/>
          <w:szCs w:val="22"/>
          <w:u w:val="single" w:color="auto"/>
          <w:color w:val="auto"/>
        </w:rPr>
        <w:t>Section 2.15(a)(1)</w:t>
      </w:r>
      <w:r>
        <w:rPr>
          <w:rFonts w:ascii="Times New Roman" w:cs="Times New Roman" w:eastAsia="Times New Roman" w:hAnsi="Times New Roman"/>
          <w:sz w:val="22"/>
          <w:szCs w:val="22"/>
          <w:color w:val="auto"/>
        </w:rPr>
        <w:t xml:space="preserve"> and (y) instructions given in accordance with the Depositary’s and the Registrar’s procedures therefor, the Registrar shall reflect on its books and records the date and an increase in the principal amount of the Rule 144A Global Note in an amount equal to the principal amount of the beneficial interest in the Regulation S Global Note to be so transferred, and the Registrar shall reflect on its books and records the date and a corresponding decrease in the principal amount of such Regulation S Global Note in an amount equal to the principal amount of the beneficial interest in such Regulation S Global Note to be so transferred.</w:t>
      </w:r>
    </w:p>
    <w:p>
      <w:pPr>
        <w:spacing w:after="0" w:line="156"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Pursuant to Regulation S</w:t>
      </w:r>
      <w:r>
        <w:rPr>
          <w:rFonts w:ascii="Times New Roman" w:cs="Times New Roman" w:eastAsia="Times New Roman" w:hAnsi="Times New Roman"/>
          <w:sz w:val="22"/>
          <w:szCs w:val="22"/>
          <w:color w:val="auto"/>
        </w:rPr>
        <w:t>. The following provisions shall apply with respect to registration of any proposed transfer of a Transfer Restricted Note pursuant to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48" w:name="page49"/>
    <w:bookmarkEnd w:id="48"/>
    <w:p>
      <w:pPr>
        <w:jc w:val="both"/>
        <w:ind w:left="660" w:right="20" w:firstLine="644"/>
        <w:spacing w:after="0" w:line="225" w:lineRule="auto"/>
        <w:tabs>
          <w:tab w:leader="none" w:pos="195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Registrar shall register any proposed transfer of a Transfer Restricted Note by a Holder pursuant to Regulation S upon receipt of (a) an appropriately completed certificate of transfer in the form attached to the Note and (b) a certificate substantially in the form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from the proposed transferor.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proposed transferee is a Participant and the Transfer Restricted Note to be transferred consists of an interest in the Rule 144A Global Note upon receipt by the Registrar of (x) the letter, if any, required by </w:t>
      </w:r>
      <w:r>
        <w:rPr>
          <w:rFonts w:ascii="Times New Roman" w:cs="Times New Roman" w:eastAsia="Times New Roman" w:hAnsi="Times New Roman"/>
          <w:sz w:val="22"/>
          <w:szCs w:val="22"/>
          <w:u w:val="single" w:color="auto"/>
          <w:color w:val="auto"/>
        </w:rPr>
        <w:t>Section 2.15(b)(1)</w:t>
      </w:r>
      <w:r>
        <w:rPr>
          <w:rFonts w:ascii="Times New Roman" w:cs="Times New Roman" w:eastAsia="Times New Roman" w:hAnsi="Times New Roman"/>
          <w:sz w:val="22"/>
          <w:szCs w:val="22"/>
          <w:color w:val="auto"/>
        </w:rPr>
        <w:t xml:space="preserve"> and (y) instructions in accordance with the Depositary’s and the Registrar’s procedures therefor, the Registrar shall reflect on its books and records the date and an increase in the principal amount of the Regulation S Global Note in an amount equal to the principal amount of the beneficial interest in the Rule 144A Global Note to be transferred, and the Registrar shall reflect on its books and records the date and a corresponding decrease in the principal amount of the Rule 144A Global Note in an amount equal to the principal amount of the beneficial interest in such Rule 144A Global Note to be transferred.</w:t>
      </w:r>
    </w:p>
    <w:p>
      <w:pPr>
        <w:spacing w:after="0" w:line="156" w:lineRule="exact"/>
        <w:rPr>
          <w:rFonts w:ascii="Times New Roman" w:cs="Times New Roman" w:eastAsia="Times New Roman" w:hAnsi="Times New Roman"/>
          <w:sz w:val="22"/>
          <w:szCs w:val="22"/>
          <w:color w:val="auto"/>
        </w:rPr>
      </w:pPr>
    </w:p>
    <w:p>
      <w:pPr>
        <w:jc w:val="both"/>
        <w:ind w:firstLine="656"/>
        <w:spacing w:after="0" w:line="226" w:lineRule="auto"/>
        <w:tabs>
          <w:tab w:leader="none" w:pos="1293"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 Global Note is exchanged for Notes in certificated, registered form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such Notes may be exchanged only in accordance with such procedures as are substantially consistent with the provisions of </w:t>
      </w:r>
      <w:r>
        <w:rPr>
          <w:rFonts w:ascii="Times New Roman" w:cs="Times New Roman" w:eastAsia="Times New Roman" w:hAnsi="Times New Roman"/>
          <w:sz w:val="21"/>
          <w:szCs w:val="21"/>
          <w:u w:val="single" w:color="auto"/>
          <w:color w:val="auto"/>
        </w:rPr>
        <w:t>clauses</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00"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(including the certification requirements intended to ensure that such transfers comply with Rule 144A, Regulation S or other applicable exemption, as the case may be) and such other procedures as may from time to time be adopted by the Issuer and notified to the Trustee in writing.</w:t>
      </w:r>
    </w:p>
    <w:p>
      <w:pPr>
        <w:spacing w:after="0" w:line="150" w:lineRule="exact"/>
        <w:rPr>
          <w:rFonts w:ascii="Times New Roman" w:cs="Times New Roman" w:eastAsia="Times New Roman" w:hAnsi="Times New Roman"/>
          <w:sz w:val="22"/>
          <w:szCs w:val="22"/>
          <w:u w:val="single" w:color="auto"/>
          <w:color w:val="auto"/>
        </w:rPr>
      </w:pPr>
    </w:p>
    <w:p>
      <w:pPr>
        <w:jc w:val="both"/>
        <w:ind w:firstLine="656"/>
        <w:spacing w:after="0" w:line="215" w:lineRule="auto"/>
        <w:tabs>
          <w:tab w:leader="none" w:pos="129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Notes Legend</w:t>
      </w:r>
      <w:r>
        <w:rPr>
          <w:rFonts w:ascii="Times New Roman" w:cs="Times New Roman" w:eastAsia="Times New Roman" w:hAnsi="Times New Roman"/>
          <w:sz w:val="22"/>
          <w:szCs w:val="22"/>
          <w:color w:val="auto"/>
        </w:rPr>
        <w:t>. Upon the transfer, exchange or replacement of Notes not bearing the Restricted Notes Legend, the Registrar shall deliver Notes that do not bear the Restricted Notes Legend. Upon the transfer, exchange or replacement of Notes bearing the Restricted Notes Legend, the Registrar shall deliver only Notes that bear the Restricted Notes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Regulation S Legend</w:t>
      </w:r>
      <w:r>
        <w:rPr>
          <w:rFonts w:ascii="Times New Roman" w:cs="Times New Roman" w:eastAsia="Times New Roman" w:hAnsi="Times New Roman"/>
          <w:sz w:val="21"/>
          <w:szCs w:val="21"/>
          <w:color w:val="auto"/>
        </w:rPr>
        <w:t>. Upon the transfer, exchange or replacement of Notes not bearing the Regulation S Legend, the Registrar shall deliver Notes that do not bear the Regulation S Legend. Upon the transfer, exchange or replacement of Notes bearing the Regulation S Legend, the Registrar shall deliver only Notes that bear the Regulation 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153"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By its acceptance of any Note bearing the Restricted Notes Legend or the Regulation S Legend, as applicable, each Holder of such a Note acknowledges the restrictions on transfer of such Note set forth in this Indenture and in the Restricted Notes Legend or the Regulation S Legend, as applicable, and agrees that it shall transfer such Note only as provided in this Indenture. A transfer of a beneficial interest in a Global Note that does not involve an exchange of such interest for a certificated Note or a beneficial interest in another Global Note shall be subject to compliance with applicable law and the applicable procedures of the Depositary but is not subject to any procedure required by this Indenture.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connection with any proposed transfer pursuant to Regulation S or pursuant to any other available exemption from the registration requirements of the Securities Act (other than pursuant to Rule 144A), the Issuer may require the delivery of an Opinion of Counsel, other certifications or other information satisfactory to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49" w:name="page50"/>
    <w:bookmarkEnd w:id="49"/>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Registrar shall retain copies of all letters, notices and other written communications received pursuant to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Issuance of Additional Notes</w:t>
      </w:r>
      <w:r>
        <w:rPr>
          <w:rFonts w:ascii="Times New Roman" w:cs="Times New Roman" w:eastAsia="Times New Roman" w:hAnsi="Times New Roman"/>
          <w:sz w:val="22"/>
          <w:szCs w:val="22"/>
          <w:color w:val="auto"/>
        </w:rPr>
        <w:t xml:space="preserve">. The Issuer shall be entitled to issue Additional Notes in an unlimited aggregate principal amount under this Indenture that shall have identical terms as the Initial Notes, other than with respect to the date of issuance, issue price, first interest payment date applicable thereto, date from which interest will accrue and transfer restrictions;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issuance is not prohibited by the terms of this Indenture, including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if any Additional Notes are not fungible with the Initial Notes for U.S. federal income tax or other purposes, such Additional Notes shall have a separate CUSIP number from the Initial Notes. The Initial Notes and any Additional Notes shall be treated as a single class for all purposes under this Indenture.</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With respect to any Additional Notes, the Issuer shall set forth in an Officers’ Certificate, a copy of which shall be delivered to the Trustee, the following information:</w:t>
      </w:r>
    </w:p>
    <w:p>
      <w:pPr>
        <w:spacing w:after="0" w:line="104"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Additional Notes to be authenticated and delivered pursuant to this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 price, the issue date, the CUSIP number of such Additional Notes, the first interest payment date and the date from which interest shall accrue;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Additional Notes shall be Transfer Restricted Notes;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issuance is not prohibited by this Indenture.</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Trustee shall, upon receipt of the Officers’ Certificate and Opinion of Counsel, authenticate the Additional Notes in accordance with the provisions of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this Indenture.</w:t>
      </w:r>
    </w:p>
    <w:p>
      <w:pPr>
        <w:spacing w:after="0" w:line="1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ind w:left="3840"/>
        <w:spacing w:after="0"/>
        <w:rPr>
          <w:sz w:val="20"/>
          <w:szCs w:val="20"/>
          <w:color w:val="auto"/>
        </w:rPr>
      </w:pPr>
      <w:r>
        <w:rPr>
          <w:rFonts w:ascii="Times New Roman" w:cs="Times New Roman" w:eastAsia="Times New Roman" w:hAnsi="Times New Roman"/>
          <w:sz w:val="22"/>
          <w:szCs w:val="22"/>
          <w:b w:val="1"/>
          <w:bCs w:val="1"/>
          <w:color w:val="auto"/>
        </w:rPr>
        <w:t>REDEMPTION AND PREPAYMENT</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Notices to Trustee</w:t>
      </w:r>
      <w:r>
        <w:rPr>
          <w:rFonts w:ascii="Times New Roman" w:cs="Times New Roman" w:eastAsia="Times New Roman" w:hAnsi="Times New Roman"/>
          <w:sz w:val="22"/>
          <w:szCs w:val="22"/>
          <w:color w:val="auto"/>
        </w:rPr>
        <w:t xml:space="preserve">. If the Issuer elects to redeem Notes pursuant to the optional redemption provisions of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it shall furnish to the Trustee, at least two Business Days (or such shorter period as is acceptable to the Trustee) before sending a notice of such redemption, an Officers’ Certificate setting forth the (i) section of this Indenture pursuant to which the redemption shall occur, (ii) redemption date and (iii) principal amount of Notes to be redeemed.</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Selection of Notes to Be Redeemed.</w:t>
      </w:r>
      <w:r>
        <w:rPr>
          <w:rFonts w:ascii="Times New Roman" w:cs="Times New Roman" w:eastAsia="Times New Roman" w:hAnsi="Times New Roman"/>
          <w:sz w:val="22"/>
          <w:szCs w:val="22"/>
          <w:color w:val="auto"/>
        </w:rPr>
        <w:t xml:space="preserve"> In the event that less than all of the Notes are to be redeemed at any time pursuant to an optional redemption, the Trustee shall, upon receipt of an Officers’ Certificate and the prior written request of the Issuer, select the Notes for redemption on a pro rata basis (except that any Notes represented by a Global Note will be selected for redemption by such method as the Depositary may require); provided, however, that no Notes of a principal amount of $2,000 in original principal amount or less shall be redeemed in part.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On and after the applicable date of redemption, unless the Issuer defaults in the payment of the redemption price, interest will cease to accrue on Notes or portions thereof called for redemption so long as the Issuer has deposited with the Paying Agent for the Notes funds in satisfaction of the applicable redemption price (including accrued and unpaid interest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25" w:lineRule="auto"/>
        <w:rPr>
          <w:sz w:val="20"/>
          <w:szCs w:val="20"/>
          <w:color w:val="auto"/>
        </w:rPr>
      </w:pPr>
      <w:r>
        <w:rPr>
          <w:rFonts w:ascii="Times New Roman" w:cs="Times New Roman" w:eastAsia="Times New Roman" w:hAnsi="Times New Roman"/>
          <w:sz w:val="22"/>
          <w:szCs w:val="22"/>
          <w:color w:val="auto"/>
        </w:rPr>
        <w:t>Notes to be redeemed) pursuant to this Indenture. The Trustee shall promptly notify the Issuer in writing of the Notes selected for redemption. The Trustee may select for redemption portions (equal to $1,000 or any integral multiples of $1,000 thereof) of the principal of the Notes that have minimum denominations larger than $2,000.</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Notice of Optional Redemption</w:t>
      </w:r>
      <w:r>
        <w:rPr>
          <w:rFonts w:ascii="Times New Roman" w:cs="Times New Roman" w:eastAsia="Times New Roman" w:hAnsi="Times New Roman"/>
          <w:sz w:val="22"/>
          <w:szCs w:val="22"/>
          <w:color w:val="auto"/>
        </w:rPr>
        <w:t xml:space="preserve">. The Issuer shall deliver or cause to be delivered in accordance with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 notice of optional redemption to each Holder whose Notes are to be redeemed (with a copy to the Trustee), at least 10 days but not more than 60 days before a redemption date (except that redemption notices may be delivered more than 60 days before a redemption date if the notice is issued in connection with a defeasance of the Notes or a satisfaction and discharge of this Indenture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Any notice of redemption may, at the Issuer’s discretion, be subject to one or more conditions precedent. If such redemption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are satisfied (or waived by the Issuer in its sole discretion), or that such redemption may not occur and such notice may be rescinded in the event that any or all such conditions are not satisfied (or waived by the Issuer in its sole discretion) by the redemption date, or by the redemption date as so delayed, or that such notice may be rescinded at any time in the Issuer’s discretion if as determined in good faith by the Issuer, any or all of such conditions will not be satisfied. The Issuer shall provide the Trustee with written notice of the satisfaction or waiver of such conditions precedent, the delay of such redemption or the rescission of such notice of redemption in the same manner that the related notice of redemption was given to the Trustee, and, upon the Issuer’s written request, the Trustee shall send a copy of such notice to the Holders in the same manner that the related notice of redemption was given to such Holders. In addition, the Issuer may provide in such notice that payment of the redemption price and performance of the Issuer’s obligations with respect to such redemption may be performed by another Person. In no event will the Trustee be responsible for monitoring or charged with knowledge of, the maximum aggregate amount of Notes eligible under this Indenture to be redeemed.</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notice shall identify the Notes to be redeemed and shall state:</w:t>
      </w:r>
    </w:p>
    <w:p>
      <w:pPr>
        <w:spacing w:after="0" w:line="179"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(or the method by which it is to be determined);</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Note is being redeemed in part only, the portion of the principal amount of such Note to be redeemed and that, after the redemption date, upon surrender of such Note, a new Note or Notes in a principal amount equal to the unredeemed portion of the Note shall be issued upon cancellation of the original Note;</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called for redemption must be surrendered to the Paying Agent to collect the redemption price;</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Issuer defaults in making such redemption payment, interest, if any, on Notes called for redemption ceases to accrue on and after the redemption date;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of the Notes and/or Section of this Indenture pursuant to which the Notes called for redemption are being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51" w:name="page52"/>
    <w:bookmarkEnd w:id="51"/>
    <w:p>
      <w:pPr>
        <w:ind w:firstLine="656"/>
        <w:spacing w:after="0" w:line="236" w:lineRule="auto"/>
        <w:tabs>
          <w:tab w:leader="none" w:pos="12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 representation is made as to the correctness or accuracy of the CUSIP number, if any, listed in such notice or printed on the Notes;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conditions precedent to such redemption.</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At the Issuer’s written request, the Trustee shall give the notice of redemption in the Issuer’s name and at the Issuer’s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Issuer shall have delivered to the Trustee, at least two Business Days prior to the date of the giving of the notice of redemption (or such shorter period as is acceptable to the Trustee), an Officers’ Certificate requesting that the Trustee give such notice and setting forth the information to be stated in the notice as provided in this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Effect of Notice of Redemption</w:t>
      </w:r>
      <w:r>
        <w:rPr>
          <w:rFonts w:ascii="Times New Roman" w:cs="Times New Roman" w:eastAsia="Times New Roman" w:hAnsi="Times New Roman"/>
          <w:sz w:val="22"/>
          <w:szCs w:val="22"/>
          <w:color w:val="auto"/>
        </w:rPr>
        <w:t xml:space="preserve">. Once notice of redemption is delivered in accordance with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Notes called for redemption become due and payable on the redemption date at the applicable redemption price, subject to satisfaction of any conditions specified in the notice of redemption and as further contemplated by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Deposit of Redemption Price</w:t>
      </w:r>
      <w:r>
        <w:rPr>
          <w:rFonts w:ascii="Times New Roman" w:cs="Times New Roman" w:eastAsia="Times New Roman" w:hAnsi="Times New Roman"/>
          <w:sz w:val="22"/>
          <w:szCs w:val="22"/>
          <w:color w:val="auto"/>
        </w:rPr>
        <w:t>. On or before 11:00 a.m. (New York City time) on the redemption date, the Issuer shall deposit with the Trustee or with the Paying Agent (other than the Issuer or an Affiliate of the Issuer) money sufficient to pay the redemption price on all Notes to be redeemed on that date. The Trustee or the Paying Agent shall promptly return to the Issuer any money deposited with the Trustee or the Paying Agent by the Issuer in excess of the amounts necessary to pay the redemption price of all Notes to be redeemed.</w:t>
      </w:r>
    </w:p>
    <w:p>
      <w:pPr>
        <w:spacing w:after="0" w:line="15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3.6 If Notes called for redemption are paid or if the Issuer has deposited with the Trustee or Paying Agent money sufficient to pay the redemption price of, and unpaid and accrued interest, if any, on, all Notes to be redeemed, on and after the redemption date, and interest, if any, shall cease to accrue on the Notes or the portions of Notes called for redemption (regardless of whether certificates for such securities are actually surrendered). If a Note is redeemed on or after an interest record date but on or prior to the related interest payment date, then any accrued and unpaid interest, if any, shall be paid to the Person in whose name such Note was registered at the close of business on such record date. If any Note called for redemption shall not be so paid upon surrender for redemption because of the failure of the Issuer to comply with this Section 3.5, and interest, if any, shall be paid on the unpaid principal from the redemption date until such principal is paid, and to the extent lawful on any interest, if any, not paid on such unpaid principal, in each case, at the rate provided in the Notes and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Notes Redeemed in Part</w:t>
      </w:r>
      <w:r>
        <w:rPr>
          <w:rFonts w:ascii="Times New Roman" w:cs="Times New Roman" w:eastAsia="Times New Roman" w:hAnsi="Times New Roman"/>
          <w:sz w:val="22"/>
          <w:szCs w:val="22"/>
          <w:color w:val="auto"/>
        </w:rPr>
        <w:t xml:space="preserve">. Upon surrender and cancellation of a Note that is redeemed in part, the Issuer shall issue and, upon the written request of an Officer of the Issuer as provided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the Trustee shall authenticate for the Holder at the expense of the Issuer a new Note equal in principal amount to the unredeemed portion of the Note surrendered and canceled;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new Note will be in a principal amount of $2,000 or integral multiples of $1,000 in excess thereof.</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Notes may be redeemed, in whole or in part, at any time from time to time prior to October 15, 2028 at the option of the Issuer, upon notice as provided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at a redemption price equal to 100.0% of the principal amount of the Notes redeemed plus the Applicable Premium, and accrued and unpaid interest thereon if any, to, but excluding, the redemption date (subject to the right of Holders of record on the relevant record date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52" w:name="page53"/>
    <w:bookmarkEnd w:id="52"/>
    <w:p>
      <w:pPr>
        <w:jc w:val="both"/>
        <w:spacing w:after="0" w:line="220" w:lineRule="auto"/>
        <w:rPr>
          <w:sz w:val="20"/>
          <w:szCs w:val="20"/>
          <w:color w:val="auto"/>
        </w:rPr>
      </w:pPr>
      <w:r>
        <w:rPr>
          <w:rFonts w:ascii="Times New Roman" w:cs="Times New Roman" w:eastAsia="Times New Roman" w:hAnsi="Times New Roman"/>
          <w:sz w:val="22"/>
          <w:szCs w:val="22"/>
          <w:color w:val="auto"/>
        </w:rPr>
        <w:t>interest due on the relevant interest payment date that is on or prior to the redemption date). The Issuer will calculate the Treasury Rate and Applicable Premium and, prior to the redemption date, provide an Officers’ Certificate to the Trustee setting forth the Treasury Rate and the Applicable Premium. The Trustee shall have no duty to calculate or verify the Issuer’s calculations of the Treasury Rate or the Applicable Premium.</w:t>
      </w:r>
    </w:p>
    <w:p>
      <w:pPr>
        <w:spacing w:after="0" w:line="152" w:lineRule="exact"/>
        <w:rPr>
          <w:sz w:val="20"/>
          <w:szCs w:val="20"/>
          <w:color w:val="auto"/>
        </w:rPr>
      </w:pPr>
    </w:p>
    <w:p>
      <w:pPr>
        <w:jc w:val="both"/>
        <w:ind w:firstLine="656"/>
        <w:spacing w:after="0" w:line="219" w:lineRule="auto"/>
        <w:tabs>
          <w:tab w:leader="none" w:pos="129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or from time to time on or after October 15, 2028, the Issuer, at its option, may redeem the Notes, in whole or in part, upon notice as provided in this Indenture, at the redemption prices (expressed as percentages of principal amount of the Notes to be redeemed) set forth below, together with accrued and unpaid interest thereon, if any, to, but excluding, the redemption date (subject to the right of Holders of record on the relevant record date to receive interest due on the relevant interest payment date that is on or prior to the redemption date), if redeemed during the 12-month period beginning on October</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15 of the years indicated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754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22"/>
                <w:szCs w:val="22"/>
                <w:b w:val="1"/>
                <w:bCs w:val="1"/>
                <w:color w:val="auto"/>
              </w:rPr>
              <w:t>Optional redemption price</w:t>
            </w:r>
          </w:p>
        </w:tc>
      </w:tr>
      <w:tr>
        <w:trPr>
          <w:trHeight w:val="290"/>
        </w:trPr>
        <w:tc>
          <w:tcPr>
            <w:tcW w:w="3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2028</w:t>
            </w:r>
          </w:p>
        </w:tc>
        <w:tc>
          <w:tcPr>
            <w:tcW w:w="7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103.375%</w:t>
            </w:r>
          </w:p>
        </w:tc>
      </w:tr>
      <w:tr>
        <w:trPr>
          <w:trHeight w:val="310"/>
        </w:trPr>
        <w:tc>
          <w:tcPr>
            <w:tcW w:w="3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2029</w:t>
            </w:r>
          </w:p>
        </w:tc>
        <w:tc>
          <w:tcPr>
            <w:tcW w:w="7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101.688%</w:t>
            </w:r>
          </w:p>
        </w:tc>
      </w:tr>
      <w:tr>
        <w:trPr>
          <w:trHeight w:val="311"/>
        </w:trPr>
        <w:tc>
          <w:tcPr>
            <w:tcW w:w="3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2030 and thereafter</w:t>
            </w:r>
          </w:p>
        </w:tc>
        <w:tc>
          <w:tcPr>
            <w:tcW w:w="75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100.000%</w:t>
            </w:r>
          </w:p>
        </w:tc>
      </w:tr>
    </w:tbl>
    <w:p>
      <w:pPr>
        <w:spacing w:after="0" w:line="200" w:lineRule="exact"/>
        <w:rPr>
          <w:sz w:val="20"/>
          <w:szCs w:val="20"/>
          <w:color w:val="auto"/>
        </w:rPr>
      </w:pPr>
    </w:p>
    <w:p>
      <w:pPr>
        <w:spacing w:after="0" w:line="328" w:lineRule="exact"/>
        <w:rPr>
          <w:sz w:val="20"/>
          <w:szCs w:val="20"/>
          <w:color w:val="auto"/>
        </w:rPr>
      </w:pPr>
    </w:p>
    <w:p>
      <w:pPr>
        <w:jc w:val="both"/>
        <w:ind w:firstLine="656"/>
        <w:spacing w:after="0" w:line="215"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or from time to time prior to October 15, 2028, the Issuer, at its option, may, on any one or more occasions, redeem up to 40.0% of the principal amount of the outstanding Notes issued under this Indenture, upon notice as provided in this Indenture, in an amount not greater than the net cash proceeds of one or more Qualified Equity Offerings at a redemption price equal to 106.750% of the principal amount of the Notes to be redeemed, plus accrued and unpaid interest, if any, to, but excluding, the date of redemption (subject to the right of Holders of record on the relevant record date to receive interest due on the relevant interest payment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50.0% of the aggregate principal amount of Notes originally issued under this Indenture on the Issue Date (excluding Notes held by the Issuer and its Subsidiaries) remains outstanding immediately after giving effect to any such redemption (unless all such Notes are redeemed substantially concurrently); and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occurs not more than 180 days after the date of the closing of any such Qualified Equity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w:t>
      </w:r>
    </w:p>
    <w:p>
      <w:pPr>
        <w:spacing w:after="0" w:line="15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tender offer for the Notes, including any Change of Control Offer or Alternate Offer, if Holders of not less than 90.0% in aggregate principal amount of the outstanding Notes validly tender and do not withdraw such Notes in such tender offer and the Issuer, or any third party making such tender offer in lieu of the Issuer, purchases all of the Notes validly tendered and not withdrawn by such Holders, the Issuer shall have the right upon not less than 10 nor more than 60 days’ prior notice, given not more than 30 days following any such purchase date, to redeem all Notes that remain outstanding following such purchase at a price equal to the price paid to each other Holder in such tender offer plus, to the extent not included in the tender offer payment, accrued and unpaid interest, if any, thereon, to, but excluding, the redemption date or purchase date, subject to the right of Holders of record on the relevant record date to receive interest due on the relevant interest payment date falling on or prior to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53" w:name="page54"/>
    <w:bookmarkEnd w:id="53"/>
    <w:p>
      <w:pPr>
        <w:ind w:left="-220" w:firstLine="656"/>
        <w:spacing w:after="0" w:line="236" w:lineRule="auto"/>
        <w:tabs>
          <w:tab w:leader="none" w:pos="107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acquire Notes by means other than a redemption, whether pursuant to a tender offer, open market purchase, negotiated transaction or otherwise, in accordance with applicable securities laws.</w:t>
      </w:r>
    </w:p>
    <w:p>
      <w:pPr>
        <w:spacing w:after="0" w:line="15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Redemption for Tax Reasons</w:t>
      </w:r>
    </w:p>
    <w:p>
      <w:pPr>
        <w:spacing w:after="0" w:line="175" w:lineRule="exact"/>
        <w:rPr>
          <w:sz w:val="20"/>
          <w:szCs w:val="20"/>
          <w:color w:val="auto"/>
        </w:rPr>
      </w:pPr>
    </w:p>
    <w:p>
      <w:pPr>
        <w:jc w:val="both"/>
        <w:ind w:left="-220" w:firstLine="656"/>
        <w:spacing w:after="0" w:line="210" w:lineRule="auto"/>
        <w:tabs>
          <w:tab w:leader="none" w:pos="107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redeem the Notes at its option, in whole but not in part (a “</w:t>
      </w:r>
      <w:r>
        <w:rPr>
          <w:rFonts w:ascii="Times New Roman" w:cs="Times New Roman" w:eastAsia="Times New Roman" w:hAnsi="Times New Roman"/>
          <w:sz w:val="22"/>
          <w:szCs w:val="22"/>
          <w:i w:val="1"/>
          <w:iCs w:val="1"/>
          <w:color w:val="auto"/>
        </w:rPr>
        <w:t>Tax Redemption</w:t>
      </w:r>
      <w:r>
        <w:rPr>
          <w:rFonts w:ascii="Times New Roman" w:cs="Times New Roman" w:eastAsia="Times New Roman" w:hAnsi="Times New Roman"/>
          <w:sz w:val="22"/>
          <w:szCs w:val="22"/>
          <w:color w:val="auto"/>
        </w:rPr>
        <w:t xml:space="preserve">”), at any time upon giving not less than 10, but not more than 60 days, prior notice to the holders of the Notes (which notice shall be irrevocable and given in accordance with the procedures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at a redemption price (the “</w:t>
      </w:r>
      <w:r>
        <w:rPr>
          <w:rFonts w:ascii="Times New Roman" w:cs="Times New Roman" w:eastAsia="Times New Roman" w:hAnsi="Times New Roman"/>
          <w:sz w:val="22"/>
          <w:szCs w:val="22"/>
          <w:i w:val="1"/>
          <w:iCs w:val="1"/>
          <w:color w:val="auto"/>
        </w:rPr>
        <w:t>Tax Redemption Price</w:t>
      </w:r>
      <w:r>
        <w:rPr>
          <w:rFonts w:ascii="Times New Roman" w:cs="Times New Roman" w:eastAsia="Times New Roman" w:hAnsi="Times New Roman"/>
          <w:sz w:val="22"/>
          <w:szCs w:val="22"/>
          <w:color w:val="auto"/>
        </w:rPr>
        <w:t>”) equal to 100% of the aggregate principal amount thereof, together with accrued and unpaid interest, if any, to, but excluding, the date fixed by the Issuer for the Tax Redemption (a “</w:t>
      </w:r>
      <w:r>
        <w:rPr>
          <w:rFonts w:ascii="Times New Roman" w:cs="Times New Roman" w:eastAsia="Times New Roman" w:hAnsi="Times New Roman"/>
          <w:sz w:val="22"/>
          <w:szCs w:val="22"/>
          <w:i w:val="1"/>
          <w:iCs w:val="1"/>
          <w:color w:val="auto"/>
        </w:rPr>
        <w:t>Tax Redemption Date</w:t>
      </w:r>
      <w:r>
        <w:rPr>
          <w:rFonts w:ascii="Times New Roman" w:cs="Times New Roman" w:eastAsia="Times New Roman" w:hAnsi="Times New Roman"/>
          <w:sz w:val="22"/>
          <w:szCs w:val="22"/>
          <w:color w:val="auto"/>
        </w:rPr>
        <w:t>”) and all Additional Amounts (if any) then due and which shall become due on the Tax Redemption Date as a result of the Tax Redemption or otherwise (subject to the right of holders of the notes on the relevant record date to receive interest due on the relevant interest payment date and Additional Amounts (if any) in respect thereof), if on the next date on which any amount would be payable in respect of the notes or any Guarantee, the Issuer or any Guarantor is or would be required to pay Additional Amounts, and (1) the Issuer or the relevant Guarantor cannot avoid such requirement by taking reasonable measures available to it (including the designation of a different paying agent), (2) in the case of a Guarantor, such amounts cannot be paid by the Issuer or any other Guarantor who in turn can pay such amounts without the obligation to pay Additional Amounts and (3) the requirement arises as a result of:</w:t>
      </w:r>
    </w:p>
    <w:p>
      <w:pPr>
        <w:spacing w:after="0" w:line="155" w:lineRule="exact"/>
        <w:rPr>
          <w:rFonts w:ascii="Times New Roman" w:cs="Times New Roman" w:eastAsia="Times New Roman" w:hAnsi="Times New Roman"/>
          <w:sz w:val="22"/>
          <w:szCs w:val="22"/>
          <w:color w:val="auto"/>
        </w:rPr>
      </w:pPr>
    </w:p>
    <w:p>
      <w:pPr>
        <w:jc w:val="both"/>
        <w:ind w:left="1080" w:firstLine="652"/>
        <w:spacing w:after="0" w:line="217" w:lineRule="auto"/>
        <w:tabs>
          <w:tab w:leader="none" w:pos="236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to, or change in, the laws or treaties (or any regulations or rulings promulgated thereunder) of a relevant taxing jurisdiction (as defined in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 which change or amendment has not been publicly announced before and becomes effective on or after the date of the Offering Memorandum (or, if the applicable relevant taxing jurisdiction became a relevant taxing jurisdiction on a date after the date of the Offering Memorandum, such later date); or</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15" w:lineRule="auto"/>
        <w:tabs>
          <w:tab w:leader="none" w:pos="236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or change in, an official written interpretation or application of such laws, treaties, regulations or rulings (including by virtue of a holding, judgment or order by a court of competent jurisdiction or a change in published administrative practice) which amendment or change has not been publicly announced before and becomes effective on or after the date of the Offering Memorandum (or, if the applicable relevant taxing jurisdiction became a relevant taxing jurisdiction on a date after the date of the Offering Memorandum, such later date).</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5" w:lineRule="auto"/>
        <w:tabs>
          <w:tab w:leader="none" w:pos="107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not give any such notice of redemption pursuant to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earlier than 60 days prior to the earliest date on which the Issuer or the relevant Guarantor would be obligated to make such payment or withholding if a payment in respect of the Notes was then due, and the obligation to pay Additional Amounts must be in effect at the time such notice is given. Prior to the publication or, where relevant, mailing of any notice of redemption pursuant to the foregoing, the Issuer shall deliver to the Trustee an opinion of independent tax counsel to the effect that there has been such amendment or change which would entitle the Issuer to redeem the Notes.</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before the Issuer publishes or mails notice of redemption of the Notes as described above, the Issuer shall deliver to the Trustee and Paying Agent an Officers’ Certificate to the effect that (1) it or the relevant Guarantor cannot avoid its obligation to pay Additional Amounts by taking reasonable measures available to it and (2)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020"/>
          </w:cols>
          <w:pgMar w:left="540" w:top="1395" w:right="339" w:bottom="1440" w:gutter="0" w:footer="0" w:header="0"/>
        </w:sectPr>
      </w:pPr>
    </w:p>
    <w:bookmarkStart w:id="54" w:name="page55"/>
    <w:bookmarkEnd w:id="54"/>
    <w:p>
      <w:pPr>
        <w:spacing w:after="0" w:line="236" w:lineRule="auto"/>
        <w:rPr>
          <w:sz w:val="20"/>
          <w:szCs w:val="20"/>
          <w:color w:val="auto"/>
        </w:rPr>
      </w:pPr>
      <w:r>
        <w:rPr>
          <w:rFonts w:ascii="Times New Roman" w:cs="Times New Roman" w:eastAsia="Times New Roman" w:hAnsi="Times New Roman"/>
          <w:sz w:val="22"/>
          <w:szCs w:val="22"/>
          <w:color w:val="auto"/>
        </w:rPr>
        <w:t>Guarantor, the amounts giving rise to such obligation cannot be paid by the Issuer or any Guarantor without the obligation to pay Additional Amounts.</w:t>
      </w:r>
    </w:p>
    <w:p>
      <w:pPr>
        <w:spacing w:after="0" w:line="150" w:lineRule="exact"/>
        <w:rPr>
          <w:sz w:val="20"/>
          <w:szCs w:val="20"/>
          <w:color w:val="auto"/>
        </w:rPr>
      </w:pPr>
    </w:p>
    <w:p>
      <w:pPr>
        <w:jc w:val="both"/>
        <w:ind w:firstLine="656"/>
        <w:spacing w:after="0" w:line="225"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Paying Agent shall accept and shall be entitled to conclusively rely without further inquiry on such Officers’ Certificate and opinion of counsel as sufficient evidence of the existence and satisfaction of the conditions precedent as described above, in which event it shall be conclusive and binding on the holders of the Notes.</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any jurisdiction in which any successor person to the Issuer is, for tax purposes, organized or resident or engaged in business or through which payment is made by, or on behalf of, such person on the Notes (or, in each case, any political subdivision or taxing authority thereof or therein).</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5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Payment of Notes</w:t>
      </w:r>
      <w:r>
        <w:rPr>
          <w:rFonts w:ascii="Times New Roman" w:cs="Times New Roman" w:eastAsia="Times New Roman" w:hAnsi="Times New Roman"/>
          <w:sz w:val="22"/>
          <w:szCs w:val="22"/>
          <w:color w:val="auto"/>
        </w:rPr>
        <w:t>. The Issuer shall pay or cause to be paid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11:00 a.m. (New York City time) on the relevant payment date, U.S. dollars deposited by the Issuer in immediately available funds and designated for and sufficient to pay all such principal, premium, if any, and interest then due.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5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Maintenance of Office or Agency</w:t>
      </w:r>
      <w:r>
        <w:rPr>
          <w:rFonts w:ascii="Times New Roman" w:cs="Times New Roman" w:eastAsia="Times New Roman" w:hAnsi="Times New Roman"/>
          <w:sz w:val="22"/>
          <w:szCs w:val="22"/>
          <w:color w:val="auto"/>
        </w:rPr>
        <w:t>. The Issuer shall maintain an office or agency where Notes may be surrendered for registration of transfer or for exchange and where notices and demands to or upon the Issuer and Guarantors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with respect to the Notes and this Indenture may be made or served at the Corporate Trust Office of the Trustee.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Issuer hereby designates the Corporate Trust Office of the Trustee as one such office or agency of the Issuer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Provision of Financial 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required by the SEC, so long as any Notes are outstanding, the Issuer shall furnish to the Holders within the time periods specified in the SEC’s rules and regulations for non-accelerated filers after giving effect to any applicable grace periods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55" w:name="page56"/>
    <w:bookmarkEnd w:id="55"/>
    <w:p>
      <w:pPr>
        <w:ind w:left="660" w:firstLine="644"/>
        <w:spacing w:after="0" w:line="236" w:lineRule="auto"/>
        <w:tabs>
          <w:tab w:leader="none" w:pos="19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quarterly and annual reports that would be required to be filed with the SEC on Forms 10-Q and 10-K if the Parent Guarantor were required to file such reports; and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reports that would be required to be filed with the SEC on Form 8 K if the Parent Guarantor were required to file such reports;</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the above information will not be required to contain (i) the separate financial information for Guarantors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contemplated by Rules 3-10, 13-01 or 13-02 of Regulation S-X, (ii) any financial statements of unconsolidated subsidiaries or 50% or less owned persons as contemplated by Rule 3-09 of Regulation S-X, (iii) any information contemplated by Rule 3-16 of Regulation S-X, (iv) any schedules required by Regulation S-X, or (v) in each such case, any successor provisions and (b) such information shall not be required to comply with Regulation G under the Exchange Act or Item 10(e) of Regulation S-K with respect to any non-GAAP financial measures contained therein, (v) to the extent pro forma financial information is required to be provided by the Parent Guarantor, the Issuer may provide only pro forma revenues, net income, EBITDA, senior secured debt, total debt and capital expenditures (or equivalent financial information) in lieu thereof, and (vi) the reports referred to in clauses</w:t>
      </w:r>
    </w:p>
    <w:p>
      <w:pPr>
        <w:spacing w:after="0" w:line="1" w:lineRule="exact"/>
        <w:rPr>
          <w:sz w:val="20"/>
          <w:szCs w:val="20"/>
          <w:color w:val="auto"/>
        </w:rPr>
      </w:pPr>
    </w:p>
    <w:p>
      <w:pPr>
        <w:ind w:firstLine="8"/>
        <w:spacing w:after="0" w:line="225" w:lineRule="auto"/>
        <w:tabs>
          <w:tab w:leader="none" w:pos="31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(2) above shall not be required to present compensation or Beneficial Ownership information, or to include any exhibits required by Form 10-K, Form 10-Q or Form 8-K.</w:t>
      </w:r>
    </w:p>
    <w:p>
      <w:pPr>
        <w:spacing w:after="0" w:line="149"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Parent Guarantor is not subject to the requirements of Section 13 or 15(d) of the Exchange Act, then the Issuer may satisfy its obligations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with respect to the information relating to the Parent Guarantor that would be required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by furnishing such financial information relating to any Parent Company or Qualified Reporting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financial information so furnished relates to any Parent Company or Qualified Reporting Subsidiary, the same is accompanied by a reasonably detailed description, either on the face of the financial information or in the footnotes thereto and in “Management’s discussion and analysis of financial condition and results of operations,” of the quantitative differences between the information relating to such Parent Company or Qualified Reporting Subsidiary, on the one hand, and the information relating to the Parent Guarantor and the Restricted Subsidiaries on a standalone basis, on the other hand, if material. For the avoidance of doubt, the consolidating information referred to in the preceding sentence need not be audited or reviewed by the Parent Guarantor’s auditors. “</w:t>
      </w:r>
      <w:r>
        <w:rPr>
          <w:rFonts w:ascii="Times New Roman" w:cs="Times New Roman" w:eastAsia="Times New Roman" w:hAnsi="Times New Roman"/>
          <w:sz w:val="22"/>
          <w:szCs w:val="22"/>
          <w:i w:val="1"/>
          <w:iCs w:val="1"/>
          <w:color w:val="auto"/>
        </w:rPr>
        <w:t>Qualified Reporting Subsidiary</w:t>
      </w:r>
      <w:r>
        <w:rPr>
          <w:rFonts w:ascii="Times New Roman" w:cs="Times New Roman" w:eastAsia="Times New Roman" w:hAnsi="Times New Roman"/>
          <w:sz w:val="22"/>
          <w:szCs w:val="22"/>
          <w:color w:val="auto"/>
        </w:rPr>
        <w:t xml:space="preserve">” means any wholly owned subsidiary of the Parent Guarantor that, together with its consolidated Subsidiaries, constitutes substantially all of the assets and liabilities of the Parent Guarantor and its subsidiaries. If the Issuer has designated any Subsidiaries of the Parent Guarantor as Unrestricted Subsidiaries, and such Unrestricted Subsidiaries, individually or taken together, would constitute a Significant Subsidiary, then the quarterly and annual financial information required by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6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may satisfy its delivery obligations with respect to any information required by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by the Parent Guarantor filing the same with the SEC through the SEC’s Electronic Data Gathering, Analysis and Retrieval System (“</w:t>
      </w:r>
      <w:r>
        <w:rPr>
          <w:rFonts w:ascii="Times New Roman" w:cs="Times New Roman" w:eastAsia="Times New Roman" w:hAnsi="Times New Roman"/>
          <w:sz w:val="22"/>
          <w:szCs w:val="22"/>
          <w:i w:val="1"/>
          <w:iCs w:val="1"/>
          <w:color w:val="auto"/>
        </w:rPr>
        <w:t>EDGAR</w:t>
      </w:r>
      <w:r>
        <w:rPr>
          <w:rFonts w:ascii="Times New Roman" w:cs="Times New Roman" w:eastAsia="Times New Roman" w:hAnsi="Times New Roman"/>
          <w:sz w:val="22"/>
          <w:szCs w:val="22"/>
          <w:color w:val="auto"/>
        </w:rPr>
        <w:t xml:space="preserve">”) (or any successor system), or by making it available on a public website on which the reports required by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are posted along with details regarding the times and dates of conference calls required above and information on how to obtain access to such conference calls, or on Intralinks or any comparable password protected online data system, which may require a confidentiality acknowledgement.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5" w:right="339" w:bottom="1440" w:gutter="0" w:footer="0" w:header="0"/>
        </w:sectPr>
      </w:pPr>
    </w:p>
    <w:bookmarkStart w:id="56" w:name="page57"/>
    <w:bookmarkEnd w:id="56"/>
    <w:p>
      <w:pPr>
        <w:jc w:val="both"/>
        <w:ind w:firstLine="656"/>
        <w:spacing w:after="0" w:line="220"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Defaults arising from a failure to furnish in a timely manner any information or notice required by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shall be deemed cured (and the Issuer shall be deemed to be in compliance with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upon furnishing such information or notice as contemplated by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(but without regard to the date on which such information or notice is so furnished).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the Guarantors have agreed that, for so long as any Notes remain outstanding, the Issuer shall furnish to the Holders and to securities analysts and prospective investors, upon their request, the information required to be delivered pursuant to Rule 144A(d)(4) under the Securities Act.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such reports, information and documents to the Trustee is for informational purposes only, and the Trustee’s receipt thereof shall not constitute actual or constructive knowledge or notice of any information contained therein or determinable from information contained therein, including the Issuer’s, any Guarantor’s or any other person’s compliance with any of the covenants under this Indenture or the Notes (as to which the Trustee is entitled to rely exclusively on Officers’ Certificates). The Trustee will not be obligated to monitor or confirm, on a continuing basis or otherwise, the Issuer’s, any Guarantor’s or any other person’s compliance with any of the covenants described herein or to determine whether such reports, information or documents have been posted on any website or other online data system or filed with the SEC through EDGAR (or other applicable system), to examine such reports, information, documents to ensure compliance with the provisions of this Indenture, to ascertain the correctness or otherwise of the information or the statements contained therein, or to participate in any conference calls.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The Issuer shall deliver to the Trustee annually within 120 days after the end of each fiscal year of the Issuer ending after the Issue Date a statement regarding compliance with this Indenture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and, within 30 days after any Officer of the Issuer becomes aware of any Default, an Officers’ Certificate specifying such Default and what action the Issuer is taking or proposes to take with respect thereto. The Issuer will also be obligated to notify the Trustee of any default or defaults in the performance of any covenants or agreements under this Indenture.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Stay, Extension and Usury Laws</w:t>
      </w:r>
      <w:r>
        <w:rPr>
          <w:rFonts w:ascii="Times New Roman" w:cs="Times New Roman" w:eastAsia="Times New Roman" w:hAnsi="Times New Roman"/>
          <w:sz w:val="22"/>
          <w:szCs w:val="22"/>
          <w:color w:val="auto"/>
        </w:rPr>
        <w:t>. The Issuer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u w:val="single" w:color="auto"/>
          <w:color w:val="auto"/>
        </w:rPr>
        <w:t>Limitation on Restricted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6"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shall not, and shall not permit any Restricted Subsidiary to, directly or indirectly, make any Restricted Payment if at the time of such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57" w:name="page58"/>
    <w:bookmarkEnd w:id="57"/>
    <w:p>
      <w:pPr>
        <w:ind w:left="440" w:right="20" w:firstLine="644"/>
        <w:spacing w:after="0" w:line="236" w:lineRule="auto"/>
        <w:tabs>
          <w:tab w:leader="none" w:pos="173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Payment Default or Event of Default shall have occurred and be continuing or shall occur as a consequence thereof;</w:t>
      </w:r>
    </w:p>
    <w:p>
      <w:pPr>
        <w:spacing w:after="0" w:line="150" w:lineRule="exact"/>
        <w:rPr>
          <w:rFonts w:ascii="Times New Roman" w:cs="Times New Roman" w:eastAsia="Times New Roman" w:hAnsi="Times New Roman"/>
          <w:sz w:val="22"/>
          <w:szCs w:val="22"/>
          <w:color w:val="auto"/>
        </w:rPr>
      </w:pPr>
    </w:p>
    <w:p>
      <w:pPr>
        <w:ind w:left="440" w:right="20" w:firstLine="644"/>
        <w:spacing w:after="0" w:line="236" w:lineRule="auto"/>
        <w:tabs>
          <w:tab w:leader="none" w:pos="173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is not able to incur at least $1.00 of additional Indebtedness pursuant to the Coverage Ratio Exception; or</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17" w:lineRule="auto"/>
        <w:tabs>
          <w:tab w:leader="none" w:pos="173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Restricted Payment, when added to the aggregate amount of all other Restricted Payments made after the Issue Date (other than Restricted Payments made pursuant to </w:t>
      </w:r>
      <w:r>
        <w:rPr>
          <w:rFonts w:ascii="Times New Roman" w:cs="Times New Roman" w:eastAsia="Times New Roman" w:hAnsi="Times New Roman"/>
          <w:sz w:val="22"/>
          <w:szCs w:val="22"/>
          <w:u w:val="single" w:color="auto"/>
          <w:color w:val="auto"/>
        </w:rPr>
        <w:t>Sections 4.7(b)(2)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4.7(b)(13)(A)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4.7(b)(14)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Restricted Payments made after the Issue Date pursuant to </w:t>
      </w:r>
      <w:r>
        <w:rPr>
          <w:rFonts w:ascii="Times New Roman" w:cs="Times New Roman" w:eastAsia="Times New Roman" w:hAnsi="Times New Roman"/>
          <w:sz w:val="22"/>
          <w:szCs w:val="22"/>
          <w:u w:val="single" w:color="auto"/>
          <w:color w:val="auto"/>
        </w:rPr>
        <w:t>Section 4.7(b)(13)(B)</w:t>
      </w:r>
      <w:r>
        <w:rPr>
          <w:rFonts w:ascii="Times New Roman" w:cs="Times New Roman" w:eastAsia="Times New Roman" w:hAnsi="Times New Roman"/>
          <w:sz w:val="22"/>
          <w:szCs w:val="22"/>
          <w:color w:val="auto"/>
        </w:rPr>
        <w:t xml:space="preserve"> shall not cause the amount calculated pursuant to </w:t>
      </w:r>
      <w:r>
        <w:rPr>
          <w:rFonts w:ascii="Times New Roman" w:cs="Times New Roman" w:eastAsia="Times New Roman" w:hAnsi="Times New Roman"/>
          <w:sz w:val="22"/>
          <w:szCs w:val="22"/>
          <w:u w:val="single" w:color="auto"/>
          <w:color w:val="auto"/>
        </w:rPr>
        <w:t>Section 4.7(a)(3)(A)</w:t>
      </w:r>
      <w:r>
        <w:rPr>
          <w:rFonts w:ascii="Times New Roman" w:cs="Times New Roman" w:eastAsia="Times New Roman" w:hAnsi="Times New Roman"/>
          <w:sz w:val="22"/>
          <w:szCs w:val="22"/>
          <w:color w:val="auto"/>
        </w:rPr>
        <w:t xml:space="preserve"> to be less than zero for any fiscal period), exceeds the sum (the “</w:t>
      </w:r>
      <w:r>
        <w:rPr>
          <w:rFonts w:ascii="Times New Roman" w:cs="Times New Roman" w:eastAsia="Times New Roman" w:hAnsi="Times New Roman"/>
          <w:sz w:val="22"/>
          <w:szCs w:val="22"/>
          <w:i w:val="1"/>
          <w:iCs w:val="1"/>
          <w:color w:val="auto"/>
        </w:rPr>
        <w:t>Restricted Payments Builder Basket</w:t>
      </w:r>
      <w:r>
        <w:rPr>
          <w:rFonts w:ascii="Times New Roman" w:cs="Times New Roman" w:eastAsia="Times New Roman" w:hAnsi="Times New Roman"/>
          <w:sz w:val="22"/>
          <w:szCs w:val="22"/>
          <w:color w:val="auto"/>
        </w:rPr>
        <w:t>”) of (without duplication):</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31" w:lineRule="auto"/>
        <w:tabs>
          <w:tab w:leader="none" w:pos="236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50.0% of Consolidated Net Income of the Parent Guarantor and the Restricted Subsidiaries for the period (taken as one accounting period) commencing on October 1, 2021,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50" w:lineRule="exact"/>
        <w:rPr>
          <w:rFonts w:ascii="Times New Roman" w:cs="Times New Roman" w:eastAsia="Times New Roman" w:hAnsi="Times New Roman"/>
          <w:sz w:val="21"/>
          <w:szCs w:val="21"/>
          <w:color w:val="auto"/>
        </w:rPr>
      </w:pPr>
    </w:p>
    <w:p>
      <w:pPr>
        <w:jc w:val="both"/>
        <w:ind w:left="1080" w:firstLine="652"/>
        <w:spacing w:after="0" w:line="210" w:lineRule="auto"/>
        <w:tabs>
          <w:tab w:leader="none" w:pos="236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 of (i) the aggregate net cash proceeds, or the Fair Market Value of any assets or Equity Interests of any Person engaged in a Permitted Business, in each case received by the Parent Guarantor or its Restricted Subsidiaries on or after the Original Issue Reference Date as a contribution to the Parent Guarantor’s or any such Restricted Subsidiary’s common equity capital (including the Fair Market Value of any such assets received as consideration for the issuance of any such Equity Interests)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issued or sold to a Restricted Subsidiary of the Issuer), and (ii) the aggregate net cash proceeds, if any, received by the Parent Guarantor or any of its Restricted Subsidiaries upon any conversion or exchange described in clause (i) above, plus</w:t>
      </w:r>
    </w:p>
    <w:p>
      <w:pPr>
        <w:spacing w:after="0" w:line="157" w:lineRule="exact"/>
        <w:rPr>
          <w:rFonts w:ascii="Times New Roman" w:cs="Times New Roman" w:eastAsia="Times New Roman" w:hAnsi="Times New Roman"/>
          <w:sz w:val="22"/>
          <w:szCs w:val="22"/>
          <w:color w:val="auto"/>
        </w:rPr>
      </w:pPr>
    </w:p>
    <w:p>
      <w:pPr>
        <w:jc w:val="both"/>
        <w:ind w:left="1080" w:firstLine="652"/>
        <w:spacing w:after="0" w:line="217" w:lineRule="auto"/>
        <w:tabs>
          <w:tab w:leader="none" w:pos="236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disposition or repayment of or return on any Investment made by the Parent Guarantor after the Original Issue Reference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15" w:lineRule="auto"/>
        <w:tabs>
          <w:tab w:leader="none" w:pos="236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Builder Basket and were not previously repaid or otherwise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020"/>
          </w:cols>
          <w:pgMar w:left="540" w:top="1395" w:right="339" w:bottom="1440" w:gutter="0" w:footer="0" w:header="0"/>
        </w:sectPr>
      </w:pPr>
    </w:p>
    <w:bookmarkStart w:id="58" w:name="page59"/>
    <w:bookmarkEnd w:id="58"/>
    <w:p>
      <w:pPr>
        <w:ind w:left="1080" w:hanging="644"/>
        <w:spacing w:after="0"/>
        <w:tabs>
          <w:tab w:leader="none" w:pos="10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shall not prohibit:</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this Indenture;</w:t>
      </w:r>
    </w:p>
    <w:p>
      <w:pPr>
        <w:spacing w:after="0" w:line="152"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made in exchange for, or out of the proceeds of, the substantially concurrent issuance and sale of Qualified Equity Interests (or not more than 180 days after such issuance and sale);</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and the other terms of this Indenture (or not more than 180 days after such incurrence);</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1" w:lineRule="auto"/>
        <w:tabs>
          <w:tab w:leader="none" w:pos="173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repurchase, redemption, defeasance or other acquisition or retirement for value of Subordinated Indebtedness of the Parent Guarantor or any Restricted Subsidiary (A) at a purchase price not greater than 101.0% of the principal amount of such Subordinated Indebtedness in the event of a Change of Control in accordance with provisions similar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or (B) at a purchase price not greater than 100.0% of the principal amount thereof in accordance with provisions similar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or simultaneously with such purchase, repurchase, redemption, defeasance or other acquisition or retirement, the Issuer has made the Change of Control Offer or Net Proceeds Offer, if required, as provided in such covenant with respect to the Notes and has completed the repurchase or redemption of all Notes validly tendered for payment in connection with such Change of Control Offer or Net Proceeds Offer;</w:t>
      </w:r>
    </w:p>
    <w:p>
      <w:pPr>
        <w:spacing w:after="0" w:line="158" w:lineRule="exact"/>
        <w:rPr>
          <w:rFonts w:ascii="Times New Roman" w:cs="Times New Roman" w:eastAsia="Times New Roman" w:hAnsi="Times New Roman"/>
          <w:sz w:val="22"/>
          <w:szCs w:val="22"/>
          <w:color w:val="auto"/>
        </w:rPr>
      </w:pPr>
    </w:p>
    <w:p>
      <w:pPr>
        <w:jc w:val="both"/>
        <w:ind w:left="440" w:firstLine="644"/>
        <w:spacing w:after="0" w:line="209" w:lineRule="auto"/>
        <w:tabs>
          <w:tab w:leader="none" w:pos="173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Payment Default or Event of Default has occurred and is continuing or would result therefrom, redemptions, repurchases or other acquisitions or retirements for value by the Parent Guarantor of Equity Interests of the Parent Guarantor, any Parent Company or any Restricted Subsidiary held by officers, directors or employees or former officers, directors or employees (or their transferees, estates or beneficiaries under their estates), either (x) upon any such individual’s death, disability, retirement, severance or termination of employment or service or</w:t>
      </w:r>
    </w:p>
    <w:p>
      <w:pPr>
        <w:spacing w:after="0" w:line="2" w:lineRule="exact"/>
        <w:rPr>
          <w:rFonts w:ascii="Times New Roman" w:cs="Times New Roman" w:eastAsia="Times New Roman" w:hAnsi="Times New Roman"/>
          <w:sz w:val="22"/>
          <w:szCs w:val="22"/>
          <w:color w:val="auto"/>
        </w:rPr>
      </w:pPr>
    </w:p>
    <w:p>
      <w:pPr>
        <w:jc w:val="both"/>
        <w:ind w:left="440" w:hanging="4"/>
        <w:spacing w:after="0" w:line="208" w:lineRule="auto"/>
        <w:tabs>
          <w:tab w:leader="none" w:pos="77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any equity subscription agreement, stock option agreement, restricted stock agreement, restricted stock unit agreement, stockholders’ agreement or similar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any case, that the aggregate cash consideration paid for all such redemptions, repurchases or other acquisitions or retirements shall not exceed (A) $20.0 million during any calendar year (with unused amounts in any calendar year being carried forward to succeeding calendar years) plus (B) the amount of any net cash proceeds received by or contributed to the Parent Guarantor (to the extent received by or contributed to the Parent Guarantor or any Restricted Subsidiary) from the issuance and sale after the Issue Date of Qualified Equity Interests to its officers, directors or employees that have not been applied to the payment of Restricted Payments pursuant to this clause (5), plus (C) the net cash proceeds of any “key man” life insurance policies that have not been applied to the payment of Restricted Payments pursuant to this clause (5);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cancellation of Indebtedness owing to the Parent Guarantor from members of management of the Parent Guarantor or any Restricted Subsidiary in connection with a repurchase of Equity Interests of the Parent Guarantor shall not be deemed to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020"/>
          </w:cols>
          <w:pgMar w:left="540" w:top="1395" w:right="33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22"/>
          <w:szCs w:val="22"/>
          <w:color w:val="auto"/>
        </w:rPr>
        <w:t xml:space="preserve">Restricted Payment for purposes of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or any other provision of this Indenture;</w:t>
      </w:r>
    </w:p>
    <w:p>
      <w:pPr>
        <w:spacing w:after="0" w:line="179" w:lineRule="exact"/>
        <w:rPr>
          <w:sz w:val="20"/>
          <w:szCs w:val="20"/>
          <w:color w:val="auto"/>
        </w:rPr>
      </w:pPr>
    </w:p>
    <w:p>
      <w:pPr>
        <w:jc w:val="both"/>
        <w:ind w:left="440" w:firstLine="644"/>
        <w:spacing w:after="0" w:line="213" w:lineRule="auto"/>
        <w:tabs>
          <w:tab w:leader="none" w:pos="17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redemptions, repurchases or other acquisitions or retirements for value by the Parent Guarantor of, Equity Interests of the Parent Guarantor, any Parent Company or any Restricted Subsidiary deemed to occur upon the exercise of stock options, warrants, rights to acquire Equity Interests of the Parent Guarantor or its Restricted Subsidiaries or other convertible securities to the extent such Equity Interests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56"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or distributions on Disqualified Equity Interests or Designated Preferred Stock of the Parent Guarantor or any Restricted Subsidiary or on any Preferred Stock of any Restricted Subsidiary, in each case issued in compliance with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to the extent such dividends or distributions are included in the definition of Consolidated Interest Expense;</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cash in lieu of fractional Equity Interests;</w:t>
      </w:r>
    </w:p>
    <w:p>
      <w:pPr>
        <w:spacing w:after="0" w:line="179"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or distributions to dissenting stockholders, shareholders or members pursuant to applicable law in connection with an amalgamation, merger, consolidation or transfer of assets that complies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receivables pursuant to a Receivables Repurchase Obligation in connection with a Permitted Receivables Transaction and the payment or distribution of fees related thereto;</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2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7" w:lineRule="auto"/>
        <w:tabs>
          <w:tab w:leader="none" w:pos="17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(other than a Reporting Default) or Event of Default has occurred and is continuing or would be caused thereby, cash dividends and repurchases of the Parent Guarantor Equity Interests (or any successor thereto) in a combined amount up to $75.0 million in any 12-month period following the Issue Date plus any portion of such $75.0 million amount that is unused in any preceding 12-month period following the Issue Date to be carried forward to the next succeeding 12-month period;</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3" w:lineRule="auto"/>
        <w:tabs>
          <w:tab w:leader="none" w:pos="17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Payment Default or Event of Default has occurred and is continuing or would result therefrom, (A) payment of other Restricted Payments from time to time in an aggregate amount since the Issue Date not to exceed the greater of (i) $250.0 million and (ii) 5.0% of the Parent Guarantor’s Consolidated Total Assets determined at the time of payment and (B) payment of any other Restricted Payments in an unlimited amount so long as the Consolidated Total Debt Ratio (calculated on a pro forma basis as of the last day of the most recently ended period for which financial statements are available as if such Restricted Payment had been made on the first day of such period) does not exceed 1.25 to 1.00;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020"/>
          </w:cols>
          <w:pgMar w:left="540" w:top="1395" w:right="339" w:bottom="1440" w:gutter="0" w:footer="0" w:header="0"/>
        </w:sectPr>
      </w:pPr>
    </w:p>
    <w:bookmarkStart w:id="60" w:name="page61"/>
    <w:bookmarkEnd w:id="60"/>
    <w:p>
      <w:pPr>
        <w:jc w:val="both"/>
        <w:ind w:left="660" w:firstLine="644"/>
        <w:spacing w:after="0" w:line="225" w:lineRule="auto"/>
        <w:tabs>
          <w:tab w:leader="none" w:pos="195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loans, advances or distributions to any Successor Parent or other payments by the Parent Guarantor or any of the Parent Guarantor’s Restricted Subsidiaries in amounts required for any Successor Parent to pay any Related Taxes.</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issuance and sale of Qualified Equity Interests used to make a payment pursuant to clauses (2) or (5)(B) above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increase the Restricted Payments Builder Basket to the extent of such payment.</w:t>
      </w:r>
    </w:p>
    <w:p>
      <w:pPr>
        <w:spacing w:after="0" w:line="126" w:lineRule="exact"/>
        <w:rPr>
          <w:sz w:val="20"/>
          <w:szCs w:val="20"/>
          <w:color w:val="auto"/>
        </w:rPr>
      </w:pPr>
    </w:p>
    <w:p>
      <w:pPr>
        <w:jc w:val="both"/>
        <w:ind w:firstLine="656"/>
        <w:spacing w:after="0" w:line="213"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in the event that any Restricted Payment or Investment (or a portion thereof) meets the criteria of more than one of the categories of Restricted Payments described in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4.7(b)(1)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(b)(14)</w:t>
      </w:r>
      <w:r>
        <w:rPr>
          <w:rFonts w:ascii="Times New Roman" w:cs="Times New Roman" w:eastAsia="Times New Roman" w:hAnsi="Times New Roman"/>
          <w:sz w:val="22"/>
          <w:szCs w:val="22"/>
          <w:color w:val="auto"/>
        </w:rPr>
        <w:t xml:space="preserve"> and/or one or more of the clauses contained in the definition of “Permitted Investments,” the Issuer will, in its sole discretion, be entitled to divide or classify (or later divide, classify or reclassify), in whole or in part, such Restricted Payment or Investment (or any portion thereof) among </w:t>
      </w:r>
      <w:r>
        <w:rPr>
          <w:rFonts w:ascii="Times New Roman" w:cs="Times New Roman" w:eastAsia="Times New Roman" w:hAnsi="Times New Roman"/>
          <w:sz w:val="22"/>
          <w:szCs w:val="22"/>
          <w:u w:val="single" w:color="auto"/>
          <w:color w:val="auto"/>
        </w:rPr>
        <w:t>Section 4.7(a)</w:t>
      </w:r>
      <w:r>
        <w:rPr>
          <w:rFonts w:ascii="Times New Roman" w:cs="Times New Roman" w:eastAsia="Times New Roman" w:hAnsi="Times New Roman"/>
          <w:sz w:val="22"/>
          <w:szCs w:val="22"/>
          <w:color w:val="auto"/>
        </w:rPr>
        <w:t xml:space="preserve"> and/or such clauses </w:t>
      </w:r>
      <w:r>
        <w:rPr>
          <w:rFonts w:ascii="Times New Roman" w:cs="Times New Roman" w:eastAsia="Times New Roman" w:hAnsi="Times New Roman"/>
          <w:sz w:val="22"/>
          <w:szCs w:val="22"/>
          <w:u w:val="single" w:color="auto"/>
          <w:color w:val="auto"/>
        </w:rPr>
        <w:t>(b)(1)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(b)(14)</w:t>
      </w:r>
      <w:r>
        <w:rPr>
          <w:rFonts w:ascii="Times New Roman" w:cs="Times New Roman" w:eastAsia="Times New Roman" w:hAnsi="Times New Roman"/>
          <w:sz w:val="22"/>
          <w:szCs w:val="22"/>
          <w:color w:val="auto"/>
        </w:rPr>
        <w:t xml:space="preserve"> and/or one or more clauses contained in the definition of “Permitted Investments” in a manner that otherwise complies with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Person in which an Investment is made, which Investment constitutes a Restricted Payment when made, thereafter becomes a Restricted Subsidiary in accordance with this Indenture, all such Investments previously made in such Person shall be Permitted Investments under clause (1)(b) of the definition thereof, and for the avoidance of doubt, all such Investments shall no longer be counted as Restricted Payments for purposes of calculating the aggregate amount of Restricted Payments pursuant to clause (3) of the definition of “Restricted Payments,” in each case, to the extent such Investments would otherwise be so counted.</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determining compliance with any U.S. dollar denominated restriction on Restricted Payments denominated in a foreign currency, the U.S. dollar 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such Restricted Subsidiary, as the case may be, pursuant to the Restricted Payment.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u w:val="single" w:color="auto"/>
          <w:color w:val="auto"/>
        </w:rPr>
        <w:t>Limitation on Dividend and Other Restrictions Affecting Restricted Subsidiaries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shall not, and shall not permit any Restricted Subsidiary to, directly or indirectly, create or otherwise cause or permit to exist or become effective any consensual encumbrance or consensual restriction on the ability of any Restricted Subsidiary to:</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on or in respect of its Equity Interests to the Parent Guarantor or any of its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22"/>
          <w:szCs w:val="22"/>
          <w:color w:val="auto"/>
        </w:rPr>
        <w:t>Restricted Subsidiary shall not be deemed a restriction on the ability to make loans or advances); or</w:t>
      </w:r>
    </w:p>
    <w:p>
      <w:pPr>
        <w:spacing w:after="0" w:line="179" w:lineRule="exact"/>
        <w:rPr>
          <w:sz w:val="20"/>
          <w:szCs w:val="20"/>
          <w:color w:val="auto"/>
        </w:rPr>
      </w:pPr>
    </w:p>
    <w:p>
      <w:pPr>
        <w:ind w:left="440" w:right="20" w:firstLine="644"/>
        <w:spacing w:after="0" w:line="236" w:lineRule="auto"/>
        <w:tabs>
          <w:tab w:leader="none" w:pos="173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any of its property or assets to the Parent Guarantor or any other Restricted Subsidiary (it being understood that such transfers shall not include any type of transfer described in clause (1) or (2) above);</w:t>
      </w:r>
    </w:p>
    <w:p>
      <w:pPr>
        <w:spacing w:after="0" w:line="150"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 xml:space="preserve"> shall not prohibit, in each case, encumbrances or restrictions:</w:t>
      </w:r>
    </w:p>
    <w:p>
      <w:pPr>
        <w:spacing w:after="0" w:line="179"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under the Revolving Credit Facility existing on the Issue Date or any other agreements existing on the Issue Date (including the indenture governing the Existing Notes);</w:t>
      </w:r>
    </w:p>
    <w:p>
      <w:pPr>
        <w:spacing w:after="0" w:line="150"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under this Indenture, the Notes and the Guarantees;</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under 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5" w:lineRule="auto"/>
        <w:tabs>
          <w:tab w:leader="none" w:pos="173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under any agreement or other instrument of a Person acquired by the Issuer or any of its Restricted Subsidiaries in existence at the time of such acquisition (but not created in contemplation thereof, other than any refinancing indebtedness incurred on terms substantially consistent with the refinanced indebtedness),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3" w:lineRule="auto"/>
        <w:tabs>
          <w:tab w:leader="none" w:pos="173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existing under any amendment, restatement, modification, renewal, increases, supplement, refunding, replacement or refinancing of an agreement referred to in clauses (1), (2), (3), (4) or (10) of this </w:t>
      </w:r>
      <w:r>
        <w:rPr>
          <w:rFonts w:ascii="Times New Roman" w:cs="Times New Roman" w:eastAsia="Times New Roman" w:hAnsi="Times New Roman"/>
          <w:sz w:val="22"/>
          <w:szCs w:val="22"/>
          <w:u w:val="single" w:color="auto"/>
          <w:color w:val="auto"/>
        </w:rPr>
        <w:t>Section 4.8(b)</w:t>
      </w:r>
      <w:r>
        <w:rPr>
          <w:rFonts w:ascii="Times New Roman" w:cs="Times New Roman" w:eastAsia="Times New Roman" w:hAnsi="Times New Roman"/>
          <w:sz w:val="22"/>
          <w:szCs w:val="22"/>
          <w:color w:val="auto"/>
        </w:rPr>
        <w:t xml:space="preserve"> or this clause (5);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encumbrances and restrictions contained in such amendments, restatements, modifications, renewals, increases, supplements, refunding, replacements or refinancing are, in the good faith judgment of the Issuer, not materially more restrictive, taken as a whole, than such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56"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under or by reason of applicable law, regulation or order;</w:t>
      </w:r>
    </w:p>
    <w:p>
      <w:pPr>
        <w:spacing w:after="0" w:line="17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non assignment provisions of any entered into in the ordinary course of business;</w:t>
      </w:r>
    </w:p>
    <w:p>
      <w:pPr>
        <w:spacing w:after="0" w:line="179" w:lineRule="exact"/>
        <w:rPr>
          <w:rFonts w:ascii="Times New Roman" w:cs="Times New Roman" w:eastAsia="Times New Roman" w:hAnsi="Times New Roman"/>
          <w:sz w:val="22"/>
          <w:szCs w:val="22"/>
          <w:color w:val="auto"/>
        </w:rPr>
      </w:pPr>
    </w:p>
    <w:p>
      <w:pPr>
        <w:ind w:left="440" w:right="20" w:firstLine="644"/>
        <w:spacing w:after="0" w:line="236" w:lineRule="auto"/>
        <w:tabs>
          <w:tab w:leader="none" w:pos="173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Section 4.8(a)(3)</w:t>
      </w:r>
      <w:r>
        <w:rPr>
          <w:rFonts w:ascii="Times New Roman" w:cs="Times New Roman" w:eastAsia="Times New Roman" w:hAnsi="Times New Roman"/>
          <w:sz w:val="22"/>
          <w:szCs w:val="22"/>
          <w:color w:val="auto"/>
        </w:rPr>
        <w:t xml:space="preserve"> above, encumbrances or restrictions permitted to be incurred under the provisions of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that limit the right of the debtor to dispose of the assets securing such Indebtedness;</w:t>
      </w:r>
    </w:p>
    <w:p>
      <w:pPr>
        <w:spacing w:after="0" w:line="150"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imposed under any agreement to sell Equity Interests or assets, as permitted under this Indenture, to any Person pending the closing of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020"/>
          </w:cols>
          <w:pgMar w:left="540" w:top="1395" w:right="339" w:bottom="1440" w:gutter="0" w:footer="0" w:header="0"/>
        </w:sectPr>
      </w:pPr>
    </w:p>
    <w:bookmarkStart w:id="62" w:name="page63"/>
    <w:bookmarkEnd w:id="62"/>
    <w:p>
      <w:pPr>
        <w:jc w:val="both"/>
        <w:ind w:left="660" w:firstLine="644"/>
        <w:spacing w:after="0" w:line="210" w:lineRule="auto"/>
        <w:tabs>
          <w:tab w:leader="none" w:pos="195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resulting from any other agreement governing Indebtedness or other obligations entered into after the Issue Date that contains encumbrances and restrictions that in the good faith judgment of the Issuer are not materially more restrictive, taken as a whole, with respect to any Restricted Subsidiary than those in effect on the Issue Date pursuant to agreements in effect on the Issue Date or those contained in this Indenture, the Notes and the Guarantees or</w:t>
      </w:r>
    </w:p>
    <w:p>
      <w:pPr>
        <w:spacing w:after="0" w:line="2" w:lineRule="exact"/>
        <w:rPr>
          <w:rFonts w:ascii="Times New Roman" w:cs="Times New Roman" w:eastAsia="Times New Roman" w:hAnsi="Times New Roman"/>
          <w:sz w:val="22"/>
          <w:szCs w:val="22"/>
          <w:color w:val="auto"/>
        </w:rPr>
      </w:pPr>
    </w:p>
    <w:p>
      <w:pPr>
        <w:jc w:val="both"/>
        <w:ind w:left="660" w:hanging="4"/>
        <w:spacing w:after="0" w:line="228" w:lineRule="auto"/>
        <w:tabs>
          <w:tab w:leader="none" w:pos="101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31" w:lineRule="auto"/>
        <w:tabs>
          <w:tab w:leader="none" w:pos="194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customary provisions in partnership agreements, limited liability company organizational governance documents, joint venture agreements, shareholder agreements, bye-laws and other similar agreements entered into or adopted in the ordinary course of business that restrict the disposition or distribution of ownership interests in or assets of such partnership, limited liability company, joint venture, corporation, company or similar Person;</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resulting from any agreement governing Purchase Money Indebtedness and any Refinancing Indebtedness in respect thereof incurred in compliance with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that imposes restrictions of the nature described in </w:t>
      </w:r>
      <w:r>
        <w:rPr>
          <w:rFonts w:ascii="Times New Roman" w:cs="Times New Roman" w:eastAsia="Times New Roman" w:hAnsi="Times New Roman"/>
          <w:sz w:val="22"/>
          <w:szCs w:val="22"/>
          <w:u w:val="single" w:color="auto"/>
          <w:color w:val="auto"/>
        </w:rPr>
        <w:t>Section 4.8(a)(3)</w:t>
      </w:r>
      <w:r>
        <w:rPr>
          <w:rFonts w:ascii="Times New Roman" w:cs="Times New Roman" w:eastAsia="Times New Roman" w:hAnsi="Times New Roman"/>
          <w:sz w:val="22"/>
          <w:szCs w:val="22"/>
          <w:color w:val="auto"/>
        </w:rPr>
        <w:t xml:space="preserve"> on the assets acquired;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cash or other deposits or net worth imposed by customers, suppliers or landlords under contracts entered into in the ordinary course of business;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 Unrestricted Subsidiary or Equity Interests thereof pursuant to or by reason of an agreement that the Unrestricted Subsidiary is a party to entered into before the date on which such Unrestricted Subsidiary became a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was not entered into in anticipation of the Unrestricted Subsidiary becoming a Restricted Subsidiary (other than with respect to any refinancing indebtedness incurred on terms substantially consistent with the indebtedness being refinanced) and any such encumbrance or restriction shall not extend to any assets or property of the Parent Guarantor or any other Restricted Subsidiary other than the assets and property so acquired;</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Foreign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Parent Guarantor, whose determination shall be conclusive;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contained in Standard Securitization Undertakings; and</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supermajority voting requirements existing under corporate charters, by-laws, stockholders agreements and similar documents and agreements.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repairs, attachments or accessions thereto, assets and property affixed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63" w:name="page64"/>
    <w:bookmarkEnd w:id="63"/>
    <w:p>
      <w:pPr>
        <w:spacing w:after="0" w:line="236" w:lineRule="auto"/>
        <w:rPr>
          <w:sz w:val="20"/>
          <w:szCs w:val="20"/>
          <w:color w:val="auto"/>
        </w:rPr>
      </w:pPr>
      <w:r>
        <w:rPr>
          <w:rFonts w:ascii="Times New Roman" w:cs="Times New Roman" w:eastAsia="Times New Roman" w:hAnsi="Times New Roman"/>
          <w:sz w:val="22"/>
          <w:szCs w:val="22"/>
          <w:color w:val="auto"/>
        </w:rPr>
        <w:t>or appurtenant thereto, parts, replacements and substitutions therefor, and all products and proceeds thereof, including dividends, distributions, interest and increases in respect thereof.</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4.9</w:t>
      </w:r>
      <w:r>
        <w:rPr>
          <w:sz w:val="20"/>
          <w:szCs w:val="20"/>
          <w:color w:val="auto"/>
        </w:rPr>
        <w:tab/>
      </w:r>
      <w:r>
        <w:rPr>
          <w:rFonts w:ascii="Times New Roman" w:cs="Times New Roman" w:eastAsia="Times New Roman" w:hAnsi="Times New Roman"/>
          <w:sz w:val="21"/>
          <w:szCs w:val="21"/>
          <w:u w:val="single" w:color="auto"/>
          <w:color w:val="auto"/>
        </w:rPr>
        <w:t>Limitation on Additional Indebtedness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Guarantor shall not, and shall not permit any Restricted Subsidiary to, directly or indirectly, incur any Indebtedness (including Acquired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Parent Guarantor and any of its Restricted Subsidiaries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w:t>
      </w:r>
      <w:r>
        <w:rPr>
          <w:rFonts w:ascii="Times New Roman" w:cs="Times New Roman" w:eastAsia="Times New Roman" w:hAnsi="Times New Roman"/>
          <w:sz w:val="22"/>
          <w:szCs w:val="22"/>
          <w:i w:val="1"/>
          <w:iCs w:val="1"/>
          <w:color w:val="auto"/>
        </w:rPr>
        <w:t>Coverage Ratio Exception</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each of the following incurrences of Indebtedness shall be permitted (the “</w:t>
      </w:r>
      <w:r>
        <w:rPr>
          <w:rFonts w:ascii="Times New Roman" w:cs="Times New Roman" w:eastAsia="Times New Roman" w:hAnsi="Times New Roman"/>
          <w:sz w:val="22"/>
          <w:szCs w:val="22"/>
          <w:i w:val="1"/>
          <w:iCs w:val="1"/>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4.9(a)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Parent Guarantor or any Restricted Subsidiary under one or more Debt Facilities in an aggregate principal amount incurred under this </w:t>
      </w:r>
      <w:r>
        <w:rPr>
          <w:rFonts w:ascii="Times New Roman" w:cs="Times New Roman" w:eastAsia="Times New Roman" w:hAnsi="Times New Roman"/>
          <w:sz w:val="22"/>
          <w:szCs w:val="22"/>
          <w:u w:val="single" w:color="auto"/>
          <w:color w:val="auto"/>
        </w:rPr>
        <w:t>Section 4.9(b)(1)</w:t>
      </w:r>
      <w:r>
        <w:rPr>
          <w:rFonts w:ascii="Times New Roman" w:cs="Times New Roman" w:eastAsia="Times New Roman" w:hAnsi="Times New Roman"/>
          <w:sz w:val="22"/>
          <w:szCs w:val="22"/>
          <w:color w:val="auto"/>
        </w:rPr>
        <w:t xml:space="preserve"> and at any time outstanding, including the issuance and creation of letters of credit, bank guarantees, bankers’ acceptances and similar instruments thereunder (with letters of credit, bank guarantees, bankers’ acceptances and similar instruments being deemed to have a principal amount equal to the face amount thereof) not to exceed the greater of (A) $1,150.0 million and (B) 22.5% of the Parent Guarantor’s Consolidated Total Assets determined at the time of incurrence;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represented by (A) the Notes issued on the Issue Date (excluding any Additional Notes) and</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Guarantees of the Notes;</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Parent Guarantor and its Restricted Subsidiaries to the extent outstanding on the Issue Date (other than Indebtedness referred to in clauses (1) and (2) of this </w:t>
      </w:r>
      <w:r>
        <w:rPr>
          <w:rFonts w:ascii="Times New Roman" w:cs="Times New Roman" w:eastAsia="Times New Roman" w:hAnsi="Times New Roman"/>
          <w:sz w:val="22"/>
          <w:szCs w:val="22"/>
          <w:u w:val="single" w:color="auto"/>
          <w:color w:val="auto"/>
        </w:rPr>
        <w:t>Section 4.9(b)</w:t>
      </w:r>
      <w:r>
        <w:rPr>
          <w:rFonts w:ascii="Times New Roman" w:cs="Times New Roman" w:eastAsia="Times New Roman" w:hAnsi="Times New Roman"/>
          <w:sz w:val="22"/>
          <w:szCs w:val="22"/>
          <w:color w:val="auto"/>
        </w:rPr>
        <w:t>), including the Existing Notes outstanding on the Issue Date and guarantees thereof;</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Parent Guarantor or any Restricted Subsidiary of Indebtedness permitted to be incurred in accordance with the provisions of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such Indebtedness that is being guaranteed is Subordinated Indebtedness, then the related guarantee shall be subordinated in right of payment to the Notes or Guarantee, as applicable;</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Hedging Obligations entered into for bona fide hedging purposes of the Parent Guarantor or any Restricted Subsidiary and not for the purpose of speculation;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Parent Guarantor owed to and held by a Restricted Subsidiary and Indebtedness of any Restricted Subsidiary owed to and held by the Parent Guarantor or any other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5"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Issuer or a Guarantor is the obligor on such Indebtedness and a Restricted Subsidiary that is not a Guarantor is the obligee, such Indebtedness is subordinated in right of payment to the Notes or Guarantee of such Guarantor, as applicable; and</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87"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subsequent issuance or transfer of Equity Interests or any other event which results in any such Indebtedness being held by a Person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64" w:name="page65"/>
    <w:bookmarkEnd w:id="64"/>
    <w:p>
      <w:pPr>
        <w:jc w:val="both"/>
        <w:ind w:left="1080"/>
        <w:spacing w:after="0" w:line="225" w:lineRule="auto"/>
        <w:rPr>
          <w:sz w:val="20"/>
          <w:szCs w:val="20"/>
          <w:color w:val="auto"/>
        </w:rPr>
      </w:pPr>
      <w:r>
        <w:rPr>
          <w:rFonts w:ascii="Times New Roman" w:cs="Times New Roman" w:eastAsia="Times New Roman" w:hAnsi="Times New Roman"/>
          <w:sz w:val="22"/>
          <w:szCs w:val="22"/>
          <w:color w:val="auto"/>
        </w:rPr>
        <w:t>than the Parent Guarantor or any other Restricted Subsidiary; and (ii) any sale or other transfer of any such Indebtedness to a Person other than the Parent Guarantor or any other Restricted Subsidiary shall be deemed, in each case of this subclause (B), to constitute an incurrence of such Indebtedness not permitted by this clause (6);</w:t>
      </w:r>
    </w:p>
    <w:p>
      <w:pPr>
        <w:spacing w:after="0" w:line="152" w:lineRule="exact"/>
        <w:rPr>
          <w:sz w:val="20"/>
          <w:szCs w:val="20"/>
          <w:color w:val="auto"/>
        </w:rPr>
      </w:pPr>
    </w:p>
    <w:p>
      <w:pPr>
        <w:jc w:val="both"/>
        <w:ind w:left="440" w:firstLine="644"/>
        <w:spacing w:after="0" w:line="209" w:lineRule="auto"/>
        <w:tabs>
          <w:tab w:leader="none" w:pos="173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(a) workers’ compensation claims, bank guarantees, warehouse receipt or similar facilities, property, casualty or liability insurance, statutory obligations, take-or-pay obligations in supply arrangements, self-insurance obligations or completion, bids, trade contracts, performance bonds, bid bonds, appeal or surety bonds and similar obligations, in each case provided in the ordinary course of business, including guarantees or obligations with respect to letters of credit supporting such workers’ compensation claims, bank guarantees, warehouse receipt or similar facilities, property, casualty or liability insurance, letters of credit supporting performance of other obligations, bankers’ acceptances and similar instruments in the ordinary course of business, statutory obligations, take-or-pay obligations in supply arrangements, self-insurance obligations or completion, performance, bids, trade contracts, performance bonds, bid bonds, performance, trade secrets, leases, appeal, customs, advance payments or surety bonds and similar obligations, (b) letters of credit, letters of guaranty, bankers’ acceptances and similar credit transactions undertaken in connection with commercial transactions in the ordinary course of business and (c) pension schemes and pension plans sponsored by the Parent Guarantor or its Restricted Subsidiaries for the benefit of past, current or future employees;</w:t>
      </w:r>
    </w:p>
    <w:p>
      <w:pPr>
        <w:spacing w:after="0" w:line="160" w:lineRule="exact"/>
        <w:rPr>
          <w:rFonts w:ascii="Times New Roman" w:cs="Times New Roman" w:eastAsia="Times New Roman" w:hAnsi="Times New Roman"/>
          <w:sz w:val="22"/>
          <w:szCs w:val="22"/>
          <w:color w:val="auto"/>
        </w:rPr>
      </w:pPr>
    </w:p>
    <w:p>
      <w:pPr>
        <w:jc w:val="both"/>
        <w:ind w:left="440" w:firstLine="644"/>
        <w:spacing w:after="0" w:line="212" w:lineRule="auto"/>
        <w:tabs>
          <w:tab w:leader="none" w:pos="173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Indebtedness or Finance Lease Obligations incurred by the Parent Guarantor or any Restricted Subsidiary in an aggregate principal amount incurred under this </w:t>
      </w:r>
      <w:r>
        <w:rPr>
          <w:rFonts w:ascii="Times New Roman" w:cs="Times New Roman" w:eastAsia="Times New Roman" w:hAnsi="Times New Roman"/>
          <w:sz w:val="22"/>
          <w:szCs w:val="22"/>
          <w:u w:val="single" w:color="auto"/>
          <w:color w:val="auto"/>
        </w:rPr>
        <w:t>Section 4.9(b)(8)</w:t>
      </w:r>
      <w:r>
        <w:rPr>
          <w:rFonts w:ascii="Times New Roman" w:cs="Times New Roman" w:eastAsia="Times New Roman" w:hAnsi="Times New Roman"/>
          <w:sz w:val="22"/>
          <w:szCs w:val="22"/>
          <w:color w:val="auto"/>
        </w:rPr>
        <w:t>, taken together with Refinancing Indebtedness in respect thereof, not to exceed at any time outstanding the greater of (A) $250.0 million and</w:t>
      </w:r>
    </w:p>
    <w:p>
      <w:pPr>
        <w:spacing w:after="0" w:line="1" w:lineRule="exact"/>
        <w:rPr>
          <w:rFonts w:ascii="Times New Roman" w:cs="Times New Roman" w:eastAsia="Times New Roman" w:hAnsi="Times New Roman"/>
          <w:sz w:val="22"/>
          <w:szCs w:val="22"/>
          <w:color w:val="auto"/>
        </w:rPr>
      </w:pPr>
    </w:p>
    <w:p>
      <w:pPr>
        <w:ind w:left="780" w:hanging="344"/>
        <w:spacing w:after="0"/>
        <w:tabs>
          <w:tab w:leader="none" w:pos="7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Parent Guarantor’s Consolidated Total Assets determined at the time of incurrence;</w:t>
      </w:r>
    </w:p>
    <w:p>
      <w:pPr>
        <w:spacing w:after="0" w:line="155"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3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in connection with endorsement of instruments for deposit in the ordinary course of</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55" w:lineRule="exact"/>
        <w:rPr>
          <w:rFonts w:ascii="Times New Roman" w:cs="Times New Roman" w:eastAsia="Times New Roman" w:hAnsi="Times New Roman"/>
          <w:sz w:val="22"/>
          <w:szCs w:val="22"/>
          <w:color w:val="auto"/>
        </w:rPr>
      </w:pPr>
    </w:p>
    <w:p>
      <w:pPr>
        <w:ind w:left="440" w:firstLine="644"/>
        <w:spacing w:after="0" w:line="255" w:lineRule="auto"/>
        <w:tabs>
          <w:tab w:leader="none" w:pos="172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Refinancing Indebtedness with respect to Indebtedness incurred pursuant to the Coverage Ratio Exception or with respect to Indebtedness incurred pursuant to clause (2), (3), (8), (11), (13), (16) or (17) of this </w:t>
      </w:r>
      <w:r>
        <w:rPr>
          <w:rFonts w:ascii="Times New Roman" w:cs="Times New Roman" w:eastAsia="Times New Roman" w:hAnsi="Times New Roman"/>
          <w:sz w:val="21"/>
          <w:szCs w:val="21"/>
          <w:u w:val="single" w:color="auto"/>
          <w:color w:val="auto"/>
        </w:rPr>
        <w:t>Section 4.9(b)</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left="440" w:firstLine="644"/>
        <w:spacing w:after="0" w:line="217" w:lineRule="auto"/>
        <w:tabs>
          <w:tab w:leader="none" w:pos="173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Indebtedness of the Parent Guarantor or any Restricted Subsidiary in an aggregate principal amount incurred under this </w:t>
      </w:r>
      <w:r>
        <w:rPr>
          <w:rFonts w:ascii="Times New Roman" w:cs="Times New Roman" w:eastAsia="Times New Roman" w:hAnsi="Times New Roman"/>
          <w:sz w:val="22"/>
          <w:szCs w:val="22"/>
          <w:u w:val="single" w:color="auto"/>
          <w:color w:val="auto"/>
        </w:rPr>
        <w:t>Section 4.9(b)(13)</w:t>
      </w:r>
      <w:r>
        <w:rPr>
          <w:rFonts w:ascii="Times New Roman" w:cs="Times New Roman" w:eastAsia="Times New Roman" w:hAnsi="Times New Roman"/>
          <w:sz w:val="22"/>
          <w:szCs w:val="22"/>
          <w:color w:val="auto"/>
        </w:rPr>
        <w:t>, taken together with Refinancing Indebtedness in respect thereof, not to exceed at any time outstanding the greater of (a) $500.0 million and (b) 5.0% of the Parent Guarantor’s Consolidated Total Assets determined at the time of incurrence;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020"/>
          </w:cols>
          <w:pgMar w:left="540" w:top="1395" w:right="339" w:bottom="1440" w:gutter="0" w:footer="0" w:header="0"/>
        </w:sectPr>
      </w:pPr>
    </w:p>
    <w:bookmarkStart w:id="65" w:name="page66"/>
    <w:bookmarkEnd w:id="65"/>
    <w:p>
      <w:pPr>
        <w:ind w:left="1720" w:hanging="636"/>
        <w:spacing w:after="0"/>
        <w:tabs>
          <w:tab w:leader="none" w:pos="17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Specified Cash Management Agreements entered into in the ordinary course of</w:t>
      </w:r>
    </w:p>
    <w:p>
      <w:pPr>
        <w:ind w:left="4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business;</w:t>
      </w:r>
    </w:p>
    <w:p>
      <w:pPr>
        <w:spacing w:after="0" w:line="155" w:lineRule="exact"/>
        <w:rPr>
          <w:rFonts w:ascii="Times New Roman" w:cs="Times New Roman" w:eastAsia="Times New Roman" w:hAnsi="Times New Roman"/>
          <w:sz w:val="21"/>
          <w:szCs w:val="21"/>
          <w:color w:val="auto"/>
        </w:rPr>
      </w:pPr>
    </w:p>
    <w:p>
      <w:pPr>
        <w:ind w:left="440" w:firstLine="644"/>
        <w:spacing w:after="0" w:line="236" w:lineRule="auto"/>
        <w:tabs>
          <w:tab w:leader="none" w:pos="173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a Permitted Receivables Transaction that is not recourse to the Parent Guarantor or any Restricted Subsidiary (except for Standard Securitization Undertakings);</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11" w:lineRule="auto"/>
        <w:tabs>
          <w:tab w:leader="none" w:pos="173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Persons incurred and outstanding on the date on which such Person was acquired by the Parent Guarantor or any Restricted Subsidiary, or merged or consolidated with or into the Parent Guarantor or any Restricted Subsidiary or Indebtedness incurred by the Parent Guarantor or any Restricted Subsidiary to finance any such acquisition or merger;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at the time such Person or assets is/are acquired by the Parent Guarantor or a Restricted Subsidiary, or merged or consolidated with the Parent Guarantor or any Restricted Subsidiary and after giving pro forma effect to the incurrence of such Indebtedness pursuant to this </w:t>
      </w:r>
      <w:r>
        <w:rPr>
          <w:rFonts w:ascii="Times New Roman" w:cs="Times New Roman" w:eastAsia="Times New Roman" w:hAnsi="Times New Roman"/>
          <w:sz w:val="22"/>
          <w:szCs w:val="22"/>
          <w:u w:val="single" w:color="auto"/>
          <w:color w:val="auto"/>
        </w:rPr>
        <w:t>Section 4.9(b)(16)</w:t>
      </w:r>
      <w:r>
        <w:rPr>
          <w:rFonts w:ascii="Times New Roman" w:cs="Times New Roman" w:eastAsia="Times New Roman" w:hAnsi="Times New Roman"/>
          <w:sz w:val="22"/>
          <w:szCs w:val="22"/>
          <w:color w:val="auto"/>
        </w:rPr>
        <w:t xml:space="preserve"> and the application of proceeds therefrom,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51"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Disqualified Equity Interests and Preferred Stock of Foreign Subsidiaries in an aggregate principal amount incurred under this </w:t>
      </w:r>
      <w:r>
        <w:rPr>
          <w:rFonts w:ascii="Times New Roman" w:cs="Times New Roman" w:eastAsia="Times New Roman" w:hAnsi="Times New Roman"/>
          <w:sz w:val="22"/>
          <w:szCs w:val="22"/>
          <w:u w:val="single" w:color="auto"/>
          <w:color w:val="auto"/>
        </w:rPr>
        <w:t>Section 4.9(b)(17)</w:t>
      </w:r>
      <w:r>
        <w:rPr>
          <w:rFonts w:ascii="Times New Roman" w:cs="Times New Roman" w:eastAsia="Times New Roman" w:hAnsi="Times New Roman"/>
          <w:sz w:val="22"/>
          <w:szCs w:val="22"/>
          <w:color w:val="auto"/>
        </w:rPr>
        <w:t>, taken together with Refinancing Indebtedness in respect thereof, not to exceed at any time outstanding the greater of (x) $75.0 million or (y) 1.5% of the Parent Guarantor’s Consolidated Total Assets (measured at the time of incurrence or issuance);</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5" w:lineRule="auto"/>
        <w:tabs>
          <w:tab w:leader="none" w:pos="173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Disqualified Equity Interests and Preferred Stock incurred or Disqualified Equity Interests or Preferred Stock issued on behalf, or representing guarantees of Indebtedness incurred or Disqualified Equity Interests of Preferred Stock issued by, joint ventures, in an aggregate principal amount incurred under this </w:t>
      </w:r>
      <w:r>
        <w:rPr>
          <w:rFonts w:ascii="Times New Roman" w:cs="Times New Roman" w:eastAsia="Times New Roman" w:hAnsi="Times New Roman"/>
          <w:sz w:val="22"/>
          <w:szCs w:val="22"/>
          <w:u w:val="single" w:color="auto"/>
          <w:color w:val="auto"/>
        </w:rPr>
        <w:t>Section 4.9(b)(18)</w:t>
      </w:r>
      <w:r>
        <w:rPr>
          <w:rFonts w:ascii="Times New Roman" w:cs="Times New Roman" w:eastAsia="Times New Roman" w:hAnsi="Times New Roman"/>
          <w:sz w:val="22"/>
          <w:szCs w:val="22"/>
          <w:color w:val="auto"/>
        </w:rPr>
        <w:t>, taken together with Refinancing Indebtedness in respect thereof, not to exceed at any time outstanding the greater of (x) $75.0 million or (y) 1.5% of the Parent Guarantor’s Consolidated Total Assets (measured at the time of incurrence or issuance); and</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financing of insurance premiums.</w:t>
      </w:r>
    </w:p>
    <w:p>
      <w:pPr>
        <w:spacing w:after="0" w:line="179" w:lineRule="exact"/>
        <w:rPr>
          <w:rFonts w:ascii="Times New Roman" w:cs="Times New Roman" w:eastAsia="Times New Roman" w:hAnsi="Times New Roman"/>
          <w:sz w:val="22"/>
          <w:szCs w:val="22"/>
          <w:color w:val="auto"/>
        </w:rPr>
      </w:pPr>
    </w:p>
    <w:p>
      <w:pPr>
        <w:jc w:val="both"/>
        <w:ind w:left="-220" w:firstLine="656"/>
        <w:spacing w:after="0" w:line="210" w:lineRule="auto"/>
        <w:tabs>
          <w:tab w:leader="none" w:pos="107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4.9(c)</w:t>
      </w:r>
      <w:r>
        <w:rPr>
          <w:rFonts w:ascii="Times New Roman" w:cs="Times New Roman" w:eastAsia="Times New Roman" w:hAnsi="Times New Roman"/>
          <w:sz w:val="22"/>
          <w:szCs w:val="22"/>
          <w:color w:val="auto"/>
        </w:rPr>
        <w:t>, in the event that an item of Indebtedness meets the criteria of more than one of the categories of Permitted Indebtedness described in clauses (1) through (19) above, or is entitled to be incurred pursuant to the Coverage Ratio Exception, the Parent Guarantor will be permitted, in its sole discretion, to divide and classify such item of Indebtedness, or later reclassify all or a portion of such item of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reclassification it meets the criteria in such category or categories), in any manner that complies with this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that </w:t>
      </w:r>
      <w:r>
        <w:rPr>
          <w:rFonts w:ascii="Times New Roman" w:cs="Times New Roman" w:eastAsia="Times New Roman" w:hAnsi="Times New Roman"/>
          <w:sz w:val="22"/>
          <w:szCs w:val="22"/>
          <w:color w:val="auto"/>
        </w:rPr>
        <w:t>Indebtedness incurred under the Revolving Credit Facility on the Issue Date shall be deemed to have been incurred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clause (1) above and may not be reclassified. In addition, for purposes of determining any particular amount of Indebtedness under this </w:t>
      </w:r>
      <w:r>
        <w:rPr>
          <w:rFonts w:ascii="Times New Roman" w:cs="Times New Roman" w:eastAsia="Times New Roman" w:hAnsi="Times New Roman"/>
          <w:sz w:val="22"/>
          <w:szCs w:val="22"/>
          <w:u w:val="single" w:color="auto"/>
          <w:color w:val="auto"/>
        </w:rPr>
        <w:t>Section 4.9(c)</w:t>
      </w:r>
      <w:r>
        <w:rPr>
          <w:rFonts w:ascii="Times New Roman" w:cs="Times New Roman" w:eastAsia="Times New Roman" w:hAnsi="Times New Roman"/>
          <w:sz w:val="22"/>
          <w:szCs w:val="22"/>
          <w:color w:val="auto"/>
        </w:rPr>
        <w:t>, (i) guarantees, liens, or obligations with respect to letters of credit, bank guarantees, bankers’ acceptances and similar instruments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020"/>
          </w:cols>
          <w:pgMar w:left="540" w:top="1393" w:right="339" w:bottom="1440" w:gutter="0" w:footer="0" w:header="0"/>
        </w:sectPr>
      </w:pPr>
    </w:p>
    <w:bookmarkStart w:id="66" w:name="page67"/>
    <w:bookmarkEnd w:id="66"/>
    <w:p>
      <w:pPr>
        <w:jc w:val="both"/>
        <w:ind w:left="-220" w:firstLine="656"/>
        <w:spacing w:after="0" w:line="220" w:lineRule="auto"/>
        <w:tabs>
          <w:tab w:leader="none" w:pos="107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in each such case, that the amount thereof is included in Consolidated Interest Expense of the Parent Guarantor as accrued.</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such Indebtedness is incurred to refinance other Indebtedness denominated in a foreign currency, and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57" w:lineRule="exact"/>
        <w:rPr>
          <w:rFonts w:ascii="Times New Roman" w:cs="Times New Roman" w:eastAsia="Times New Roman" w:hAnsi="Times New Roman"/>
          <w:sz w:val="21"/>
          <w:szCs w:val="21"/>
          <w:color w:val="auto"/>
        </w:rPr>
      </w:pPr>
    </w:p>
    <w:p>
      <w:pPr>
        <w:jc w:val="both"/>
        <w:ind w:left="-220" w:firstLine="656"/>
        <w:spacing w:after="0" w:line="225" w:lineRule="auto"/>
        <w:tabs>
          <w:tab w:leader="none" w:pos="107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the Issuer shall be in Default of this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4.9(g)</w:t>
      </w:r>
      <w:r>
        <w:rPr>
          <w:rFonts w:ascii="Times New Roman" w:cs="Times New Roman" w:eastAsia="Times New Roman" w:hAnsi="Times New Roman"/>
          <w:sz w:val="21"/>
          <w:szCs w:val="21"/>
          <w:color w:val="auto"/>
        </w:rPr>
        <w:t>,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shall be deemed to have been incurred, issued or taken first, to the extent available, pursuant to the relevant ratio based test.</w:t>
      </w:r>
    </w:p>
    <w:p>
      <w:pPr>
        <w:spacing w:after="0" w:line="153" w:lineRule="exact"/>
        <w:rPr>
          <w:rFonts w:ascii="Times New Roman" w:cs="Times New Roman" w:eastAsia="Times New Roman" w:hAnsi="Times New Roman"/>
          <w:sz w:val="21"/>
          <w:szCs w:val="21"/>
          <w:color w:val="auto"/>
        </w:rPr>
      </w:pPr>
    </w:p>
    <w:p>
      <w:pPr>
        <w:jc w:val="both"/>
        <w:ind w:left="-220" w:firstLine="656"/>
        <w:spacing w:after="0" w:line="209" w:lineRule="auto"/>
        <w:tabs>
          <w:tab w:leader="none" w:pos="107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Indebtedness is incurred in reliance on a basket measured by reference to the Consolidated Total Debt Ratio or a percentage of Consolidated Total Assets, and any refinancing thereof would cause the Consolidated Total Debt Ratio or the percentage of Consolidated Total Assets to be exceeded if calculated based on the Consolidated Total Debt Ratio or Consolidated Total Assets, as applicable, on the date of such refinancing, such Consolidated Total Debt Ratio or percentage of Consolidated Total Assets, as applicable, will not be deemed to be exceeded to the extent the principal amount of such newly incurred Indebtedness does not exceed the sum of (i) the principal amount of such Indebtedness being refinanced, extended, replaced, refunded, renewed or defeased, plus (ii) any accrued and unpaid interest on the Indebtedness (or any accrued and unpaid dividends on the Preferred Stock and any accrued and unpaid dividends on the Disqualified Equity Interests, as applicable) being so refinanced, extended, replaced, refunded, renewed or defeased, plus (iii)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020"/>
          </w:cols>
          <w:pgMar w:left="540" w:top="1395" w:right="339" w:bottom="1440" w:gutter="0" w:footer="0" w:header="0"/>
        </w:sectPr>
      </w:pPr>
    </w:p>
    <w:bookmarkStart w:id="67" w:name="page68"/>
    <w:bookmarkEnd w:id="67"/>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Limitation on Asset Sales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220" w:firstLine="656"/>
        <w:spacing w:after="0" w:line="236" w:lineRule="auto"/>
        <w:tabs>
          <w:tab w:leader="none" w:pos="107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shall not, and shall not permit any Restricted Subsidiary to, directly or indirectly, consummate any Asset Sale unless:</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or such Restricted Subsidiary, as the case may be, receives consideration (including by way of relief from, or by any Person assuming responsibility for, any liability, contingent or otherwise, in connection with the Asset Sale) at least equal to the Fair Market Value (such Fair Market Value to be determined on the date of contractually agreeing to such Asset Sale) of the Equity Interests or assets subject to such Asset Sale; and</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Asset Swap, at least 75.0% of the total consideration from such Asset Sale and all other Asset Sales on a cumulative basis since the Issue Date received by the Parent Guarantor or a Restricted Subsidiary, as the case may be, is in the form of cash or Cash Equivalents.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For purposes of clause (a)(2) above and for no other purpose, the following shall be deemed to be cash:</w:t>
      </w:r>
    </w:p>
    <w:p>
      <w:pPr>
        <w:spacing w:after="0" w:line="193" w:lineRule="exact"/>
        <w:rPr>
          <w:sz w:val="20"/>
          <w:szCs w:val="20"/>
          <w:color w:val="auto"/>
        </w:rPr>
      </w:pPr>
    </w:p>
    <w:p>
      <w:pPr>
        <w:jc w:val="both"/>
        <w:ind w:left="1080" w:firstLine="652"/>
        <w:spacing w:after="0" w:line="211" w:lineRule="auto"/>
        <w:tabs>
          <w:tab w:leader="none" w:pos="236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(without duplication) of any liabilities (as shown on the Parent Guarantor’s or such Restricted Subsidiary’s most recent balance sheet or in the notes thereto or, if incurred or accrued subsequent to the date of such balance sheet, such liabilities that would have been reflected on the Parent Guarantor’s or a Restricted Subsidiary’s consolidated balance sheet or in the notes thereto if such incurrence or accrual had taken place on or prior to the date of such balance sheet, as determined in good faith by the Issuer) of the Parent Guarantor or such Restricted Subsidiary that are cancelled, terminated, forgiven or expressly assumed by the transferee of any such assets pursuant to a written agreement that releases the Parent Guarantor or such Restricted Subsidiary from further liability therefor or indemnifies the Parent Guarantor or such Restricted Subsidiary against further liability;</w:t>
      </w:r>
    </w:p>
    <w:p>
      <w:pPr>
        <w:spacing w:after="0" w:line="158"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6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securities, notes or other obligations received from such transferee that are within 180 days after such Asset Sale converted by the Parent Guarantor or such Restricted Subsidiary into cash (to the extent of the cash actually so received);</w:t>
      </w:r>
    </w:p>
    <w:p>
      <w:pPr>
        <w:spacing w:after="0" w:line="152"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assets or Equity Interests of the kind referred to in </w:t>
      </w:r>
      <w:r>
        <w:rPr>
          <w:rFonts w:ascii="Times New Roman" w:cs="Times New Roman" w:eastAsia="Times New Roman" w:hAnsi="Times New Roman"/>
          <w:sz w:val="22"/>
          <w:szCs w:val="22"/>
          <w:u w:val="single" w:color="auto"/>
          <w:color w:val="auto"/>
        </w:rPr>
        <w:t>Section 4.10(b)(2)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36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receivable of a business retained by the Parent Guarantor or any Restricted Subsidiary, as the case may be, following the sale of such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accounts receivable (i) are not past due more than 60 days and (ii) do not have a payment date greater than 90 days from the date of the invoices creating such accounts receivable; and</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17" w:lineRule="auto"/>
        <w:tabs>
          <w:tab w:leader="none" w:pos="236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Designated Non-cash Consideration received by the Parent Guarantor or such Restricted Subsidiary in such Asset Sale having an aggregate Fair Market Value, taken together with all other Designated Non-cash Consideration received pursuant to this clause (E), not to exceed an amount equal to the greater of (i) $150.0 million and (ii) 3.0% of the Parent Guarantor’s Consolidated Total Assets (determined at the time of receipt of such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020"/>
          </w:cols>
          <w:pgMar w:left="540" w:top="1395" w:right="339" w:bottom="1440" w:gutter="0" w:footer="0" w:header="0"/>
        </w:sectPr>
      </w:pPr>
    </w:p>
    <w:bookmarkStart w:id="68" w:name="page69"/>
    <w:bookmarkEnd w:id="68"/>
    <w:p>
      <w:pPr>
        <w:ind w:left="1300"/>
        <w:spacing w:after="0" w:line="236" w:lineRule="auto"/>
        <w:rPr>
          <w:sz w:val="20"/>
          <w:szCs w:val="20"/>
          <w:color w:val="auto"/>
        </w:rPr>
      </w:pPr>
      <w:r>
        <w:rPr>
          <w:rFonts w:ascii="Times New Roman" w:cs="Times New Roman" w:eastAsia="Times New Roman" w:hAnsi="Times New Roman"/>
          <w:sz w:val="22"/>
          <w:szCs w:val="22"/>
          <w:color w:val="auto"/>
        </w:rPr>
        <w:t>Non-cash Consideration), with the Fair Market Value of each item of Designated Non-cash Consideration being measured at the time received and without giving effect to subsequent changes in value.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In the case of any Asset Sale pursuant to a condemnation, seizure, appropriation or similar taking, including by deed in lieu of condemnation, or any actual or constructive total loss or an agreed or compromised total loss, such Asset Sale shall not be required to satisfy the requirements of clauses (1) and (2) of this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56"/>
        <w:spacing w:after="0" w:line="225" w:lineRule="auto"/>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Parent Guarantor or any Restricted Subsidiary engages in an Asset Sale, the Parent Guarantor or such Restricted Subsidiary may, no later than 365 days following the receipt of any Net Available Proceeds therefrom, apply all or any of the Net Available Proceeds therefrom to:</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repay, repurchase, redeem, defease or otherwise retire any Indebtedness of the Parent Guarantor or a Restricted Subsidiary (other than any Subordinated Indebtedness of the Parent Guarantor, the Issuer or a Subsidiary Guarantor, and other than Indebtedness owed to the Parent Guarantor or an Affiliate of the Parent Guarantor);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to make any capital expenditure not prohibited under this Indenture or otherwise acquire any assets used or useful in a Permitted Business, (B) acquire Qualified Equity Interests held by a Person other than the Parent Guarantor or any of its Restricted Subsidiaries in a Person engaged in a Permitted Business that shall become a Restricted Subsidiary immediately upon the consummation of such acquisition or (C) a combination of (A) and (B);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requirements of this </w:t>
      </w:r>
      <w:r>
        <w:rPr>
          <w:rFonts w:ascii="Times New Roman" w:cs="Times New Roman" w:eastAsia="Times New Roman" w:hAnsi="Times New Roman"/>
          <w:sz w:val="22"/>
          <w:szCs w:val="22"/>
          <w:u w:val="single" w:color="auto"/>
          <w:color w:val="auto"/>
        </w:rPr>
        <w:t>Section 4.10(b)(2)</w:t>
      </w:r>
      <w:r>
        <w:rPr>
          <w:rFonts w:ascii="Times New Roman" w:cs="Times New Roman" w:eastAsia="Times New Roman" w:hAnsi="Times New Roman"/>
          <w:sz w:val="22"/>
          <w:szCs w:val="22"/>
          <w:color w:val="auto"/>
        </w:rPr>
        <w:t xml:space="preserve"> shall be deemed to be satisfied with respect to any Asset Sale if the Parent Guarantor or any Restricted Subsidiary enters into an agreement committing to make the acquisition, investment or expenditure referred to above within 365 days after the receipt of such Net Available Proceeds with the good faith expectation that such Net Available Proceeds will be applied to satisfy such commitment in accordance with such agreement within 180 days after such 365-day period, and if such Net Available Proceeds are not so applied within such 180-day period, then such Net Available Proceeds shall constitute Excess Proceeds (as defined below).</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amount of Net Available Proceeds not applied or invested as provided in clauses (1) or (2) of this </w:t>
      </w:r>
      <w:r>
        <w:rPr>
          <w:rFonts w:ascii="Times New Roman" w:cs="Times New Roman" w:eastAsia="Times New Roman" w:hAnsi="Times New Roman"/>
          <w:sz w:val="22"/>
          <w:szCs w:val="22"/>
          <w:u w:val="single" w:color="auto"/>
          <w:color w:val="auto"/>
        </w:rPr>
        <w:t>Section 4.10(b)</w:t>
      </w:r>
      <w:r>
        <w:rPr>
          <w:rFonts w:ascii="Times New Roman" w:cs="Times New Roman" w:eastAsia="Times New Roman" w:hAnsi="Times New Roman"/>
          <w:sz w:val="22"/>
          <w:szCs w:val="22"/>
          <w:color w:val="auto"/>
        </w:rPr>
        <w:t xml:space="preserve"> shall constitute “</w:t>
      </w:r>
      <w:r>
        <w:rPr>
          <w:rFonts w:ascii="Times New Roman" w:cs="Times New Roman" w:eastAsia="Times New Roman" w:hAnsi="Times New Roman"/>
          <w:sz w:val="22"/>
          <w:szCs w:val="22"/>
          <w:i w:val="1"/>
          <w:iCs w:val="1"/>
          <w:color w:val="auto"/>
        </w:rPr>
        <w:t>Excess Proceeds</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firstLine="656"/>
        <w:spacing w:after="0" w:line="210"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366th day after an Asset Sale (or, at the Issuer’s option, an earlier date), if the aggregate amount of Excess Proceeds equals or exceeds $50.0 million, the Issuer shall be required to make an offer to purchase or redeem (a “</w:t>
      </w:r>
      <w:r>
        <w:rPr>
          <w:rFonts w:ascii="Times New Roman" w:cs="Times New Roman" w:eastAsia="Times New Roman" w:hAnsi="Times New Roman"/>
          <w:sz w:val="22"/>
          <w:szCs w:val="22"/>
          <w:i w:val="1"/>
          <w:iCs w:val="1"/>
          <w:color w:val="auto"/>
        </w:rPr>
        <w:t>Net Proceeds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Offer</w:t>
      </w:r>
      <w:r>
        <w:rPr>
          <w:rFonts w:ascii="Times New Roman" w:cs="Times New Roman" w:eastAsia="Times New Roman" w:hAnsi="Times New Roman"/>
          <w:sz w:val="22"/>
          <w:szCs w:val="22"/>
          <w:color w:val="auto"/>
        </w:rPr>
        <w:t>”) from all Holders and, to the extent required by the terms of other Pari Passu Indebtedness of the Issuer, to all holders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Pari Passu Indebtedness outstanding with similar provisions requiring the Issuer to make an offer to purchase or redeem such Pari Passu Indebtedness with the proceeds from any Asset Sale to purchase or redeem the maximum principal amount of Notes and any such Pari Passu Indebtedness to which the Net Proceeds Offer applies that may be purchased or redeemed out of the Excess Proceeds, at an offer price in cash in an amount equal to 100.0% of the principal amount of Notes and Pari Passu Indebtedness plus accrued and unpaid interest thereon (or in the event such other Indebtedness was issued with original issue discount, 100% of the accreted value thereof), if any, to the date of purchase, in accordance with the procedures set forth in this Indenture or the agreements governing the Pari Passu Indebtedness, as applicable, in each case in minimum denominations of $2,000 or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69" w:name="page70"/>
    <w:bookmarkEnd w:id="69"/>
    <w:p>
      <w:pPr>
        <w:jc w:val="both"/>
        <w:ind w:left="-220" w:firstLine="656"/>
        <w:spacing w:after="0" w:line="208" w:lineRule="auto"/>
        <w:tabs>
          <w:tab w:leader="none" w:pos="107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(i) to the extent that any of or all the Net Available Proceeds of any Asset Sales is prohibited or delayed by applicable law, the portion of such Net Available Proceeds so affected will not be required to be applied in compliance with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and such amounts may be retained by the Parent Guarantor or Subsidiary, as applicable, so long, but only so long, as the applicable law will not permit repatriation (the Issuer hereby agreeing to use reasonable efforts (as determined in the Issuer’s good faith judgment) to, or otherwise cause the applicable entity to, promptly take all actions reasonably required by the applicable law to permit such repatriation), and once such repatriation of any of such affected Net Available Proceeds is permitted under the applicable law, such repatriation will be promptly effected and such repatriated Net Available Proceeds will be promptly (and in any event not later than five Business Days after such repatriation could be made) applied (net of additional taxes payable or reserved against as a result thereof) (whether or not repatriation actually occurs) in compliance with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and (ii) to the extent that the Issuer has determined in good faith that repatriation of any of or all the Net Available Proceeds of any such prohibited or delayed Asset Sale would have a material adverse tax cost consequence with respect to such Net Available Proceeds (which for the avoidance of doubt, may include, but is not limited to, any prepayment whereby doing so the Parent Guarantor, any Restricted Subsidiary or any of their respective Affiliates and/or equity interest holders would incur a tax liability, including as a result of a dividend or a deemed dividend, or a withholding tax), the Net Available Proceeds so affected may be retained by the applicable entity. The non-application of any prepayment amounts as a consequence of the foregoing provisions will not, for the avoidance of doubt, constitute a Default or an Event of Default. The Trustee shall be entitled to conclusively rely on an Officers’ Certificate from the Issuer to the effect that applicable law will not permit repatriation.</w:t>
      </w:r>
    </w:p>
    <w:p>
      <w:pPr>
        <w:spacing w:after="0" w:line="157" w:lineRule="exact"/>
        <w:rPr>
          <w:rFonts w:ascii="Times New Roman" w:cs="Times New Roman" w:eastAsia="Times New Roman" w:hAnsi="Times New Roman"/>
          <w:sz w:val="22"/>
          <w:szCs w:val="22"/>
          <w:color w:val="auto"/>
        </w:rPr>
      </w:pPr>
    </w:p>
    <w:p>
      <w:pPr>
        <w:jc w:val="both"/>
        <w:ind w:left="-220" w:firstLine="656"/>
        <w:spacing w:after="0" w:line="211" w:lineRule="auto"/>
        <w:tabs>
          <w:tab w:leader="none" w:pos="107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sum of the aggregate principal amount of Notes and Pari Passu Indebtedness so validly tendered pursuant to a Net Proceeds Offer is less than the Excess Proceeds, the Parent Guarantor or any Restricted Subsidiary may use any remaining Excess Proceeds, or a portion thereof, for any purposes not otherwise prohibited by the provisions of this Indenture. If the aggregate principal amount of Notes and Pari Passu Indebtedness so validly tendered pursuant to a Net Proceeds Offer exceeds the amount of Excess Proceeds, the Issuer shall select the Notes and Pari Passu Indebtedness to be purchased on a pro rata basis on the basis of the aggregate outstanding principal amount of Notes and Pari Passu Indebtedness (subject to adjustment to maintain the authorized denomination of the Notes). Upon completion of such Net Proceeds Offer in accordance with the foregoing provisions, the amount of Excess Proceeds with respect to which such Net Proceeds Offer was made shall be deemed to be zero.</w:t>
      </w:r>
    </w:p>
    <w:p>
      <w:pPr>
        <w:spacing w:after="0" w:line="158" w:lineRule="exact"/>
        <w:rPr>
          <w:rFonts w:ascii="Times New Roman" w:cs="Times New Roman" w:eastAsia="Times New Roman" w:hAnsi="Times New Roman"/>
          <w:sz w:val="22"/>
          <w:szCs w:val="22"/>
          <w:color w:val="auto"/>
        </w:rPr>
      </w:pPr>
    </w:p>
    <w:p>
      <w:pPr>
        <w:jc w:val="both"/>
        <w:ind w:left="-220" w:firstLine="656"/>
        <w:spacing w:after="0" w:line="215" w:lineRule="auto"/>
        <w:tabs>
          <w:tab w:leader="none" w:pos="107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Proceeds Offer will remain open for a period of 20 Business Days following its commencement, except to the extent that a longer period is required by applicable law (the “</w:t>
      </w:r>
      <w:r>
        <w:rPr>
          <w:rFonts w:ascii="Times New Roman" w:cs="Times New Roman" w:eastAsia="Times New Roman" w:hAnsi="Times New Roman"/>
          <w:sz w:val="22"/>
          <w:szCs w:val="22"/>
          <w:i w:val="1"/>
          <w:iCs w:val="1"/>
          <w:color w:val="auto"/>
        </w:rPr>
        <w:t>Net Proceeds Offer Period</w:t>
      </w:r>
      <w:r>
        <w:rPr>
          <w:rFonts w:ascii="Times New Roman" w:cs="Times New Roman" w:eastAsia="Times New Roman" w:hAnsi="Times New Roman"/>
          <w:sz w:val="22"/>
          <w:szCs w:val="22"/>
          <w:color w:val="auto"/>
        </w:rPr>
        <w:t>”). No later than five Business Days after the termination of the Net Proceeds Offer Period (the “</w:t>
      </w:r>
      <w:r>
        <w:rPr>
          <w:rFonts w:ascii="Times New Roman" w:cs="Times New Roman" w:eastAsia="Times New Roman" w:hAnsi="Times New Roman"/>
          <w:sz w:val="22"/>
          <w:szCs w:val="22"/>
          <w:i w:val="1"/>
          <w:iCs w:val="1"/>
          <w:color w:val="auto"/>
        </w:rPr>
        <w:t>Net Proceeds Purchase Date</w:t>
      </w:r>
      <w:r>
        <w:rPr>
          <w:rFonts w:ascii="Times New Roman" w:cs="Times New Roman" w:eastAsia="Times New Roman" w:hAnsi="Times New Roman"/>
          <w:sz w:val="22"/>
          <w:szCs w:val="22"/>
          <w:color w:val="auto"/>
        </w:rPr>
        <w:t xml:space="preserve">”), the Issuer will purchase the principal amount of Notes and Pari Passu Indebtedness required to be purchased pursuant to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Net Proceeds Offer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Amount</w:t>
      </w:r>
      <w:r>
        <w:rPr>
          <w:rFonts w:ascii="Times New Roman" w:cs="Times New Roman" w:eastAsia="Times New Roman" w:hAnsi="Times New Roman"/>
          <w:sz w:val="22"/>
          <w:szCs w:val="22"/>
          <w:color w:val="auto"/>
        </w:rPr>
        <w:t>”) or, if less than the Net Proceeds Offer Amount has been so validly tendered, all Notes and Pari Passu Indebtedness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validly tendered in response to the Net Proceeds Offer.</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Net Proceeds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Net Proceeds Offer.</w:t>
      </w:r>
    </w:p>
    <w:p>
      <w:pPr>
        <w:spacing w:after="0" w:line="152" w:lineRule="exact"/>
        <w:rPr>
          <w:rFonts w:ascii="Times New Roman" w:cs="Times New Roman" w:eastAsia="Times New Roman" w:hAnsi="Times New Roman"/>
          <w:sz w:val="22"/>
          <w:szCs w:val="22"/>
          <w:color w:val="auto"/>
        </w:rPr>
      </w:pPr>
    </w:p>
    <w:p>
      <w:pPr>
        <w:ind w:left="-220" w:right="20" w:firstLine="656"/>
        <w:spacing w:after="0" w:line="236" w:lineRule="auto"/>
        <w:tabs>
          <w:tab w:leader="none" w:pos="107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Pending the final application of any Net Available Proceeds pursuant to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the holder of such Net Available Proceeds may apply such Net Available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020"/>
          </w:cols>
          <w:pgMar w:left="540" w:top="1395" w:right="339" w:bottom="1440" w:gutter="0" w:footer="0" w:header="0"/>
        </w:sectPr>
      </w:pPr>
    </w:p>
    <w:bookmarkStart w:id="70" w:name="page71"/>
    <w:bookmarkEnd w:id="70"/>
    <w:p>
      <w:pPr>
        <w:spacing w:after="0" w:line="236" w:lineRule="auto"/>
        <w:rPr>
          <w:sz w:val="20"/>
          <w:szCs w:val="20"/>
          <w:color w:val="auto"/>
        </w:rPr>
      </w:pPr>
      <w:r>
        <w:rPr>
          <w:rFonts w:ascii="Times New Roman" w:cs="Times New Roman" w:eastAsia="Times New Roman" w:hAnsi="Times New Roman"/>
          <w:sz w:val="22"/>
          <w:szCs w:val="22"/>
          <w:color w:val="auto"/>
        </w:rPr>
        <w:t>temporarily to reduce Indebtedness outstanding under a revolving Debt Facility or otherwise invest such Net Available Proceeds in any manner not prohibited by this Indenture.</w:t>
      </w:r>
    </w:p>
    <w:p>
      <w:pPr>
        <w:spacing w:after="0" w:line="150" w:lineRule="exact"/>
        <w:rPr>
          <w:sz w:val="20"/>
          <w:szCs w:val="20"/>
          <w:color w:val="auto"/>
        </w:rPr>
      </w:pPr>
    </w:p>
    <w:p>
      <w:pPr>
        <w:jc w:val="both"/>
        <w:ind w:firstLine="656"/>
        <w:spacing w:after="0" w:line="219" w:lineRule="auto"/>
        <w:tabs>
          <w:tab w:leader="none" w:pos="128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before the Net Proceeds Purchase Date, the Issuer will, to the extent lawful, accept for payment, on a pro rata basis to the extent necessary, the Net Proceeds Offer Amount of Notes and Pari Passu Indebtedness or portions of Notes and Pari Passu Indebtedness so validly tendered and not properly withdrawn pursuant to the Net Proceeds Offer, or if less than the Net Proceeds Offer Amount has been validly tendered and not properly withdrawn, all Notes and Pari Passu Indebtedness so validly tendered and not properly withdrawn, in each case in minimum denominations of $2,000 and integral multiples of $1,000 in excess thereof. The Issuer or the Paying Agent, as the case may be, will promptly (but in any case not later than five Business Days after termination of the Net Proceeds Offer Period) mail or deliver to each tendering Holder and the Issuer will mail or deliver to each tendering holder or lender of Pari Passu Indebtedness, as the case may be, an amount equal to the purchase price of the Notes or Pari Passu Indebtedness so validly tendered and not properly withdrawn by such holder or lender, as the case may be, and accepted by the Issuer for purchase, and the Issuer will promptly issue a new Note, and the Trustee, upon delivery of an Officers’ Certificate from the Issuer, in form satisfactory to the Trustee, and in accordance with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will authenticate and mail or deliver such new Note to such Holder, in a principal amount equal to any unpurchased portion of the Note surrendered;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each such new Note will be in a minimum principal amount of $2,000 or an integral multiple of $1,000 in excess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thereof. Any Note not so accepted shall be promptly mailed or delivered by the Issuer to the Holder thereof. The Issuer shall publicly announce the results of the Net Proceeds Offer as soon as practicable after the Net Proceeds Purchase Date.</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the sale, conveyance or other disposition of all or substantially all of the assets of the Parent Guarantor and its Restricted Subsidiaries, taken as a whole, shall be governed by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not by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comply with all applicable securities laws and regulations in the United States, including, without limitation, the requirements of Rule 14e-1 under the Exchange Act and any other applicable laws and regulations in connection with the purchase of Notes pursuant to a Net Proceeds Offer. To the extent that the provisions of any applicable securities laws or regulations conflict with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the Issuer shall comply with the applicable securities laws and regulations and shall not be deemed to have breached its obligations under this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by virtue of such compliance.</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Limitation on Transactions with Affiliates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1" w:lineRule="auto"/>
        <w:tabs>
          <w:tab w:leader="none" w:pos="129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Guarantor shall not, and shall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(an “</w:t>
      </w:r>
      <w:r>
        <w:rPr>
          <w:rFonts w:ascii="Times New Roman" w:cs="Times New Roman" w:eastAsia="Times New Roman" w:hAnsi="Times New Roman"/>
          <w:sz w:val="21"/>
          <w:szCs w:val="21"/>
          <w:i w:val="1"/>
          <w:iCs w:val="1"/>
          <w:color w:val="auto"/>
        </w:rPr>
        <w:t>Affiliate Transaction</w:t>
      </w:r>
      <w:r>
        <w:rPr>
          <w:rFonts w:ascii="Times New Roman" w:cs="Times New Roman" w:eastAsia="Times New Roman" w:hAnsi="Times New Roman"/>
          <w:sz w:val="21"/>
          <w:szCs w:val="21"/>
          <w:color w:val="auto"/>
        </w:rPr>
        <w:t>”) involving aggregate payments or consideration to or from the Issuer or a Restricted Subsidiary in excess of $40.0 million with respect to any single transaction or series of related transactions, unless the terms of such Affiliate Transaction either (i)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(ii) if in the good faith judgment of the Parent Guarantor’s Board of Directors or senior management no comparable transaction is available with which to compare such Affiliate Transaction, are otherwise fair to the Parent Guarantor or such Restricted Subsidiary from a financial point of 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71" w:name="page72"/>
    <w:bookmarkEnd w:id="71"/>
    <w:p>
      <w:pPr>
        <w:ind w:left="1080" w:hanging="644"/>
        <w:spacing w:after="0"/>
        <w:tabs>
          <w:tab w:leader="none" w:pos="10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shall not apply to:</w:t>
      </w:r>
    </w:p>
    <w:p>
      <w:pPr>
        <w:spacing w:after="0" w:line="179" w:lineRule="exact"/>
        <w:rPr>
          <w:rFonts w:ascii="Times New Roman" w:cs="Times New Roman" w:eastAsia="Times New Roman" w:hAnsi="Times New Roman"/>
          <w:sz w:val="22"/>
          <w:szCs w:val="22"/>
          <w:color w:val="auto"/>
        </w:rPr>
      </w:pPr>
    </w:p>
    <w:p>
      <w:pPr>
        <w:ind w:left="440" w:right="20" w:firstLine="644"/>
        <w:spacing w:after="0" w:line="236"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to the extent between or among (A) the Parent Guarantor and one or more Restricted Subsidiaries or (B) Restricted Subsidiaries;</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17"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director, trustee, officer, consultant and employee compensation (including bonuses) and other benefits (including pursuant to any employment agreement or any retirement, health, stock option or other benefit plan), payments or loans (or cancellation of loans) to directors, trustees, officers, consultants and employees of the Parent Guarantor and indemnification arrangements, in each case, as determined in good faith by the Parent Guarantor’s Board of Directors or senior management;</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Investments or Restricted Payments which are made in accordance with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pursuant to any agreement in effect on the Issue Date or as thereafter amended or replaced in any manner that, taken as a whole, is not materially less advantageous to the Parent Guarantor or its Restricted Subsidiaries than such agreement as it was in effect on the Issue Date;</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2"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with customers, clients, suppliers, contractors, joint venture partners or purchasers or sellers of goods or services, or transactions otherwise related to the purchase or sales of goods or services, in each case in the ordinary course of business and otherwise not in violation of the terms of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reasonable determination of the Board of Directors of the Parent Guarantor or the senior management of the Parent Guarantor, such transactions are fair to the Parent Guarantor and its Restricted Subsidiaries from a financial point of view or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56" w:lineRule="exact"/>
        <w:rPr>
          <w:rFonts w:ascii="Times New Roman" w:cs="Times New Roman" w:eastAsia="Times New Roman" w:hAnsi="Times New Roman"/>
          <w:sz w:val="22"/>
          <w:szCs w:val="22"/>
          <w:color w:val="auto"/>
        </w:rPr>
      </w:pPr>
    </w:p>
    <w:p>
      <w:pPr>
        <w:jc w:val="both"/>
        <w:ind w:left="440" w:firstLine="644"/>
        <w:spacing w:after="0" w:line="236" w:lineRule="auto"/>
        <w:tabs>
          <w:tab w:leader="none" w:pos="1731"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issuance or sale of any Qualified Equity Interests of the Parent Guarantor and the granting of registration, indemnification and other customary rights in connection therewith to, or the receipt of capital contributions from, Affiliates of the Parent Guarantor and (B) any transaction effected as part of a Permitted Receivables Transaction;</w:t>
      </w:r>
    </w:p>
    <w:p>
      <w:pPr>
        <w:spacing w:after="0" w:line="151" w:lineRule="exact"/>
        <w:rPr>
          <w:rFonts w:ascii="Times New Roman" w:cs="Times New Roman" w:eastAsia="Times New Roman" w:hAnsi="Times New Roman"/>
          <w:sz w:val="21"/>
          <w:szCs w:val="21"/>
          <w:color w:val="auto"/>
        </w:rPr>
      </w:pPr>
    </w:p>
    <w:p>
      <w:pPr>
        <w:jc w:val="both"/>
        <w:ind w:left="440" w:firstLine="644"/>
        <w:spacing w:after="0" w:line="225"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an Affiliate in respect of the Notes or any other Indebtedness of the Parent Guarantor or any of its Restricted Subsidiaries on a similar basis as concurrent payments are made or offered to be made in respect thereof to non-Affiliates;</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0" w:lineRule="auto"/>
        <w:tabs>
          <w:tab w:leader="none" w:pos="173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transaction in which the Parent Guarantor or any of its Restricted Subsidiaries, as the case may be, delivers to the Trustee a letter from an accounting, appraisal or investment banking firm of national standing stating that such transaction is fair to the Parent Guarantor or such Restricted Subsidiary from a financial point of view or that such transaction meets the requirements of </w:t>
      </w: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020"/>
          </w:cols>
          <w:pgMar w:left="540" w:top="1395" w:right="339" w:bottom="1440" w:gutter="0" w:footer="0" w:header="0"/>
        </w:sectPr>
      </w:pPr>
    </w:p>
    <w:bookmarkStart w:id="72" w:name="page73"/>
    <w:bookmarkEnd w:id="72"/>
    <w:p>
      <w:pPr>
        <w:ind w:left="440" w:firstLine="644"/>
        <w:spacing w:after="0" w:line="236" w:lineRule="auto"/>
        <w:tabs>
          <w:tab w:leader="none" w:pos="17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where the only consideration paid by the Parent Guarantor or the relevant Restricted Subsidiary is Qualified Equity Interests of the Parent Guarantor;</w:t>
      </w:r>
    </w:p>
    <w:p>
      <w:pPr>
        <w:spacing w:after="0" w:line="150" w:lineRule="exact"/>
        <w:rPr>
          <w:rFonts w:ascii="Times New Roman" w:cs="Times New Roman" w:eastAsia="Times New Roman" w:hAnsi="Times New Roman"/>
          <w:sz w:val="22"/>
          <w:szCs w:val="22"/>
          <w:color w:val="auto"/>
        </w:rPr>
      </w:pPr>
    </w:p>
    <w:p>
      <w:pPr>
        <w:jc w:val="both"/>
        <w:ind w:left="440" w:firstLine="644"/>
        <w:spacing w:after="0" w:line="217" w:lineRule="auto"/>
        <w:tabs>
          <w:tab w:leader="none" w:pos="172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between the Parent Guarantor or any Restricted Subsidiary and any Person, a director of which is also a director of the Parent Guarantor or any direct or indirect parent company of the Parent Guarantor, and such director is the sole cause for such Person to be deemed an Affiliate of the Parent Guarantor or any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director shall abstain from voting as a director of the Parent Guarantor or such direct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 parent company, as the case may be, on any matter involving such other Person;</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5" w:lineRule="auto"/>
        <w:tabs>
          <w:tab w:leader="none" w:pos="17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entering into of a tax sharing agreement, or payments pursuant thereto, between the Parent Guarantor and/or one or more Subsidiaries, on the one hand, and any other Person with which the Parent Guarantor or such Subsidiaries are required or permitted to file a consolidated tax return or with which the Parent Guarantor or such Subsidiaries are part of a consolidated group for tax purposes to be used by such Person to pay taxes, and which payments by the Parent Guarantor and the Restricted Subsidiaries are not in excess of the tax liabilities that would have been payable by them on a stand-alone basis;</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Intellectual Property licenses in the ordinary course of business or consistent with industry practice;</w:t>
      </w:r>
    </w:p>
    <w:p>
      <w:pPr>
        <w:spacing w:after="0" w:line="179"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 and sale of, or payments in respect of, Indebtedness or Equity Interests, in each case on terms substantially the same as those offered or paid to Persons who are not Affiliates of the Parent Guarantor; and</w:t>
      </w:r>
    </w:p>
    <w:p>
      <w:pPr>
        <w:spacing w:after="0" w:line="150"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pledges and other transfers of Equity Interests in Unrestricted Subsidiaries and (B) any transactions with an Affiliate in which the consideration paid consists solely of Equity Interests of the Parent Guarantor.</w:t>
      </w:r>
    </w:p>
    <w:p>
      <w:pPr>
        <w:spacing w:after="0" w:line="15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u w:val="single" w:color="auto"/>
          <w:color w:val="auto"/>
        </w:rPr>
        <w:t>Limitation on Liens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220" w:firstLine="656"/>
        <w:spacing w:after="0" w:line="231" w:lineRule="auto"/>
        <w:tabs>
          <w:tab w:leader="none" w:pos="107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and Parent Guarantor shall not, and shall not permit any Subsidiary Guarantor to, directly or indirectly, create, incur, assume or permit or suffer to exist any Lien (an “</w:t>
      </w:r>
      <w:r>
        <w:rPr>
          <w:rFonts w:ascii="Times New Roman" w:cs="Times New Roman" w:eastAsia="Times New Roman" w:hAnsi="Times New Roman"/>
          <w:sz w:val="21"/>
          <w:szCs w:val="21"/>
          <w:i w:val="1"/>
          <w:iCs w:val="1"/>
          <w:color w:val="auto"/>
        </w:rPr>
        <w:t>Initial Lien</w:t>
      </w:r>
      <w:r>
        <w:rPr>
          <w:rFonts w:ascii="Times New Roman" w:cs="Times New Roman" w:eastAsia="Times New Roman" w:hAnsi="Times New Roman"/>
          <w:sz w:val="21"/>
          <w:szCs w:val="21"/>
          <w:color w:val="auto"/>
        </w:rPr>
        <w:t>”) of any kind (other than Permitted Liens) upon any of their property or assets (including Equity Interests of any Restricted Subsidiary), whether owned at the Issue Date or thereafter acquired, which Lien secures Indebtedness, unless contemporaneously with the incurrence of such Lien:</w:t>
      </w:r>
    </w:p>
    <w:p>
      <w:pPr>
        <w:spacing w:after="0" w:line="150" w:lineRule="exact"/>
        <w:rPr>
          <w:rFonts w:ascii="Times New Roman" w:cs="Times New Roman" w:eastAsia="Times New Roman" w:hAnsi="Times New Roman"/>
          <w:sz w:val="21"/>
          <w:szCs w:val="21"/>
          <w:color w:val="auto"/>
        </w:rPr>
      </w:pPr>
    </w:p>
    <w:p>
      <w:pPr>
        <w:jc w:val="both"/>
        <w:ind w:left="440" w:firstLine="644"/>
        <w:spacing w:after="0" w:line="225" w:lineRule="auto"/>
        <w:tabs>
          <w:tab w:leader="none" w:pos="173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Lien securing Indebtedness that is not Subordinated Indebtedness, effective provision is made to secure the Notes or such Guarantee, as the case may be, at least equally and ratably with or prior to such Indebtedness with a Lien on the same collateral; and</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Lien securing Subordinated Indebtedness, effective provision is made to secure the Notes or such Guarantee, as the case may be, with a Lien on the same collateral that is senior to the Lien securing such Subordinated Indebtedness.</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 created for the benefit of the Holders pursuant to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shall provide by its terms that such Lien shall be automatically and unconditionally released and discharged upon the release and discharge of the Initial Lien. In addition, in the event that an Initial Lien is or becomes a Permitted Lien, the Parent Guarantor may, at its option and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020"/>
          </w:cols>
          <w:pgMar w:left="540" w:top="1395" w:right="339" w:bottom="1440" w:gutter="0" w:footer="0" w:header="0"/>
        </w:sectPr>
      </w:pPr>
    </w:p>
    <w:bookmarkStart w:id="73" w:name="page74"/>
    <w:bookmarkEnd w:id="73"/>
    <w:p>
      <w:pPr>
        <w:spacing w:after="0" w:line="236" w:lineRule="auto"/>
        <w:rPr>
          <w:sz w:val="20"/>
          <w:szCs w:val="20"/>
          <w:color w:val="auto"/>
        </w:rPr>
      </w:pPr>
      <w:r>
        <w:rPr>
          <w:rFonts w:ascii="Times New Roman" w:cs="Times New Roman" w:eastAsia="Times New Roman" w:hAnsi="Times New Roman"/>
          <w:sz w:val="22"/>
          <w:szCs w:val="22"/>
          <w:color w:val="auto"/>
        </w:rPr>
        <w:t xml:space="preserve">consent from any Holder of the Notes, elect to release and discharge any Lien created for the benefit of the Holders of the Notes pursuant to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in respect of such Initial Lien.</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Offer to Purchase upon Change of Control Triggering Event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7" w:lineRule="auto"/>
        <w:tabs>
          <w:tab w:leader="none" w:pos="129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any Change of Control Triggering Event, unless the Issuer has previously or concurrently exercised its right to redeem all of the Notes as described under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each Holder shall have the right, except as provided below, to require that the Issuer purchase all or any portion (equal to $2,000 or an integral multiple of $1,000 in excess thereof) of that Holder’s Notes for a cash price (the “</w:t>
      </w:r>
      <w:r>
        <w:rPr>
          <w:rFonts w:ascii="Times New Roman" w:cs="Times New Roman" w:eastAsia="Times New Roman" w:hAnsi="Times New Roman"/>
          <w:sz w:val="21"/>
          <w:szCs w:val="21"/>
          <w:i w:val="1"/>
          <w:iCs w:val="1"/>
          <w:color w:val="auto"/>
        </w:rPr>
        <w:t>Change of Control Purchase Price</w:t>
      </w:r>
      <w:r>
        <w:rPr>
          <w:rFonts w:ascii="Times New Roman" w:cs="Times New Roman" w:eastAsia="Times New Roman" w:hAnsi="Times New Roman"/>
          <w:sz w:val="21"/>
          <w:szCs w:val="21"/>
          <w:color w:val="auto"/>
        </w:rPr>
        <w:t>”) equal to 101.0 % of the principal amount of the Notes to be purchased, plus accrued and unpaid interest thereon, if any, to, but excluding, the date of purchase.</w:t>
      </w:r>
    </w:p>
    <w:p>
      <w:pPr>
        <w:spacing w:after="0" w:line="153"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30 days following any Change of Control Triggering Event, the Issuer shall deliver, or cause to be delivered, to the Holders, with a copy to the Trustee, a notice: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describing the transaction or transactions that constitute the Change of Control;</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offering to purchase, pursuant to the procedures required by this Indenture and described in the notice (a “</w:t>
      </w:r>
      <w:r>
        <w:rPr>
          <w:rFonts w:ascii="Times New Roman" w:cs="Times New Roman" w:eastAsia="Times New Roman" w:hAnsi="Times New Roman"/>
          <w:sz w:val="21"/>
          <w:szCs w:val="21"/>
          <w:i w:val="1"/>
          <w:iCs w:val="1"/>
          <w:color w:val="auto"/>
        </w:rPr>
        <w:t>Change of Control Offer</w:t>
      </w:r>
      <w:r>
        <w:rPr>
          <w:rFonts w:ascii="Times New Roman" w:cs="Times New Roman" w:eastAsia="Times New Roman" w:hAnsi="Times New Roman"/>
          <w:sz w:val="21"/>
          <w:szCs w:val="21"/>
          <w:color w:val="auto"/>
        </w:rPr>
        <w:t>”), on a date specified in the notice, which shall be a Business Day not earlier than 30 days, nor later than 60 days, from the date the notice is delivered (the “</w:t>
      </w:r>
      <w:r>
        <w:rPr>
          <w:rFonts w:ascii="Times New Roman" w:cs="Times New Roman" w:eastAsia="Times New Roman" w:hAnsi="Times New Roman"/>
          <w:sz w:val="21"/>
          <w:szCs w:val="21"/>
          <w:i w:val="1"/>
          <w:iCs w:val="1"/>
          <w:color w:val="auto"/>
        </w:rPr>
        <w:t>Change of Control Payment Date</w:t>
      </w:r>
      <w:r>
        <w:rPr>
          <w:rFonts w:ascii="Times New Roman" w:cs="Times New Roman" w:eastAsia="Times New Roman" w:hAnsi="Times New Roman"/>
          <w:sz w:val="21"/>
          <w:szCs w:val="21"/>
          <w:color w:val="auto"/>
        </w:rPr>
        <w:t>”), and for the Change of Control Purchase Price, all Notes properly tendered by such Holder pursuant to such Change of Control Offer prior to 5:00 p.m. New York time on the second Business Day preceding the Change of Control Payment Date; and</w:t>
      </w:r>
    </w:p>
    <w:p>
      <w:pPr>
        <w:spacing w:after="0" w:line="153" w:lineRule="exact"/>
        <w:rPr>
          <w:rFonts w:ascii="Times New Roman" w:cs="Times New Roman" w:eastAsia="Times New Roman" w:hAnsi="Times New Roman"/>
          <w:sz w:val="21"/>
          <w:szCs w:val="21"/>
          <w:color w:val="auto"/>
        </w:rPr>
      </w:pPr>
    </w:p>
    <w:p>
      <w:pPr>
        <w:ind w:left="660" w:right="20" w:firstLine="644"/>
        <w:spacing w:after="0" w:line="236" w:lineRule="auto"/>
        <w:tabs>
          <w:tab w:leader="none" w:pos="195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describing the procedures, as determined by the Issuer, consistent with this Indenture, that Holders must follow to accept the Change of Control Offer.</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Change of Control Payment Date, the Issuer will, to the extent lawful:</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the Paying Agent an amount equal to the Change of Control Purchase Price in respect of all Notes or portions of Notes properly tendered;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Notes or portions of Notes (of $2,000 or integral multiples of $1,000 in excess thereof) properly tendered pursuant to the Change of Control Offer; and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or cause to be delivered to the Trustee the Notes so accepted together with an Officers’ Certificate stating the aggregate principal amount of Notes or portions of Notes being purchased by the Issuer.</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Paying Agent shall promptly deliver to each Holder who has so tendered Notes the Change of Control Purchase Price for such Notes, and the Trustee shall promptly, upon delivery of an Officers’ Certificate from the Issuer, in form satisfactory to the Trustee, authenticate and mail (or cause to be transferred by book-entry) to each Holder a new Note equal in principal amount to any unpurchased portion of the Notes so tendered, if 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new Note will be in a principal amount of $2,000 or integral multiples of $1,000 in excess thereof.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of Control Payment Date is on or after an interest record date and on or before the related interest payment date, any accrued and unpaid interest, if any,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74" w:name="page75"/>
    <w:bookmarkEnd w:id="74"/>
    <w:p>
      <w:pPr>
        <w:spacing w:after="0" w:line="236" w:lineRule="auto"/>
        <w:rPr>
          <w:sz w:val="20"/>
          <w:szCs w:val="20"/>
          <w:color w:val="auto"/>
        </w:rPr>
      </w:pPr>
      <w:r>
        <w:rPr>
          <w:rFonts w:ascii="Times New Roman" w:cs="Times New Roman" w:eastAsia="Times New Roman" w:hAnsi="Times New Roman"/>
          <w:sz w:val="22"/>
          <w:szCs w:val="22"/>
          <w:color w:val="auto"/>
        </w:rPr>
        <w:t>paid on the relevant interest payment date to the Person in whose name a Note is registered at the close of business of such record date.</w:t>
      </w:r>
    </w:p>
    <w:p>
      <w:pPr>
        <w:spacing w:after="0" w:line="150" w:lineRule="exact"/>
        <w:rPr>
          <w:sz w:val="20"/>
          <w:szCs w:val="20"/>
          <w:color w:val="auto"/>
        </w:rPr>
      </w:pPr>
    </w:p>
    <w:p>
      <w:pPr>
        <w:jc w:val="both"/>
        <w:ind w:firstLine="656"/>
        <w:spacing w:after="0" w:line="225" w:lineRule="auto"/>
        <w:tabs>
          <w:tab w:leader="none" w:pos="129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Offer shall be required to remain open for at least 20 Business Days or for such longer period as is required by law. The Issuer shall publicly announce the results of the Change of Control Offer on or as soon as practicable after the Change of Control Payment Date.</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shall not be required to make a Change of Control Offer upon a Change of Control Triggering Event if</w:t>
      </w:r>
    </w:p>
    <w:p>
      <w:pPr>
        <w:jc w:val="both"/>
        <w:ind w:firstLine="8"/>
        <w:spacing w:after="0" w:line="209" w:lineRule="auto"/>
        <w:tabs>
          <w:tab w:leader="none" w:pos="25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third party makes the Change of Control Offer in the manner, at the times and otherwise in compliance with the requirements set forth in this Indenture applicable to a Change of Control Offer made by the Issuer and purchases all Notes properly tendered and not withdrawn under such Change of Control Offer, (ii) in connection with or in contemplation of any publicly announced Change of Control, the Issuer has made an offer to purchase (an “</w:t>
      </w:r>
      <w:r>
        <w:rPr>
          <w:rFonts w:ascii="Times New Roman" w:cs="Times New Roman" w:eastAsia="Times New Roman" w:hAnsi="Times New Roman"/>
          <w:sz w:val="22"/>
          <w:szCs w:val="22"/>
          <w:i w:val="1"/>
          <w:iCs w:val="1"/>
          <w:color w:val="auto"/>
        </w:rPr>
        <w:t>Alternate Offer</w:t>
      </w:r>
      <w:r>
        <w:rPr>
          <w:rFonts w:ascii="Times New Roman" w:cs="Times New Roman" w:eastAsia="Times New Roman" w:hAnsi="Times New Roman"/>
          <w:sz w:val="22"/>
          <w:szCs w:val="22"/>
          <w:color w:val="auto"/>
        </w:rPr>
        <w:t xml:space="preserve">”) any and all Notes validly tendered at a cash price equal to or higher than the Change of Control Purchase Price and has purchased all Notes properly tendered in accordance with the terms of the Alternate Offer or (iii) a notice of redemption of all outstanding Notes has been given pursuant to this Indenture as described under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unless and until there is a default in the payment of the redemption price on the applicable redemption date or the redemption is not consummated due to the failure of a condition precedent contained in the applicable redemption notice to be satisfied.</w:t>
      </w:r>
    </w:p>
    <w:p>
      <w:pPr>
        <w:spacing w:after="0" w:line="153"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the Issuer shall comply with the applicable securities laws and regulations and shall not be deemed to have breached its obligations under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by virtue of such compliance.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under this Indenture relating to the Issuer’s obligation to make a Change of Control Offer may be waived, modified or terminated with the written consent of the Holders of a majority in principal amount of the Notes then outstanding.</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a Change of Control Offer may be made in advance of a Change of Control Triggering Event, conditional upon such Change of Control Triggering Event or other events or circumstances, if a definitive agreement is in place for the Change of Control at the time of making of the Change of Control Offer.</w:t>
      </w:r>
    </w:p>
    <w:p>
      <w:pPr>
        <w:spacing w:after="0" w:line="15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4.14 </w:t>
      </w:r>
      <w:r>
        <w:rPr>
          <w:rFonts w:ascii="Times New Roman" w:cs="Times New Roman" w:eastAsia="Times New Roman" w:hAnsi="Times New Roman"/>
          <w:sz w:val="21"/>
          <w:szCs w:val="21"/>
          <w:u w:val="single" w:color="auto"/>
          <w:color w:val="auto"/>
        </w:rPr>
        <w:t>Corporate Existence</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the Issuer shall do or cause to be done all things necessary to preserve and keep in full force and effect its corporate existence and the corporate, partnership, limited liability company or other existence of each of the Guarantors in accordance with the respective organizational or constitutional documents (as the same may be amended from time to time, including, for the avoidance of doubt, as converted or amended in connection with any such entity changing its jurisdiction of incorporation to the extent not prohibited by this Indenture) of the Issuer or any such Guarantor and the rights (charter and statutory), licenses and franchises of the Issuer and the Guarantors;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Issuer shall not be required to preserve any such right, license or franchise, or the corporate, partnership or other existence of any of the Guarantors, if the Issuer shall determine that the preservation thereof is no longer desirable in the conduct of the business of the Issuer and its Subsidiaries, taken as a whole, and that the loss thereof is not adverse in any material respect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75" w:name="page76"/>
    <w:bookmarkEnd w:id="75"/>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4.15 </w:t>
      </w:r>
      <w:r>
        <w:rPr>
          <w:rFonts w:ascii="Times New Roman" w:cs="Times New Roman" w:eastAsia="Times New Roman" w:hAnsi="Times New Roman"/>
          <w:sz w:val="21"/>
          <w:szCs w:val="21"/>
          <w:u w:val="single" w:color="auto"/>
          <w:color w:val="auto"/>
        </w:rPr>
        <w:t>Additional Guarantees</w:t>
      </w:r>
      <w:r>
        <w:rPr>
          <w:rFonts w:ascii="Times New Roman" w:cs="Times New Roman" w:eastAsia="Times New Roman" w:hAnsi="Times New Roman"/>
          <w:sz w:val="21"/>
          <w:szCs w:val="21"/>
          <w:color w:val="auto"/>
        </w:rPr>
        <w:t xml:space="preserve">. Other than any Delayed Joinder Guarantor (as defined below) (i) any Domestic Restricted Subsidiary of the Parent Guarantor that is not already a Guarantor shall incur any Indebtedness under a Debt Facility (other than Purchase Money Indebtedness, Indebtedness incurred by a Subsidiary that is not a Wholly-Owned Subsidiary, and Acquired Debt) or (ii) any Restricted Subsidiary of the Parent Guarantor that is not already a Guarantor shall guarantee any Indebtedness of the Issuer or any Guarantor under the (x) Revolving Credit Facility or (y) any other Debt Facility of the Issuer or any Guarantor, in the case of either clause (i) or clause (ii)(y), in an aggregate principal amount that exceeds the greater of (A) $50.0 million and (B) 1.0% of the Parent Guarantor’s Consolidated Total Assets, then the Issuer shall, within 60 days thereof, cause such Restricted Subsidiary to execute and deliver to the Trustee a supplemental indenture in substantially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pursuant to which such Restricted Subsidiary shall become a Guarantor with respect to the Notes, upon the terms and subject to the release provisions and other limitations set forth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With respect to any Delayed Joinder Guarantor that does not provide a guarantee of the Notes on the Issue Date, the Issuer shall, within 30 days thereof, cause such entity to execute and deliver to the Trustee a supplemental indenture pursuant to which such entity shall become a Guarantor with respect to the Notes, upon the terms and subject to the release provisions and other limitations set forth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Limitation on Designation of Unrestricted Subsidiaries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designate any Subsidiary (including any newly formed or newly acquired Subsidiary or a Person becoming a Subsidiary through amalgamation, merger or consolidation or Investment therein) of the Parent Guarantor as an “</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under this Indenture (a “</w:t>
      </w:r>
      <w:r>
        <w:rPr>
          <w:rFonts w:ascii="Times New Roman" w:cs="Times New Roman" w:eastAsia="Times New Roman" w:hAnsi="Times New Roman"/>
          <w:sz w:val="22"/>
          <w:szCs w:val="22"/>
          <w:i w:val="1"/>
          <w:iCs w:val="1"/>
          <w:color w:val="auto"/>
        </w:rPr>
        <w:t>Designation</w:t>
      </w:r>
      <w:r>
        <w:rPr>
          <w:rFonts w:ascii="Times New Roman" w:cs="Times New Roman" w:eastAsia="Times New Roman" w:hAnsi="Times New Roman"/>
          <w:sz w:val="22"/>
          <w:szCs w:val="22"/>
          <w:color w:val="auto"/>
        </w:rPr>
        <w:t>”) only if:</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at the time of or immediately after giving effect to such Designation; and</w:t>
      </w:r>
    </w:p>
    <w:p>
      <w:pPr>
        <w:spacing w:after="0" w:line="150"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Guarantor would be permitted to make, at the time of such Designation, (a) a Permitted Investment or (b) an Investment pursuant to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in either case, in an amount (the “</w:t>
      </w:r>
      <w:r>
        <w:rPr>
          <w:rFonts w:ascii="Times New Roman" w:cs="Times New Roman" w:eastAsia="Times New Roman" w:hAnsi="Times New Roman"/>
          <w:sz w:val="22"/>
          <w:szCs w:val="22"/>
          <w:i w:val="1"/>
          <w:iCs w:val="1"/>
          <w:color w:val="auto"/>
        </w:rPr>
        <w:t>Designation Amount</w:t>
      </w:r>
      <w:r>
        <w:rPr>
          <w:rFonts w:ascii="Times New Roman" w:cs="Times New Roman" w:eastAsia="Times New Roman" w:hAnsi="Times New Roman"/>
          <w:sz w:val="22"/>
          <w:szCs w:val="22"/>
          <w:color w:val="auto"/>
        </w:rPr>
        <w:t>”) equal to the Fair Market Value of the Parent Guarantor’s proportionate interest in such Subsidiary on such date.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shall be Designated as an “</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unless:</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Indebtedness of such Subsidiary and its Subsidiaries shall, at the date of Designation, consist of Non-Recourse Debt, except for (i) any guarantee given solely to support the pledge by the Parent Guarantor or any Restricted Subsidiary of the Equity Interests of such Unrestricted Subsidiary, which guarantee is not otherwise recourse to the Parent Guarantor or any Restricted Subsidiary, (ii) any customary keepwell in the ordinary course of business (which keepwell is not recourse to the Parent Guarantor or any Restricted Subsidiary) and (iii) any guarantee of Indebtedness of such Subsidiary by the Parent Guarantor or a Restricted Subsidiary that is permitted as both an incurrence of Indebtedness and an Investment (in each case in an amount equal to the amount of such Indebtedness so guaranteed) permitted under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permitted by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on the date such Subsidiary is Designated an Unrestricted Subsidiary, such Subsidiary is not party to any agreement, contract, arrangement or understanding (other than a guarantee permitted under clause (1) of this </w:t>
      </w: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 with the Parent Guarantor or any Restricted Subsidiary unless the terms of the agreement, contract, arrangement or understanding are not materially less favorable to the Parent Guarantor or the Restricted Subsidiary than those that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2"/>
          <w:szCs w:val="22"/>
          <w:color w:val="auto"/>
        </w:rPr>
        <w:t>reasonably be expected to have been obtained at the time from Persons who are not Affiliates of the Issuer; and</w:t>
      </w:r>
    </w:p>
    <w:p>
      <w:pPr>
        <w:spacing w:after="0" w:line="179" w:lineRule="exact"/>
        <w:rPr>
          <w:sz w:val="20"/>
          <w:szCs w:val="20"/>
          <w:color w:val="auto"/>
        </w:rPr>
      </w:pPr>
    </w:p>
    <w:p>
      <w:pPr>
        <w:jc w:val="both"/>
        <w:ind w:left="660" w:firstLine="644"/>
        <w:spacing w:after="0" w:line="212" w:lineRule="auto"/>
        <w:tabs>
          <w:tab w:leader="none" w:pos="195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Subsidiary is a Person with respect to which, on the date such Subsidiary is Designated an Unrestricted Subsidiary,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(it being understood that any contractual arrangements between the Parent Guarantor and any of its Restricted Subsidiaries and such Subsidiary pursuant to which such Subsidiary sells products or provides services to the Parent Guarantor or any Restricted Subsidiary in the ordinary course of business are not included in this clause (3)) (in each case other than a guarantee permitted under clause (1) of this </w:t>
      </w: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 xml:space="preserve"> or to the extent treated as an Investment permitted by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Any such Designation by the Issuer shall be evidenced to the Trustee by filing with the Trustee an Officers’ Certificate giving effect to such Designation and certifying that such Designation complies with the foregoing conditions.</w:t>
      </w:r>
    </w:p>
    <w:p>
      <w:pPr>
        <w:spacing w:after="0" w:line="146"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redesignate an Unrestricted Subsidiary as a Restricted Subsidiary (a “</w:t>
      </w:r>
      <w:r>
        <w:rPr>
          <w:rFonts w:ascii="Times New Roman" w:cs="Times New Roman" w:eastAsia="Times New Roman" w:hAnsi="Times New Roman"/>
          <w:sz w:val="22"/>
          <w:szCs w:val="22"/>
          <w:i w:val="1"/>
          <w:iCs w:val="1"/>
          <w:color w:val="auto"/>
        </w:rPr>
        <w:t>Redesignation</w:t>
      </w:r>
      <w:r>
        <w:rPr>
          <w:rFonts w:ascii="Times New Roman" w:cs="Times New Roman" w:eastAsia="Times New Roman" w:hAnsi="Times New Roman"/>
          <w:sz w:val="22"/>
          <w:szCs w:val="22"/>
          <w:color w:val="auto"/>
        </w:rPr>
        <w:t>”) only if:</w:t>
      </w:r>
    </w:p>
    <w:p>
      <w:pPr>
        <w:spacing w:after="0" w:line="183"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at the time of and after giving effect to such Redesignation;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Liens, Indebtedness and Investments of such Unrestricted Subsidiary outstanding immediately following such Redesignation would, if incurred or made at such time, have been permitted to be incurred or made for all purposes of this Indenture.</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Any such Redesignation shall be evidenced to the Trustee by filing with the Trustee an Officers’ Certificate certifying that such Redesignation complies with the foregoing conditions.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4.17</w:t>
      </w:r>
      <w:r>
        <w:rPr>
          <w:sz w:val="20"/>
          <w:szCs w:val="20"/>
          <w:color w:val="auto"/>
        </w:rPr>
        <w:tab/>
      </w:r>
      <w:r>
        <w:rPr>
          <w:rFonts w:ascii="Times New Roman" w:cs="Times New Roman" w:eastAsia="Times New Roman" w:hAnsi="Times New Roman"/>
          <w:sz w:val="21"/>
          <w:szCs w:val="21"/>
          <w:u w:val="single" w:color="auto"/>
          <w:color w:val="auto"/>
        </w:rPr>
        <w:t>Additional Amounts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9"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or on behalf of, the Issuer or any of the Guarantors (including, for the purposes of this section, any successor to the Issuer or any of the Guarantors) under or with respect to the Notes or any Guarantee shall be made without withholding or deduction for, or on account of, any present or future taxes, duties, levies, assessments or governmental charges (including interest, penalties and additions to tax related thereto) (collectively, “a</w:t>
      </w:r>
      <w:r>
        <w:rPr>
          <w:rFonts w:ascii="Times New Roman" w:cs="Times New Roman" w:eastAsia="Times New Roman" w:hAnsi="Times New Roman"/>
          <w:sz w:val="22"/>
          <w:szCs w:val="22"/>
          <w:i w:val="1"/>
          <w:iCs w:val="1"/>
          <w:color w:val="auto"/>
        </w:rPr>
        <w:t>pplicable taxes</w:t>
      </w:r>
      <w:r>
        <w:rPr>
          <w:rFonts w:ascii="Times New Roman" w:cs="Times New Roman" w:eastAsia="Times New Roman" w:hAnsi="Times New Roman"/>
          <w:sz w:val="22"/>
          <w:szCs w:val="22"/>
          <w:color w:val="auto"/>
        </w:rPr>
        <w:t>”) unless the withholding or deduction of such applicable taxes is required by law. If any deduction or withholding for, on or on account of, any applicable taxes imposed or levied by or on behalf of (i) any jurisdiction in which the Issuer or any Guarantor is then incorporated, engaged in business, organized or resident for tax purposes or any political subdivision thereof or therein (other than the United States or any political subdivision thereof or therein) or (ii) any jurisdiction from or through which payment is made by or on behalf of the Issuer or any Guarantor (including, without limitation, the jurisdiction of any paying agent or any political subdivision thereof or therein (other than the United States or any political subdivision thereof or therein)) (each of (i) and (ii), a “r</w:t>
      </w:r>
      <w:r>
        <w:rPr>
          <w:rFonts w:ascii="Times New Roman" w:cs="Times New Roman" w:eastAsia="Times New Roman" w:hAnsi="Times New Roman"/>
          <w:sz w:val="22"/>
          <w:szCs w:val="22"/>
          <w:i w:val="1"/>
          <w:iCs w:val="1"/>
          <w:color w:val="auto"/>
        </w:rPr>
        <w:t>elevant taxing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jurisdiction</w:t>
      </w:r>
      <w:r>
        <w:rPr>
          <w:rFonts w:ascii="Times New Roman" w:cs="Times New Roman" w:eastAsia="Times New Roman" w:hAnsi="Times New Roman"/>
          <w:sz w:val="22"/>
          <w:szCs w:val="22"/>
          <w:color w:val="auto"/>
        </w:rPr>
        <w:t>”), shall at any time be required to be made from any payments under or with respect to the Notes or any Guarantee,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without limitation, payments of principal, redemption price, interest or premium, the Issuer or the relevant Guarantor, as applicable, shall pay to the holder of each Note such additional amounts (the “</w:t>
      </w:r>
      <w:r>
        <w:rPr>
          <w:rFonts w:ascii="Times New Roman" w:cs="Times New Roman" w:eastAsia="Times New Roman" w:hAnsi="Times New Roman"/>
          <w:sz w:val="22"/>
          <w:szCs w:val="22"/>
          <w:i w:val="1"/>
          <w:iCs w:val="1"/>
          <w:color w:val="auto"/>
        </w:rPr>
        <w:t>Additional Amounts</w:t>
      </w:r>
      <w:r>
        <w:rPr>
          <w:rFonts w:ascii="Times New Roman" w:cs="Times New Roman" w:eastAsia="Times New Roman" w:hAnsi="Times New Roman"/>
          <w:sz w:val="22"/>
          <w:szCs w:val="22"/>
          <w:color w:val="auto"/>
        </w:rPr>
        <w:t>”) as may be necessary to ensure that the net amount received by the holder after such withholding or deduction (including any such withholding or deduction on such Additional Amounts) shall equal the amounts that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77" w:name="page78"/>
    <w:bookmarkEnd w:id="77"/>
    <w:p>
      <w:pPr>
        <w:spacing w:after="0" w:line="238" w:lineRule="auto"/>
        <w:rPr>
          <w:sz w:val="20"/>
          <w:szCs w:val="20"/>
          <w:color w:val="auto"/>
        </w:rPr>
      </w:pPr>
      <w:r>
        <w:rPr>
          <w:rFonts w:ascii="Times New Roman" w:cs="Times New Roman" w:eastAsia="Times New Roman" w:hAnsi="Times New Roman"/>
          <w:sz w:val="22"/>
          <w:szCs w:val="22"/>
          <w:color w:val="auto"/>
        </w:rPr>
        <w:t xml:space="preserve">been received by such holder had no such withholding or deduction been required;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Additional Amounts shall be payable with respect to:</w:t>
      </w:r>
    </w:p>
    <w:p>
      <w:pPr>
        <w:spacing w:after="0" w:line="150" w:lineRule="exact"/>
        <w:rPr>
          <w:sz w:val="20"/>
          <w:szCs w:val="20"/>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taxes to the extent such applicable taxes would not have been imposed but for: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2" w:lineRule="auto"/>
        <w:tabs>
          <w:tab w:leader="none" w:pos="258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present or former connection between the holder or beneficial owner (or between a fiduciary, settlor, beneficiary, partner of, member or shareholder of, or possessor of a power over, the relevant holder, if the relevant holder is an estate, trust, nominee, partnership, limited liability company or corporation) of such Note and the relevant taxing jurisdiction, including, without limitation, being or having been a national, domiciliary or resident of such relevant taxing jurisdiction or treated as a resident thereof or being or having been physically present or engaged in a trade or business therein or having or having had a permanent establishment therein or otherwise having some present of former connection with the taxing jurisdiction, but excluding acquisition, the mere holding or enforcement of such Note or the receipt of payments thereunder;</w:t>
      </w:r>
    </w:p>
    <w:p>
      <w:pPr>
        <w:spacing w:after="0" w:line="157" w:lineRule="exact"/>
        <w:rPr>
          <w:rFonts w:ascii="Times New Roman" w:cs="Times New Roman" w:eastAsia="Times New Roman" w:hAnsi="Times New Roman"/>
          <w:sz w:val="21"/>
          <w:szCs w:val="21"/>
          <w:color w:val="auto"/>
        </w:rPr>
      </w:pPr>
    </w:p>
    <w:p>
      <w:pPr>
        <w:jc w:val="both"/>
        <w:ind w:left="1300" w:firstLine="652"/>
        <w:spacing w:after="0" w:line="231" w:lineRule="auto"/>
        <w:tabs>
          <w:tab w:leader="none" w:pos="2587"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presentation of such Note (in cases in which presentation is required) more than 30 days after the later of the date on which the payment of the principal of, and interest on, such Note became due and payable pursuant to the terms thereof or was made or duly provided for (except to the extent that the holder would have been entitled to Additional Amounts had the Note been presented on the last day of such 30 day period); or</w:t>
      </w:r>
    </w:p>
    <w:p>
      <w:pPr>
        <w:spacing w:after="0" w:line="150" w:lineRule="exact"/>
        <w:rPr>
          <w:rFonts w:ascii="Times New Roman" w:cs="Times New Roman" w:eastAsia="Times New Roman" w:hAnsi="Times New Roman"/>
          <w:sz w:val="21"/>
          <w:szCs w:val="21"/>
          <w:color w:val="auto"/>
        </w:rPr>
      </w:pPr>
    </w:p>
    <w:p>
      <w:pPr>
        <w:jc w:val="both"/>
        <w:ind w:left="1300" w:firstLine="652"/>
        <w:spacing w:after="0" w:line="211" w:lineRule="auto"/>
        <w:tabs>
          <w:tab w:leader="none" w:pos="258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holder or beneficial owner (to the extent it is legally entitled to do so) to comply with any reasonable written request from the Issuer, addressed to the holder or beneficial owner, as the case may be, and made at least 60 days before any such withholding or deduction would be payable, to provide timely and accurate certification, information, documents or other evidence concerning such holder’s or beneficial owner’s nationality, residence, identity or connection with the relevant taxing jurisdiction, or to make any timely and accurate declaration or satisfy any other reporting requirement relating to such matters, if and to the extent that due and timely compliance with such request is required by statute, regulation, treaty or administrative practice of the relevant taxing jurisdiction in order to reduce or eliminate any withholding or deduction as to which Additional Amounts would have otherwise been payable to such holder or beneficial owner;</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estate, inheritance, gift, sales, transfer, personal property or similar applicable taxes;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taxes to the extent such applicable taxes result from the presentation of any note for payment (where presentation is required for payment) or request for payment under a Guarantee and the payment can be made without such withholding or deduction by the presentation of the Note for payment or request for payment under a Guarantee by at least one other paying agent;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taxes that are payable otherwise than by deduction or withholding from payments under or with respect to the Notes or Guarantees;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required by sections 1471 through 1474 of the United States Internal Revenue Code of 1986, as amended (“</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any current or future Treasury Regulations or rulings promulgated thereunder, any law, regulation or other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1" w:right="339" w:bottom="1440" w:gutter="0" w:footer="0" w:header="0"/>
        </w:sectPr>
      </w:pPr>
    </w:p>
    <w:bookmarkStart w:id="78" w:name="page79"/>
    <w:bookmarkEnd w:id="78"/>
    <w:p>
      <w:pPr>
        <w:jc w:val="both"/>
        <w:ind w:left="440"/>
        <w:spacing w:after="0" w:line="225" w:lineRule="auto"/>
        <w:rPr>
          <w:sz w:val="20"/>
          <w:szCs w:val="20"/>
          <w:color w:val="auto"/>
        </w:rPr>
      </w:pPr>
      <w:r>
        <w:rPr>
          <w:rFonts w:ascii="Times New Roman" w:cs="Times New Roman" w:eastAsia="Times New Roman" w:hAnsi="Times New Roman"/>
          <w:sz w:val="22"/>
          <w:szCs w:val="22"/>
          <w:color w:val="auto"/>
        </w:rPr>
        <w:t>guidance enacted in any jurisdiction implementing FATCA, any intergovernmental agreement between the United States and any other jurisdiction to implement FATCA or any law enacted by such other jurisdiction to give effect to such agreement, or any agreement with the U.S. Internal Revenue Service under FATCA;</w:t>
      </w:r>
    </w:p>
    <w:p>
      <w:pPr>
        <w:spacing w:after="0" w:line="153" w:lineRule="exact"/>
        <w:rPr>
          <w:sz w:val="20"/>
          <w:szCs w:val="20"/>
          <w:color w:val="auto"/>
        </w:rPr>
      </w:pPr>
    </w:p>
    <w:p>
      <w:pPr>
        <w:jc w:val="both"/>
        <w:ind w:left="440" w:firstLine="644"/>
        <w:spacing w:after="0" w:line="225" w:lineRule="auto"/>
        <w:tabs>
          <w:tab w:leader="none" w:pos="173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were imposed with respect to any payment on a Note to any person who is a fiduciary or partnership or person other than the sole beneficial owner of such payment to the extent that no Additional Amounts would have been payable had the beneficial owner of the applicable Note been the holder of such Note;</w:t>
      </w:r>
    </w:p>
    <w:p>
      <w:pPr>
        <w:spacing w:after="0" w:line="148" w:lineRule="exact"/>
        <w:rPr>
          <w:rFonts w:ascii="Times New Roman" w:cs="Times New Roman" w:eastAsia="Times New Roman" w:hAnsi="Times New Roman"/>
          <w:sz w:val="22"/>
          <w:szCs w:val="22"/>
          <w:color w:val="auto"/>
        </w:rPr>
      </w:pPr>
    </w:p>
    <w:p>
      <w:pPr>
        <w:jc w:val="both"/>
        <w:ind w:left="440" w:firstLine="644"/>
        <w:spacing w:after="0" w:line="216" w:lineRule="auto"/>
        <w:tabs>
          <w:tab w:leader="none" w:pos="173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final withholding tax withheld by a Swiss bank or similar Swiss financial institution (a “</w:t>
      </w:r>
      <w:r>
        <w:rPr>
          <w:rFonts w:ascii="Times New Roman" w:cs="Times New Roman" w:eastAsia="Times New Roman" w:hAnsi="Times New Roman"/>
          <w:sz w:val="22"/>
          <w:szCs w:val="22"/>
          <w:i w:val="1"/>
          <w:iCs w:val="1"/>
          <w:color w:val="auto"/>
        </w:rPr>
        <w:t>Swiss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institution</w:t>
      </w:r>
      <w:r>
        <w:rPr>
          <w:rFonts w:ascii="Times New Roman" w:cs="Times New Roman" w:eastAsia="Times New Roman" w:hAnsi="Times New Roman"/>
          <w:sz w:val="22"/>
          <w:szCs w:val="22"/>
          <w:color w:val="auto"/>
        </w:rPr>
        <w:t>”) that is imposed with respect to a holder or beneficial owner of a Note through an account with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Swiss financial institution, to the extent that such withholding tax would not have been imposed, if such holder or beneficial had not voluntarily opted for imposition of such withholding tax in lieu of disclosure that would otherwise be required under a bilateral tax cooperation agreement between Switzerland and the country in which the holder or beneficial owner is tax resident; or</w:t>
      </w:r>
    </w:p>
    <w:p>
      <w:pPr>
        <w:spacing w:after="0" w:line="14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applicable taxes referred to in the preceding clauses (1) through (8).</w:t>
      </w:r>
    </w:p>
    <w:p>
      <w:pPr>
        <w:spacing w:after="0" w:line="179" w:lineRule="exact"/>
        <w:rPr>
          <w:rFonts w:ascii="Times New Roman" w:cs="Times New Roman" w:eastAsia="Times New Roman" w:hAnsi="Times New Roman"/>
          <w:sz w:val="22"/>
          <w:szCs w:val="22"/>
          <w:color w:val="auto"/>
        </w:rPr>
      </w:pPr>
    </w:p>
    <w:p>
      <w:pPr>
        <w:jc w:val="both"/>
        <w:ind w:left="-220" w:firstLine="656"/>
        <w:spacing w:after="0" w:line="212" w:lineRule="auto"/>
        <w:tabs>
          <w:tab w:leader="none" w:pos="107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w:t>
      </w:r>
      <w:r>
        <w:rPr>
          <w:rFonts w:ascii="Times New Roman" w:cs="Times New Roman" w:eastAsia="Times New Roman" w:hAnsi="Times New Roman"/>
          <w:sz w:val="22"/>
          <w:szCs w:val="22"/>
          <w:u w:val="single" w:color="auto"/>
          <w:color w:val="auto"/>
        </w:rPr>
        <w:t>Section 4.17(a)</w:t>
      </w:r>
      <w:r>
        <w:rPr>
          <w:rFonts w:ascii="Times New Roman" w:cs="Times New Roman" w:eastAsia="Times New Roman" w:hAnsi="Times New Roman"/>
          <w:sz w:val="22"/>
          <w:szCs w:val="22"/>
          <w:color w:val="auto"/>
        </w:rPr>
        <w:t xml:space="preserve">, the Issuer and the Guarantors will pay and indemnify the Holder for any present or future stamp, transfer, issue, registration, court or documentary taxes, or any other excise or property taxes, charges or similar levies or applicable taxes levied or imposed by any jurisdiction on the execution, delivery, registration or enforcement of any of the Notes or any other document or instrument referred to therein, or the receipt of any payments with respect thereto (limited, solely in the case of applicable taxes attributable to the receipt of any payments with respect thereto, to any such taxes imposed in a relevant taxing jurisdiction that are not excluded under clauses (a) through (c) and (e) through (g) or any combination thereof). For the avoidance of doubt, the indemnification provided in this </w:t>
      </w:r>
      <w:r>
        <w:rPr>
          <w:rFonts w:ascii="Times New Roman" w:cs="Times New Roman" w:eastAsia="Times New Roman" w:hAnsi="Times New Roman"/>
          <w:sz w:val="22"/>
          <w:szCs w:val="22"/>
          <w:u w:val="single" w:color="auto"/>
          <w:color w:val="auto"/>
        </w:rPr>
        <w:t>Section 4.17(b)</w:t>
      </w:r>
      <w:r>
        <w:rPr>
          <w:rFonts w:ascii="Times New Roman" w:cs="Times New Roman" w:eastAsia="Times New Roman" w:hAnsi="Times New Roman"/>
          <w:sz w:val="22"/>
          <w:szCs w:val="22"/>
          <w:color w:val="auto"/>
        </w:rPr>
        <w:t xml:space="preserve"> shall not include any such taxes arising from the transfer of Notes between holders.</w:t>
      </w:r>
    </w:p>
    <w:p>
      <w:pPr>
        <w:spacing w:after="0" w:line="156" w:lineRule="exact"/>
        <w:rPr>
          <w:rFonts w:ascii="Times New Roman" w:cs="Times New Roman" w:eastAsia="Times New Roman" w:hAnsi="Times New Roman"/>
          <w:sz w:val="22"/>
          <w:szCs w:val="22"/>
          <w:color w:val="auto"/>
        </w:rPr>
      </w:pPr>
    </w:p>
    <w:p>
      <w:pPr>
        <w:jc w:val="both"/>
        <w:ind w:left="-220" w:firstLine="656"/>
        <w:spacing w:after="0" w:line="211" w:lineRule="auto"/>
        <w:tabs>
          <w:tab w:leader="none" w:pos="107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Issuer becomes aware that it will be obligated to pay Additional Amounts with respect to any payment under or with respect to the Notes, it shall deliver to the Trustee and the Paying Agent on a date at least 30 days prior to the date of payment (unless the obligation to pay Additional Amounts arises after the 30th day prior to that payment date, in which case the Issuer shall notify the trustee in writing promptly thereafter) an Officers’ Certificate stating the fact that Additional Amounts shall be payable and the amount estimated to be so payable. The Officers’ Certificate must also set forth any other information reasonably necessary to enable the Paying Agent to pay Additional Amounts received from the Issuer on the relevant payment date. The Trustee and the Paying Agent shall be entitled to rely solely on such Officers’ Certificate as conclusive proof that such payments are necessary. The Issuer shall provide the Trustee and the Paying Agent with documentation reasonably satisfactory to the Trustee evidencing the payment of Additional Amounts.</w:t>
      </w:r>
    </w:p>
    <w:p>
      <w:pPr>
        <w:spacing w:after="0" w:line="158"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make all withholdings and deductions required by law and shall remit the full amount deducted or withheld to the relevant taxing authority in accordance with applicable law. Upon request, the Issuer shall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shall be made available by the Trustee to the holders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020"/>
          </w:cols>
          <w:pgMar w:left="540" w:top="1395" w:right="339" w:bottom="1440" w:gutter="0" w:footer="0" w:header="0"/>
        </w:sectPr>
      </w:pPr>
    </w:p>
    <w:bookmarkStart w:id="79" w:name="page80"/>
    <w:bookmarkEnd w:id="79"/>
    <w:p>
      <w:pPr>
        <w:jc w:val="both"/>
        <w:ind w:left="-220" w:firstLine="656"/>
        <w:spacing w:after="0" w:line="225" w:lineRule="auto"/>
        <w:tabs>
          <w:tab w:leader="none" w:pos="107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there is mentioned in any context the payment of principal of, and interest on, any Note or any other amount payable with respect to such Note, such mention shall be deemed to include payment of Additional Amounts provided for in this Indenture to the extent that, in such context, Additional Amounts are, were or would be payable in respect thereof.</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entitled to any Additional Amounts shall cooperate with the Issuer, the Trustee and the Paying Agent in providing any information or documentation reasonably requested by the Issuer, the Trustee or the Paying Agent to confirm the identity and/or tax status of such holder and any affected beneficial owner (to the extent necessary to establish such holder’s entitlement to Additional Amounts) and to assist the Issuer or the Trustee in determining the applicable withholding tax rate and the amount of Additional Amounts payable in respect thereof.</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pursuant to this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 xml:space="preserve"> shall survive termination, defeasance or discharge of this Indenture or any transfer by a holder or beneficial owner of its Notes and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any jurisdiction where any successor to the Issuer or any Guarantor is, for tax purposes, organized or resident or engaged in business or through which payment is made by, or on behalf of, any successor to the Issuer or any Guarantor (or any political subdivision or taxing authority thereof or therein).</w:t>
      </w:r>
    </w:p>
    <w:p>
      <w:pPr>
        <w:spacing w:after="0" w:line="152"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4.18</w:t>
      </w:r>
      <w:r>
        <w:rPr>
          <w:sz w:val="20"/>
          <w:szCs w:val="20"/>
          <w:color w:val="auto"/>
        </w:rPr>
        <w:tab/>
      </w:r>
      <w:r>
        <w:rPr>
          <w:rFonts w:ascii="Times New Roman" w:cs="Times New Roman" w:eastAsia="Times New Roman" w:hAnsi="Times New Roman"/>
          <w:sz w:val="21"/>
          <w:szCs w:val="21"/>
          <w:color w:val="auto"/>
        </w:rPr>
        <w:t>Use of Proceeds</w:t>
      </w:r>
    </w:p>
    <w:p>
      <w:pPr>
        <w:spacing w:after="0" w:line="179" w:lineRule="exact"/>
        <w:rPr>
          <w:sz w:val="20"/>
          <w:szCs w:val="20"/>
          <w:color w:val="auto"/>
        </w:rPr>
      </w:pPr>
    </w:p>
    <w:p>
      <w:pPr>
        <w:jc w:val="both"/>
        <w:ind w:left="-220" w:firstLine="656"/>
        <w:spacing w:after="0" w:line="212" w:lineRule="auto"/>
        <w:tabs>
          <w:tab w:leader="none" w:pos="107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ensure that, until the full redemption of the Notes, no proceeds of the Notes will be on-lent or made otherwise available, directly or indirectly, to any group member company incorporated in Switzerland and/or having its registered office in Switzerland and/or qualifying as a Swiss resident pursuant to the Swiss Withholding Tax Act; or otherwise be used or made available, directly or indirectly, in each case, in a manner which would constitute a "harmful use of proceeds in Switzerland" (schädliche Mittelverwendung in der Schweiz) as interpreted by the Swiss Federal Tax Administration for purposes of Swiss withholding tax, unless and until a written confirmation or countersigned tax ruling application from the Swiss Federal Tax Administration has been obtained (in form and substance satisfactory to the Trustee) confirming that such use of proceeds is permitted without interest payments under any Note becoming subject to Swiss withholding tax.</w:t>
      </w:r>
    </w:p>
    <w:p>
      <w:pPr>
        <w:spacing w:after="0" w:line="156"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4.19</w:t>
      </w:r>
      <w:r>
        <w:rPr>
          <w:sz w:val="20"/>
          <w:szCs w:val="20"/>
          <w:color w:val="auto"/>
        </w:rPr>
        <w:tab/>
      </w:r>
      <w:r>
        <w:rPr>
          <w:rFonts w:ascii="Times New Roman" w:cs="Times New Roman" w:eastAsia="Times New Roman" w:hAnsi="Times New Roman"/>
          <w:sz w:val="21"/>
          <w:szCs w:val="21"/>
          <w:u w:val="single" w:color="auto"/>
          <w:color w:val="auto"/>
        </w:rPr>
        <w:t>Effectiveness of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080" w:hanging="644"/>
        <w:spacing w:after="0"/>
        <w:tabs>
          <w:tab w:leader="none" w:pos="10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w:t>
      </w:r>
    </w:p>
    <w:p>
      <w:pPr>
        <w:spacing w:after="0" w:line="166"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Issue Date the Notes have an Investment Grade Rating from any two of the Rating</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Agencies; and</w:t>
      </w:r>
    </w:p>
    <w:p>
      <w:pPr>
        <w:spacing w:after="0" w:line="155" w:lineRule="exact"/>
        <w:rPr>
          <w:rFonts w:ascii="Times New Roman" w:cs="Times New Roman" w:eastAsia="Times New Roman" w:hAnsi="Times New Roman"/>
          <w:sz w:val="22"/>
          <w:szCs w:val="22"/>
          <w:color w:val="auto"/>
        </w:rPr>
      </w:pPr>
    </w:p>
    <w:p>
      <w:pPr>
        <w:jc w:val="both"/>
        <w:ind w:left="440" w:firstLine="644"/>
        <w:spacing w:after="0" w:line="225" w:lineRule="auto"/>
        <w:tabs>
          <w:tab w:leader="none" w:pos="1731"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under this Indenture, then upon delivery by the Issuer to the Trustee of an Officers’ Certificate to the foregoing effect, then the covenants under this Indenture described under the following headings shall thereafter terminate and cease to apply:</w:t>
      </w:r>
    </w:p>
    <w:p>
      <w:pPr>
        <w:spacing w:after="0" w:line="152"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020"/>
          </w:cols>
          <w:pgMar w:left="540" w:top="1395" w:right="339" w:bottom="1440" w:gutter="0" w:footer="0" w:header="0"/>
        </w:sectPr>
      </w:pPr>
    </w:p>
    <w:bookmarkStart w:id="80" w:name="page81"/>
    <w:bookmarkEnd w:id="80"/>
    <w:p>
      <w:pPr>
        <w:ind w:left="2600" w:hanging="648"/>
        <w:spacing w:after="0"/>
        <w:tabs>
          <w:tab w:leader="none" w:pos="26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5.1(a)(3)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shall have no duty to monitor the rating of the Notes, or to independently determine or verify if the conditions to termination of the covenants have been satisfied and may conclusively rely on the Officers’ Certificate as to the termination of covenants described above.</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w:t>
      </w:r>
    </w:p>
    <w:p>
      <w:pPr>
        <w:ind w:left="4920"/>
        <w:spacing w:after="0"/>
        <w:rPr>
          <w:sz w:val="20"/>
          <w:szCs w:val="20"/>
          <w:color w:val="auto"/>
        </w:rPr>
      </w:pPr>
      <w:r>
        <w:rPr>
          <w:rFonts w:ascii="Times New Roman" w:cs="Times New Roman" w:eastAsia="Times New Roman" w:hAnsi="Times New Roman"/>
          <w:sz w:val="22"/>
          <w:szCs w:val="22"/>
          <w:b w:val="1"/>
          <w:bCs w:val="1"/>
          <w:color w:val="auto"/>
        </w:rPr>
        <w:t>SUCCESSORS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Consolidation, Merger, Conveyance, Transfer or Lease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Issuer nor the Parent Guarantor shall, directly or indirectly, in a single transaction or a series of related transactions, (x) consolidate or amalgamate with, or merge with or into another Person (whether or not the Issuer or the Parent Guarantor is the surviving Person), or (y) sell, lease, transfer, convey or otherwise dispose of or assign all or substantially all of the assets of the Parent Guarantor and its Restricted Subsidiaries (taken as a whole) to any Person unless: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or the Parent Guarantor, as applicable, will be the surviving or continuing Person; or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87"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(if other than the Issuer or the Parent Guarantor) formed by or surviving or continuing from such amalgamation, consolidation or merger or to which such sale, lease, transfer, conveyance or other disposition or assignment shall be made (collectively, the “Successor”) is a corporation, company, company limited by shares, limited liability company or limited partnership organized and existing under the laws of Bermuda, the United Kingdom, any member country of the European Union (as constituted on the Issue Date), the United States, any state thereof, the District of Columbia, or any territory thereof and the Successor expressly assumes, by supplemental indenture, all of the obligations of the Issuer or the Parent Guarantor, as applicable, under the Notes and this Indenture;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after giving effect to such transaction and the assumption of the obligations as set forth in </w:t>
      </w:r>
      <w:r>
        <w:rPr>
          <w:rFonts w:ascii="Times New Roman" w:cs="Times New Roman" w:eastAsia="Times New Roman" w:hAnsi="Times New Roman"/>
          <w:sz w:val="22"/>
          <w:szCs w:val="22"/>
          <w:u w:val="single" w:color="auto"/>
          <w:color w:val="auto"/>
        </w:rPr>
        <w:t>Section 5.1(a)(1)(B)</w:t>
      </w:r>
      <w:r>
        <w:rPr>
          <w:rFonts w:ascii="Times New Roman" w:cs="Times New Roman" w:eastAsia="Times New Roman" w:hAnsi="Times New Roman"/>
          <w:sz w:val="22"/>
          <w:szCs w:val="22"/>
          <w:color w:val="auto"/>
        </w:rPr>
        <w:t xml:space="preserve"> and the incurrence of any Indebtedness to be incurred in connection therewith, and the use of any net proceeds therefrom on a pro forma basis, no Default shall have occurred and be continuing;</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after giving pro forma effect to such transaction and the assumption of the obligations as set forth in </w:t>
      </w:r>
      <w:r>
        <w:rPr>
          <w:rFonts w:ascii="Times New Roman" w:cs="Times New Roman" w:eastAsia="Times New Roman" w:hAnsi="Times New Roman"/>
          <w:sz w:val="22"/>
          <w:szCs w:val="22"/>
          <w:u w:val="single" w:color="auto"/>
          <w:color w:val="auto"/>
        </w:rPr>
        <w:t>Section 5.1(a)(1)(B)</w:t>
      </w:r>
      <w:r>
        <w:rPr>
          <w:rFonts w:ascii="Times New Roman" w:cs="Times New Roman" w:eastAsia="Times New Roman" w:hAnsi="Times New Roman"/>
          <w:sz w:val="22"/>
          <w:szCs w:val="22"/>
          <w:color w:val="auto"/>
        </w:rPr>
        <w:t xml:space="preserve"> and the incurrence of any Indebtedness to be incurred in connection therewith, and the use of any net proceeds therefrom on a pro forma basis, (i) the Parent Guarantor or its Successor, as the case may be, could incur $1.00 of additional Indebtedness pursuant to the Coverage Ratio Exception or (ii) the Consolidated Interest Coverage Ratio for the Parent Guarantor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5" w:right="339" w:bottom="1440" w:gutter="0" w:footer="0" w:header="0"/>
        </w:sectPr>
      </w:pPr>
    </w:p>
    <w:bookmarkStart w:id="81" w:name="page82"/>
    <w:bookmarkEnd w:id="81"/>
    <w:p>
      <w:pPr>
        <w:ind w:left="440"/>
        <w:spacing w:after="0" w:line="236" w:lineRule="auto"/>
        <w:rPr>
          <w:sz w:val="20"/>
          <w:szCs w:val="20"/>
          <w:color w:val="auto"/>
        </w:rPr>
      </w:pPr>
      <w:r>
        <w:rPr>
          <w:rFonts w:ascii="Times New Roman" w:cs="Times New Roman" w:eastAsia="Times New Roman" w:hAnsi="Times New Roman"/>
          <w:sz w:val="22"/>
          <w:szCs w:val="22"/>
          <w:color w:val="auto"/>
        </w:rPr>
        <w:t>Successor, as the case may be, and its Restricted Subsidiaries would be greater than or equal to such Consolidated Interest Coverage Ratio prior to such transaction; and</w:t>
      </w:r>
    </w:p>
    <w:p>
      <w:pPr>
        <w:spacing w:after="0" w:line="150" w:lineRule="exact"/>
        <w:rPr>
          <w:sz w:val="20"/>
          <w:szCs w:val="20"/>
          <w:color w:val="auto"/>
        </w:rPr>
      </w:pPr>
    </w:p>
    <w:p>
      <w:pPr>
        <w:jc w:val="both"/>
        <w:ind w:left="440" w:firstLine="644"/>
        <w:spacing w:after="0" w:line="225" w:lineRule="auto"/>
        <w:tabs>
          <w:tab w:leader="none" w:pos="173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have delivered to the Trustee an Officers’ Certificate and an Opinion of Counsel to the effect that such amalgamation, merger, consolidation or transfer and such agreement and/or supplemental indenture (if any) comply with this Indenture.</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3" w:lineRule="auto"/>
        <w:tabs>
          <w:tab w:leader="none" w:pos="107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5.1(a)(3)</w:t>
      </w:r>
      <w:r>
        <w:rPr>
          <w:rFonts w:ascii="Times New Roman" w:cs="Times New Roman" w:eastAsia="Times New Roman" w:hAnsi="Times New Roman"/>
          <w:sz w:val="22"/>
          <w:szCs w:val="22"/>
          <w:color w:val="auto"/>
        </w:rPr>
        <w:t>, (a) the Issuer may consolidate or amalgamate with, merge into or sell, assign, transfer, lease, convey or otherwise dispose of all or part of its properties and assets to the Parent Guarantor or any Subsidiary Guarantor, (b) the Parent Guarantor or the Issuer may merge, consolidate or amalgamate with an Affiliate of such entity for the purpose of consummating a Redomestication, (c) the Parent Guarantor or the Issuer may convert into a corporation, partnership, limited partnership, limited liability company or trust, or the foreign analog of any of the foregoing entities, organized or existing under the laws of the jurisdiction of organization of such Issuer, the European Union (as constituted on the Issue Date) or the laws of the United States, any state or territory thereof or the District of Columbia.</w:t>
      </w:r>
    </w:p>
    <w:p>
      <w:pPr>
        <w:spacing w:after="0" w:line="156"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any Indebtedness of the Successor which was not Indebtedness of the Parent Guarantor or the Issuer, as applicable, immediately prior to the transaction shall be deemed to have been incurred in connection with such transaction.</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circumstances under which this Indenture provides for the release of the Guarantee of a Guarantor as described under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no Subsidiary Guarantor shall, and the Parent Guarantor shall not permit any Subsidiary Guarantor to, directly or indirectly, (x) in a single transaction or a series of related transactions, consolidate, amalgamate or merge with or into another Person (whether or not the Guarantor is the surviving Person), or (y) sell, lease, transfer, convey or otherwise dispose of or assign all or substantially all of the assets of such Guarantor to any Person, unless either:</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(1)</w:t>
      </w:r>
    </w:p>
    <w:p>
      <w:pPr>
        <w:spacing w:after="0" w:line="179" w:lineRule="exact"/>
        <w:rPr>
          <w:sz w:val="20"/>
          <w:szCs w:val="20"/>
          <w:color w:val="auto"/>
        </w:rPr>
      </w:pPr>
    </w:p>
    <w:p>
      <w:pPr>
        <w:jc w:val="both"/>
        <w:ind w:left="1080" w:firstLine="652"/>
        <w:spacing w:after="0" w:line="220" w:lineRule="auto"/>
        <w:tabs>
          <w:tab w:leader="none" w:pos="2365"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such Guarantor will be the surviving or continuing Person; or (ii) the Person (if other than such Guarantor) formed by or surviving any such consolidation, amalgamation or merger is the Issuer or another Guarantor or assumes, by supplemental indenture, all of the obligations of such Guarantor under the Guarantee of such Guarantor and this Indenture; and</w:t>
      </w:r>
    </w:p>
    <w:p>
      <w:pPr>
        <w:spacing w:after="0" w:line="13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shall have occurred and be</w:t>
      </w: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or</w:t>
      </w:r>
    </w:p>
    <w:p>
      <w:pPr>
        <w:spacing w:after="0" w:line="14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amalgamation, consolidation, sale, lease or other transfer or disposition does not violate</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the transfer (by lease, assignment, sale or otherwise, in a single transaction or series of transactions) of all or substantially all of the properties or assets of one or more Restricted Subsidiaries of the Parent Guarantor, the Equity Interests of which constitute all or substantially all of the properties and assets of the Parent Guarantor and its Restricted Subsidiaries (taken as a whole), shall be deemed to be the transfer of all or substantially all of the properties and assets of the Parent Guarantor.</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consolidation, amalgamation or merger of the Issuer or a Guarantor, or any transfer of all or substantially all of the assets of the Issuer or a Guarantor in accordance with the foregoing, in which the Issuer or such Guarantor is not the continuing obligor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020"/>
          </w:cols>
          <w:pgMar w:left="540" w:top="1395" w:right="339" w:bottom="1440" w:gutter="0" w:footer="0" w:header="0"/>
        </w:sectPr>
      </w:pPr>
    </w:p>
    <w:bookmarkStart w:id="82" w:name="page83"/>
    <w:bookmarkEnd w:id="82"/>
    <w:p>
      <w:pPr>
        <w:jc w:val="both"/>
        <w:spacing w:after="0" w:line="224" w:lineRule="auto"/>
        <w:rPr>
          <w:sz w:val="20"/>
          <w:szCs w:val="20"/>
          <w:color w:val="auto"/>
        </w:rPr>
      </w:pPr>
      <w:r>
        <w:rPr>
          <w:rFonts w:ascii="Times New Roman" w:cs="Times New Roman" w:eastAsia="Times New Roman" w:hAnsi="Times New Roman"/>
          <w:sz w:val="21"/>
          <w:szCs w:val="21"/>
          <w:color w:val="auto"/>
        </w:rPr>
        <w:t>Notes or its Guarantee, as applicable, the surviving entity formed by such consolidation, amalgamation or merger or into which the Issuer or such Guarantor is merged or the Person to which the sale, conveyance, lease, transfer, disposition or assignment is made will succeed to, and be substituted for, and may exercise every right and power of, the Issuer or such Guarantor under this Indenture, the Notes and the Guarantees with the same effect as if such surviving entity had been named therein as the Issuer or such Guarantor and, except in the case of a lease, the Issuer or such Guarantor, as the case may be, will be released from the obligation to pay the principal of and interest on the Notes or in respect of its Guarantee, as the case may be, and all of the Issuer’s or such Guarantor’s other obligations and covenants under the Notes, this Indenture and its Guarantee, if applicable.</w:t>
      </w:r>
    </w:p>
    <w:p>
      <w:pPr>
        <w:spacing w:after="0" w:line="150" w:lineRule="exact"/>
        <w:rPr>
          <w:sz w:val="20"/>
          <w:szCs w:val="20"/>
          <w:color w:val="auto"/>
        </w:rPr>
      </w:pPr>
    </w:p>
    <w:p>
      <w:pPr>
        <w:jc w:val="both"/>
        <w:ind w:firstLine="656"/>
        <w:spacing w:after="0" w:line="213" w:lineRule="auto"/>
        <w:tabs>
          <w:tab w:leader="none" w:pos="129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(i) any Restricted Subsidiary may consolidate amalgamate or merge with or into or convey, transfer, sell, dispose, assign or lease, in one transaction or a series of transactions, all or substantially all of its assets to the Parent Guarantor or another Restricted Subsidiary and (ii) the Issuer or any Guarantor may (I) consolidate, amalgamate or merge with or into or convey, transfer or lease, in one transaction or a series of transactions, all or part of its properties and assets to the Issuer or another Guarantor or (II) merge with a Restricted Subsidiary of the Parent Guarantor solely with respect to this clause (II) for the purpose of reorganizing the Parent Guarantor or any Guarantor under the laws of the United States, any state thereof, the District of Columbia, or any territory thereof.</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ind w:left="4200"/>
        <w:spacing w:after="0"/>
        <w:rPr>
          <w:sz w:val="20"/>
          <w:szCs w:val="20"/>
          <w:color w:val="auto"/>
        </w:rPr>
      </w:pPr>
      <w:r>
        <w:rPr>
          <w:rFonts w:ascii="Times New Roman" w:cs="Times New Roman" w:eastAsia="Times New Roman" w:hAnsi="Times New Roman"/>
          <w:sz w:val="22"/>
          <w:szCs w:val="22"/>
          <w:b w:val="1"/>
          <w:bCs w:val="1"/>
          <w:color w:val="auto"/>
        </w:rPr>
        <w:t>DEFAULTS AND REMEDIES</w:t>
      </w:r>
    </w:p>
    <w:p>
      <w:pPr>
        <w:spacing w:after="0" w:line="15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Each of the following is an “</w:t>
      </w:r>
      <w:r>
        <w:rPr>
          <w:rFonts w:ascii="Times New Roman" w:cs="Times New Roman" w:eastAsia="Times New Roman" w:hAnsi="Times New Roman"/>
          <w:sz w:val="21"/>
          <w:szCs w:val="21"/>
          <w:i w:val="1"/>
          <w:iCs w:val="1"/>
          <w:color w:val="auto"/>
        </w:rPr>
        <w:t>Event of Default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656"/>
        <w:spacing w:after="0" w:line="236"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pay interest on any of the Notes when the same becomes due and payable and the continuance of any such failure for 30 days;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pay principal of, premium, if any, on any of the Notes when it becomes due and payable, whether at Stated Maturity, upon redemption, required purchase, acceleration or otherwise;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by the Issuer or any of its Restricted Subsidiaries to comply with any of their respective agreements or covenants described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or failure by the Issuer to comply in respect of its obligations to make a Change of Control Offer pursuant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or a Net Proceeds Offer pursuant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except with respect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or as described in clause (c)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failure by the Parent Guarantor or any Restricted Subsidiary to comply with any other covenant or agreement contained in this Indenture and continuance of this failure for 60 days after notice of the failure has been given to the Issuer by the Trustee or to the Issuer and the Trustee by the Holders of at least 25.0% of the aggregate principal amount of the Notes then outstanding or (2) failure by the Issuer for 120 days after notice of the failure has been given to the Issuer by the Trustee or by the Holders of at least 25.0% of the aggregate principal amount of the Notes then outstanding to comply with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83" w:name="page84"/>
    <w:bookmarkEnd w:id="83"/>
    <w:p>
      <w:pPr>
        <w:ind w:left="660" w:firstLine="644"/>
        <w:spacing w:after="0" w:line="236" w:lineRule="auto"/>
        <w:tabs>
          <w:tab w:leader="none" w:pos="195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caused by a failure to pay at its Stated Maturity principal on such Indebtedness within the applicable express grace period and any extensions thereof,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in the acceleration of such Indebtedness prior to its Stated Maturity,</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and, in each case, the principal amount of such Indebtedness, together with the principal amount of any other Indebtedness with respect to which an event described in clause (1) or (2) has occurred and is continuing, aggregates $125.0 million or more, and in any such case, such Indebtedness is not repaid or such failure to pay is not cured or such acceleration is not rescinded, annulled or otherwise cured within 30 days;</w:t>
      </w:r>
    </w:p>
    <w:p>
      <w:pPr>
        <w:spacing w:after="0" w:line="152" w:lineRule="exact"/>
        <w:rPr>
          <w:sz w:val="20"/>
          <w:szCs w:val="20"/>
          <w:color w:val="auto"/>
        </w:rPr>
      </w:pPr>
    </w:p>
    <w:p>
      <w:pPr>
        <w:jc w:val="both"/>
        <w:ind w:firstLine="656"/>
        <w:spacing w:after="0" w:line="225" w:lineRule="auto"/>
        <w:tabs>
          <w:tab w:leader="none" w:pos="129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(to the extent not covered by insurance) for the payment of money in an aggregate amount in excess of $125.0 million shall be rendered against the Parent Guarantor or any of its Significant Subsidiaries and the same shall remain undischarged for a period of 60 consecutive days during which execution shall not be effectively stayed;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or any Significant Subsidiary of the Parent Guarantor or group of Restricted Subsidiaries of the Parent Guarantor that, taken together, would constitute a Significant Subsidiary, pursuant to or within the meaning of any Bankruptcy Law:</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all or substantially all of its property,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in writing that it generally is not paying its debts as they become due;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5"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Issuer or any Significant Subsidiary of the Issuer or group of Restricted Subsidiaries of the Issuer that, taken together, would constitute a Significant Subsidiary, in an involuntary case;</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87"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Issuer or any Significant Subsidiary of the Issuer or group of Restricted Subsidiaries of the Issuer that, taken together, would constitute a Significant Subsidiary; or</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87"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the Issuer or any Significant Subsidiary of the Issuer or group of Restricted Subsidiaries of the Issuer that, taken together, would constitute a Significant Subsidiary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60 consecutive days; or</w:t>
      </w:r>
    </w:p>
    <w:p>
      <w:pPr>
        <w:spacing w:after="0" w:line="193" w:lineRule="exact"/>
        <w:rPr>
          <w:sz w:val="20"/>
          <w:szCs w:val="20"/>
          <w:color w:val="auto"/>
        </w:rPr>
      </w:pPr>
    </w:p>
    <w:p>
      <w:pPr>
        <w:jc w:val="both"/>
        <w:ind w:firstLine="656"/>
        <w:spacing w:after="0" w:line="225" w:lineRule="auto"/>
        <w:tabs>
          <w:tab w:leader="none" w:pos="129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ceases to be in full force and effect (other than in accordance with the terms of such Guarantee and this Indenture) or is declared null and void and unenforceable or found to be invalid or any Guarantor denies its liability under the Guarantee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(other than by reason of release of such Guarantor from its Guarantee in accordance with the terms of this Indenture).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Trustee shall not be deemed to have notice of any Default or Event of Default, unless a responsible officer of the Trustee has actual knowledge thereof or the Trustee shall have been notified specifically of the Default or Event of Default in a written instrument or document delivered to it, referring to this Indenture, describing such Event of Default and stating that such notice is a “Notice of Default.”</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 If an Event of Default (other than an Event of Default specified in Section 6.1(g) with respect to the Issuer), shall have occurred and be continuing under this Indenture, the Trustee, by written notice to the Issuer, or the Holders of at least 25.0% in aggregate principal amount of the Notes then outstanding by written notice to the Issuer and the Trustee, may declare (an “</w:t>
      </w:r>
      <w:r>
        <w:rPr>
          <w:rFonts w:ascii="Times New Roman" w:cs="Times New Roman" w:eastAsia="Times New Roman" w:hAnsi="Times New Roman"/>
          <w:sz w:val="22"/>
          <w:szCs w:val="22"/>
          <w:i w:val="1"/>
          <w:iCs w:val="1"/>
          <w:color w:val="auto"/>
        </w:rPr>
        <w:t>acceleration declaration</w:t>
      </w:r>
      <w:r>
        <w:rPr>
          <w:rFonts w:ascii="Times New Roman" w:cs="Times New Roman" w:eastAsia="Times New Roman" w:hAnsi="Times New Roman"/>
          <w:sz w:val="22"/>
          <w:szCs w:val="22"/>
          <w:color w:val="auto"/>
        </w:rPr>
        <w:t xml:space="preserve">”) all amounts owing under the Notes to be due and payable. Upon such acceleration declaration, the aggregate principal of and accrued and unpaid interest on the outstanding Notes shall become due and payable immediately;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after such acceleration, but before a judgment or decree based on acceleration, the Holders of a majority in aggregate principal amount of such outstanding Notes may rescind and annul such acceleration if all Events of Default, other than the nonpayment of accelerated principal and interest, have been cured or waived as provided in this Indenture.</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If an Event of Default specified in Section 6.1(g) occurs with respect to the Issuer, all amounts owing under all outstanding Notes shall become due and payable without any further action or notice to the extent permitted by applicable law.</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If an Event of Default occurs and is continuing, the Trustee may pursue any available remedy to collect the payments on the Notes or to enforce the performance of any provision of the Notes or this Indenture.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Waiver of Past Defaults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the Holders of a majority in aggregate principal amount of the Notes then outstanding by written notice to the Trustee may, on behalf of the Holders of all of the Notes, waive any existing Default and its consequences under this Indenture except a continuing Default in the payment of interest or premium, or the principal of, the Notes.</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Control by Majority</w:t>
      </w:r>
      <w:r>
        <w:rPr>
          <w:rFonts w:ascii="Times New Roman" w:cs="Times New Roman" w:eastAsia="Times New Roman" w:hAnsi="Times New Roman"/>
          <w:sz w:val="22"/>
          <w:szCs w:val="22"/>
          <w:color w:val="auto"/>
        </w:rPr>
        <w:t>. The Holders of a majority in aggregate principal amount of the then outstanding Notes shall have the right to direct the time, method and place of conducting any proceeding for exercising any remedy available to the Trustee. However, the Trustee may refuse to follow any direction that conflicts with law or this Indenture, that may involve the Trustee in personal liability, or that the Trustee determines in good faith may be unduly prejudicial to the rights of Holders of Notes not joining in the giving of such direction (it being understood that the Trustee does not have an affirmative duty to determine whether or not any such direction is unduly prejudicial to the rights of Holders of Notes not joining in the giving of such direction) and may take any other action it deems proper that is not inconsistent with any such direction received from Holders of Notes.</w:t>
      </w:r>
    </w:p>
    <w:p>
      <w:pPr>
        <w:spacing w:after="0" w:line="1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2"/>
          <w:szCs w:val="22"/>
          <w:u w:val="single" w:color="auto"/>
          <w:color w:val="auto"/>
        </w:rPr>
        <w:t>Limitation on Suits</w:t>
      </w:r>
      <w:r>
        <w:rPr>
          <w:rFonts w:ascii="Times New Roman" w:cs="Times New Roman" w:eastAsia="Times New Roman" w:hAnsi="Times New Roman"/>
          <w:sz w:val="22"/>
          <w:szCs w:val="22"/>
          <w:color w:val="auto"/>
        </w:rPr>
        <w:t>. A Holder may not pursue any remedy with respect to this Indenture or the Notes</w:t>
      </w:r>
    </w:p>
    <w:p>
      <w:pPr>
        <w:spacing w:after="0"/>
        <w:rPr>
          <w:sz w:val="20"/>
          <w:szCs w:val="20"/>
          <w:color w:val="auto"/>
        </w:rPr>
      </w:pPr>
      <w:r>
        <w:rPr>
          <w:rFonts w:ascii="Times New Roman" w:cs="Times New Roman" w:eastAsia="Times New Roman" w:hAnsi="Times New Roman"/>
          <w:sz w:val="22"/>
          <w:szCs w:val="22"/>
          <w:color w:val="auto"/>
        </w:rPr>
        <w:t>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85" w:name="page86"/>
    <w:bookmarkEnd w:id="85"/>
    <w:p>
      <w:pPr>
        <w:ind w:left="1300" w:hanging="644"/>
        <w:spacing w:after="0"/>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the Trustee written notice of a continuing Event of Default;</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or Holders of at least 25.0% in aggregate principal amount of outstanding Notes make a written request to the Trustee to pursue the remedy;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offer and if requested, provide, the Trustee indemnity satisfactory to the Trustee against any costs, liability or expense;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does not comply with the request within 60 days after receipt of the request and the offer of indemnity;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55" w:lineRule="exact"/>
        <w:rPr>
          <w:rFonts w:ascii="Times New Roman" w:cs="Times New Roman" w:eastAsia="Times New Roman" w:hAnsi="Times New Roman"/>
          <w:sz w:val="21"/>
          <w:szCs w:val="21"/>
          <w:color w:val="auto"/>
        </w:rPr>
      </w:pPr>
    </w:p>
    <w:p>
      <w:pPr>
        <w:ind w:right="20" w:firstLine="656"/>
        <w:spacing w:after="0" w:line="236" w:lineRule="auto"/>
        <w:tabs>
          <w:tab w:leader="none" w:pos="129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60 day period, the Holders of a majority in aggregate principal amount of the outstanding Notes do not give the Trustee a direction that is inconsistent with the request.</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However, such limitations do not apply to the contractual right of any Holder of a Note to receive payment of the principal of, premium, if any, or interest on, such Note or to bring suit for the enforcement of any such payment, on or after the due date expressed in the Notes, which right will not be modified without the consent of the Holder.</w:t>
      </w:r>
    </w:p>
    <w:p>
      <w:pPr>
        <w:spacing w:after="0" w:line="15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Rights of Holders of Notes to Receive Payment</w:t>
      </w:r>
      <w:r>
        <w:rPr>
          <w:rFonts w:ascii="Times New Roman" w:cs="Times New Roman" w:eastAsia="Times New Roman" w:hAnsi="Times New Roman"/>
          <w:sz w:val="22"/>
          <w:szCs w:val="22"/>
          <w:color w:val="auto"/>
        </w:rPr>
        <w:t>. Notwithstanding any other provision of this Indenture, the contractual right of any Holder of a Note to receive payment of principal of, premium, if any, or interest on, such Note or to bring suit for the enforcement of any such payment, on or after the due date expressed in the Notes, shall not be modified without the consent of the Holder.</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Collection Suit by Trustee</w:t>
      </w:r>
      <w:r>
        <w:rPr>
          <w:rFonts w:ascii="Times New Roman" w:cs="Times New Roman" w:eastAsia="Times New Roman" w:hAnsi="Times New Roman"/>
          <w:sz w:val="22"/>
          <w:szCs w:val="22"/>
          <w:color w:val="auto"/>
        </w:rPr>
        <w:t xml:space="preserve">. If an Event of Default specified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occurs and is continuing, the Trustee is authorized to recover judgment in its own name and as trustee of an express trust against the Issuer for the whole amount of principal of, premium and interest remaining unpaid on the Notes and interest on overdue principal and, to the extent lawful, such further amount as shall be sufficient to cover the costs and expenses of collection, including the compensation and reasonable expenses, disbursements and advances of the Trustee, its agents and counsel.</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Trustee May File Proofs of Claim</w:t>
      </w:r>
      <w:r>
        <w:rPr>
          <w:rFonts w:ascii="Times New Roman" w:cs="Times New Roman" w:eastAsia="Times New Roman" w:hAnsi="Times New Roman"/>
          <w:sz w:val="22"/>
          <w:szCs w:val="22"/>
          <w:color w:val="auto"/>
        </w:rPr>
        <w:t xml:space="preserve">. The Trustee is authorized to file such proofs of claim and other papers or documents as may be necessary or advisable in order to have the claims of the Trustee (including any claim for the compensation and reasonable expenses, disbursements and advances of the Trustee, its agents and counsel) and the Holders allowed in any judicial proceedings relative to the Issuer (or any other obligor upon the Notes), its creditors or its property and shall be entitled and empowered to collect, receive and distribute any money or other securities or property payable or deliverable upon the conversion or exchange of the Notes or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and reasonable expenses, disbursements and advances of the Trustee, its agents and counsel, and any other amounts due the Trustee under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To the extent that the payment of any such compensation, expenses, disbursements and advances to the Trustee, its agents and counsel, and any other amounts due the Trustee under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shall be deemed to authorize the Trustee to authorize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25" w:lineRule="auto"/>
        <w:rPr>
          <w:sz w:val="20"/>
          <w:szCs w:val="20"/>
          <w:color w:val="auto"/>
        </w:rPr>
      </w:pPr>
      <w:r>
        <w:rPr>
          <w:rFonts w:ascii="Times New Roman" w:cs="Times New Roman" w:eastAsia="Times New Roman" w:hAnsi="Times New Roman"/>
          <w:sz w:val="22"/>
          <w:szCs w:val="22"/>
          <w:color w:val="auto"/>
        </w:rPr>
        <w:t>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Priorities</w:t>
      </w:r>
      <w:r>
        <w:rPr>
          <w:rFonts w:ascii="Times New Roman" w:cs="Times New Roman" w:eastAsia="Times New Roman" w:hAnsi="Times New Roman"/>
          <w:sz w:val="22"/>
          <w:szCs w:val="22"/>
          <w:color w:val="auto"/>
        </w:rPr>
        <w:t xml:space="preserve">. If the Trustee collects any money or property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it shall pay out the money and property in the following order: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Trustee, its agents and attorneys for amounts due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including payment of all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reasonable expenses and liabilities incurred (including, without limitation, reasonable and documented fees and expenses of legal counsel), and all advances made, by it and the costs and expenses of collection;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Holders for amounts due and unpaid on the Notes for principal, premium, if any, and interest ratably,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preference or priority of any kind, according to the amounts due and payable on the Notes for principal, premium, if any, and interest, respectively;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without duplication, to the Holders for any other Obligations owing to the Holders under this Indenture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Notes;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Issuer or to such party as a court of competent jurisdiction shall direct.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Trustee may fix a record date and payment date for any payment to Holders pursuant to this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Undertaking for Costs</w:t>
      </w:r>
      <w:r>
        <w:rPr>
          <w:rFonts w:ascii="Times New Roman" w:cs="Times New Roman" w:eastAsia="Times New Roman" w:hAnsi="Times New Roman"/>
          <w:sz w:val="22"/>
          <w:szCs w:val="22"/>
          <w:color w:val="auto"/>
        </w:rPr>
        <w:t xml:space="preserve">. 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does not apply to a suit by the Trustee, a suit by a Holder pursuant to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or a suit by Holders of more than 10.0% in aggregate principal amount of the then outstanding Notes.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Noteholder Direction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9"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notice of Default may be given with respect to any action taken, and reported publicly, more than two years prior to such notice of Default. Any notice of Default, notice of acceleration or instruction to the Trustee to provide a notice of Default, notice of acceleration or take any other action (a “</w:t>
      </w:r>
      <w:r>
        <w:rPr>
          <w:rFonts w:ascii="Times New Roman" w:cs="Times New Roman" w:eastAsia="Times New Roman" w:hAnsi="Times New Roman"/>
          <w:sz w:val="22"/>
          <w:szCs w:val="22"/>
          <w:i w:val="1"/>
          <w:iCs w:val="1"/>
          <w:color w:val="auto"/>
        </w:rPr>
        <w:t>Noteholder Direction</w:t>
      </w:r>
      <w:r>
        <w:rPr>
          <w:rFonts w:ascii="Times New Roman" w:cs="Times New Roman" w:eastAsia="Times New Roman" w:hAnsi="Times New Roman"/>
          <w:sz w:val="22"/>
          <w:szCs w:val="22"/>
          <w:color w:val="auto"/>
        </w:rPr>
        <w:t>”) provided by any one or more Holders of Notes (except any Holder that certifies in the Noteholder Direction that it is a Regulated Bank) (each a “</w:t>
      </w:r>
      <w:r>
        <w:rPr>
          <w:rFonts w:ascii="Times New Roman" w:cs="Times New Roman" w:eastAsia="Times New Roman" w:hAnsi="Times New Roman"/>
          <w:sz w:val="22"/>
          <w:szCs w:val="22"/>
          <w:i w:val="1"/>
          <w:iCs w:val="1"/>
          <w:color w:val="auto"/>
        </w:rPr>
        <w:t>Directing Holder</w:t>
      </w:r>
      <w:r>
        <w:rPr>
          <w:rFonts w:ascii="Times New Roman" w:cs="Times New Roman" w:eastAsia="Times New Roman" w:hAnsi="Times New Roman"/>
          <w:sz w:val="22"/>
          <w:szCs w:val="22"/>
          <w:color w:val="auto"/>
        </w:rPr>
        <w:t>”) must be accompanied by a written representation from each such Holder of Notes delivered to the Issuer and the Trustee that such Holder of Notes is not (or, in the case such Holder of Notes is DTC or its nominee, that such Holder of Notes is being instructed solely by beneficial owners that are not) Net Short (a “</w:t>
      </w:r>
      <w:r>
        <w:rPr>
          <w:rFonts w:ascii="Times New Roman" w:cs="Times New Roman" w:eastAsia="Times New Roman" w:hAnsi="Times New Roman"/>
          <w:sz w:val="22"/>
          <w:szCs w:val="22"/>
          <w:i w:val="1"/>
          <w:iCs w:val="1"/>
          <w:color w:val="auto"/>
        </w:rPr>
        <w:t>Position Representation</w:t>
      </w:r>
      <w:r>
        <w:rPr>
          <w:rFonts w:ascii="Times New Roman" w:cs="Times New Roman" w:eastAsia="Times New Roman" w:hAnsi="Times New Roman"/>
          <w:sz w:val="22"/>
          <w:szCs w:val="22"/>
          <w:color w:val="auto"/>
        </w:rPr>
        <w:t>”),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Issuer with such other information as the Issuer may reasonably request from time to time in order to verify the accuracy of such Holder’s Position Representation within five Business Days of request therefor (a “</w:t>
      </w:r>
      <w:r>
        <w:rPr>
          <w:rFonts w:ascii="Times New Roman" w:cs="Times New Roman" w:eastAsia="Times New Roman" w:hAnsi="Times New Roman"/>
          <w:sz w:val="22"/>
          <w:szCs w:val="22"/>
          <w:i w:val="1"/>
          <w:iCs w:val="1"/>
          <w:color w:val="auto"/>
        </w:rPr>
        <w:t>Verification Covenant</w:t>
      </w:r>
      <w:r>
        <w:rPr>
          <w:rFonts w:ascii="Times New Roman" w:cs="Times New Roman" w:eastAsia="Times New Roman" w:hAnsi="Times New Roman"/>
          <w:sz w:val="22"/>
          <w:szCs w:val="22"/>
          <w:color w:val="auto"/>
        </w:rPr>
        <w:t>”). In any case in which the Holder of Notes is DTC or its nominee, any Position Representation or Verification Covenant required hereunder shall be provided by the beneficial owner of the Notes in lieu of DTC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87" w:name="page88"/>
    <w:bookmarkEnd w:id="87"/>
    <w:p>
      <w:pPr>
        <w:spacing w:after="0" w:line="236" w:lineRule="auto"/>
        <w:rPr>
          <w:sz w:val="20"/>
          <w:szCs w:val="20"/>
          <w:color w:val="auto"/>
        </w:rPr>
      </w:pPr>
      <w:r>
        <w:rPr>
          <w:rFonts w:ascii="Times New Roman" w:cs="Times New Roman" w:eastAsia="Times New Roman" w:hAnsi="Times New Roman"/>
          <w:sz w:val="22"/>
          <w:szCs w:val="22"/>
          <w:color w:val="auto"/>
        </w:rPr>
        <w:t>nominee, and DTC shall be entitled to rely conclusively on such Position Representation and Verification Covenant in delivering its direction to the Trustee.</w:t>
      </w:r>
    </w:p>
    <w:p>
      <w:pPr>
        <w:spacing w:after="0" w:line="150" w:lineRule="exact"/>
        <w:rPr>
          <w:sz w:val="20"/>
          <w:szCs w:val="20"/>
          <w:color w:val="auto"/>
        </w:rPr>
      </w:pPr>
    </w:p>
    <w:p>
      <w:pPr>
        <w:jc w:val="both"/>
        <w:ind w:firstLine="656"/>
        <w:spacing w:after="0" w:line="207" w:lineRule="auto"/>
        <w:tabs>
          <w:tab w:leader="none" w:pos="129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without the participation of such Holder, the percentage of Notes held by the remaining Holders that provided such Noteholder Direction would have been insufficient to validly provide such Noteholder Direction. 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of Notes, the percentage of Notes held by the remaining Holders of Notes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such voiding of such Noteholder Direction shall not void or invalidate any indemnity or security provided by the Directing Holders to the Trustee, which such indemnification or security obligations shall continue to survive.</w:t>
      </w:r>
    </w:p>
    <w:p>
      <w:pPr>
        <w:spacing w:after="0" w:line="169"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to the contrary, any Noteholder Direction delivered to the Trustee during the pendency of an Event of Default under </w:t>
      </w:r>
      <w:r>
        <w:rPr>
          <w:rFonts w:ascii="Times New Roman" w:cs="Times New Roman" w:eastAsia="Times New Roman" w:hAnsi="Times New Roman"/>
          <w:sz w:val="22"/>
          <w:szCs w:val="22"/>
          <w:u w:val="single" w:color="auto"/>
          <w:color w:val="auto"/>
        </w:rPr>
        <w:t>Section 6.1(h)</w:t>
      </w:r>
      <w:r>
        <w:rPr>
          <w:rFonts w:ascii="Times New Roman" w:cs="Times New Roman" w:eastAsia="Times New Roman" w:hAnsi="Times New Roman"/>
          <w:sz w:val="22"/>
          <w:szCs w:val="22"/>
          <w:color w:val="auto"/>
        </w:rPr>
        <w:t xml:space="preserve"> shall not require compliance with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In addition, for the avoidance of doubt,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shall not apply to any beneficial owner or Holder of Notes that is a Regulated Bank and has so stated in the applicable Noteholder Direction. For the avoidance of doubt, (i)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(ii) shall have no obligation to monitor or to determine whether a Directing Holder is Net Short and (iii) can conclusively rely on a Directing Holder’s Position Representation, any Officers’ Certificate delivered by the Issuer to the Trustee and the determinations made by a court of competent jurisdiction. The Trustee shall have no liability to the Issuer, any Holder of Notes or any other Person in acting (or not acting) in good faith on a Noteholder Direction or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5" w:right="339" w:bottom="1440" w:gutter="0" w:footer="0" w:header="0"/>
        </w:sectPr>
      </w:pPr>
    </w:p>
    <w:bookmarkStart w:id="88" w:name="page89"/>
    <w:bookmarkEnd w:id="88"/>
    <w:p>
      <w:pPr>
        <w:ind w:left="4760"/>
        <w:spacing w:after="0"/>
        <w:rPr>
          <w:sz w:val="20"/>
          <w:szCs w:val="20"/>
          <w:color w:val="auto"/>
        </w:rPr>
      </w:pPr>
      <w:r>
        <w:rPr>
          <w:rFonts w:ascii="Times New Roman" w:cs="Times New Roman" w:eastAsia="Times New Roman" w:hAnsi="Times New Roman"/>
          <w:sz w:val="22"/>
          <w:szCs w:val="22"/>
          <w:b w:val="1"/>
          <w:bCs w:val="1"/>
          <w:color w:val="auto"/>
        </w:rPr>
        <w:t>Article VII</w:t>
      </w:r>
    </w:p>
    <w:p>
      <w:pPr>
        <w:ind w:left="490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155"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Duties of Trustee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220" w:firstLine="656"/>
        <w:spacing w:after="0" w:line="217" w:lineRule="auto"/>
        <w:tabs>
          <w:tab w:leader="none" w:pos="107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of which the Trustee has received written notice or which is actually known to a Responsible Officer of the Trustee, the Trustee shall exercise such of the rights and powers vested in it by this Indenture and use the same degree of care and skill in its exercise as a prudent person would exercise or use under the circumstances in the conduct of his or her own affairs. The Trustee shall not be liable for any action taken or omitted by it in the performance of its duties under this Indenture except for its own gross negligence or willful misconduct.</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w:t>
      </w:r>
    </w:p>
    <w:p>
      <w:pPr>
        <w:spacing w:after="0" w:line="179" w:lineRule="exact"/>
        <w:rPr>
          <w:sz w:val="20"/>
          <w:szCs w:val="20"/>
          <w:color w:val="auto"/>
        </w:rPr>
      </w:pPr>
    </w:p>
    <w:p>
      <w:pPr>
        <w:jc w:val="both"/>
        <w:ind w:left="440" w:firstLine="644"/>
        <w:spacing w:after="0" w:line="225" w:lineRule="auto"/>
        <w:tabs>
          <w:tab w:leader="none" w:pos="173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52" w:lineRule="exact"/>
        <w:rPr>
          <w:rFonts w:ascii="Times New Roman" w:cs="Times New Roman" w:eastAsia="Times New Roman" w:hAnsi="Times New Roman"/>
          <w:sz w:val="22"/>
          <w:szCs w:val="22"/>
          <w:color w:val="auto"/>
        </w:rPr>
      </w:pPr>
    </w:p>
    <w:p>
      <w:pPr>
        <w:jc w:val="both"/>
        <w:ind w:left="440" w:firstLine="644"/>
        <w:spacing w:after="0" w:line="215" w:lineRule="auto"/>
        <w:tabs>
          <w:tab w:leader="none" w:pos="173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in the case of any such certificates or opinions which by any provision hereof are specifically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furnished to the Trustee, the Trustee shall examine the certificates and opinions furnished to it to determine whether or not they conform on their face to the requirements of this Indenture.</w:t>
      </w:r>
    </w:p>
    <w:p>
      <w:pPr>
        <w:spacing w:after="0" w:line="152" w:lineRule="exact"/>
        <w:rPr>
          <w:rFonts w:ascii="Times New Roman" w:cs="Times New Roman" w:eastAsia="Times New Roman" w:hAnsi="Times New Roman"/>
          <w:sz w:val="22"/>
          <w:szCs w:val="22"/>
          <w:color w:val="auto"/>
        </w:rPr>
      </w:pPr>
    </w:p>
    <w:p>
      <w:pPr>
        <w:ind w:left="-220" w:right="20" w:firstLine="656"/>
        <w:spacing w:after="0" w:line="236" w:lineRule="auto"/>
        <w:tabs>
          <w:tab w:leader="none" w:pos="107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own grossly negligent actions, its own grossly negligent failure to act, or its own willful misconduct, except that:</w:t>
      </w:r>
    </w:p>
    <w:p>
      <w:pPr>
        <w:spacing w:after="0" w:line="137"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does not limit the effect of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xml:space="preserve"> or</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440" w:right="20" w:firstLine="644"/>
        <w:spacing w:after="0" w:line="236" w:lineRule="auto"/>
        <w:tabs>
          <w:tab w:leader="none" w:pos="173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of the Trustee, unless it is proved that the Trustee was negligent in ascertaining the pertinent facts;</w:t>
      </w:r>
    </w:p>
    <w:p>
      <w:pPr>
        <w:spacing w:after="0" w:line="150" w:lineRule="exact"/>
        <w:rPr>
          <w:rFonts w:ascii="Times New Roman" w:cs="Times New Roman" w:eastAsia="Times New Roman" w:hAnsi="Times New Roman"/>
          <w:sz w:val="22"/>
          <w:szCs w:val="22"/>
          <w:color w:val="auto"/>
        </w:rPr>
      </w:pPr>
    </w:p>
    <w:p>
      <w:pPr>
        <w:ind w:left="440" w:firstLine="644"/>
        <w:spacing w:after="0" w:line="236" w:lineRule="auto"/>
        <w:tabs>
          <w:tab w:leader="none" w:pos="173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not be liable with respect to any action it takes or omits to take in accordance with a direction received by it pursuant to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and</w:t>
      </w:r>
    </w:p>
    <w:p>
      <w:pPr>
        <w:spacing w:after="0" w:line="137"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shall require the Trustee to expend or risk its own funds or incur any</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w:t>
      </w:r>
    </w:p>
    <w:p>
      <w:pPr>
        <w:spacing w:after="0" w:line="155"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for interest on or the investment of any money received by it except as the Trustee may agree in writing with the Issuer. Money held in trust by the Trustee need not be segregated from other funds except to the extent required by law. The Trustee shall have no investment discretion and the Trustee’s only responsibility for investments shall be to follow the written instructions of the Issuer. Absent written investment instructions, all moneys or deposits held by the Trustee shall be uninvested. The Trustee shall not incur any liability for losses arising from any investments made pursuant to this Indenture. The Trustee shall not be required to determine the suitability or legality of any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020"/>
          </w:cols>
          <w:pgMar w:left="540" w:top="1382" w:right="339" w:bottom="1440" w:gutter="0" w:footer="0" w:header="0"/>
        </w:sectPr>
      </w:pPr>
    </w:p>
    <w:bookmarkStart w:id="89" w:name="page90"/>
    <w:bookmarkEnd w:id="89"/>
    <w:p>
      <w:pPr>
        <w:ind w:left="-220" w:right="20" w:firstLine="656"/>
        <w:spacing w:after="0" w:line="236" w:lineRule="auto"/>
        <w:tabs>
          <w:tab w:leader="none" w:pos="107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or not therein expressly so provided, every provision of this Indenture that in any way relates to the Trustee is subject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Rights of Trustee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220" w:firstLine="656"/>
        <w:spacing w:after="0" w:line="220" w:lineRule="auto"/>
        <w:tabs>
          <w:tab w:leader="none" w:pos="107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and shall be fully protected in acting or refraining from acting on any resolution, certificate, statement, instrument, opinion, notice, report, request, direction, consent, order, bond, debenture or other document (whether in original or facsimile form) believed by it to be genuine and to have been signed or presented by the proper Person. The Trustee need not investigate any fact or matter stated therein.</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7" w:lineRule="auto"/>
        <w:tabs>
          <w:tab w:leader="none" w:pos="107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w:t>
      </w:r>
    </w:p>
    <w:p>
      <w:pPr>
        <w:spacing w:after="0" w:line="152" w:lineRule="exact"/>
        <w:rPr>
          <w:rFonts w:ascii="Times New Roman" w:cs="Times New Roman" w:eastAsia="Times New Roman" w:hAnsi="Times New Roman"/>
          <w:sz w:val="22"/>
          <w:szCs w:val="22"/>
          <w:color w:val="auto"/>
        </w:rPr>
      </w:pPr>
    </w:p>
    <w:p>
      <w:pPr>
        <w:ind w:left="-220" w:right="20" w:firstLine="656"/>
        <w:spacing w:after="0" w:line="236" w:lineRule="auto"/>
        <w:tabs>
          <w:tab w:leader="none" w:pos="107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and agents and shall not be responsible for the misconduct or negligence of any attorney or agent appointed with due care.</w:t>
      </w:r>
    </w:p>
    <w:p>
      <w:pPr>
        <w:spacing w:after="0" w:line="150" w:lineRule="exact"/>
        <w:rPr>
          <w:rFonts w:ascii="Times New Roman" w:cs="Times New Roman" w:eastAsia="Times New Roman" w:hAnsi="Times New Roman"/>
          <w:sz w:val="22"/>
          <w:szCs w:val="22"/>
          <w:color w:val="auto"/>
        </w:rPr>
      </w:pPr>
    </w:p>
    <w:p>
      <w:pPr>
        <w:ind w:left="-220" w:firstLine="656"/>
        <w:spacing w:after="0" w:line="236" w:lineRule="auto"/>
        <w:tabs>
          <w:tab w:leader="none" w:pos="107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it takes or omits to take in good faith that it believes to be authorized or within the discretion or rights or powers conferred upon it by this Indenture.</w:t>
      </w:r>
    </w:p>
    <w:p>
      <w:pPr>
        <w:spacing w:after="0" w:line="150" w:lineRule="exact"/>
        <w:rPr>
          <w:rFonts w:ascii="Times New Roman" w:cs="Times New Roman" w:eastAsia="Times New Roman" w:hAnsi="Times New Roman"/>
          <w:sz w:val="22"/>
          <w:szCs w:val="22"/>
          <w:color w:val="auto"/>
        </w:rPr>
      </w:pPr>
    </w:p>
    <w:p>
      <w:pPr>
        <w:ind w:left="-220" w:right="20" w:firstLine="656"/>
        <w:spacing w:after="0" w:line="236" w:lineRule="auto"/>
        <w:tabs>
          <w:tab w:leader="none" w:pos="107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Issuer or a Guarantor shall be sufficient if signed by an Officer of the Issuer or such Guarantor.</w:t>
      </w:r>
    </w:p>
    <w:p>
      <w:pPr>
        <w:spacing w:after="0" w:line="150"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be under no obligation to exercise any of the rights or powers vested in it by this Indenture at the request or direction of any of the Holders unless such Holders shall have offered, and if requested,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to the Trustee security or indemnity satisfactory to the Trustee against the costs, expenses and liabilities that might be incurred by it in compliance with such request or direction.</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3" w:lineRule="auto"/>
        <w:tabs>
          <w:tab w:leader="none" w:pos="107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 as it may see fit, and, if the Trustee shall determine to make such further inquiry or investigation, it shall be entitled to examine during normal business hours the books, records and premises of the Issuer, personally or by agent or attorney at the sole cost of the Issuer, and shall incur no liability or additional liability of any kind by reason of such inquiry or investigation.</w:t>
      </w:r>
    </w:p>
    <w:p>
      <w:pPr>
        <w:spacing w:after="0" w:line="156"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to the Agents and to each other agent, custodian and Person employed to act hereunder.</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6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Issuer and each of the Guarantors shall deliver to the Trustee an Officers’ Certificate setting forth the names of individuals and/or titles of Officers of the Issuer and each Guarantor, as applicable, authorized at such time to take specified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020"/>
          </w:cols>
          <w:pgMar w:left="540" w:top="1395" w:right="339" w:bottom="1440" w:gutter="0" w:footer="0" w:header="0"/>
        </w:sectPr>
      </w:pPr>
    </w:p>
    <w:bookmarkStart w:id="90" w:name="page91"/>
    <w:bookmarkEnd w:id="90"/>
    <w:p>
      <w:pPr>
        <w:jc w:val="both"/>
        <w:spacing w:after="0" w:line="225" w:lineRule="auto"/>
        <w:rPr>
          <w:sz w:val="20"/>
          <w:szCs w:val="20"/>
          <w:color w:val="auto"/>
        </w:rPr>
      </w:pPr>
      <w:r>
        <w:rPr>
          <w:rFonts w:ascii="Times New Roman" w:cs="Times New Roman" w:eastAsia="Times New Roman" w:hAnsi="Times New Roman"/>
          <w:sz w:val="22"/>
          <w:szCs w:val="22"/>
          <w:color w:val="auto"/>
        </w:rPr>
        <w:t>pursuant to this Indenture of the Issuer, the Notes and the Guarantees, which Officers’ Certificate may be signed by any Person authorized to sign an Officers’ Certificate, including any Person specified as so authorized in any such certificate previously delivered and not superseded.</w:t>
      </w:r>
    </w:p>
    <w:p>
      <w:pPr>
        <w:spacing w:after="0" w:line="152" w:lineRule="exact"/>
        <w:rPr>
          <w:sz w:val="20"/>
          <w:szCs w:val="20"/>
          <w:color w:val="auto"/>
        </w:rPr>
      </w:pPr>
    </w:p>
    <w:p>
      <w:pPr>
        <w:jc w:val="both"/>
        <w:ind w:firstLine="656"/>
        <w:spacing w:after="0" w:line="220" w:lineRule="auto"/>
        <w:tabs>
          <w:tab w:leader="none" w:pos="128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deemed to have notice of any Default or Event of Default, unless a Responsible Officer of the Trustee has actual knowledge thereof or the Trustee shall have been notified specifically of the Default or Event of Default in a written instrument or document delivered to it, referring to this Indenture, describing such Event of Default and stating that such notice is a “</w:t>
      </w:r>
      <w:r>
        <w:rPr>
          <w:rFonts w:ascii="Times New Roman" w:cs="Times New Roman" w:eastAsia="Times New Roman" w:hAnsi="Times New Roman"/>
          <w:sz w:val="22"/>
          <w:szCs w:val="22"/>
          <w:i w:val="1"/>
          <w:iCs w:val="1"/>
          <w:color w:val="auto"/>
        </w:rPr>
        <w:t>Notice of Default.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required to give any bond or surety in respect of the performance of its powers and duties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hereunder.</w:t>
      </w:r>
    </w:p>
    <w:p>
      <w:pPr>
        <w:spacing w:after="0" w:line="155" w:lineRule="exact"/>
        <w:rPr>
          <w:rFonts w:ascii="Times New Roman" w:cs="Times New Roman" w:eastAsia="Times New Roman" w:hAnsi="Times New Roman"/>
          <w:sz w:val="21"/>
          <w:szCs w:val="21"/>
          <w:color w:val="auto"/>
        </w:rPr>
      </w:pPr>
    </w:p>
    <w:p>
      <w:pPr>
        <w:jc w:val="both"/>
        <w:ind w:firstLine="656"/>
        <w:spacing w:after="0" w:line="217" w:lineRule="auto"/>
        <w:tabs>
          <w:tab w:leader="none" w:pos="128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will be responsible for making calculations called for under the Notes, including but not limited to determination of redemption price, premium, if any, and any other amounts payable on the Notes. The Issuer will make the calculations in good faith and, absent manifest error, its calculations will be final and binding on the Holders of the Notes. The Issuer will provide a schedule of its calculations to the Trustee when applicable, and the Trustee is entitled to rely conclusively on the accuracy of the Issuer’s calculations without independent verification.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 of the Trustee to do things enumerated in this Indenture shall not be construed as a duty.</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taken or omitted by it in good faith at the direction of the Holders of not less than a majority in aggregate principal amount of the Notes then outstanding as to the time, method and place of conducting any proceedings for any remedy available to the Trustee or the exercising of any power conferred by this Indenture.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Individual Rights of the Trustee</w:t>
      </w:r>
      <w:r>
        <w:rPr>
          <w:rFonts w:ascii="Times New Roman" w:cs="Times New Roman" w:eastAsia="Times New Roman" w:hAnsi="Times New Roman"/>
          <w:sz w:val="22"/>
          <w:szCs w:val="22"/>
          <w:color w:val="auto"/>
        </w:rPr>
        <w:t xml:space="preserve">. The Trustee in its individual or any other capacity may become the owner or pledgee of Notes and may otherwise deal with the Issuer or any Affiliate of the Issuer with the same rights it would have if it were not Trustee. Any Agent may do the same with like rights and duties. The Trustee is also subject to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Trustee’s Disclaimer</w:t>
      </w:r>
      <w:r>
        <w:rPr>
          <w:rFonts w:ascii="Times New Roman" w:cs="Times New Roman" w:eastAsia="Times New Roman" w:hAnsi="Times New Roman"/>
          <w:sz w:val="22"/>
          <w:szCs w:val="22"/>
          <w:color w:val="auto"/>
        </w:rPr>
        <w:t>. The Trustee shall not be responsible for and makes no representation as to the validity or adequacy of this Indenture, the Notes or any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delivered to the Trustee hereunder, or any other document in connection with the sale of the Notes or pursuant to this Indenture other than the Trustee’s certificate of authentication hereunder.</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xml:space="preserve">. If a Default or Event of Default occurs and is continuing and if a Responsible Officer of the Trustee has knowledge thereof as set forth in </w:t>
      </w:r>
      <w:r>
        <w:rPr>
          <w:rFonts w:ascii="Times New Roman" w:cs="Times New Roman" w:eastAsia="Times New Roman" w:hAnsi="Times New Roman"/>
          <w:sz w:val="22"/>
          <w:szCs w:val="22"/>
          <w:u w:val="single" w:color="auto"/>
          <w:color w:val="auto"/>
        </w:rPr>
        <w:t>Section 7.2(j)</w:t>
      </w:r>
      <w:r>
        <w:rPr>
          <w:rFonts w:ascii="Times New Roman" w:cs="Times New Roman" w:eastAsia="Times New Roman" w:hAnsi="Times New Roman"/>
          <w:sz w:val="22"/>
          <w:szCs w:val="22"/>
          <w:color w:val="auto"/>
        </w:rPr>
        <w:t>, the Trustee shall deliver to Holders a notice of the Default or Event of Default within 90 days after it occurs. Except in the case of a Default or Event of Default in payment of principal of, premium, if any, or interest on any Note, the Trustee may withhold the notice if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so long as the Trustee in good faith determines that the withholding of such notice is in the interest of the Holders.</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Compensation and Indemnity</w:t>
      </w:r>
      <w:r>
        <w:rPr>
          <w:rFonts w:ascii="Times New Roman" w:cs="Times New Roman" w:eastAsia="Times New Roman" w:hAnsi="Times New Roman"/>
          <w:sz w:val="22"/>
          <w:szCs w:val="22"/>
          <w:color w:val="auto"/>
        </w:rPr>
        <w:t>. The Issuer shall pay to the Trustee from time to time compensation for its acceptance of this Indenture and for all services rendered by it hereunder as agreed upon in writing; including but not limited to acting as Registrar or Paying Agent. The Trustee’s compensation shall not be limited by any law on compensation of a trustee of an express trust. The Issuer shall reimburse the Trustee, as applicable,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Each of the Issuer and the Guarantors, jointly and severally (</w:t>
      </w:r>
      <w:r>
        <w:rPr>
          <w:rFonts w:ascii="Times New Roman" w:cs="Times New Roman" w:eastAsia="Times New Roman" w:hAnsi="Times New Roman"/>
          <w:sz w:val="22"/>
          <w:szCs w:val="22"/>
          <w:i w:val="1"/>
          <w:iCs w:val="1"/>
          <w:color w:val="auto"/>
        </w:rPr>
        <w:t>solidariamente</w:t>
      </w:r>
      <w:r>
        <w:rPr>
          <w:rFonts w:ascii="Times New Roman" w:cs="Times New Roman" w:eastAsia="Times New Roman" w:hAnsi="Times New Roman"/>
          <w:sz w:val="22"/>
          <w:szCs w:val="22"/>
          <w:color w:val="auto"/>
        </w:rPr>
        <w:t xml:space="preserve">), shall indemnify, defend, protect and hold harmless the Trustee (in its individual and trustee capacities or in its capacity as Registrar or Paying Agent) and its officers, directors, employees and agents from and against any and all claims, damages, losses, liabilities, actions, suits, costs or expenses incurred by it (including, without limitation, the fees and expenses of its agents and counsel and court costs) arising out of or in connection with the acceptance or administration of its duties under this Indenture and trusts thereunder, the performance of its obligations and/or exercise of its rights hereunder, including the costs and expenses of enforcing this Indenture against the Issuer or any Guarantor (including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and defending itself against any claim (whether asserted by the Issuer or any Holder or any other Person) or liability in connection with the exercise or performance of any of its powers or duties hereunder, except to the extent any such loss, claim, damage, liability or expense shall be caused by its own gross negligence or willful misconduct as determined by a court of competent jurisdiction in a final, non-appealable judgment. The Trustee shall notify the Issuer promptly of any claim for which it may seek indemnity. Failure by the Trustee to so notify the Issuer shall not relieve the Issuer or any Guarantor of its obligations hereunder. The Trustee may have separate counsel, and the Issuer shall pay the reasonable fees and expenses of such counsel for the Trustee. The Issuer need not pay for any settlement made without its consent, which consent shall not be unreasonably withheld.</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obligations of the Issuer and the Guarantors under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survive the satisfaction and discharge of this Indenture, the payment of the Notes or the resignation or removal of the Trustee.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To secure the Issuer’s payment obligations in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When the Trustee incurs expenses or renders services after an Event of Default specified in </w:t>
      </w:r>
      <w:r>
        <w:rPr>
          <w:rFonts w:ascii="Times New Roman" w:cs="Times New Roman" w:eastAsia="Times New Roman" w:hAnsi="Times New Roman"/>
          <w:sz w:val="22"/>
          <w:szCs w:val="22"/>
          <w:u w:val="single" w:color="auto"/>
          <w:color w:val="auto"/>
        </w:rPr>
        <w:t>Section 6.1(g)</w:t>
      </w:r>
      <w:r>
        <w:rPr>
          <w:rFonts w:ascii="Times New Roman" w:cs="Times New Roman" w:eastAsia="Times New Roman" w:hAnsi="Times New Roman"/>
          <w:sz w:val="22"/>
          <w:szCs w:val="22"/>
          <w:color w:val="auto"/>
        </w:rPr>
        <w:t xml:space="preserve"> occurs, the expenses and the compensation for the services (including the fees and expenses of its agents and counsel) are intended to constitute expenses of administration under any Bankruptcy Law.</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Replacement of Trustee</w:t>
      </w:r>
      <w:r>
        <w:rPr>
          <w:rFonts w:ascii="Times New Roman" w:cs="Times New Roman" w:eastAsia="Times New Roman" w:hAnsi="Times New Roman"/>
          <w:sz w:val="22"/>
          <w:szCs w:val="22"/>
          <w:color w:val="auto"/>
        </w:rPr>
        <w:t xml:space="preserve">. A resignation or removal of the Trustee and appointment of a successor Trustee shall become effective only upon the successor trustee’s acceptance of appointment as provided in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Trustee may resign in writing at any time and be discharged from the trust hereby created by so notifying the Issuer not less than 30 days prior to the effective date of such resignation. The Holders of a majority in aggregate principal amount of the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92" w:name="page93"/>
    <w:bookmarkEnd w:id="92"/>
    <w:p>
      <w:pPr>
        <w:spacing w:after="0" w:line="236" w:lineRule="auto"/>
        <w:rPr>
          <w:sz w:val="20"/>
          <w:szCs w:val="20"/>
          <w:color w:val="auto"/>
        </w:rPr>
      </w:pPr>
      <w:r>
        <w:rPr>
          <w:rFonts w:ascii="Times New Roman" w:cs="Times New Roman" w:eastAsia="Times New Roman" w:hAnsi="Times New Roman"/>
          <w:sz w:val="22"/>
          <w:szCs w:val="22"/>
          <w:color w:val="auto"/>
        </w:rPr>
        <w:t>Notes may remove the Trustee upon 30 days’ prior notice by so notifying the Trustee and the Issuer in writing. The Issuer may remove the Trustee if:</w:t>
      </w:r>
    </w:p>
    <w:p>
      <w:pPr>
        <w:spacing w:after="0" w:line="150"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fails to comply with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a bankrupt or an insolvent or an order for relief is entered with respect to the Trustee under any Bankruptcy Law;</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 or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If the Trustee resigns or is removed or if a vacancy exists in the office of the Trustee for any reason, the Issuer shall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 successor trustee does not take office within 30 days after the retiring Trustee resigns or is removed, such retiring</w:t>
      </w:r>
    </w:p>
    <w:p>
      <w:pPr>
        <w:spacing w:after="0" w:line="204" w:lineRule="auto"/>
        <w:rPr>
          <w:sz w:val="20"/>
          <w:szCs w:val="20"/>
          <w:color w:val="auto"/>
        </w:rPr>
      </w:pPr>
      <w:r>
        <w:rPr>
          <w:rFonts w:ascii="Times New Roman" w:cs="Times New Roman" w:eastAsia="Times New Roman" w:hAnsi="Times New Roman"/>
          <w:sz w:val="22"/>
          <w:szCs w:val="22"/>
          <w:color w:val="auto"/>
        </w:rPr>
        <w:t>Trustee (at the expense of the Issuer), the Issuer or the Holders of at least 10.0% in principal amount of the then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may petition any court of competent jurisdiction for the appointment of a successor trustee.</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If the Trustee, after written request by any Holder who has been a bona fide holder of a Note for at least six months, fails to comply with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such Holder may petition any court of competent jurisdiction for the removal of the Trustee and the appointment of a successor trustee.</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the duties of the Trustee under this Indenture. The successor trustee shall deliver a notice of its succession to the Holders. The retiring Trustee shall promptly transfer all property held by it as Trustee to the successor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sums owing to such Trustee hereunder have been paid and subject to the Lien provided for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Notwithstanding replacement of the Trustee pursuant to this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the Issuer’s and the Guarantors’ obligations under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continue for the benefit of the retiring Trustee.</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Successor Trustee by Merger, Etc</w:t>
      </w:r>
      <w:r>
        <w:rPr>
          <w:rFonts w:ascii="Times New Roman" w:cs="Times New Roman" w:eastAsia="Times New Roman" w:hAnsi="Times New Roman"/>
          <w:sz w:val="22"/>
          <w:szCs w:val="22"/>
          <w:color w:val="auto"/>
        </w:rPr>
        <w:t>. If the Trustee or any Agent consolidates, merges or converts into, or transfers all or substantially all of its corporate trust business (including this transaction) to, another corporation, the successor corporation without any further act shall be the successor Trustee or any Agent, as applicable.</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Eligibility; Disqualification</w:t>
      </w:r>
      <w:r>
        <w:rPr>
          <w:rFonts w:ascii="Times New Roman" w:cs="Times New Roman" w:eastAsia="Times New Roman" w:hAnsi="Times New Roman"/>
          <w:sz w:val="22"/>
          <w:szCs w:val="22"/>
          <w:color w:val="auto"/>
        </w:rPr>
        <w:t>. There shall at all times be a Trustee hereunder that is organized and doing business under the laws of the United States or of any state thereof that is authorized under such laws to exercise corporate trustee power and that is subject to supervision or examination by federal or state authorities. Such Trustee together with its affiliates shall at all times have a combined capital surplus of at least $50.0 million as set forth in its most recent annual report of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5" w:right="339" w:bottom="1440" w:gutter="0" w:footer="0" w:header="0"/>
        </w:sectPr>
      </w:pPr>
    </w:p>
    <w:bookmarkStart w:id="93" w:name="page94"/>
    <w:bookmarkEnd w:id="93"/>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VIII</w:t>
      </w:r>
    </w:p>
    <w:p>
      <w:pPr>
        <w:jc w:val="center"/>
        <w:spacing w:after="0"/>
        <w:rPr>
          <w:sz w:val="20"/>
          <w:szCs w:val="20"/>
          <w:color w:val="auto"/>
        </w:rPr>
      </w:pPr>
      <w:r>
        <w:rPr>
          <w:rFonts w:ascii="Times New Roman" w:cs="Times New Roman" w:eastAsia="Times New Roman" w:hAnsi="Times New Roman"/>
          <w:sz w:val="22"/>
          <w:szCs w:val="22"/>
          <w:b w:val="1"/>
          <w:bCs w:val="1"/>
          <w:color w:val="auto"/>
        </w:rPr>
        <w:t>DEFEASANCE; DISCHARGE OF THIS INDENTURE</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Option to Effect Legal Defeasance or Covenant Defeasance</w:t>
      </w:r>
      <w:r>
        <w:rPr>
          <w:rFonts w:ascii="Times New Roman" w:cs="Times New Roman" w:eastAsia="Times New Roman" w:hAnsi="Times New Roman"/>
          <w:sz w:val="22"/>
          <w:szCs w:val="22"/>
          <w:color w:val="auto"/>
        </w:rPr>
        <w:t xml:space="preserve">. The Issuer may, by delivery of an Officers’ Certificate, at any time, elect to have either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applied to all outstanding Notes upon compliance with the conditions set forth below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Legal Defeasance</w:t>
      </w:r>
      <w:r>
        <w:rPr>
          <w:rFonts w:ascii="Times New Roman" w:cs="Times New Roman" w:eastAsia="Times New Roman" w:hAnsi="Times New Roman"/>
          <w:sz w:val="22"/>
          <w:szCs w:val="22"/>
          <w:color w:val="auto"/>
        </w:rPr>
        <w:t xml:space="preserve">. Upon the Issuer’s exercise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of the option applicable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the Issuer shall, subject to the satisfaction of the conditions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22"/>
          <w:szCs w:val="22"/>
          <w:i w:val="1"/>
          <w:iCs w:val="1"/>
          <w:color w:val="auto"/>
        </w:rPr>
        <w:t>Legal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Defeasance</w:t>
      </w:r>
      <w:r>
        <w:rPr>
          <w:rFonts w:ascii="Times New Roman" w:cs="Times New Roman" w:eastAsia="Times New Roman" w:hAnsi="Times New Roman"/>
          <w:sz w:val="22"/>
          <w:szCs w:val="22"/>
          <w:color w:val="auto"/>
        </w:rPr>
        <w:t>”). For this purpose, Legal Defeasance means that the Issuer and the Guarantors shall be deemed to have paid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discharged the entire Obligations represented by the Notes and the Guarantees, and this Indenture shall cease to be of further effect as to all outstanding Notes and Guarantees, which shall thereafter be deemed to be outstanding only for the purposes of Section 8.5 and the other Sections of this Indenture referred to in (a) and (b) below, and to have satisfied all of its other Obligations under such Notes, Guarantees and this Indenture (and the Trustee, on written demand of and at the expense of the Issuer, shall execute instruments reasonably requested by the Issuer acknowledging the same), and this Indenture shall cease to be of further effect as to all such Notes and Guarantees, except for the following provisions which shall survive until otherwise terminated or discharged hereunder: (a) the rights of Holders of outstanding Notes to receive payments in respect of the principal of, and interest and premium, if any, on such Notes when such payments are due from the trust funds referred to in </w:t>
      </w:r>
      <w:r>
        <w:rPr>
          <w:rFonts w:ascii="Times New Roman" w:cs="Times New Roman" w:eastAsia="Times New Roman" w:hAnsi="Times New Roman"/>
          <w:sz w:val="22"/>
          <w:szCs w:val="22"/>
          <w:u w:val="single" w:color="auto"/>
          <w:color w:val="auto"/>
        </w:rPr>
        <w:t>Section 8.4(b)</w:t>
      </w:r>
      <w:r>
        <w:rPr>
          <w:rFonts w:ascii="Times New Roman" w:cs="Times New Roman" w:eastAsia="Times New Roman" w:hAnsi="Times New Roman"/>
          <w:sz w:val="22"/>
          <w:szCs w:val="22"/>
          <w:color w:val="auto"/>
        </w:rPr>
        <w:t xml:space="preserve">; (b) the Issuer’s obligations with respect to such Notes under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(c) the rights, powers, trusts, duties, indemnities and immunities of the Trustee and the Agents, including without limitation,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and the obligations of the Issuer and the Guarantors in connection therewith; and (d)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Subject to compliance with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the Issuer may exercise its option under this Section 8.2 notwithstanding the prior exercise of its option under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 xml:space="preserve">. Upon the Issuer’s exercise under Section 8.1 above of the option applicable to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the Issuer shall, subject to the satisfaction of the conditions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below, be released from its obligations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5.1(a)(3)</w:t>
      </w:r>
      <w:r>
        <w:rPr>
          <w:rFonts w:ascii="Times New Roman" w:cs="Times New Roman" w:eastAsia="Times New Roman" w:hAnsi="Times New Roman"/>
          <w:sz w:val="22"/>
          <w:szCs w:val="22"/>
          <w:color w:val="auto"/>
        </w:rPr>
        <w:t xml:space="preserve"> on and after the date the conditions set forth below are satisfied (hereinafter, “</w:t>
      </w:r>
      <w:r>
        <w:rPr>
          <w:rFonts w:ascii="Times New Roman" w:cs="Times New Roman" w:eastAsia="Times New Roman" w:hAnsi="Times New Roman"/>
          <w:sz w:val="22"/>
          <w:szCs w:val="22"/>
          <w:i w:val="1"/>
          <w:iCs w:val="1"/>
          <w:color w:val="auto"/>
        </w:rPr>
        <w:t>Covenant Defeasance</w:t>
      </w:r>
      <w:r>
        <w:rPr>
          <w:rFonts w:ascii="Times New Roman" w:cs="Times New Roman" w:eastAsia="Times New Roman" w:hAnsi="Times New Roman"/>
          <w:sz w:val="22"/>
          <w:szCs w:val="22"/>
          <w:color w:val="auto"/>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or any of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but, except as specified above, the remainder of this Indenture and such Notes shall be unaffected thereby.</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Conditions to Legal or Covenant Defeasance</w:t>
      </w:r>
      <w:r>
        <w:rPr>
          <w:rFonts w:ascii="Times New Roman" w:cs="Times New Roman" w:eastAsia="Times New Roman" w:hAnsi="Times New Roman"/>
          <w:sz w:val="22"/>
          <w:szCs w:val="22"/>
          <w:color w:val="auto"/>
        </w:rPr>
        <w:t xml:space="preserve">. The following shall be the conditions to the application of either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to the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82" w:right="339" w:bottom="1440" w:gutter="0" w:footer="0" w:header="0"/>
        </w:sectPr>
      </w:pPr>
    </w:p>
    <w:bookmarkStart w:id="94" w:name="page95"/>
    <w:bookmarkEnd w:id="94"/>
    <w:p>
      <w:pPr>
        <w:jc w:val="both"/>
        <w:ind w:firstLine="656"/>
        <w:spacing w:after="0" w:line="215"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must irrevocably deposit with the Trustee, as trust funds, in trust solely for the benefit of the Holders, U.S. legal tender,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premium and interest, if any, on the outstanding Notes on the stated date for payment thereof or on the applicable redemption date, as the case may be,</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Legal Defeasance, the Issuer shall have delivered to the Trustee an Opinion of Counsel from counsel in the United States confirming that: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received from, or there has been published by, the Internal Revenue Service a ruling,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Issue Date, there has been a change in the applicable U.S. federal income tax law,</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either case to the effect that, and based thereon such Opinion of Counsel shall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52" w:lineRule="exact"/>
        <w:rPr>
          <w:sz w:val="20"/>
          <w:szCs w:val="20"/>
          <w:color w:val="auto"/>
        </w:rPr>
      </w:pPr>
    </w:p>
    <w:p>
      <w:pPr>
        <w:jc w:val="both"/>
        <w:ind w:firstLine="656"/>
        <w:spacing w:after="0" w:line="217" w:lineRule="auto"/>
        <w:tabs>
          <w:tab w:leader="none" w:pos="12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Covenant Defeasance, the Issuer shall have delivered to the Trustee an Opinion of Counsel from counsel in the United States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Defeasance or Covenant Defeasance shall not result in a breach or violation of, or constitute a default under any other material agreement or instrument (other than this Indenture and the agreements governing any other Indebtedness being defeased, discharged or replaced) to which the Issuer or any of its Subsidiaries is a party or by which the Issuer or any of its Subsidiaries is bound,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have delivered to the Trustee an Officers’ Certificate and an Opinion of Counsel to the effect that the conditions precedent provided for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have been complied with.</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Deposited Money and U.S. Government Obligations to Be Held in Trust; Other Miscellaneous Provisions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all U.S. dollar and U.S. Government Obligations (including the proceeds thereof) deposited with the Trustee (or other qualifying trustee, collectively for purposes of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i w:val="1"/>
          <w:iCs w:val="1"/>
          <w:color w:val="auto"/>
        </w:rPr>
        <w:t>Deposit Trustee</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in respect of the outstanding Notes shall be held in trust, shall not be 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395" w:right="339" w:bottom="1440" w:gutter="0" w:footer="0" w:header="0"/>
        </w:sectPr>
      </w:pPr>
    </w:p>
    <w:bookmarkStart w:id="95" w:name="page96"/>
    <w:bookmarkEnd w:id="95"/>
    <w:p>
      <w:pPr>
        <w:jc w:val="both"/>
        <w:spacing w:after="0" w:line="231" w:lineRule="auto"/>
        <w:rPr>
          <w:sz w:val="20"/>
          <w:szCs w:val="20"/>
          <w:color w:val="auto"/>
        </w:rPr>
      </w:pPr>
      <w:r>
        <w:rPr>
          <w:rFonts w:ascii="Times New Roman" w:cs="Times New Roman" w:eastAsia="Times New Roman" w:hAnsi="Times New Roman"/>
          <w:sz w:val="21"/>
          <w:szCs w:val="21"/>
          <w:color w:val="auto"/>
        </w:rPr>
        <w:t>and shall be applied by the Deposit Trustee in accordance with the provisions of such Notes and this Indenture to the payment, either directly or through any Paying Agent (including the Issuer or any Subsidiary acting as Paying Agent) as the Deposit Trustee may determine, to the Holders of such Notes of all sums due and to become due thereon in respect of principal, premium, if any, and interest, if any, but such money need not be segregated from other funds except to the extent required by law.</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The Issuer shall pay and indemnify the Deposit Trustee against any tax, fee or other charge imposed on or assessed against the cash or non-callable U.S. Government Obligations deposited pursuant to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or the principal and interest received in respect thereof other than any such tax, fee or other charge which by law is for the account of the Holders of the outstanding Notes.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Anything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to the contrary notwithstanding, the Deposit Trustee shall deliver or pay to the Issuer from time to time upon the written request of the Issuer and be relieved of all liability with respect to any U.S. dollars or non-callable U.S. Government Obligations held by it as provided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8.8</w:t>
      </w:r>
      <w:r>
        <w:rPr>
          <w:rFonts w:ascii="Times New Roman" w:cs="Times New Roman" w:eastAsia="Times New Roman" w:hAnsi="Times New Roman"/>
          <w:sz w:val="21"/>
          <w:szCs w:val="21"/>
          <w:color w:val="auto"/>
        </w:rPr>
        <w:t xml:space="preserve"> which, in the opinion of a nationally recognized firm of independent public accountants expressed in a written certification thereof delivered to the Deposit Trustee (which may be the opinion delivered under </w:t>
      </w:r>
      <w:r>
        <w:rPr>
          <w:rFonts w:ascii="Times New Roman" w:cs="Times New Roman" w:eastAsia="Times New Roman" w:hAnsi="Times New Roman"/>
          <w:sz w:val="21"/>
          <w:szCs w:val="21"/>
          <w:u w:val="single" w:color="auto"/>
          <w:color w:val="auto"/>
        </w:rPr>
        <w:t>Section 8.4(b)</w:t>
      </w:r>
      <w:r>
        <w:rPr>
          <w:rFonts w:ascii="Times New Roman" w:cs="Times New Roman" w:eastAsia="Times New Roman" w:hAnsi="Times New Roman"/>
          <w:sz w:val="21"/>
          <w:szCs w:val="21"/>
          <w:color w:val="auto"/>
        </w:rPr>
        <w:t>), are in excess of the amount thereof that would then be required to be deposited to effect an equivalent Legal Defeasance or Covenant Defeasance or satisfaction and discharge, as the case may be.</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Repayment to Issuer</w:t>
      </w:r>
      <w:r>
        <w:rPr>
          <w:rFonts w:ascii="Times New Roman" w:cs="Times New Roman" w:eastAsia="Times New Roman" w:hAnsi="Times New Roman"/>
          <w:sz w:val="22"/>
          <w:szCs w:val="22"/>
          <w:color w:val="auto"/>
        </w:rPr>
        <w:t xml:space="preserve">. Subject to any applicable abandoned property law, any money deposited with the Trustee or any Paying Agent, or then held by the Issuer, in trust for the payment of the principal of, premium, if any, or interest, if any,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Trustee or such Paying Agent, before being required to make any such repayment, may at the expense and the request of the Issuer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5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If the Trustee or Paying Agent is unable to apply any U.S. dollars or U.S. Government Obligations in accordance with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as the case may be, by reason of any order or judgment of any court or governmental authority enjoining, restraining or otherwise prohibiting such application, then the obligations of the Issuer and the Guarantors under this Indenture and the Notes shall be revived and reinstated as though no deposit had occurred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until such time as the Trustee or Paying Agent is permitted to apply all such money in accordance with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as the case may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8.8 </w:t>
      </w:r>
      <w:r>
        <w:rPr>
          <w:rFonts w:ascii="Times New Roman" w:cs="Times New Roman" w:eastAsia="Times New Roman" w:hAnsi="Times New Roman"/>
          <w:sz w:val="22"/>
          <w:szCs w:val="22"/>
          <w:u w:val="single" w:color="auto"/>
          <w:color w:val="auto"/>
        </w:rPr>
        <w:t>Discharge</w:t>
      </w:r>
      <w:r>
        <w:rPr>
          <w:rFonts w:ascii="Times New Roman" w:cs="Times New Roman" w:eastAsia="Times New Roman" w:hAnsi="Times New Roman"/>
          <w:sz w:val="22"/>
          <w:szCs w:val="22"/>
          <w:color w:val="auto"/>
        </w:rPr>
        <w:t>. This Indenture will be discharged and will cease to be of further effect (except as to rights, protections and immunities of the Trustee and the Agents) as to all outstanding Notes when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5" w:right="339" w:bottom="1440" w:gutter="0" w:footer="0" w:header="0"/>
        </w:sectPr>
      </w:pPr>
    </w:p>
    <w:bookmarkStart w:id="96" w:name="page97"/>
    <w:bookmarkEnd w:id="96"/>
    <w:p>
      <w:pPr>
        <w:jc w:val="both"/>
        <w:ind w:firstLine="656"/>
        <w:spacing w:after="0" w:line="225" w:lineRule="auto"/>
        <w:tabs>
          <w:tab w:leader="none" w:pos="129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w:t>
      </w:r>
    </w:p>
    <w:p>
      <w:pPr>
        <w:spacing w:after="0" w:line="179" w:lineRule="exact"/>
        <w:rPr>
          <w:sz w:val="20"/>
          <w:szCs w:val="20"/>
          <w:color w:val="auto"/>
        </w:rPr>
      </w:pPr>
    </w:p>
    <w:p>
      <w:pPr>
        <w:jc w:val="both"/>
        <w:ind w:left="660" w:firstLine="644"/>
        <w:spacing w:after="0" w:line="208" w:lineRule="auto"/>
        <w:tabs>
          <w:tab w:leader="none" w:pos="195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Notes not delivered to the Trustee for cancellation otherwise (i) have become due and payable, (ii) will become due and payable, or may be called for redemption, within one year or (iii) have been called for redemption pursuant to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and, in any case, the Issuer has irrevocably deposited or caused to be deposited with the Trustee as trust funds, in trust solely for the benefit of the Holders, U.S. legal tender, U.S. Government Obligations or a combination thereof, in such amounts as will be sufficient without consideration of any reinvestment of interest (which in the case of a deposit of U.S. Government Obligations will be in the opinion of a nationally recognized investment bank, appraisal firm or firm of independent public accountants selected by the Issuer and delivered to the Trustee) to pay and discharge the entire Indebtedness (including all principal, premium and accrued interest, if any) on the Notes not theretofore delivered to the Trustee for cancellation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redemption is made as provided under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 (x) the amount of cash in U.S. dollars, non-callable U.S. Government Obligations,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22"/>
          <w:szCs w:val="22"/>
          <w:i w:val="1"/>
          <w:iCs w:val="1"/>
          <w:color w:val="auto"/>
        </w:rPr>
        <w:t>Applicable Premium Deficit</w:t>
      </w:r>
      <w:r>
        <w:rPr>
          <w:rFonts w:ascii="Times New Roman" w:cs="Times New Roman" w:eastAsia="Times New Roman" w:hAnsi="Times New Roman"/>
          <w:sz w:val="22"/>
          <w:szCs w:val="22"/>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prior to the deposit of such Applicable Premium Deficit that confirms that such Applicable Premium Deficit will be applied toward such redemption,</w:t>
      </w:r>
    </w:p>
    <w:p>
      <w:pPr>
        <w:spacing w:after="0" w:line="15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paid all other sums payable by it under this Indenture, and</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delivered irrevocable instructions to the Trustee to apply the deposited money toward the payment of the Notes at maturity or on the date of redemption, as the case may be.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After the Notes are no longer outstanding, the Issuer’s and the Guarantors’ obligations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shall survive any discharge pursuant to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After such delivery or irrevocable deposit and receipt of an Officers’ Certificate and Opinion of Counsel stating that the conditions precedent to the discharge have been satisfied, the Trustee, upon written request, shall acknowledge in writing the discharge of the Issuer’s obligations under the Notes and this Indenture except for those surviving obligations specified above.</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ind w:left="3380"/>
        <w:spacing w:after="0"/>
        <w:rPr>
          <w:sz w:val="20"/>
          <w:szCs w:val="20"/>
          <w:color w:val="auto"/>
        </w:rPr>
      </w:pPr>
      <w:r>
        <w:rPr>
          <w:rFonts w:ascii="Times New Roman" w:cs="Times New Roman" w:eastAsia="Times New Roman" w:hAnsi="Times New Roman"/>
          <w:sz w:val="22"/>
          <w:szCs w:val="22"/>
          <w:b w:val="1"/>
          <w:bCs w:val="1"/>
          <w:color w:val="auto"/>
        </w:rPr>
        <w:t>AMENDMENT, SUPPLEMENT AND WAIVER</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Without Consent of Holders of the Notes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without the consent of any Holders, the Issuer, the Guarantors and the Trustee, at any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5" w:right="339" w:bottom="1440" w:gutter="0" w:footer="0" w:header="0"/>
        </w:sectPr>
      </w:pPr>
    </w:p>
    <w:bookmarkStart w:id="97" w:name="page98"/>
    <w:bookmarkEnd w:id="97"/>
    <w:p>
      <w:pPr>
        <w:spacing w:after="0" w:line="236" w:lineRule="auto"/>
        <w:rPr>
          <w:sz w:val="20"/>
          <w:szCs w:val="20"/>
          <w:color w:val="auto"/>
        </w:rPr>
      </w:pPr>
      <w:r>
        <w:rPr>
          <w:rFonts w:ascii="Times New Roman" w:cs="Times New Roman" w:eastAsia="Times New Roman" w:hAnsi="Times New Roman"/>
          <w:sz w:val="22"/>
          <w:szCs w:val="22"/>
          <w:color w:val="auto"/>
        </w:rPr>
        <w:t>from time to time, may amend or supplement this Indenture, the Guarantees or the Notes issued hereunder for any of the following purposes:</w:t>
      </w:r>
    </w:p>
    <w:p>
      <w:pPr>
        <w:spacing w:after="0" w:line="150"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defect or inconsistency;</w:t>
      </w:r>
    </w:p>
    <w:p>
      <w:pPr>
        <w:spacing w:after="0" w:line="175" w:lineRule="exact"/>
        <w:rPr>
          <w:rFonts w:ascii="Times New Roman" w:cs="Times New Roman" w:eastAsia="Times New Roman" w:hAnsi="Times New Roman"/>
          <w:sz w:val="22"/>
          <w:szCs w:val="22"/>
          <w:color w:val="auto"/>
        </w:rPr>
      </w:pPr>
    </w:p>
    <w:p>
      <w:pPr>
        <w:ind w:firstLine="656"/>
        <w:spacing w:after="0" w:line="238" w:lineRule="auto"/>
        <w:tabs>
          <w:tab w:leader="none" w:pos="12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in addition to or in place of certificated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Notes are in registered form within the meaning of Section 163(f) of the Code);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provide for the assumption of the Issuer’s or a Guarantor’s obligations to the Holders in the case of a merger, amalgamation, consolidation or sale of all or substantially all of the Issuer’s or such Guarantor’s assets, or sale, lease, transfer, conveyance or other disposition or assignment in accordance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any Guarantee or to effect the release of any Guarantor from any of its obligations under its Guarantee or the provisions of this Indenture (to the extent in accordance with this Indenture);</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would provide any additional rights or benefits to the Holders or does not materially adversely affect the rights of any Holder, including (i) to comply with requirements of the SEC or DTC in order to maintain the transferability of the notes pursuant to Rule 144A under the Securities Act or Regulation S under the Securities Act and (ii) to add (or thereafter release) any entity as a Co-Issuer of the Notes;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Notes or any Guarantees or any other obligation under this Indenture or effect the release of any collateral in respect thereof (to the extent in accordance with the provisions of this Indenture);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by a successor Trustee;</w:t>
      </w:r>
    </w:p>
    <w:p>
      <w:pPr>
        <w:spacing w:after="0" w:line="175"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1"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conform the text of this Indenture or the Notes to any provision of the “</w:t>
      </w:r>
      <w:r>
        <w:rPr>
          <w:rFonts w:ascii="Times New Roman" w:cs="Times New Roman" w:eastAsia="Times New Roman" w:hAnsi="Times New Roman"/>
          <w:sz w:val="21"/>
          <w:szCs w:val="21"/>
          <w:i w:val="1"/>
          <w:iCs w:val="1"/>
          <w:color w:val="auto"/>
        </w:rPr>
        <w:t>Description of notes</w:t>
      </w:r>
      <w:r>
        <w:rPr>
          <w:rFonts w:ascii="Times New Roman" w:cs="Times New Roman" w:eastAsia="Times New Roman" w:hAnsi="Times New Roman"/>
          <w:sz w:val="21"/>
          <w:szCs w:val="21"/>
          <w:color w:val="auto"/>
        </w:rPr>
        <w:t>” contained in the Offering Memorandum, to the extent that such provision in the “</w:t>
      </w:r>
      <w:r>
        <w:rPr>
          <w:rFonts w:ascii="Times New Roman" w:cs="Times New Roman" w:eastAsia="Times New Roman" w:hAnsi="Times New Roman"/>
          <w:sz w:val="21"/>
          <w:szCs w:val="21"/>
          <w:i w:val="1"/>
          <w:iCs w:val="1"/>
          <w:color w:val="auto"/>
        </w:rPr>
        <w:t>Description of notes</w:t>
      </w:r>
      <w:r>
        <w:rPr>
          <w:rFonts w:ascii="Times New Roman" w:cs="Times New Roman" w:eastAsia="Times New Roman" w:hAnsi="Times New Roman"/>
          <w:sz w:val="21"/>
          <w:szCs w:val="21"/>
          <w:color w:val="auto"/>
        </w:rPr>
        <w:t>” was intended to be a substantially verbatim recitation of a provision of this Indenture, the Guarantees or the Notes, as evidenced by an Officers’ Certificate of the Issuer;</w:t>
      </w:r>
    </w:p>
    <w:p>
      <w:pPr>
        <w:spacing w:after="0" w:line="14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issuance of Additional Notes in accordance with this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Issuer’s election to comply with the requirements of the SEC in order to effect or maintain the qualification of this Indenture under the Trust Indenture Act;</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amend the provisions of this Indenture relating to the transfer and legending of Notes as permitted by this Indenture, including to facilitate the issuance and administration of the Notes; or</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covenants of the Issuer and its Restricted Subsidiaries or Events of Default for the benefit of Holders or to make changes that would provide additional rights to the Holders under this Indenture of any Holder or to surrender any right or power conferred upon the Issuer or any Guarantor.</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Section 9.2 After an amendment under this Indenture becomes effective, the Issuer shall deliver to Holders of the Notes a notice briefly describing such amendment. However,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98" w:name="page99"/>
    <w:bookmarkEnd w:id="9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failure to give such notice to all Holders of the Notes, or any defect therein, will not impair or affect the validity of the amendment.</w:t>
      </w:r>
    </w:p>
    <w:p>
      <w:pPr>
        <w:spacing w:after="0" w:line="13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With Consent of Holders of Notes</w:t>
      </w:r>
      <w:r>
        <w:rPr>
          <w:rFonts w:ascii="Times New Roman" w:cs="Times New Roman" w:eastAsia="Times New Roman" w:hAnsi="Times New Roman"/>
          <w:sz w:val="22"/>
          <w:szCs w:val="22"/>
          <w:color w:val="auto"/>
        </w:rPr>
        <w:t xml:space="preserve">. With the consent of the Holders of not less than a majority in aggregate principal amount of the Notes then outstanding (including, without limitation, consents obtained in connection with a purchase of, or tender offer or exchange offer for, the Notes), the Issuer, the Guarantors and the Trustee may amend or supplement this Indenture, the Notes or any Guarantees or, subject to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waive any existing Default or Event of Default or compliance with any provision of this Indenture or the Notes; provided, however, that no such amendment, supplement or waiver shall, without the consent of the Holder of each outstanding Note affected thereby (including, without limitation, consents obtained in connection with a purchase of, or tender offer or exchange offer for, the Notes):</w:t>
      </w:r>
    </w:p>
    <w:p>
      <w:pPr>
        <w:spacing w:after="0" w:line="156"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or change the maturity of, the principal of any Note;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of or extend the time for payment of interest on any Note;</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solely for the avoidance of doubt, and without any other implication, any purchase or repurchase of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(including pursuant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shall not be deemed a redemption of the Notes;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Note payable in money or currency other than that stated in the Notes;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of Holders necessary to consent to an amendment or waiver to this Indenture or the Notes;</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in the payment of principal of or premium or interest, if any, on any Notes (except a rescission of acceleration of the Notes by the Holders thereof as provided in this Indenture and a waiver of the payment default that resulted from such acceleration);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contractual rights of Holders to receive payments of principal of or interest, if any, on the Notes on or after the due date therefor or to institute suit for the enforcement of any payment on the Notes;</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any Guarantor from any of its obligations under its Guarantee or this Indenture, except as permitted by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Indenture; or</w:t>
      </w:r>
    </w:p>
    <w:p>
      <w:pPr>
        <w:spacing w:after="0" w:line="15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these amendment and waiver provisions.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The consent of the Holders of the Notes is not necessary under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to approve the particular form of any proposed amendment or waiver. It shall be sufficient if such consent approves the substance of the proposed amendment or waiver.</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Revocation and Effect of Consents</w:t>
      </w:r>
      <w:r>
        <w:rPr>
          <w:rFonts w:ascii="Times New Roman" w:cs="Times New Roman" w:eastAsia="Times New Roman" w:hAnsi="Times New Roman"/>
          <w:sz w:val="22"/>
          <w:szCs w:val="22"/>
          <w:color w:val="auto"/>
        </w:rPr>
        <w:t>.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36" w:lineRule="auto"/>
        <w:rPr>
          <w:sz w:val="20"/>
          <w:szCs w:val="20"/>
          <w:color w:val="auto"/>
        </w:rPr>
      </w:pPr>
      <w:r>
        <w:rPr>
          <w:rFonts w:ascii="Times New Roman" w:cs="Times New Roman" w:eastAsia="Times New Roman" w:hAnsi="Times New Roman"/>
          <w:sz w:val="22"/>
          <w:szCs w:val="22"/>
          <w:color w:val="auto"/>
        </w:rPr>
        <w:t>amendment becomes effective. When an amendment, supplement or waiver becomes effective in accordance with its terms, it thereafter binds every Holder.</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Issuer may, but shall not be obligated to, fix a record date for determining which Holders consent to such amendment, supplement or waiver.</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Notation on or Exchange of Notes</w:t>
      </w:r>
      <w:r>
        <w:rPr>
          <w:rFonts w:ascii="Times New Roman" w:cs="Times New Roman" w:eastAsia="Times New Roman" w:hAnsi="Times New Roman"/>
          <w:sz w:val="22"/>
          <w:szCs w:val="22"/>
          <w:color w:val="auto"/>
        </w:rPr>
        <w:t xml:space="preserve">. The Trustee may place an appropriate notation about an amendment, supplement or waiver on any Note thereafter authenticated. The Issuer in exchange for all Notes may issue and the Trustee shall,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authenticate new Notes that reflect the amendment, supplement or waiver.</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Failure to make the appropriate notation or issue a new Note shall not affect the validity and effect of such amendment, supplement or waiver.</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Trustee to Sign Amendments, Etc</w:t>
      </w:r>
      <w:r>
        <w:rPr>
          <w:rFonts w:ascii="Times New Roman" w:cs="Times New Roman" w:eastAsia="Times New Roman" w:hAnsi="Times New Roman"/>
          <w:sz w:val="22"/>
          <w:szCs w:val="22"/>
          <w:color w:val="auto"/>
        </w:rPr>
        <w:t xml:space="preserve">. The Trustee shall sign any amended or supplemental indenture authorized pursuant to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if the amendment or supplement does not adversely affect the rights, duties, liabilities or immunities of the Trustee. In signing or refusing to sign any amendment or supplemental indenture, the Trustee shall be provided with and (subject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shall be fully protected in relying upon an Officers’ Certificate and an Opinion of Counsel stating that the execution of such amendment or supplemental indenture is authorized or permitted by this Indenture and that all conditions precedent thereto have been met or waived.</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X</w:t>
      </w:r>
    </w:p>
    <w:p>
      <w:pPr>
        <w:ind w:left="4880"/>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Guarantees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56"/>
        <w:spacing w:after="0" w:line="222" w:lineRule="auto"/>
        <w:tabs>
          <w:tab w:leader="none" w:pos="129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Guarantor hereby jointly and severally (</w:t>
      </w:r>
      <w:r>
        <w:rPr>
          <w:rFonts w:ascii="Times New Roman" w:cs="Times New Roman" w:eastAsia="Times New Roman" w:hAnsi="Times New Roman"/>
          <w:sz w:val="21"/>
          <w:szCs w:val="21"/>
          <w:i w:val="1"/>
          <w:iCs w:val="1"/>
          <w:color w:val="auto"/>
        </w:rPr>
        <w:t>solidariamente</w:t>
      </w:r>
      <w:r>
        <w:rPr>
          <w:rFonts w:ascii="Times New Roman" w:cs="Times New Roman" w:eastAsia="Times New Roman" w:hAnsi="Times New Roman"/>
          <w:sz w:val="21"/>
          <w:szCs w:val="21"/>
          <w:color w:val="auto"/>
        </w:rPr>
        <w:t>), fully and unconditionally guarantees the Notes and obligations of the Issuer hereunder and thereunder, and guarantees to each Holder of a Note authenticated and delivered by the Trustee and to the Trustee, that: (i) the principal of and premium, if any, and interest, if any, on the Notes shall be paid in full when due, whether at Stated Maturity, by acceleration, call for redemption or otherwise, together with interest on the overdue principal, if any, and interest on any overdue interest, if any, to the extent lawful, and all other Obligations of the Issuer to the Holders or the Trustee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Guarantees shall be a guarantee of payment and not of collection.</w:t>
      </w:r>
    </w:p>
    <w:p>
      <w:pPr>
        <w:spacing w:after="0" w:line="153"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waives the benefits of diligence, presentment, demand for payment, filing of claims with a court in the event of insolvency or bankruptcy of the Issuer, any right to require a proceeding first against the Issuer, any Guarantor or any other Person, protest, notice and all demands whatsoever and covenants that the Guarantee of such Guarantor shall not be discharged as to any Note or this Indenture except by complete performance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5" w:right="339" w:bottom="1440" w:gutter="0" w:footer="0" w:header="0"/>
        </w:sectPr>
      </w:pPr>
    </w:p>
    <w:bookmarkStart w:id="100" w:name="page101"/>
    <w:bookmarkEnd w:id="100"/>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contained in such Note and this Indenture and such Guarantee and any right to the division of the payment obligations between the Guarantors, in all cases under any laws. Each of the Guarantors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Guarantors to enforce each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 Each Guarantor also agrees to pay any and all costs and expenses (including reasonable attorneys’ fees) incurred by the Trustee in enforcing any rights under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firstLine="656"/>
        <w:spacing w:after="0" w:line="215" w:lineRule="auto"/>
        <w:tabs>
          <w:tab w:leader="none" w:pos="129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Holder or the Trustee is required by any court or otherwise to return to the Issuer or any Guarantor, or any custodian, trustee, liquidator or other similar official acting in relation to the Issuer or any Guarantor, any amount paid by any of them to the Trustee or such Holder, the Guarantee of each of the Guarantors, to the extent theretofore discharged, shall be reinstated in full force and effect. This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shall remain effective notwithstanding any contrary action which may be taken by the Trustee or any Holder in reliance upon such amount required to be returned. This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shall survive the termination of this Indenture.</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Guarantor further agrees that, as between each Guarantor, on the one hand, and the Holders and the Trustee, on the other hand, (x) the maturity of the obligations guaranteed hereby may be accelerated as provided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for the purposes of the Guarantee of such Guarantor, notwithstanding any stay, injunction or other prohibition preventing such acceleration in respect of the obligations guaranteed hereby, and (y) in the event of any acceleration of such obligations as provided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such obligations (whether or not due and payable) shall forthwith become due and payable by each Guarantor for the purpose of the Guarantee of such Guarantor.</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that makes a payment for distribution under its Guarantee is entitled upon payment in full of all guaranteed obligations under this Indenture to seek contribution from each other Guarantor in a pro rata amount of such payment based on the respective net assets of all the Guarantors at the time of such payment in accordance with GAAP.</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Execution and Delivery of Guarantee</w:t>
      </w:r>
      <w:r>
        <w:rPr>
          <w:rFonts w:ascii="Times New Roman" w:cs="Times New Roman" w:eastAsia="Times New Roman" w:hAnsi="Times New Roman"/>
          <w:sz w:val="22"/>
          <w:szCs w:val="22"/>
          <w:color w:val="auto"/>
        </w:rPr>
        <w:t xml:space="preserve">. To evidence its Guarantee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each Guarantor agrees that this Indenture or a supplemental indenture in substantially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shall be executed on behalf of such Guarantor by an Officer of such Guarantor (or, if an officer is not available, by a board member or director) on behalf of such Guarantor by manual or facsimile signature. Each Guarantor hereby agrees that its Guarantee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hereof shall remain in full force and effect notwithstanding the absence of the endorsement of any notation of such Guarantee on the Notes. In case the Officer, board member or director of such Guarantor whose signature is on this Indenture or supplemental indenture, as applicable, no longer holds office at the time the Trustee authenticates any Note, the Guarantee shall be valid nevertheless.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5" w:right="339" w:bottom="1440" w:gutter="0" w:footer="0" w:header="0"/>
        </w:sectPr>
      </w:pPr>
    </w:p>
    <w:bookmarkStart w:id="101" w:name="page102"/>
    <w:bookmarkEnd w:id="10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delivery of any Note by the Trustee, after the authentication thereof hereunder, shall constitute due delivery of the Guarantee set forth in this Indenture on behalf of the Guarantors.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of any Guarantee shall be invalid, illegal or unenforceable, the validity, legality and enforceability of the remaining provisions shall not in any way be affected or impaired thereby.</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Limitation of Guarantors’ Liability</w:t>
      </w:r>
      <w:r>
        <w:rPr>
          <w:rFonts w:ascii="Times New Roman" w:cs="Times New Roman" w:eastAsia="Times New Roman" w:hAnsi="Times New Roman"/>
          <w:sz w:val="22"/>
          <w:szCs w:val="22"/>
          <w:color w:val="auto"/>
        </w:rPr>
        <w:t>. Each Guarantor and by its acceptance hereof each Holder confirms that it is the intention of all such parties that the Guarantee of such Guarantor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Trustee, the Holders and Guarantors hereby irrevocably agree that the obligations of such Guarantor under its Guarantee (other than a company that is a direct or indirect parent of the Issuer) shall be limited to the maximum amount that will not, after giving effect to all other contingent and fixed liabilities of such Guarantor (including, without limitation, any guarantees under the Revolving Credit Facility) and after giving effect to any collections from, rights to receive contribution from or payments made by or on behalf of any other Guarantor in respect of the obligations of such other Guarantor under its Guarantee or pursuant to its contribution obligations under this Indenture, result in the obligations of such Guarantor under its Guarantee constituting a fraudulent conveyance, fraudulent preference or fraudulent transfer or otherwise reviewable transaction under applicable law.</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A Subsidiary Guarantor shall be automatically released of any Obligations under its Guarantee and this Indenture upon:</w:t>
      </w:r>
    </w:p>
    <w:p>
      <w:pPr>
        <w:spacing w:after="0" w:line="150" w:lineRule="exact"/>
        <w:rPr>
          <w:sz w:val="20"/>
          <w:szCs w:val="20"/>
          <w:color w:val="auto"/>
        </w:rPr>
      </w:pPr>
    </w:p>
    <w:p>
      <w:pPr>
        <w:jc w:val="both"/>
        <w:ind w:firstLine="656"/>
        <w:spacing w:after="0" w:line="225" w:lineRule="auto"/>
        <w:tabs>
          <w:tab w:leader="none" w:pos="12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sale or other disposition of all or substantially all of the assets of such Guarantor (by merger, amalgamation, consolidation or otherwise) to a Person that is not (either before or after giving effect to such transaction) the Issuer or a Restricted Subsidiary, if the sale or other disposition does not violate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this Indenture;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sale, exchange or transfer (by merger, amalgamation, consolidation or otherwise) of the Equity Interests of such Guarantor after which the applicable Subsidiary Guarantor is no longer a Restricted Subsidiary, which sale, exchange or transfer does not violate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this Indenture;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 Designation of such Restricted Subsidiary by the Issuer as an Unrestricted Subsidiary in accordance with the terms of this Indenture;</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Subsidiary Guarantor ceasing to guarantee or be liable for Indebtedness the guarantee or incurrence of which would obligate it, if it were not a Subsidiary Guarantor, to become a Subsidiary Guarantor pursuant to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legal or covenant defeasance or satisfaction and discharge of this Indenture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or</w:t>
      </w:r>
    </w:p>
    <w:p>
      <w:pPr>
        <w:spacing w:after="0" w:line="15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dissolution of such Subsidiary Guarantor;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no Event of Default has occurred that is continuing.</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Upon delivery to the Trustee of an Officers’ Certificate and an Opinion of Counsel to the effect that the conditions to release of a Guarantor’s Guarantee set forth above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satisfied, the Trustee shall execute any documents reasonably requested by the Issuer to evidence such release.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Any Guarantor not released from its obligations under its Guarantee shall remain liable for the full amount of principal of and interest on the Notes and for the other obligations of any Guarantor under this Indenture as provided in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Benefits Acknowledged</w:t>
      </w:r>
      <w:r>
        <w:rPr>
          <w:rFonts w:ascii="Times New Roman" w:cs="Times New Roman" w:eastAsia="Times New Roman" w:hAnsi="Times New Roman"/>
          <w:sz w:val="22"/>
          <w:szCs w:val="22"/>
          <w:color w:val="auto"/>
        </w:rPr>
        <w:t>. Each Guarantor acknowledges that it will receive direct and indirect benefits from the financing arrangements contemplated by this Indenture and that its guarantee and waivers pursuant to its Guarantee are knowingly made in contemplation of such benefits.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10.7</w:t>
      </w:r>
      <w:r>
        <w:rPr>
          <w:sz w:val="20"/>
          <w:szCs w:val="20"/>
          <w:color w:val="auto"/>
        </w:rPr>
        <w:tab/>
      </w:r>
      <w:r>
        <w:rPr>
          <w:rFonts w:ascii="Times New Roman" w:cs="Times New Roman" w:eastAsia="Times New Roman" w:hAnsi="Times New Roman"/>
          <w:sz w:val="21"/>
          <w:szCs w:val="21"/>
          <w:u w:val="single" w:color="auto"/>
          <w:color w:val="auto"/>
        </w:rPr>
        <w:t>Luxembourg Limitations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56"/>
        <w:spacing w:after="0" w:line="227" w:lineRule="auto"/>
        <w:tabs>
          <w:tab w:leader="none" w:pos="12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obligation of any Guarantor incorporated under the laws of Luxembourg (a “</w:t>
      </w:r>
      <w:r>
        <w:rPr>
          <w:rFonts w:ascii="Times New Roman" w:cs="Times New Roman" w:eastAsia="Times New Roman" w:hAnsi="Times New Roman"/>
          <w:sz w:val="22"/>
          <w:szCs w:val="22"/>
          <w:i w:val="1"/>
          <w:iCs w:val="1"/>
          <w:color w:val="auto"/>
        </w:rPr>
        <w:t>Luxembourg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for the obligations of the Issuer or any other Guarantor that is not a Subsidiary of such Luxembourg Guarantor,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limited at any time, with no double counting, to an aggregate amount not exceeding the higher of:</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ninety five per cent (95%) of the sum of such Luxembourg Guarantor’s own funds (</w:t>
      </w:r>
      <w:r>
        <w:rPr>
          <w:rFonts w:ascii="Times New Roman" w:cs="Times New Roman" w:eastAsia="Times New Roman" w:hAnsi="Times New Roman"/>
          <w:sz w:val="22"/>
          <w:szCs w:val="22"/>
          <w:i w:val="1"/>
          <w:iCs w:val="1"/>
          <w:color w:val="auto"/>
        </w:rPr>
        <w:t>capitaux propres</w:t>
      </w:r>
      <w:r>
        <w:rPr>
          <w:rFonts w:ascii="Times New Roman" w:cs="Times New Roman" w:eastAsia="Times New Roman" w:hAnsi="Times New Roman"/>
          <w:sz w:val="22"/>
          <w:szCs w:val="22"/>
          <w:color w:val="auto"/>
        </w:rPr>
        <w:t>) (as referred to in Annex 1 of the Luxembourg regulation dated 18 December 2015 defining the form and the content of the balance sheet and profit and loss account layouts and implementing among others article 34 of the Luxembourg law dated 19 December 2002 concerning the trade and companies register and the accounting and annual accounts of undertakings, as amended) (the “</w:t>
      </w:r>
      <w:r>
        <w:rPr>
          <w:rFonts w:ascii="Times New Roman" w:cs="Times New Roman" w:eastAsia="Times New Roman" w:hAnsi="Times New Roman"/>
          <w:sz w:val="22"/>
          <w:szCs w:val="22"/>
          <w:i w:val="1"/>
          <w:iCs w:val="1"/>
          <w:color w:val="auto"/>
        </w:rPr>
        <w:t>Own Funds</w:t>
      </w:r>
      <w:r>
        <w:rPr>
          <w:rFonts w:ascii="Times New Roman" w:cs="Times New Roman" w:eastAsia="Times New Roman" w:hAnsi="Times New Roman"/>
          <w:sz w:val="22"/>
          <w:szCs w:val="22"/>
          <w:color w:val="auto"/>
        </w:rPr>
        <w:t>”) and such Luxembourg Guarantor’s debt which is subordinated in right of payment (whether generally or specifically) to any claim of any Holder under any of the Notes Documents (the “</w:t>
      </w:r>
      <w:r>
        <w:rPr>
          <w:rFonts w:ascii="Times New Roman" w:cs="Times New Roman" w:eastAsia="Times New Roman" w:hAnsi="Times New Roman"/>
          <w:sz w:val="22"/>
          <w:szCs w:val="22"/>
          <w:i w:val="1"/>
          <w:iCs w:val="1"/>
          <w:color w:val="auto"/>
        </w:rPr>
        <w:t>Lux Subordinated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Debt</w:t>
      </w:r>
      <w:r>
        <w:rPr>
          <w:rFonts w:ascii="Times New Roman" w:cs="Times New Roman" w:eastAsia="Times New Roman" w:hAnsi="Times New Roman"/>
          <w:sz w:val="22"/>
          <w:szCs w:val="22"/>
          <w:color w:val="auto"/>
        </w:rPr>
        <w:t>”), as determined on the basis of the then latest available annual accounts of such Luxembourg Guarantor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established in accordance with applicable accounting rules, as at the date of this Indenture; and</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such Luxembourg Guarantor’s Own Funds and the Lux Subordinated Debt, as determined on the basis of the then latest available annual accounts of such Luxembourg Guarantor duly established in accordance with applicable accounting rules, as at the date of a guarantee payment under this Indenture.</w:t>
      </w:r>
    </w:p>
    <w:p>
      <w:pPr>
        <w:spacing w:after="0" w:line="152"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 for the purpose of the above determinations, no duly established annual accounts are available for the relevant reference period (which, for the avoidance of doubt, includes a situation where, in respect of the determination to be made under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 no final annual accounts have been established in due time in respect of the then most recently ended financial year) the relevant Luxembourg Guarantor shall, promptly, establish unaudited interim accounts (as of the date of the end of the then most recent financial quarter) or annual accounts (as applicable) duly established in accordance with applicable accounting rules, pursuant to which the relevant Luxembourg Guarantor’s Own Funds and Lux Subordinated Debt will be determined. If the relevant Guarantor fails to provide such unaudited interim accounts or annual accounts (as applicable) within 30 Business Days as from the request of the Holders, the Holders may appoint an independent auditor (</w:t>
      </w:r>
      <w:r>
        <w:rPr>
          <w:rFonts w:ascii="Times New Roman" w:cs="Times New Roman" w:eastAsia="Times New Roman" w:hAnsi="Times New Roman"/>
          <w:sz w:val="22"/>
          <w:szCs w:val="22"/>
          <w:i w:val="1"/>
          <w:iCs w:val="1"/>
          <w:color w:val="auto"/>
        </w:rPr>
        <w:t>réviseur d’entreprises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agréé</w:t>
      </w:r>
      <w:r>
        <w:rPr>
          <w:rFonts w:ascii="Times New Roman" w:cs="Times New Roman" w:eastAsia="Times New Roman" w:hAnsi="Times New Roman"/>
          <w:sz w:val="22"/>
          <w:szCs w:val="22"/>
          <w:color w:val="auto"/>
        </w:rPr>
        <w:t>) or an independent reputable investment bank which shall undertake the determination of the relevant Luxembourg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Guarantor’s Own Funds and Lux Subordinated Debt. In order to prepare such determination, the independent auditor (</w:t>
      </w:r>
      <w:r>
        <w:rPr>
          <w:rFonts w:ascii="Times New Roman" w:cs="Times New Roman" w:eastAsia="Times New Roman" w:hAnsi="Times New Roman"/>
          <w:sz w:val="22"/>
          <w:szCs w:val="22"/>
          <w:i w:val="1"/>
          <w:iCs w:val="1"/>
          <w:color w:val="auto"/>
        </w:rPr>
        <w:t>réviseur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d’entreprises agréé</w:t>
      </w:r>
      <w:r>
        <w:rPr>
          <w:rFonts w:ascii="Times New Roman" w:cs="Times New Roman" w:eastAsia="Times New Roman" w:hAnsi="Times New Roman"/>
          <w:sz w:val="22"/>
          <w:szCs w:val="22"/>
          <w:color w:val="auto"/>
        </w:rPr>
        <w:t>) or the independent reputable investment bank shall take into consideration such available elements and facts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such time, including without limitation, the latest annual accounts of such Luxembourg Guarantor and any entities in which it has a direct or indirect equity interest, any recent valuation of the assets of such Luxembourg Guarantor and any of its direct or indirect Subsidiaries, the market value of the assets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20" w:lineRule="auto"/>
        <w:rPr>
          <w:sz w:val="20"/>
          <w:szCs w:val="20"/>
          <w:color w:val="auto"/>
        </w:rPr>
      </w:pPr>
      <w:r>
        <w:rPr>
          <w:rFonts w:ascii="Times New Roman" w:cs="Times New Roman" w:eastAsia="Times New Roman" w:hAnsi="Times New Roman"/>
          <w:sz w:val="22"/>
          <w:szCs w:val="22"/>
          <w:color w:val="auto"/>
        </w:rPr>
        <w:t>Guarantor and any entities in which it has a direct or indirect equity interest as if sold between a willing buyer and a willing seller as a going concern using a standard market multi criteria approach combining market multiples, book value, discounted cash flow or comparable public transaction of which price is known (taking into account circumstances at the time of the valuation and making all necessary adjustments to the assumption being used) and acting in a reasonable manner.</w:t>
      </w:r>
    </w:p>
    <w:p>
      <w:pPr>
        <w:spacing w:after="0" w:line="152" w:lineRule="exact"/>
        <w:rPr>
          <w:sz w:val="20"/>
          <w:szCs w:val="20"/>
          <w:color w:val="auto"/>
        </w:rPr>
      </w:pPr>
    </w:p>
    <w:p>
      <w:pPr>
        <w:jc w:val="both"/>
        <w:ind w:firstLine="656"/>
        <w:spacing w:after="0" w:line="225" w:lineRule="auto"/>
        <w:tabs>
          <w:tab w:leader="none" w:pos="129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limitation set forth in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 xml:space="preserve"> shall not apply to any amounts borrowed under this Indenture and made directly or indirectly available, in any form whatsoever, to the Luxembourg Guarantor or to any of its direct or indirect Subsidiaries.</w:t>
      </w:r>
    </w:p>
    <w:p>
      <w:pPr>
        <w:spacing w:after="0" w:line="15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Norwegian Limitations</w:t>
      </w:r>
      <w:r>
        <w:rPr>
          <w:rFonts w:ascii="Times New Roman" w:cs="Times New Roman" w:eastAsia="Times New Roman" w:hAnsi="Times New Roman"/>
          <w:sz w:val="22"/>
          <w:szCs w:val="22"/>
          <w:color w:val="auto"/>
        </w:rPr>
        <w:t>. The liability of each Guarantor incorporated in Norway in its capacity as Guarantor (each a “</w:t>
      </w:r>
      <w:r>
        <w:rPr>
          <w:rFonts w:ascii="Times New Roman" w:cs="Times New Roman" w:eastAsia="Times New Roman" w:hAnsi="Times New Roman"/>
          <w:sz w:val="22"/>
          <w:szCs w:val="22"/>
          <w:i w:val="1"/>
          <w:iCs w:val="1"/>
          <w:color w:val="auto"/>
        </w:rPr>
        <w:t>Norwegian Guarantor</w:t>
      </w:r>
      <w:r>
        <w:rPr>
          <w:rFonts w:ascii="Times New Roman" w:cs="Times New Roman" w:eastAsia="Times New Roman" w:hAnsi="Times New Roman"/>
          <w:sz w:val="22"/>
          <w:szCs w:val="22"/>
          <w:color w:val="auto"/>
        </w:rPr>
        <w:t>”) shall be limited to USD $1,920,000,000, plus any interest, default interest, commissions, charges, fees and expenses due under any Indenture Obligation. Notwithstanding any other provision of this Indenture to the contrary, the obligations and liabilities of any Norwegian Guarantor under this Indenture shall be limited by such mandatory provisions of sections 8-7 and/or 8-10 of the Norwegian Limited Liability Companies Act of 13 June 1997 (the “</w:t>
      </w:r>
      <w:r>
        <w:rPr>
          <w:rFonts w:ascii="Times New Roman" w:cs="Times New Roman" w:eastAsia="Times New Roman" w:hAnsi="Times New Roman"/>
          <w:sz w:val="22"/>
          <w:szCs w:val="22"/>
          <w:i w:val="1"/>
          <w:iCs w:val="1"/>
          <w:color w:val="auto"/>
        </w:rPr>
        <w:t>Norwegian Companies Act</w:t>
      </w:r>
      <w:r>
        <w:rPr>
          <w:rFonts w:ascii="Times New Roman" w:cs="Times New Roman" w:eastAsia="Times New Roman" w:hAnsi="Times New Roman"/>
          <w:sz w:val="22"/>
          <w:szCs w:val="22"/>
          <w:color w:val="auto"/>
        </w:rPr>
        <w:t xml:space="preserve">”) regarding restrictions on a Norwegian limited liability company’s ability to grant guarantees, loans, security or other financial assistance. The obligations of the Norwegian Guarantors shall only be limited to the extent this is required from time to time, and the Norwegian Guarantors shall be liable to the fullest extent permitted by the Norwegian Companies Act as amended from time to time. To the extent permitted by applicable law, if a payment under this Indenture by a Norwegian Guarantor has been made in contravention of the limitations contained in this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the Holders shall not be liable for any damages in relation thereto, and the maximum amount repayable by the Holders as a consequence of such contravention shall be the amount received from that Norwegian Guarantor.</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Irish Limitations</w:t>
      </w:r>
      <w:r>
        <w:rPr>
          <w:rFonts w:ascii="Times New Roman" w:cs="Times New Roman" w:eastAsia="Times New Roman" w:hAnsi="Times New Roman"/>
          <w:sz w:val="22"/>
          <w:szCs w:val="22"/>
          <w:color w:val="auto"/>
        </w:rPr>
        <w:t>. Notwithstanding anything to the contrary in this Indenture, the obligations, liabilities and undertakings of Parent Guarantor under this Guarantee shall be deemed not to be undertaken or incurred to the extent that the same would (a) constitute unlawful financial assistance prohibited by section 82 of the Companies Act 2014 of Ireland (or any analogous provision of any other applicable law), or (b) constitute a breach of section 239 of the Companies Act 2014 of Ireland (or any analogous provision of any other applicable law).</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Swiss Financial Assistance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a Guarantor incorporated in Switzerland and/or having its registered office in Switzerland and/or qualifying as a Swiss resident pursuant to art 9 of the Swiss Withholding Tax Act (each a “</w:t>
      </w:r>
      <w:r>
        <w:rPr>
          <w:rFonts w:ascii="Times New Roman" w:cs="Times New Roman" w:eastAsia="Times New Roman" w:hAnsi="Times New Roman"/>
          <w:sz w:val="22"/>
          <w:szCs w:val="22"/>
          <w:i w:val="1"/>
          <w:iCs w:val="1"/>
          <w:color w:val="auto"/>
        </w:rPr>
        <w:t>Swiss Guarantor</w:t>
      </w:r>
      <w:r>
        <w:rPr>
          <w:rFonts w:ascii="Times New Roman" w:cs="Times New Roman" w:eastAsia="Times New Roman" w:hAnsi="Times New Roman"/>
          <w:sz w:val="22"/>
          <w:szCs w:val="22"/>
          <w:color w:val="auto"/>
        </w:rPr>
        <w:t>”) becomes liable under this Guarantee or any other Notes Document for obligations of the Issuer or any other Guarantor (other than the wholly owned direct or indirect subsidiaries of such Swiss Guarantor) (the “</w:t>
      </w:r>
      <w:r>
        <w:rPr>
          <w:rFonts w:ascii="Times New Roman" w:cs="Times New Roman" w:eastAsia="Times New Roman" w:hAnsi="Times New Roman"/>
          <w:sz w:val="22"/>
          <w:szCs w:val="22"/>
          <w:i w:val="1"/>
          <w:iCs w:val="1"/>
          <w:color w:val="auto"/>
        </w:rPr>
        <w:t>Restricted Obligations</w:t>
      </w:r>
      <w:r>
        <w:rPr>
          <w:rFonts w:ascii="Times New Roman" w:cs="Times New Roman" w:eastAsia="Times New Roman" w:hAnsi="Times New Roman"/>
          <w:sz w:val="22"/>
          <w:szCs w:val="22"/>
          <w:color w:val="auto"/>
        </w:rPr>
        <w:t>”) and if complying with such obligations would constitute a repayment of capital (</w:t>
      </w:r>
      <w:r>
        <w:rPr>
          <w:rFonts w:ascii="Times New Roman" w:cs="Times New Roman" w:eastAsia="Times New Roman" w:hAnsi="Times New Roman"/>
          <w:sz w:val="22"/>
          <w:szCs w:val="22"/>
          <w:i w:val="1"/>
          <w:iCs w:val="1"/>
          <w:color w:val="auto"/>
        </w:rPr>
        <w:t>Einlagerückgewähr</w:t>
      </w:r>
      <w:r>
        <w:rPr>
          <w:rFonts w:ascii="Times New Roman" w:cs="Times New Roman" w:eastAsia="Times New Roman" w:hAnsi="Times New Roman"/>
          <w:sz w:val="22"/>
          <w:szCs w:val="22"/>
          <w:color w:val="auto"/>
        </w:rPr>
        <w:t>), a violation of the legally protected reserves (</w:t>
      </w:r>
      <w:r>
        <w:rPr>
          <w:rFonts w:ascii="Times New Roman" w:cs="Times New Roman" w:eastAsia="Times New Roman" w:hAnsi="Times New Roman"/>
          <w:sz w:val="22"/>
          <w:szCs w:val="22"/>
          <w:i w:val="1"/>
          <w:iCs w:val="1"/>
          <w:color w:val="auto"/>
        </w:rPr>
        <w:t>gesetzlich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geschützte Reserven</w:t>
      </w:r>
      <w:r>
        <w:rPr>
          <w:rFonts w:ascii="Times New Roman" w:cs="Times New Roman" w:eastAsia="Times New Roman" w:hAnsi="Times New Roman"/>
          <w:sz w:val="22"/>
          <w:szCs w:val="22"/>
          <w:color w:val="auto"/>
        </w:rPr>
        <w:t>) or the payment of a (constructive) dividend (</w:t>
      </w:r>
      <w:r>
        <w:rPr>
          <w:rFonts w:ascii="Times New Roman" w:cs="Times New Roman" w:eastAsia="Times New Roman" w:hAnsi="Times New Roman"/>
          <w:sz w:val="22"/>
          <w:szCs w:val="22"/>
          <w:i w:val="1"/>
          <w:iCs w:val="1"/>
          <w:color w:val="auto"/>
        </w:rPr>
        <w:t>Gewinnausschüttung</w:t>
      </w:r>
      <w:r>
        <w:rPr>
          <w:rFonts w:ascii="Times New Roman" w:cs="Times New Roman" w:eastAsia="Times New Roman" w:hAnsi="Times New Roman"/>
          <w:sz w:val="22"/>
          <w:szCs w:val="22"/>
          <w:color w:val="auto"/>
        </w:rPr>
        <w:t>) by such Swiss Guarantor or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be restricted under Swiss law and practice then applicable, such Swiss Guarantor’s aggregate liability for Restricted Obligations shall not exceed the amount of the Swiss Guarantor’s freely disposable equity (</w:t>
      </w:r>
      <w:r>
        <w:rPr>
          <w:rFonts w:ascii="Times New Roman" w:cs="Times New Roman" w:eastAsia="Times New Roman" w:hAnsi="Times New Roman"/>
          <w:sz w:val="22"/>
          <w:szCs w:val="22"/>
          <w:i w:val="1"/>
          <w:iCs w:val="1"/>
          <w:color w:val="auto"/>
        </w:rPr>
        <w:t>frei verfügbares Eigenkapital</w:t>
      </w:r>
      <w:r>
        <w:rPr>
          <w:rFonts w:ascii="Times New Roman" w:cs="Times New Roman" w:eastAsia="Times New Roman" w:hAnsi="Times New Roman"/>
          <w:sz w:val="22"/>
          <w:szCs w:val="22"/>
          <w:color w:val="auto"/>
        </w:rPr>
        <w:t>) at the time it becomes liable including, without limitation, any statutory reserves which can be transferred into unrestricted, distributable reserves, in accordance with Swiss law (the “</w:t>
      </w:r>
      <w:r>
        <w:rPr>
          <w:rFonts w:ascii="Times New Roman" w:cs="Times New Roman" w:eastAsia="Times New Roman" w:hAnsi="Times New Roman"/>
          <w:sz w:val="22"/>
          <w:szCs w:val="22"/>
          <w:i w:val="1"/>
          <w:iCs w:val="1"/>
          <w:color w:val="auto"/>
        </w:rPr>
        <w:t>Freely Disposable Amount</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limitation shall only apply to the extent it is a requirement under applicable law at the time any Swiss Guarantor is required to perform Restricted Obligations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Notes Documents. Such limitation shall not free such Swiss Guarantor from its obligations in excess of the Freely Disposable Amount, but merely postpone the performance date thereof until such times when such Swiss Guarantor has again freely disposable equity. The limitation set out in this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xml:space="preserve"> shall not apply to the extent such Swiss Guarantor guarantees or otherwise secures any amounts borrowed under any Notes Document which are on-lent to such Swiss Guarantor or to wholly owned direct or indirect subsidiaries of such Swiss Guarantor.</w:t>
      </w:r>
    </w:p>
    <w:p>
      <w:pPr>
        <w:spacing w:after="0" w:line="152" w:lineRule="exact"/>
        <w:rPr>
          <w:sz w:val="20"/>
          <w:szCs w:val="20"/>
          <w:color w:val="auto"/>
        </w:rPr>
      </w:pPr>
    </w:p>
    <w:p>
      <w:pPr>
        <w:jc w:val="both"/>
        <w:ind w:firstLine="656"/>
        <w:spacing w:after="0" w:line="215" w:lineRule="auto"/>
        <w:tabs>
          <w:tab w:leader="none" w:pos="129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enforcement of the obligations of any Swiss Guarantor under the Notes Documents would be limited due to the effects referred to in this Indenture, such Swiss Guarantor shall further, to the extent permitted by applicable law and Swiss accounting standards and upon request by the Holders, (i) write up or sell any of its assets that are shown in its balance sheet with a book value that is significantly lower than the market value of the assets, in case of sale, however, only if such assets are not necessary for such Swiss Guarantor’s business (</w:t>
      </w:r>
      <w:r>
        <w:rPr>
          <w:rFonts w:ascii="Times New Roman" w:cs="Times New Roman" w:eastAsia="Times New Roman" w:hAnsi="Times New Roman"/>
          <w:sz w:val="22"/>
          <w:szCs w:val="22"/>
          <w:i w:val="1"/>
          <w:iCs w:val="1"/>
          <w:color w:val="auto"/>
        </w:rPr>
        <w:t>nicht betriebsnotwendig</w:t>
      </w:r>
      <w:r>
        <w:rPr>
          <w:rFonts w:ascii="Times New Roman" w:cs="Times New Roman" w:eastAsia="Times New Roman" w:hAnsi="Times New Roman"/>
          <w:sz w:val="22"/>
          <w:szCs w:val="22"/>
          <w:color w:val="auto"/>
        </w:rPr>
        <w:t>) and (ii) reduce its share capital to the minimum allowed under then applicable law, provided that such steps are permitted under the Notes Documents.</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Swiss Guarantor, and any direct holding company of the Swiss Guarantor which is a party to a Notes Document, shall procure that such Swiss Guarantor will take and will cause to be taken all and any action as soon as reasonably practicable but in any event within 30 Business Days from the request of the Holders, including, without limitation, (i) the passing of any shareholders’ resolutions to approve any payment or other performance under this Indenture or any other Notes Documents, (ii) the provision of an audited interim balance sheet, (iii) the provision of a determination by such Swiss Guarantor of the Freely Disposable Amount based on such audited interim balance sheet, (iv) the provision of a confirmation from the auditors of such Swiss Guarantor that a payment by such Swiss Guarantor under the Notes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such Swiss Guarantor is required to make a payment or perform other obligations under this Indenture or any other Notes Document, in order to allow a prompt payment in relation to Restricted Obligations with a minimum of limitations.</w:t>
      </w:r>
    </w:p>
    <w:p>
      <w:pPr>
        <w:spacing w:after="0" w:line="151"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required under applicable law (including tax treaties) at the time it is required to make a payment under this Indenture or any other Notes Document, each Swiss Guarantor: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deduct the Swiss withholding tax at such rate (being 35% on the date hereof) as in force from time to time if the notification procedure pursuant to </w:t>
      </w:r>
      <w:r>
        <w:rPr>
          <w:rFonts w:ascii="Times New Roman" w:cs="Times New Roman" w:eastAsia="Times New Roman" w:hAnsi="Times New Roman"/>
          <w:sz w:val="22"/>
          <w:szCs w:val="22"/>
          <w:u w:val="single" w:color="auto"/>
          <w:color w:val="auto"/>
        </w:rPr>
        <w:t>Section 10.10(e)(1)</w:t>
      </w:r>
      <w:r>
        <w:rPr>
          <w:rFonts w:ascii="Times New Roman" w:cs="Times New Roman" w:eastAsia="Times New Roman" w:hAnsi="Times New Roman"/>
          <w:sz w:val="22"/>
          <w:szCs w:val="22"/>
          <w:color w:val="auto"/>
        </w:rPr>
        <w:t xml:space="preserve"> above does not apply; or shall deduct the Swiss withholding tax at the reduced rate resulting after discharge of part of such tax by notification if the notification procedure pursuant to </w:t>
      </w:r>
      <w:r>
        <w:rPr>
          <w:rFonts w:ascii="Times New Roman" w:cs="Times New Roman" w:eastAsia="Times New Roman" w:hAnsi="Times New Roman"/>
          <w:sz w:val="22"/>
          <w:szCs w:val="22"/>
          <w:u w:val="single" w:color="auto"/>
          <w:color w:val="auto"/>
        </w:rPr>
        <w:t>Section 10.10(e)(1)</w:t>
      </w:r>
      <w:r>
        <w:rPr>
          <w:rFonts w:ascii="Times New Roman" w:cs="Times New Roman" w:eastAsia="Times New Roman" w:hAnsi="Times New Roman"/>
          <w:sz w:val="22"/>
          <w:szCs w:val="22"/>
          <w:color w:val="auto"/>
        </w:rPr>
        <w:t xml:space="preserve"> applies for a part of the Swiss withholding tax only; and shall pay within the time allowed any such taxes deducted to the Swiss Federal Tax Administration;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promptly notify the payee(s) that such notification or, as the case may be, deduction has been made, and provide the payee(s) with evidence that such a notification of the Swiss Federal Tax Administration has been made or, as the case may be, such taxes deducted have been paid to the Swiss Federal Tax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5" w:right="339" w:bottom="1440" w:gutter="0" w:footer="0" w:header="0"/>
        </w:sectPr>
      </w:pPr>
    </w:p>
    <w:bookmarkStart w:id="105" w:name="page106"/>
    <w:bookmarkEnd w:id="105"/>
    <w:p>
      <w:pPr>
        <w:jc w:val="both"/>
        <w:ind w:left="-220" w:right="20" w:firstLine="656"/>
        <w:spacing w:after="0" w:line="225" w:lineRule="auto"/>
        <w:tabs>
          <w:tab w:leader="none" w:pos="107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deduction of Swiss withholding tax, each Swiss Guarantor shall use its best efforts to ensure that any person that is entitled to a full or partial refund of the Swiss withholding tax deducted from such payment under this Indenture or any other Notes Document, will, as soon as possible after such deduction:</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a refund of the Swiss withholding tax under applicable law (including tax treaties); and</w:t>
      </w:r>
    </w:p>
    <w:p>
      <w:pPr>
        <w:spacing w:after="0" w:line="17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to such person upon receipt any amount so refunded.</w:t>
      </w:r>
    </w:p>
    <w:p>
      <w:pPr>
        <w:spacing w:after="0" w:line="179"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220" w:firstLine="656"/>
        <w:spacing w:after="0" w:line="211" w:lineRule="auto"/>
        <w:tabs>
          <w:tab w:leader="none" w:pos="107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Swiss Guarantor is required to deduct Swiss withholding tax pursuant to this Indenture or any other Notes Document, and if the Freely Disposable Amount is not fully utilized, such Swiss Guarantor will be required to pay an additional amount so that after making any required deduction of Swiss withholding tax the aggregate net amount paid is equal to the amount which would have been paid if no deduction of Swiss withholding tax had been required from such Swiss Guarantor, provided that (i) the aggregate amount paid (including the additional amount) shall in any event be limited to the Freely Disposable Amount (ii) such gross up is not explicitly prohibited under the applicable law or federal court practice, and (iii) such steps are permitted under the Notes Documents. In such case, if a refund of the Swiss withholding tax is made to a Holder, such Holder shall transfer the refund so received, after deduction of costs, to such Swiss Guarantor, subject to any right of set-off of such Holder pursuant to the Notes Documents.</w:t>
      </w:r>
    </w:p>
    <w:p>
      <w:pPr>
        <w:spacing w:after="0" w:line="158" w:lineRule="exact"/>
        <w:rPr>
          <w:rFonts w:ascii="Times New Roman" w:cs="Times New Roman" w:eastAsia="Times New Roman" w:hAnsi="Times New Roman"/>
          <w:sz w:val="22"/>
          <w:szCs w:val="22"/>
          <w:color w:val="auto"/>
        </w:rPr>
      </w:pPr>
    </w:p>
    <w:p>
      <w:pPr>
        <w:ind w:left="-220" w:firstLine="656"/>
        <w:spacing w:after="0" w:line="236" w:lineRule="auto"/>
        <w:tabs>
          <w:tab w:leader="none" w:pos="106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Guarantor hereby represents that it is not resident for tax purposes in Switzerland and is not subject to Swiss withholding tax.</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Parallel Debt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220" w:firstLine="656"/>
        <w:spacing w:after="0" w:line="217" w:lineRule="auto"/>
        <w:tabs>
          <w:tab w:leader="none" w:pos="107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by way of an independent payment obligation, hereby irrevocably and unconditionally undertakes to pay to the Trustee, as creditor in its own right and not as representative of the Holders, sums equal to and in the currency of each amount payable by such Guarantor to any of the Holders under the Guarantees as and when that amount falls due for payment under the Guarantees. The parties to this Indenture acknowledge and confirm that the parallel debt provisions contained herein shall not be interpreted so as to increase the maximum total amount of the obligations under the Guarantees.</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12" w:lineRule="auto"/>
        <w:tabs>
          <w:tab w:leader="none" w:pos="107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under clause (a) above are several and are separate and independent from, and shall not in any way limit or affect, the corresponding obligations of such Guarantor to any Holder under the Guarantees (its “</w:t>
      </w:r>
      <w:r>
        <w:rPr>
          <w:rFonts w:ascii="Times New Roman" w:cs="Times New Roman" w:eastAsia="Times New Roman" w:hAnsi="Times New Roman"/>
          <w:sz w:val="22"/>
          <w:szCs w:val="22"/>
          <w:i w:val="1"/>
          <w:iCs w:val="1"/>
          <w:color w:val="auto"/>
        </w:rPr>
        <w:t>Corresponding Debt</w:t>
      </w:r>
      <w:r>
        <w:rPr>
          <w:rFonts w:ascii="Times New Roman" w:cs="Times New Roman" w:eastAsia="Times New Roman" w:hAnsi="Times New Roman"/>
          <w:sz w:val="22"/>
          <w:szCs w:val="22"/>
          <w:color w:val="auto"/>
        </w:rPr>
        <w:t>”) nor shall the amounts for which each Guarantor is liable under clause (a) above (its “</w:t>
      </w:r>
      <w:r>
        <w:rPr>
          <w:rFonts w:ascii="Times New Roman" w:cs="Times New Roman" w:eastAsia="Times New Roman" w:hAnsi="Times New Roman"/>
          <w:sz w:val="22"/>
          <w:szCs w:val="22"/>
          <w:i w:val="1"/>
          <w:iCs w:val="1"/>
          <w:color w:val="auto"/>
        </w:rPr>
        <w:t>Parallel Debt</w:t>
      </w:r>
      <w:r>
        <w:rPr>
          <w:rFonts w:ascii="Times New Roman" w:cs="Times New Roman" w:eastAsia="Times New Roman" w:hAnsi="Times New Roman"/>
          <w:sz w:val="22"/>
          <w:szCs w:val="22"/>
          <w:color w:val="auto"/>
        </w:rPr>
        <w:t>”) be limited or affected in any way by its Corresponding Debt; provided, that: (x) the Trustee shall not demand payment with regard to the Parallel Debt of any Guarantor to the extent that such Guarantor’s Corresponding Debt has been paid or (in the case of guarantee obligations) discharged and (y) none of the Trustee or any Holder shall demand payment with regard to the Corresponding Debt of any Guarantor, to the extent that such Guarantor’s Parallel Debt has been paid or (in the case of guarantee obligations) discharged.</w:t>
      </w:r>
    </w:p>
    <w:p>
      <w:pPr>
        <w:spacing w:after="0" w:line="156" w:lineRule="exact"/>
        <w:rPr>
          <w:rFonts w:ascii="Times New Roman" w:cs="Times New Roman" w:eastAsia="Times New Roman" w:hAnsi="Times New Roman"/>
          <w:sz w:val="22"/>
          <w:szCs w:val="22"/>
          <w:color w:val="auto"/>
        </w:rPr>
      </w:pPr>
    </w:p>
    <w:p>
      <w:pPr>
        <w:jc w:val="both"/>
        <w:ind w:left="-220" w:firstLine="656"/>
        <w:spacing w:after="0" w:line="225" w:lineRule="auto"/>
        <w:tabs>
          <w:tab w:leader="none" w:pos="107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acts in its own name and not as agent and it shall have its own independent right to demand payment of the amounts payable by each Guarantor, under this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Trustee may not assign or transfer any claim arising from the Parallel Debt other than to any successor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020"/>
          </w:cols>
          <w:pgMar w:left="540" w:top="1395" w:right="339" w:bottom="1440" w:gutter="0" w:footer="0" w:header="0"/>
        </w:sectPr>
      </w:pPr>
    </w:p>
    <w:bookmarkStart w:id="106" w:name="page107"/>
    <w:bookmarkEnd w:id="106"/>
    <w:p>
      <w:pPr>
        <w:jc w:val="both"/>
        <w:ind w:firstLine="656"/>
        <w:spacing w:after="0" w:line="224" w:lineRule="auto"/>
        <w:tabs>
          <w:tab w:leader="none" w:pos="129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amount due and payable by a Guarantor, to the Trustee in respect of a Parallel Debt under this </w:t>
      </w:r>
      <w:r>
        <w:rPr>
          <w:rFonts w:ascii="Times New Roman" w:cs="Times New Roman" w:eastAsia="Times New Roman" w:hAnsi="Times New Roman"/>
          <w:sz w:val="21"/>
          <w:szCs w:val="21"/>
          <w:u w:val="single" w:color="auto"/>
          <w:color w:val="auto"/>
        </w:rPr>
        <w:t>Section 10.11</w:t>
      </w:r>
      <w:r>
        <w:rPr>
          <w:rFonts w:ascii="Times New Roman" w:cs="Times New Roman" w:eastAsia="Times New Roman" w:hAnsi="Times New Roman"/>
          <w:sz w:val="21"/>
          <w:szCs w:val="21"/>
          <w:color w:val="auto"/>
        </w:rPr>
        <w:t xml:space="preserve"> shall be automatically decreased and discharged to the extent that such Guarantor has paid the corresponding amount under the Corresponding Debt and any amount due and payable by a Guarantor to the other applicable Holders under the Corresponding Debt shall be decreased to the extent that such Guarantor has paid the corresponding amount to the Trustee under its Parallel Debt. The Guarantors shall have all objections and defenses against the Parallel Debt which they have against the Corresponding Debt. An Event of Default in respect of the payment of the Corresponding Debt shall constitute a default within the meaning of section 3:248 Netherlands Civil Code with respect to the payment of the Parallel Debt without any notice being required.</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Parallel Debt of a Guarantor shall at all times be equal to the amount of its Corresponding Debt and the aggregate amount outstanding owed by the Guarantors under the Guarantees at any time shall not exceed the amount of the Corresponding Debt at that time.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the Trustee and the Holders (other than the Trustee in its capacity as parallel debt creditor) to receive payment of amounts payable by each Guarantor, under the Corresponding Debt are several and are separate and independent from, and without prejudice to, the rights of the Trustee to receive payment under the Parallel Debt.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Dutch Covenants</w:t>
      </w:r>
      <w:r>
        <w:rPr>
          <w:rFonts w:ascii="Times New Roman" w:cs="Times New Roman" w:eastAsia="Times New Roman" w:hAnsi="Times New Roman"/>
          <w:sz w:val="22"/>
          <w:szCs w:val="22"/>
          <w:color w:val="auto"/>
        </w:rPr>
        <w:t>. Any fiscal unity (</w:t>
      </w:r>
      <w:r>
        <w:rPr>
          <w:rFonts w:ascii="Times New Roman" w:cs="Times New Roman" w:eastAsia="Times New Roman" w:hAnsi="Times New Roman"/>
          <w:sz w:val="22"/>
          <w:szCs w:val="22"/>
          <w:i w:val="1"/>
          <w:iCs w:val="1"/>
          <w:color w:val="auto"/>
        </w:rPr>
        <w:t>fiscale eenheid</w:t>
      </w:r>
      <w:r>
        <w:rPr>
          <w:rFonts w:ascii="Times New Roman" w:cs="Times New Roman" w:eastAsia="Times New Roman" w:hAnsi="Times New Roman"/>
          <w:sz w:val="22"/>
          <w:szCs w:val="22"/>
          <w:color w:val="auto"/>
        </w:rPr>
        <w:t>) for Dutch tax purposes, of which a Note Party forms part of, shall consist of Note Parties and/or Restricted Subsidiaries only. Each Guarantor organized under the laws of the Netherlands shall be solely resident for tax purposes in the Netherlands and shall not have any permanent establishment or other taxable presence outside the Netherlands.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German Limitation of Liability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Auditor’s Determination</w:t>
      </w:r>
      <w:r>
        <w:rPr>
          <w:rFonts w:ascii="Times New Roman" w:cs="Times New Roman" w:eastAsia="Times New Roman" w:hAnsi="Times New Roman"/>
          <w:sz w:val="22"/>
          <w:szCs w:val="22"/>
          <w:color w:val="auto"/>
        </w:rPr>
        <w:t xml:space="preserve">” shall have the meaning ascribed to that term in </w:t>
      </w:r>
      <w:r>
        <w:rPr>
          <w:rFonts w:ascii="Times New Roman" w:cs="Times New Roman" w:eastAsia="Times New Roman" w:hAnsi="Times New Roman"/>
          <w:sz w:val="22"/>
          <w:szCs w:val="22"/>
          <w:u w:val="single" w:color="auto"/>
          <w:color w:val="auto"/>
        </w:rPr>
        <w:t>Section 10.13(f)</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Enforcement Notice</w:t>
      </w:r>
      <w:r>
        <w:rPr>
          <w:rFonts w:ascii="Times New Roman" w:cs="Times New Roman" w:eastAsia="Times New Roman" w:hAnsi="Times New Roman"/>
          <w:sz w:val="22"/>
          <w:szCs w:val="22"/>
          <w:color w:val="auto"/>
        </w:rPr>
        <w:t xml:space="preserve">” shall have the meaning ascribed to that term in </w:t>
      </w:r>
      <w:r>
        <w:rPr>
          <w:rFonts w:ascii="Times New Roman" w:cs="Times New Roman" w:eastAsia="Times New Roman" w:hAnsi="Times New Roman"/>
          <w:sz w:val="22"/>
          <w:szCs w:val="22"/>
          <w:u w:val="single" w:color="auto"/>
          <w:color w:val="auto"/>
        </w:rPr>
        <w:t>Section 10.13(e)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5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German Guarantor</w:t>
      </w:r>
      <w:r>
        <w:rPr>
          <w:rFonts w:ascii="Times New Roman" w:cs="Times New Roman" w:eastAsia="Times New Roman" w:hAnsi="Times New Roman"/>
          <w:sz w:val="22"/>
          <w:szCs w:val="22"/>
          <w:color w:val="auto"/>
        </w:rPr>
        <w:t>” means any Guarantor incorporated in Germany as (x) a limited liability company (</w:t>
      </w:r>
      <w:r>
        <w:rPr>
          <w:rFonts w:ascii="Times New Roman" w:cs="Times New Roman" w:eastAsia="Times New Roman" w:hAnsi="Times New Roman"/>
          <w:sz w:val="22"/>
          <w:szCs w:val="22"/>
          <w:i w:val="1"/>
          <w:iCs w:val="1"/>
          <w:color w:val="auto"/>
        </w:rPr>
        <w:t>Gesellschaft mit beschränkter Haftung - GmbH</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i w:val="1"/>
          <w:iCs w:val="1"/>
          <w:color w:val="auto"/>
        </w:rPr>
        <w:t>German GmbH Guarantor</w:t>
      </w:r>
      <w:r>
        <w:rPr>
          <w:rFonts w:ascii="Times New Roman" w:cs="Times New Roman" w:eastAsia="Times New Roman" w:hAnsi="Times New Roman"/>
          <w:sz w:val="22"/>
          <w:szCs w:val="22"/>
          <w:color w:val="auto"/>
        </w:rPr>
        <w:t>”) or (y) a limited partnership (</w:t>
      </w:r>
      <w:r>
        <w:rPr>
          <w:rFonts w:ascii="Times New Roman" w:cs="Times New Roman" w:eastAsia="Times New Roman" w:hAnsi="Times New Roman"/>
          <w:sz w:val="22"/>
          <w:szCs w:val="22"/>
          <w:i w:val="1"/>
          <w:iCs w:val="1"/>
          <w:color w:val="auto"/>
        </w:rPr>
        <w:t>Kommanditgesellschaft</w:t>
      </w:r>
      <w:r>
        <w:rPr>
          <w:rFonts w:ascii="Times New Roman" w:cs="Times New Roman" w:eastAsia="Times New Roman" w:hAnsi="Times New Roman"/>
          <w:sz w:val="22"/>
          <w:szCs w:val="22"/>
          <w:color w:val="auto"/>
        </w:rPr>
        <w:t>) with a limited liability company as general partner (a “</w:t>
      </w:r>
      <w:r>
        <w:rPr>
          <w:rFonts w:ascii="Times New Roman" w:cs="Times New Roman" w:eastAsia="Times New Roman" w:hAnsi="Times New Roman"/>
          <w:sz w:val="22"/>
          <w:szCs w:val="22"/>
          <w:i w:val="1"/>
          <w:iCs w:val="1"/>
          <w:color w:val="auto"/>
        </w:rPr>
        <w:t>German GmbH &amp; Co. KG Guarantor</w:t>
      </w:r>
      <w:r>
        <w:rPr>
          <w:rFonts w:ascii="Times New Roman" w:cs="Times New Roman" w:eastAsia="Times New Roman" w:hAnsi="Times New Roman"/>
          <w:sz w:val="22"/>
          <w:szCs w:val="22"/>
          <w:color w:val="auto"/>
        </w:rPr>
        <w:t>”) in relation to whom any of the Holders intends to demand payment under this Guarantee.</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Guaranteed Obligor</w:t>
      </w:r>
      <w:r>
        <w:rPr>
          <w:rFonts w:ascii="Times New Roman" w:cs="Times New Roman" w:eastAsia="Times New Roman" w:hAnsi="Times New Roman"/>
          <w:sz w:val="22"/>
          <w:szCs w:val="22"/>
          <w:color w:val="auto"/>
        </w:rPr>
        <w:t xml:space="preserve">” shall have the meaning ascribed to that term in </w:t>
      </w:r>
      <w:r>
        <w:rPr>
          <w:rFonts w:ascii="Times New Roman" w:cs="Times New Roman" w:eastAsia="Times New Roman" w:hAnsi="Times New Roman"/>
          <w:sz w:val="22"/>
          <w:szCs w:val="22"/>
          <w:u w:val="single" w:color="auto"/>
          <w:color w:val="auto"/>
        </w:rPr>
        <w:t>Section 10.13(b)</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Management Determination</w:t>
      </w:r>
      <w:r>
        <w:rPr>
          <w:rFonts w:ascii="Times New Roman" w:cs="Times New Roman" w:eastAsia="Times New Roman" w:hAnsi="Times New Roman"/>
          <w:sz w:val="22"/>
          <w:szCs w:val="22"/>
          <w:color w:val="auto"/>
        </w:rPr>
        <w:t xml:space="preserve">” shall have the meaning ascribed to that term in </w:t>
      </w:r>
      <w:r>
        <w:rPr>
          <w:rFonts w:ascii="Times New Roman" w:cs="Times New Roman" w:eastAsia="Times New Roman" w:hAnsi="Times New Roman"/>
          <w:sz w:val="22"/>
          <w:szCs w:val="22"/>
          <w:u w:val="single" w:color="auto"/>
          <w:color w:val="auto"/>
        </w:rPr>
        <w:t>Section 10.13(e)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21" w:lineRule="auto"/>
        <w:tabs>
          <w:tab w:leader="none" w:pos="195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Assets</w:t>
      </w:r>
      <w:r>
        <w:rPr>
          <w:rFonts w:ascii="Times New Roman" w:cs="Times New Roman" w:eastAsia="Times New Roman" w:hAnsi="Times New Roman"/>
          <w:sz w:val="22"/>
          <w:szCs w:val="22"/>
          <w:color w:val="auto"/>
        </w:rPr>
        <w:t>” means the relevant company’s assets (Section 266 para. (2) A, B, C, D and E German Commercial Code (</w:t>
      </w:r>
      <w:r>
        <w:rPr>
          <w:rFonts w:ascii="Times New Roman" w:cs="Times New Roman" w:eastAsia="Times New Roman" w:hAnsi="Times New Roman"/>
          <w:sz w:val="22"/>
          <w:szCs w:val="22"/>
          <w:i w:val="1"/>
          <w:iCs w:val="1"/>
          <w:color w:val="auto"/>
        </w:rPr>
        <w:t>Handelsgesetzbuch</w:t>
      </w:r>
      <w:r>
        <w:rPr>
          <w:rFonts w:ascii="Times New Roman" w:cs="Times New Roman" w:eastAsia="Times New Roman" w:hAnsi="Times New Roman"/>
          <w:sz w:val="22"/>
          <w:szCs w:val="22"/>
          <w:color w:val="auto"/>
        </w:rPr>
        <w:t>)), less the aggregate of its liabilities (Section 266 para. (3) B (but disregarding any accruals (</w:t>
      </w:r>
      <w:r>
        <w:rPr>
          <w:rFonts w:ascii="Times New Roman" w:cs="Times New Roman" w:eastAsia="Times New Roman" w:hAnsi="Times New Roman"/>
          <w:sz w:val="22"/>
          <w:szCs w:val="22"/>
          <w:i w:val="1"/>
          <w:iCs w:val="1"/>
          <w:color w:val="auto"/>
        </w:rPr>
        <w:t>Rückstellungen</w:t>
      </w:r>
      <w:r>
        <w:rPr>
          <w:rFonts w:ascii="Times New Roman" w:cs="Times New Roman" w:eastAsia="Times New Roman" w:hAnsi="Times New Roman"/>
          <w:sz w:val="22"/>
          <w:szCs w:val="22"/>
          <w:color w:val="auto"/>
        </w:rPr>
        <w:t>) in respect of a potential enforcement of this Guarantee or any Transaction Security), C, D and E German Commercial Code), the amount of profits (</w:t>
      </w:r>
      <w:r>
        <w:rPr>
          <w:rFonts w:ascii="Times New Roman" w:cs="Times New Roman" w:eastAsia="Times New Roman" w:hAnsi="Times New Roman"/>
          <w:sz w:val="22"/>
          <w:szCs w:val="22"/>
          <w:i w:val="1"/>
          <w:iCs w:val="1"/>
          <w:color w:val="auto"/>
        </w:rPr>
        <w:t>Gewinne</w:t>
      </w:r>
      <w:r>
        <w:rPr>
          <w:rFonts w:ascii="Times New Roman" w:cs="Times New Roman" w:eastAsia="Times New Roman" w:hAnsi="Times New Roman"/>
          <w:sz w:val="22"/>
          <w:szCs w:val="22"/>
          <w:color w:val="auto"/>
        </w:rPr>
        <w:t>) not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107" w:name="page108"/>
    <w:bookmarkEnd w:id="107"/>
    <w:p>
      <w:pPr>
        <w:ind w:left="660"/>
        <w:spacing w:after="0" w:line="236" w:lineRule="auto"/>
        <w:rPr>
          <w:sz w:val="20"/>
          <w:szCs w:val="20"/>
          <w:color w:val="auto"/>
        </w:rPr>
      </w:pPr>
      <w:r>
        <w:rPr>
          <w:rFonts w:ascii="Times New Roman" w:cs="Times New Roman" w:eastAsia="Times New Roman" w:hAnsi="Times New Roman"/>
          <w:sz w:val="22"/>
          <w:szCs w:val="22"/>
          <w:color w:val="auto"/>
        </w:rPr>
        <w:t>distribution to its shareholders in accordance with section 268 para. 8 German Commercial Code and the amount of its stated share capital (</w:t>
      </w:r>
      <w:r>
        <w:rPr>
          <w:rFonts w:ascii="Times New Roman" w:cs="Times New Roman" w:eastAsia="Times New Roman" w:hAnsi="Times New Roman"/>
          <w:sz w:val="22"/>
          <w:szCs w:val="22"/>
          <w:i w:val="1"/>
          <w:iCs w:val="1"/>
          <w:color w:val="auto"/>
        </w:rPr>
        <w:t>Stammkapital</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56"/>
        <w:spacing w:after="0" w:line="213" w:lineRule="auto"/>
        <w:tabs>
          <w:tab w:leader="none" w:pos="1291"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each Holder agrees not to enforce the guarantee under this Indenture if and to the extent that the guarantee under this Indenture secures any liability of a Guarantor which is an affiliated company (</w:t>
      </w:r>
      <w:r>
        <w:rPr>
          <w:rFonts w:ascii="Times New Roman" w:cs="Times New Roman" w:eastAsia="Times New Roman" w:hAnsi="Times New Roman"/>
          <w:sz w:val="22"/>
          <w:szCs w:val="22"/>
          <w:i w:val="1"/>
          <w:iCs w:val="1"/>
          <w:color w:val="auto"/>
        </w:rPr>
        <w:t>verbundenes Unternehmen</w:t>
      </w:r>
      <w:r>
        <w:rPr>
          <w:rFonts w:ascii="Times New Roman" w:cs="Times New Roman" w:eastAsia="Times New Roman" w:hAnsi="Times New Roman"/>
          <w:sz w:val="22"/>
          <w:szCs w:val="22"/>
          <w:color w:val="auto"/>
        </w:rPr>
        <w:t>) within the meaning of section 15 of the German Stock Corporation Act (</w:t>
      </w:r>
      <w:r>
        <w:rPr>
          <w:rFonts w:ascii="Times New Roman" w:cs="Times New Roman" w:eastAsia="Times New Roman" w:hAnsi="Times New Roman"/>
          <w:sz w:val="22"/>
          <w:szCs w:val="22"/>
          <w:i w:val="1"/>
          <w:iCs w:val="1"/>
          <w:color w:val="auto"/>
        </w:rPr>
        <w:t>Aktiengesetz</w:t>
      </w:r>
      <w:r>
        <w:rPr>
          <w:rFonts w:ascii="Times New Roman" w:cs="Times New Roman" w:eastAsia="Times New Roman" w:hAnsi="Times New Roman"/>
          <w:sz w:val="22"/>
          <w:szCs w:val="22"/>
          <w:color w:val="auto"/>
        </w:rPr>
        <w:t>) of a German Guarantor (other than that German Guarantor’s wholly-owned Subsidiaries) (the “</w:t>
      </w:r>
      <w:r>
        <w:rPr>
          <w:rFonts w:ascii="Times New Roman" w:cs="Times New Roman" w:eastAsia="Times New Roman" w:hAnsi="Times New Roman"/>
          <w:sz w:val="22"/>
          <w:szCs w:val="22"/>
          <w:i w:val="1"/>
          <w:iCs w:val="1"/>
          <w:color w:val="auto"/>
        </w:rPr>
        <w:t>Guaranteed Obligor</w:t>
      </w:r>
      <w:r>
        <w:rPr>
          <w:rFonts w:ascii="Times New Roman" w:cs="Times New Roman" w:eastAsia="Times New Roman" w:hAnsi="Times New Roman"/>
          <w:sz w:val="22"/>
          <w:szCs w:val="22"/>
          <w:color w:val="auto"/>
        </w:rPr>
        <w:t xml:space="preserve">”) and if and to the extent that a payment under this Guarantee would cause that German Guarantor’s (or, in the case of a German GmbH &amp; Co. KG as Guarantor, its general partners’) Net Assets (determined pursuant to </w:t>
      </w:r>
      <w:r>
        <w:rPr>
          <w:rFonts w:ascii="Times New Roman" w:cs="Times New Roman" w:eastAsia="Times New Roman" w:hAnsi="Times New Roman"/>
          <w:sz w:val="22"/>
          <w:szCs w:val="22"/>
          <w:u w:val="single" w:color="auto"/>
          <w:color w:val="auto"/>
        </w:rPr>
        <w:t>Section 10.13(c)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to be reduced below zero (</w:t>
      </w:r>
      <w:r>
        <w:rPr>
          <w:rFonts w:ascii="Times New Roman" w:cs="Times New Roman" w:eastAsia="Times New Roman" w:hAnsi="Times New Roman"/>
          <w:sz w:val="22"/>
          <w:szCs w:val="22"/>
          <w:i w:val="1"/>
          <w:iCs w:val="1"/>
          <w:color w:val="auto"/>
        </w:rPr>
        <w:t>Begründung einer Unterbilanz</w:t>
      </w:r>
      <w:r>
        <w:rPr>
          <w:rFonts w:ascii="Times New Roman" w:cs="Times New Roman" w:eastAsia="Times New Roman" w:hAnsi="Times New Roman"/>
          <w:sz w:val="22"/>
          <w:szCs w:val="22"/>
          <w:color w:val="auto"/>
        </w:rPr>
        <w:t>), or further reduced (</w:t>
      </w:r>
      <w:r>
        <w:rPr>
          <w:rFonts w:ascii="Times New Roman" w:cs="Times New Roman" w:eastAsia="Times New Roman" w:hAnsi="Times New Roman"/>
          <w:sz w:val="22"/>
          <w:szCs w:val="22"/>
          <w:i w:val="1"/>
          <w:iCs w:val="1"/>
          <w:color w:val="auto"/>
        </w:rPr>
        <w:t>Vertiefung einer Unterbilanz</w:t>
      </w:r>
      <w:r>
        <w:rPr>
          <w:rFonts w:ascii="Times New Roman" w:cs="Times New Roman" w:eastAsia="Times New Roman" w:hAnsi="Times New Roman"/>
          <w:sz w:val="22"/>
          <w:szCs w:val="22"/>
          <w:color w:val="auto"/>
        </w:rPr>
        <w:t>) if already below zero.</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the calculation of the Net Assets the following balance sheet items shall be adjusted as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increase of the stated share capital (</w:t>
      </w:r>
      <w:r>
        <w:rPr>
          <w:rFonts w:ascii="Times New Roman" w:cs="Times New Roman" w:eastAsia="Times New Roman" w:hAnsi="Times New Roman"/>
          <w:sz w:val="22"/>
          <w:szCs w:val="22"/>
          <w:i w:val="1"/>
          <w:iCs w:val="1"/>
          <w:color w:val="auto"/>
        </w:rPr>
        <w:t>Erhöhungen des Stammkapitals</w:t>
      </w:r>
      <w:r>
        <w:rPr>
          <w:rFonts w:ascii="Times New Roman" w:cs="Times New Roman" w:eastAsia="Times New Roman" w:hAnsi="Times New Roman"/>
          <w:sz w:val="22"/>
          <w:szCs w:val="22"/>
          <w:color w:val="auto"/>
        </w:rPr>
        <w:t>) of the relevant German Guarantor after the date hereof that has been effected without the consent of the Holders, shall be deducted from the stated share capital at that time;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incurred by the relevant German Guarantor in violation of the Notes Documents;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which is subordinated to any Indebtedness outstanding under this Indenture (including indebtedness in respect of guarantees for financial indebtedness which is so subordinated), shall be disregarded.</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German Guarantor and, where the guarantor is a German GmbH &amp; Co. KG Guarantor, also its general partner, shall realize, to the extent legally permitted and commercially reasonable with respect to the cost of such sale, in a situation where the enforcement of this Guarantee would cause the Net Assets to fall below zero or be further reduced if already below zero, any and all of its assets that are shown in the balance sheet with a book value (</w:t>
      </w:r>
      <w:r>
        <w:rPr>
          <w:rFonts w:ascii="Times New Roman" w:cs="Times New Roman" w:eastAsia="Times New Roman" w:hAnsi="Times New Roman"/>
          <w:sz w:val="22"/>
          <w:szCs w:val="22"/>
          <w:i w:val="1"/>
          <w:iCs w:val="1"/>
          <w:color w:val="auto"/>
        </w:rPr>
        <w:t>Buchwert</w:t>
      </w:r>
      <w:r>
        <w:rPr>
          <w:rFonts w:ascii="Times New Roman" w:cs="Times New Roman" w:eastAsia="Times New Roman" w:hAnsi="Times New Roman"/>
          <w:sz w:val="22"/>
          <w:szCs w:val="22"/>
          <w:color w:val="auto"/>
        </w:rPr>
        <w:t>) that is significantly lower than the market value of the asset if such asset is not necessary for the German Guarantor’s or, as the case may be, its general partner’s, business (</w:t>
      </w:r>
      <w:r>
        <w:rPr>
          <w:rFonts w:ascii="Times New Roman" w:cs="Times New Roman" w:eastAsia="Times New Roman" w:hAnsi="Times New Roman"/>
          <w:sz w:val="22"/>
          <w:szCs w:val="22"/>
          <w:i w:val="1"/>
          <w:iCs w:val="1"/>
          <w:color w:val="auto"/>
        </w:rPr>
        <w:t>betriebsnotwendig</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 payment demand notice to any German Guarantor under this Guarantee (the “</w:t>
      </w:r>
      <w:r>
        <w:rPr>
          <w:rFonts w:ascii="Times New Roman" w:cs="Times New Roman" w:eastAsia="Times New Roman" w:hAnsi="Times New Roman"/>
          <w:sz w:val="22"/>
          <w:szCs w:val="22"/>
          <w:i w:val="1"/>
          <w:iCs w:val="1"/>
          <w:color w:val="auto"/>
        </w:rPr>
        <w:t>Enforcement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the relevant German Guarantor shall deliver to the Holders, without undue delay, but in any event no later than 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Business Days after receipt of the Enforcement Notice, (i) a written response, including the extent, if any, to which this Guarantee should not be enforced, (ii) its up-to-date balance sheet or, in the case of a German GmbH &amp; Co. KG Guarantor, its and its general partner’s up-to-date balance sheet, and (iii) a reasonably detailed calculation of the amount of its Net Assets, taking into account the adjustments set forth in </w:t>
      </w:r>
      <w:r>
        <w:rPr>
          <w:rFonts w:ascii="Times New Roman" w:cs="Times New Roman" w:eastAsia="Times New Roman" w:hAnsi="Times New Roman"/>
          <w:sz w:val="22"/>
          <w:szCs w:val="22"/>
          <w:u w:val="single" w:color="auto"/>
          <w:color w:val="auto"/>
        </w:rPr>
        <w:t>Section 10.13(c)</w:t>
      </w:r>
      <w:r>
        <w:rPr>
          <w:rFonts w:ascii="Times New Roman" w:cs="Times New Roman" w:eastAsia="Times New Roman" w:hAnsi="Times New Roman"/>
          <w:sz w:val="22"/>
          <w:szCs w:val="22"/>
          <w:color w:val="auto"/>
        </w:rPr>
        <w:t xml:space="preserve"> (clauses (1) through (3), collectively, the “</w:t>
      </w:r>
      <w:r>
        <w:rPr>
          <w:rFonts w:ascii="Times New Roman" w:cs="Times New Roman" w:eastAsia="Times New Roman" w:hAnsi="Times New Roman"/>
          <w:sz w:val="22"/>
          <w:szCs w:val="22"/>
          <w:i w:val="1"/>
          <w:iCs w:val="1"/>
          <w:color w:val="auto"/>
        </w:rPr>
        <w:t>Management Determination</w:t>
      </w:r>
      <w:r>
        <w:rPr>
          <w:rFonts w:ascii="Times New Roman" w:cs="Times New Roman" w:eastAsia="Times New Roman" w:hAnsi="Times New Roman"/>
          <w:sz w:val="22"/>
          <w:szCs w:val="22"/>
          <w:color w:val="auto"/>
        </w:rPr>
        <w:t>”). The Management Determination shall be prepared as of the date of receipt of the Enforcement Notice.</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Holders’ receipt of the Management Determination, upon request by the Holders, the relevant German Guarantor shall deliver to the Holders, within 30 Business Days of such request, (i) its up-to-date balance sheet or, in the case of a German GmbH &amp; Co. KG Guarantor, its and its general partner’s up-to-date balance sheet, drawn-up by its auditor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detailed calculation of the amount of the Net Assets taking into account the adjustments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27" w:lineRule="auto"/>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10.13(c)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Auditor’s Determination</w:t>
      </w:r>
      <w:r>
        <w:rPr>
          <w:rFonts w:ascii="Times New Roman" w:cs="Times New Roman" w:eastAsia="Times New Roman" w:hAnsi="Times New Roman"/>
          <w:sz w:val="22"/>
          <w:szCs w:val="22"/>
          <w:color w:val="auto"/>
        </w:rPr>
        <w:t>”). Such balance sheet and Auditor’s Determination shall be prepared in accordance with the accounting principles as consistently applied by the German Guarantors. The Auditor’s Determination shall be prepared as of the date of receipt of the Enforcement Notice.</w:t>
      </w:r>
    </w:p>
    <w:p>
      <w:pPr>
        <w:spacing w:after="0" w:line="150" w:lineRule="exact"/>
        <w:rPr>
          <w:sz w:val="20"/>
          <w:szCs w:val="20"/>
          <w:color w:val="auto"/>
        </w:rPr>
      </w:pPr>
    </w:p>
    <w:p>
      <w:pPr>
        <w:jc w:val="both"/>
        <w:ind w:firstLine="656"/>
        <w:spacing w:after="0" w:line="212" w:lineRule="auto"/>
        <w:tabs>
          <w:tab w:leader="none" w:pos="12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shall be entitled to demand payment under this Guarantee in an amount which would, in accordance with the Management Determination or, if applicable and taking into account any previous enforcement in accordance with the Management Determination, the Auditor’s Determination, not cause the German Guarantor’s Net Assets, or in the case of a German GmbH &amp; Co. KG Guarantor, its general partner’s Net Assets, to be reduced below zero or further reduced if already below zero. If and to the extent that the Net Assets as determined by the Auditor’s Determination are lower than the amount enforced (i) in accordance with the Management Determination or (ii) without regard to the Management and/or Auditor’s Determination, the Holders shall release to the relevant German Guarantor (or in case of a German GmbH &amp; Co. KG Guarantor to its general partner) such excess enforcement proceeds.</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restriction under </w:t>
      </w:r>
      <w:r>
        <w:rPr>
          <w:rFonts w:ascii="Times New Roman" w:cs="Times New Roman" w:eastAsia="Times New Roman" w:hAnsi="Times New Roman"/>
          <w:sz w:val="22"/>
          <w:szCs w:val="22"/>
          <w:u w:val="single" w:color="auto"/>
          <w:color w:val="auto"/>
        </w:rPr>
        <w:t>Section 10.13(b)</w:t>
      </w:r>
      <w:r>
        <w:rPr>
          <w:rFonts w:ascii="Times New Roman" w:cs="Times New Roman" w:eastAsia="Times New Roman" w:hAnsi="Times New Roman"/>
          <w:sz w:val="22"/>
          <w:szCs w:val="22"/>
          <w:color w:val="auto"/>
        </w:rPr>
        <w:t xml:space="preserve"> shall not apply: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1"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this Guarantee secures (A) any loans that are on-lent, otherwise been passed on or actually disbursed to the relevant German Guarantor or any of its Subsidiaries and not repaid or (B) any guarantees issued under this Guarantee for the benefit of the relevant German Guarantor or any of its Subsidiaries which are not returned;</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15" w:lineRule="auto"/>
        <w:tabs>
          <w:tab w:leader="none" w:pos="195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relevant German Guarantor (as dominated entity) is subject to a domination and/or profit transfer agreement (</w:t>
      </w:r>
      <w:r>
        <w:rPr>
          <w:rFonts w:ascii="Times New Roman" w:cs="Times New Roman" w:eastAsia="Times New Roman" w:hAnsi="Times New Roman"/>
          <w:sz w:val="22"/>
          <w:szCs w:val="22"/>
          <w:i w:val="1"/>
          <w:iCs w:val="1"/>
          <w:color w:val="auto"/>
        </w:rPr>
        <w:t>Beherrschungs- und/oder Gewinnabführungsvertrag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i w:val="1"/>
          <w:iCs w:val="1"/>
          <w:color w:val="auto"/>
        </w:rPr>
        <w:t>DPTA</w:t>
      </w:r>
      <w:r>
        <w:rPr>
          <w:rFonts w:ascii="Times New Roman" w:cs="Times New Roman" w:eastAsia="Times New Roman" w:hAnsi="Times New Roman"/>
          <w:sz w:val="22"/>
          <w:szCs w:val="22"/>
          <w:color w:val="auto"/>
        </w:rPr>
        <w:t>”) with the Guaranteed Obligor, whether directly or indirectly through a chain of DPTAs between each company and its shareholder (or in case of a German GmbH &amp; Co. KG Guarantor between its general partner and its shareholder) provided that the existence of that DPTA does prevent the violation of section 30 of the German Act on Companies with Limited Liabilities (</w:t>
      </w:r>
      <w:r>
        <w:rPr>
          <w:rFonts w:ascii="Times New Roman" w:cs="Times New Roman" w:eastAsia="Times New Roman" w:hAnsi="Times New Roman"/>
          <w:sz w:val="22"/>
          <w:szCs w:val="22"/>
          <w:i w:val="1"/>
          <w:iCs w:val="1"/>
          <w:color w:val="auto"/>
        </w:rPr>
        <w:t>Gesetz betreffend die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Gesellschaften mit beschränkter Haftung</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extent the relevant German Guarantor has on the date of enforcement of this Indenture a fully recoverable indemnity or claim for refund (</w:t>
      </w:r>
      <w:r>
        <w:rPr>
          <w:rFonts w:ascii="Times New Roman" w:cs="Times New Roman" w:eastAsia="Times New Roman" w:hAnsi="Times New Roman"/>
          <w:sz w:val="22"/>
          <w:szCs w:val="22"/>
          <w:i w:val="1"/>
          <w:iCs w:val="1"/>
          <w:color w:val="auto"/>
        </w:rPr>
        <w:t>vollwertiger Gegenleistungs-oder Rückgewähranspruch</w:t>
      </w:r>
      <w:r>
        <w:rPr>
          <w:rFonts w:ascii="Times New Roman" w:cs="Times New Roman" w:eastAsia="Times New Roman" w:hAnsi="Times New Roman"/>
          <w:sz w:val="22"/>
          <w:szCs w:val="22"/>
          <w:color w:val="auto"/>
        </w:rPr>
        <w:t>) against its shareholder or the Guaranteed Obligor;</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and to the extent, despite being in a position to take measures as described above under </w:t>
      </w:r>
      <w:r>
        <w:rPr>
          <w:rFonts w:ascii="Times New Roman" w:cs="Times New Roman" w:eastAsia="Times New Roman" w:hAnsi="Times New Roman"/>
          <w:sz w:val="22"/>
          <w:szCs w:val="22"/>
          <w:u w:val="single" w:color="auto"/>
          <w:color w:val="auto"/>
        </w:rPr>
        <w:t>Section 10.13(d)</w:t>
      </w:r>
      <w:r>
        <w:rPr>
          <w:rFonts w:ascii="Times New Roman" w:cs="Times New Roman" w:eastAsia="Times New Roman" w:hAnsi="Times New Roman"/>
          <w:sz w:val="22"/>
          <w:szCs w:val="22"/>
          <w:color w:val="auto"/>
        </w:rPr>
        <w:t>, the German Guarantor fails to take its best efforts to carry out such measures; or</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order providing for the commencement of insolvency proceedings in respect of the assets of the German Guarantor has been issued.</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nothing shall prevent the Trustee from enforcing its rights under this Indenture against a German Guarantor if and to the extent that such enforcement does not contravene the provisions, or such limitations are not required in order to protect the managing directors of a German Guarantor from incurring personal liability exposure with respect to breaches, of section 30 of the German Act on Companies with Limited Liability (as amended from time to time and as each interpreted by the German Federal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1" w:right="339" w:bottom="1440" w:gutter="0" w:footer="0" w:header="0"/>
        </w:sectPr>
      </w:pPr>
    </w:p>
    <w:bookmarkStart w:id="109" w:name="page110"/>
    <w:bookmarkEnd w:id="109"/>
    <w:p>
      <w:pPr>
        <w:ind w:firstLine="656"/>
        <w:spacing w:after="0" w:line="236" w:lineRule="auto"/>
        <w:tabs>
          <w:tab w:leader="none" w:pos="128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limitations set forth in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shall not affect the right of a Holder to claim again any amount outstanding at a later point in time if and to the extent that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would allow this at such later point in time.</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English Law Limitations</w:t>
      </w:r>
      <w:r>
        <w:rPr>
          <w:rFonts w:ascii="Times New Roman" w:cs="Times New Roman" w:eastAsia="Times New Roman" w:hAnsi="Times New Roman"/>
          <w:sz w:val="22"/>
          <w:szCs w:val="22"/>
          <w:color w:val="auto"/>
        </w:rPr>
        <w:t>. Notwithstanding anything to the contrary in this Indenture, the guarantee, indemnity or other obligation provided under this Indenture by a Guarantor incorporated under the laws of England and Wales does not apply to any liability to the extent that it would result in such guarantee, indemnity or other obligation hereunder constituting unlawful financial assistance within the meaning of sections 678 or 679 of the Companies Act 2006 or any equivalent and applicable provisions under the laws of England and Wales.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Mexican Law Limitations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Indenture, with respect to any Guarantor incorporated in Mexico in its capacity as a Guarantor (each a “</w:t>
      </w:r>
      <w:r>
        <w:rPr>
          <w:rFonts w:ascii="Times New Roman" w:cs="Times New Roman" w:eastAsia="Times New Roman" w:hAnsi="Times New Roman"/>
          <w:sz w:val="22"/>
          <w:szCs w:val="22"/>
          <w:i w:val="1"/>
          <w:iCs w:val="1"/>
          <w:color w:val="auto"/>
        </w:rPr>
        <w:t>Mexican Guarantor</w:t>
      </w:r>
      <w:r>
        <w:rPr>
          <w:rFonts w:ascii="Times New Roman" w:cs="Times New Roman" w:eastAsia="Times New Roman" w:hAnsi="Times New Roman"/>
          <w:sz w:val="22"/>
          <w:szCs w:val="22"/>
          <w:color w:val="auto"/>
        </w:rPr>
        <w:t>”), such Mexican Guarantor shall provide its consent for any renewal, extension, any change in, or any modification of, in any manner whatsoever, any of the obligations and liabilities of the Issuer or such Mexican Guarantor contained in the Notes or this Indenture.</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Additionally, with respect to any Mexican Guarantor, in the event that proceedings are brought in Mexico seeking performance of payment obligations of such Mexican Guarantor, denominated in a currency other than Mexican Pesos, the Mexican Guarantor may discharge its obligations by paying any sum due in Mexican currency at the rate of exchange prevailing in the United Mexican States and fixed by </w:t>
      </w:r>
      <w:r>
        <w:rPr>
          <w:rFonts w:ascii="Times New Roman" w:cs="Times New Roman" w:eastAsia="Times New Roman" w:hAnsi="Times New Roman"/>
          <w:sz w:val="22"/>
          <w:szCs w:val="22"/>
          <w:i w:val="1"/>
          <w:iCs w:val="1"/>
          <w:color w:val="auto"/>
        </w:rPr>
        <w:t>Banco de Mexico</w:t>
      </w:r>
      <w:r>
        <w:rPr>
          <w:rFonts w:ascii="Times New Roman" w:cs="Times New Roman" w:eastAsia="Times New Roman" w:hAnsi="Times New Roman"/>
          <w:sz w:val="22"/>
          <w:szCs w:val="22"/>
          <w:color w:val="auto"/>
        </w:rPr>
        <w:t xml:space="preserve"> published in the Official Gazette of the Federation (</w:t>
      </w:r>
      <w:r>
        <w:rPr>
          <w:rFonts w:ascii="Times New Roman" w:cs="Times New Roman" w:eastAsia="Times New Roman" w:hAnsi="Times New Roman"/>
          <w:sz w:val="22"/>
          <w:szCs w:val="22"/>
          <w:i w:val="1"/>
          <w:iCs w:val="1"/>
          <w:color w:val="auto"/>
        </w:rPr>
        <w:t>Diario Oficial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la Federación</w:t>
      </w:r>
      <w:r>
        <w:rPr>
          <w:rFonts w:ascii="Times New Roman" w:cs="Times New Roman" w:eastAsia="Times New Roman" w:hAnsi="Times New Roman"/>
          <w:sz w:val="22"/>
          <w:szCs w:val="22"/>
          <w:color w:val="auto"/>
        </w:rPr>
        <w:t>) on the date when payment is made, as provided by the Monetary Law of the United Mexican States (</w:t>
      </w:r>
      <w:r>
        <w:rPr>
          <w:rFonts w:ascii="Times New Roman" w:cs="Times New Roman" w:eastAsia="Times New Roman" w:hAnsi="Times New Roman"/>
          <w:sz w:val="22"/>
          <w:szCs w:val="22"/>
          <w:i w:val="1"/>
          <w:iCs w:val="1"/>
          <w:color w:val="auto"/>
        </w:rPr>
        <w:t>Ley Monetaria de los Estados Unidos Mexicanos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Argentine Law Limitations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Indenture, with respect to any and each of the Guarantors incorporated in Argentina (any such guarantor, an “</w:t>
      </w:r>
      <w:r>
        <w:rPr>
          <w:rFonts w:ascii="Times New Roman" w:cs="Times New Roman" w:eastAsia="Times New Roman" w:hAnsi="Times New Roman"/>
          <w:sz w:val="22"/>
          <w:szCs w:val="22"/>
          <w:i w:val="1"/>
          <w:iCs w:val="1"/>
          <w:color w:val="auto"/>
        </w:rPr>
        <w:t>Argentine Guarantor</w:t>
      </w:r>
      <w:r>
        <w:rPr>
          <w:rFonts w:ascii="Times New Roman" w:cs="Times New Roman" w:eastAsia="Times New Roman" w:hAnsi="Times New Roman"/>
          <w:sz w:val="22"/>
          <w:szCs w:val="22"/>
          <w:color w:val="auto"/>
        </w:rPr>
        <w:t>”), such Argentine Guarantor shall provide its consent for any renewal, extension, any change in, or any modification of, in any manner whatsoever, any of the obligations and liabilities of the Issuer or such Argentine Guarantor contained in the Notes or this Indenture.</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Argentine Guarantors hereby acknowledges and recognizes that it is in the best interest of the Parent Guarantor and its Affiliates that the Supplemental Indenture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this Indenture) be executed by the Argentine Guarantors.</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that (i) this is part of a cross-border financing; (ii) the transactions and disbursements made under the Notes are made and denominated in Dollars; and (iii) any and all payments to be made by any Argentine Guarantor hereunder shall be made exclusively in Dollars, as per the provisions set forth in Section 765 of the Argentine Civil and Commercial Code, as amended by Emergency Decree No. 70/2023, (the “Emergency Decree No. 70/2023”). The Argentine Guarantor waives (x) any right (including any right under Section 765 of the Argentine National Civil and Commercial Code, in case its wording prior to the issuance of Emergency Decree No. 70/2023 regains validity) it may have in any jurisdiction to pay any amount under the Notes in a currency or currency unit other than that in which it is expressed to be payable or (y) the right to invoke any defense of payment impossibility (including any defense under Section 1091 of the Argentine Civil and Commercial Code), or similar defenses or principles (including, without limitation, equity or sharing of efforts principles, impossibility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395" w:right="339" w:bottom="1440" w:gutter="0" w:footer="0" w:header="0"/>
        </w:sectPr>
      </w:pPr>
    </w:p>
    <w:bookmarkStart w:id="110" w:name="page111"/>
    <w:bookmarkEnd w:id="110"/>
    <w:p>
      <w:pPr>
        <w:jc w:val="both"/>
        <w:spacing w:after="0" w:line="221" w:lineRule="auto"/>
        <w:rPr>
          <w:sz w:val="20"/>
          <w:szCs w:val="20"/>
          <w:color w:val="auto"/>
        </w:rPr>
      </w:pPr>
      <w:r>
        <w:rPr>
          <w:rFonts w:ascii="Times New Roman" w:cs="Times New Roman" w:eastAsia="Times New Roman" w:hAnsi="Times New Roman"/>
          <w:sz w:val="21"/>
          <w:szCs w:val="21"/>
          <w:color w:val="auto"/>
        </w:rPr>
        <w:t>comply with the obligations under Section 1732 of the Argentine Civil and Commercial Code, “onerosidad sobreviviente”, “lesión enorme” or “abuso del derecho” under Section 10 of the Argentine Civil and Commercial Code). Nothing in this Indenture or the Notes shall impair any of the rights of the Holders or justify the Argentine Guarantor in refusing to make payments hereunder in Dollars for any reason whatsoever, including, without limitation, any of the following: (i) the purchase of Dollars in Argentina by any means becoming more onerous or burdensome for the Issuer and/or the Argentine Guarantor than as of the date hereof and (ii) the exchange rate in force in Argentina increasing significantly from that in effect as of the date hereof. Accordingly, the Argentine Guarantor assumes the risk of, and takes responsibility for any present or future circumstance (including circumstances that may constitute events of force majeure) that may affect the foreign exchange market or any methods for obtaining Dollars, or prevent or make more burdensome the acquisition of Dollars owed hereunder, and it agrees, in any event, to honor all its obligations by the delivery of the exact amount of Dollars owed hereunder outside Argentina.</w:t>
      </w:r>
    </w:p>
    <w:p>
      <w:pPr>
        <w:spacing w:after="0" w:line="152" w:lineRule="exact"/>
        <w:rPr>
          <w:sz w:val="20"/>
          <w:szCs w:val="20"/>
          <w:color w:val="auto"/>
        </w:rPr>
      </w:pPr>
    </w:p>
    <w:p>
      <w:pPr>
        <w:jc w:val="both"/>
        <w:ind w:firstLine="656"/>
        <w:spacing w:after="0" w:line="208" w:lineRule="auto"/>
        <w:tabs>
          <w:tab w:leader="none" w:pos="12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Argentine Guarantors hereby agrees that, if there is any restriction or prohibition to access to the Argentine foreign exchange market, or on the payment outside of Argentina of any amounts due under the Notes, or a requirement to have prior authorization of the Central Bank of the Republic of Argentina (Banco Central de la República Argentina) or of any other Authority, and such authorization is not obtained prior to the applicable payment date, the Argentine Guarantor shall, at its own expense, obtain the required amount of Dollars to pay the relevant amount, to the extent permitted by law, through (a) the purchase of any public or private bond or tradable debt or equity security listed in Argentina and denominated in Dollars, and transfer and sale of the same out of Argentina for the payment of the then-due amount in Dollars; (b) the purchase of the due amount in Dollars in any market in which it may be purchased, with any legal tender; or (c) any other lawful mechanism for the acquisition of Dollars. It is hereby clarified and understood that, in case new regulations prohibit the mechanisms referred to in (a) through (c) above, the parties (including the Argentine Guarantor) shall negotiate, in good faith, reasonable available alternatives for the Argentine Guarantor to fulfill its obligations under this Indenture. Any payment obligations shall only be discharged upon the receipt by each of the Holders of the full payment of all such payment obligations, in Dollars. Interest shall continue to accrue as specified in this Indenture and the Notes on any amounts that are not paid on the due date therefor as a result of the Argentine Guarantor or any other entity’s entering into or consummating any transaction to obtain Dollars to make any required payment hereunder or the Notes and such shall continue to accrue until full payment of such amount due is made to the relevant Holder.</w:t>
      </w:r>
    </w:p>
    <w:p>
      <w:pPr>
        <w:spacing w:after="0" w:line="164"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any other provision of this Indenture, the Argentine Guarantor hereby irrevocably and unconditionally waives, to the fullest extent permitted by applicable law, all rights and benefits set forth in Articles 1584 (</w:t>
      </w:r>
      <w:r>
        <w:rPr>
          <w:rFonts w:ascii="Times New Roman" w:cs="Times New Roman" w:eastAsia="Times New Roman" w:hAnsi="Times New Roman"/>
          <w:sz w:val="22"/>
          <w:szCs w:val="22"/>
          <w:i w:val="1"/>
          <w:iCs w:val="1"/>
          <w:color w:val="auto"/>
        </w:rPr>
        <w:t>Excepciones al beneficio de excusión</w:t>
      </w:r>
      <w:r>
        <w:rPr>
          <w:rFonts w:ascii="Times New Roman" w:cs="Times New Roman" w:eastAsia="Times New Roman" w:hAnsi="Times New Roman"/>
          <w:sz w:val="22"/>
          <w:szCs w:val="22"/>
          <w:color w:val="auto"/>
        </w:rPr>
        <w:t>), 1583 (</w:t>
      </w:r>
      <w:r>
        <w:rPr>
          <w:rFonts w:ascii="Times New Roman" w:cs="Times New Roman" w:eastAsia="Times New Roman" w:hAnsi="Times New Roman"/>
          <w:sz w:val="22"/>
          <w:szCs w:val="22"/>
          <w:i w:val="1"/>
          <w:iCs w:val="1"/>
          <w:color w:val="auto"/>
        </w:rPr>
        <w:t>Beneficio de excusión</w:t>
      </w:r>
      <w:r>
        <w:rPr>
          <w:rFonts w:ascii="Times New Roman" w:cs="Times New Roman" w:eastAsia="Times New Roman" w:hAnsi="Times New Roman"/>
          <w:sz w:val="22"/>
          <w:szCs w:val="22"/>
          <w:color w:val="auto"/>
        </w:rPr>
        <w:t>) the first paragraph of 1585 (</w:t>
      </w:r>
      <w:r>
        <w:rPr>
          <w:rFonts w:ascii="Times New Roman" w:cs="Times New Roman" w:eastAsia="Times New Roman" w:hAnsi="Times New Roman"/>
          <w:sz w:val="22"/>
          <w:szCs w:val="22"/>
          <w:i w:val="1"/>
          <w:iCs w:val="1"/>
          <w:color w:val="auto"/>
        </w:rPr>
        <w:t>Beneficio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excusión en caso de coobligados</w:t>
      </w:r>
      <w:r>
        <w:rPr>
          <w:rFonts w:ascii="Times New Roman" w:cs="Times New Roman" w:eastAsia="Times New Roman" w:hAnsi="Times New Roman"/>
          <w:sz w:val="22"/>
          <w:szCs w:val="22"/>
          <w:color w:val="auto"/>
        </w:rPr>
        <w:t>), 1588 (</w:t>
      </w:r>
      <w:r>
        <w:rPr>
          <w:rFonts w:ascii="Times New Roman" w:cs="Times New Roman" w:eastAsia="Times New Roman" w:hAnsi="Times New Roman"/>
          <w:sz w:val="22"/>
          <w:szCs w:val="22"/>
          <w:i w:val="1"/>
          <w:iCs w:val="1"/>
          <w:color w:val="auto"/>
        </w:rPr>
        <w:t>Efectos de la sentencia</w:t>
      </w:r>
      <w:r>
        <w:rPr>
          <w:rFonts w:ascii="Times New Roman" w:cs="Times New Roman" w:eastAsia="Times New Roman" w:hAnsi="Times New Roman"/>
          <w:sz w:val="22"/>
          <w:szCs w:val="22"/>
          <w:color w:val="auto"/>
        </w:rPr>
        <w:t>), 1589 (</w:t>
      </w:r>
      <w:r>
        <w:rPr>
          <w:rFonts w:ascii="Times New Roman" w:cs="Times New Roman" w:eastAsia="Times New Roman" w:hAnsi="Times New Roman"/>
          <w:sz w:val="22"/>
          <w:szCs w:val="22"/>
          <w:i w:val="1"/>
          <w:iCs w:val="1"/>
          <w:color w:val="auto"/>
        </w:rPr>
        <w:t>Beneficio de división</w:t>
      </w:r>
      <w:r>
        <w:rPr>
          <w:rFonts w:ascii="Times New Roman" w:cs="Times New Roman" w:eastAsia="Times New Roman" w:hAnsi="Times New Roman"/>
          <w:sz w:val="22"/>
          <w:szCs w:val="22"/>
          <w:color w:val="auto"/>
        </w:rPr>
        <w:t>), 1592 (</w:t>
      </w:r>
      <w:r>
        <w:rPr>
          <w:rFonts w:ascii="Times New Roman" w:cs="Times New Roman" w:eastAsia="Times New Roman" w:hAnsi="Times New Roman"/>
          <w:sz w:val="22"/>
          <w:szCs w:val="22"/>
          <w:i w:val="1"/>
          <w:iCs w:val="1"/>
          <w:color w:val="auto"/>
        </w:rPr>
        <w:t>Subrogación</w:t>
      </w:r>
      <w:r>
        <w:rPr>
          <w:rFonts w:ascii="Times New Roman" w:cs="Times New Roman" w:eastAsia="Times New Roman" w:hAnsi="Times New Roman"/>
          <w:sz w:val="22"/>
          <w:szCs w:val="22"/>
          <w:color w:val="auto"/>
        </w:rPr>
        <w:t>) (as long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 are any outstanding payment obligations under the Notes), 1594 (Derechos del fiador), 1595 (as long as there are any outstanding payment obligations under the Notes), 1596 (</w:t>
      </w:r>
      <w:r>
        <w:rPr>
          <w:rFonts w:ascii="Times New Roman" w:cs="Times New Roman" w:eastAsia="Times New Roman" w:hAnsi="Times New Roman"/>
          <w:sz w:val="22"/>
          <w:szCs w:val="22"/>
          <w:i w:val="1"/>
          <w:iCs w:val="1"/>
          <w:color w:val="auto"/>
        </w:rPr>
        <w:t>Causales de extinción</w:t>
      </w:r>
      <w:r>
        <w:rPr>
          <w:rFonts w:ascii="Times New Roman" w:cs="Times New Roman" w:eastAsia="Times New Roman" w:hAnsi="Times New Roman"/>
          <w:sz w:val="22"/>
          <w:szCs w:val="22"/>
          <w:color w:val="auto"/>
        </w:rPr>
        <w:t>), 1597 (</w:t>
      </w:r>
      <w:r>
        <w:rPr>
          <w:rFonts w:ascii="Times New Roman" w:cs="Times New Roman" w:eastAsia="Times New Roman" w:hAnsi="Times New Roman"/>
          <w:sz w:val="22"/>
          <w:szCs w:val="22"/>
          <w:i w:val="1"/>
          <w:iCs w:val="1"/>
          <w:color w:val="auto"/>
        </w:rPr>
        <w:t>Novación</w:t>
      </w:r>
      <w:r>
        <w:rPr>
          <w:rFonts w:ascii="Times New Roman" w:cs="Times New Roman" w:eastAsia="Times New Roman" w:hAnsi="Times New Roman"/>
          <w:sz w:val="22"/>
          <w:szCs w:val="22"/>
          <w:color w:val="auto"/>
        </w:rPr>
        <w:t>) and 1598 (</w:t>
      </w:r>
      <w:r>
        <w:rPr>
          <w:rFonts w:ascii="Times New Roman" w:cs="Times New Roman" w:eastAsia="Times New Roman" w:hAnsi="Times New Roman"/>
          <w:sz w:val="22"/>
          <w:szCs w:val="22"/>
          <w:i w:val="1"/>
          <w:iCs w:val="1"/>
          <w:color w:val="auto"/>
        </w:rPr>
        <w:t>Evicción</w:t>
      </w:r>
      <w:r>
        <w:rPr>
          <w:rFonts w:ascii="Times New Roman" w:cs="Times New Roman" w:eastAsia="Times New Roman" w:hAnsi="Times New Roman"/>
          <w:sz w:val="22"/>
          <w:szCs w:val="22"/>
          <w:color w:val="auto"/>
        </w:rPr>
        <w:t>) of the Argentine Civil and Commercial Code. Furthermore, the Argentine Guarantor hereby waives the right to request the termination of this Indenture for any of the events set forth in items (b), (c) and (d) of Article 1596 (</w:t>
      </w:r>
      <w:r>
        <w:rPr>
          <w:rFonts w:ascii="Times New Roman" w:cs="Times New Roman" w:eastAsia="Times New Roman" w:hAnsi="Times New Roman"/>
          <w:sz w:val="22"/>
          <w:szCs w:val="22"/>
          <w:i w:val="1"/>
          <w:iCs w:val="1"/>
          <w:color w:val="auto"/>
        </w:rPr>
        <w:t>Causales de extinción</w:t>
      </w:r>
      <w:r>
        <w:rPr>
          <w:rFonts w:ascii="Times New Roman" w:cs="Times New Roman" w:eastAsia="Times New Roman" w:hAnsi="Times New Roman"/>
          <w:sz w:val="22"/>
          <w:szCs w:val="22"/>
          <w:color w:val="auto"/>
        </w:rPr>
        <w:t>) of the Argentine Civil and Commercial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Brazilian Law Limitations and Waivers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56"/>
        <w:spacing w:after="0" w:line="225" w:lineRule="auto"/>
        <w:tabs>
          <w:tab w:leader="none" w:pos="129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Indenture, with respect to any and each of the Guarantors incorporated in Brazil (any such guarantor, a “</w:t>
      </w:r>
      <w:r>
        <w:rPr>
          <w:rFonts w:ascii="Times New Roman" w:cs="Times New Roman" w:eastAsia="Times New Roman" w:hAnsi="Times New Roman"/>
          <w:sz w:val="22"/>
          <w:szCs w:val="22"/>
          <w:i w:val="1"/>
          <w:iCs w:val="1"/>
          <w:color w:val="auto"/>
        </w:rPr>
        <w:t>Brazilian Guarantor</w:t>
      </w:r>
      <w:r>
        <w:rPr>
          <w:rFonts w:ascii="Times New Roman" w:cs="Times New Roman" w:eastAsia="Times New Roman" w:hAnsi="Times New Roman"/>
          <w:sz w:val="22"/>
          <w:szCs w:val="22"/>
          <w:color w:val="auto"/>
        </w:rPr>
        <w:t>”), such Brazilian Guarantor shall provide its consent for any material extension or modification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39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any of the obligations and liabilities of the Issuer or such Brazilian Guarantor contained in the Notes or the Indenture.</w:t>
      </w:r>
    </w:p>
    <w:p>
      <w:pPr>
        <w:spacing w:after="0" w:line="179" w:lineRule="exact"/>
        <w:rPr>
          <w:sz w:val="20"/>
          <w:szCs w:val="20"/>
          <w:color w:val="auto"/>
        </w:rPr>
      </w:pPr>
    </w:p>
    <w:p>
      <w:pPr>
        <w:jc w:val="both"/>
        <w:ind w:firstLine="656"/>
        <w:spacing w:after="0" w:line="231" w:lineRule="auto"/>
        <w:tabs>
          <w:tab w:leader="none" w:pos="129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Brazilian Guarantors hereby unconditionally and irrevocably waives any and all rights provided under the relevant applicable law of Brazil on prior demand and protest, including those of articles 333, sole paragraph, 364, 366, 368, 827, 830, 834, 835, 837, 838 and 839 of Federal Law No. 10,406, dated January 10, 2002, as amended (Brazilian Civil Code), and articles 130 and 794 of Federal Law No. 13,105, dated March 16, 2015, as amended (Brazilian Civil Procedure Code).</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Joinder by Supplemental Indenture</w:t>
      </w:r>
      <w:r>
        <w:rPr>
          <w:rFonts w:ascii="Times New Roman" w:cs="Times New Roman" w:eastAsia="Times New Roman" w:hAnsi="Times New Roman"/>
          <w:sz w:val="22"/>
          <w:szCs w:val="22"/>
          <w:color w:val="auto"/>
        </w:rPr>
        <w:t>. To the extent the Parent Guarantor, after using reasonable efforts, is unable to provide for guarantees by the Argentine Guarantors, Brazilian Guarantors, Mexican Guarantors and any Subsidiary Guarantor organized under the laws of Australia (the “</w:t>
      </w:r>
      <w:r>
        <w:rPr>
          <w:rFonts w:ascii="Times New Roman" w:cs="Times New Roman" w:eastAsia="Times New Roman" w:hAnsi="Times New Roman"/>
          <w:sz w:val="22"/>
          <w:szCs w:val="22"/>
          <w:i w:val="1"/>
          <w:iCs w:val="1"/>
          <w:color w:val="auto"/>
        </w:rPr>
        <w:t>Delayed Joinder Guarantors</w:t>
      </w:r>
      <w:r>
        <w:rPr>
          <w:rFonts w:ascii="Times New Roman" w:cs="Times New Roman" w:eastAsia="Times New Roman" w:hAnsi="Times New Roman"/>
          <w:sz w:val="22"/>
          <w:szCs w:val="22"/>
          <w:color w:val="auto"/>
        </w:rPr>
        <w:t>”) in existence on the Issue Date, the Parent Guarantor shall be required to provide for guarantees by such entities as soon as reasonably practicable following the Issue Date, but in any event, within 30 days following the Issue Date.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Australian Law Limitations.</w:t>
      </w:r>
      <w:r>
        <w:rPr>
          <w:rFonts w:ascii="Times New Roman" w:cs="Times New Roman" w:eastAsia="Times New Roman" w:hAnsi="Times New Roman"/>
          <w:sz w:val="22"/>
          <w:szCs w:val="22"/>
          <w:color w:val="auto"/>
        </w:rPr>
        <w:t xml:space="preserve"> Notwithstanding anything to the contrary in this Indenture, the guarantee, indemnity or other obligation provided under this Indenture by a Guarantor incorporated in Australia does not apply to any liability to the extent that the provision of such guarantee, indemnity or other obligation would constitute unlawful financial assistance within the meaning of Part 2J.3 (including section 260A) of the Corporations Act 2001 (Cth), or would otherwise contravene any applicable law or regulation relating to financial assistance under the laws of Australia.</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XI</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Concerning the Trust Indenture Act</w:t>
      </w:r>
      <w:r>
        <w:rPr>
          <w:rFonts w:ascii="Times New Roman" w:cs="Times New Roman" w:eastAsia="Times New Roman" w:hAnsi="Times New Roman"/>
          <w:sz w:val="22"/>
          <w:szCs w:val="22"/>
          <w:color w:val="auto"/>
        </w:rPr>
        <w:t>. The TIA shall not be applicable to, and shall not govern, this Indenture, the Notes or the Guarantees.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direction, instruction or communication by the Issuer, any Guarantor or the Trustee to the others is duly given if in writing and delivered in person or mailed by first class mail (registered or certified, return receipt requested), electronic image scan, facsimile transmission or overnight air courier guaranteeing next day delivery, to the addresses set forth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Issuer or any Guarantor: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Weatherford International plc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U.S.A.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UMB Bank, N.A.</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5555 San Felipe St, Suite 870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5" w:right="339" w:bottom="1440" w:gutter="0" w:footer="0" w:header="0"/>
        </w:sectPr>
      </w:pPr>
    </w:p>
    <w:bookmarkStart w:id="112" w:name="page113"/>
    <w:bookmarkEnd w:id="112"/>
    <w:p>
      <w:pPr>
        <w:ind w:left="1300"/>
        <w:spacing w:after="0"/>
        <w:rPr>
          <w:sz w:val="20"/>
          <w:szCs w:val="20"/>
          <w:color w:val="auto"/>
        </w:rPr>
      </w:pPr>
      <w:r>
        <w:rPr>
          <w:rFonts w:ascii="Times New Roman" w:cs="Times New Roman" w:eastAsia="Times New Roman" w:hAnsi="Times New Roman"/>
          <w:sz w:val="22"/>
          <w:szCs w:val="22"/>
          <w:color w:val="auto"/>
        </w:rPr>
        <w:t>Attention: Corporate Trust Office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parties hereto, by written notice to the others, may designate additional or different addresses for subsequent notices or communications.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notices and communications (other than those sent to Holders and the Trustee) shall be deemed to have been duly</w:t>
      </w:r>
    </w:p>
    <w:p>
      <w:pPr>
        <w:spacing w:after="0" w:line="204" w:lineRule="auto"/>
        <w:rPr>
          <w:sz w:val="20"/>
          <w:szCs w:val="20"/>
          <w:color w:val="auto"/>
        </w:rPr>
      </w:pPr>
      <w:r>
        <w:rPr>
          <w:rFonts w:ascii="Times New Roman" w:cs="Times New Roman" w:eastAsia="Times New Roman" w:hAnsi="Times New Roman"/>
          <w:sz w:val="22"/>
          <w:szCs w:val="22"/>
          <w:color w:val="auto"/>
        </w:rPr>
        <w:t>given: at the time delivered by hand, if personally delivered; five Business Days after being deposited in the mail, postage</w:t>
      </w:r>
    </w:p>
    <w:p>
      <w:pPr>
        <w:spacing w:after="0" w:line="205" w:lineRule="auto"/>
        <w:rPr>
          <w:sz w:val="20"/>
          <w:szCs w:val="20"/>
          <w:color w:val="auto"/>
        </w:rPr>
      </w:pPr>
      <w:r>
        <w:rPr>
          <w:rFonts w:ascii="Times New Roman" w:cs="Times New Roman" w:eastAsia="Times New Roman" w:hAnsi="Times New Roman"/>
          <w:sz w:val="22"/>
          <w:szCs w:val="22"/>
          <w:color w:val="auto"/>
        </w:rPr>
        <w:t>prepaid, if mailed; when receipt acknowledged, if telecopied; and the next Business Day after timely delivery to the courier,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sent by overnight air courier promising next Business Day delivery.</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Any notice or communication to a Holder and the Trustee shall be mailed by first class mail or by overnight air courier promising next Business Day delivery to its address shown on the register kept by the Registrar. Notwithstanding the foregoing, as long as the Notes are Global Notes, notices to be given to the Holders shall be given to the Depositary, in accordance with its applicable policies as in effect from time to time. Failure to deliver a notice or communication to a Holder or any defect in it shall not affect its sufficiency with respect to other Holders.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respect of this Indenture, the Trustee shall not have any duty or obligation to verify or confirm that the Person sending instructions, directors, reports, notices or other communications or information by electronic transmission is, in fact, a Person authorized to give such instructions, directors, reports notices or other communications or information on behalf of the party purporting to send such electronic transmission; and the Trustee shall not have any liability for any losses, liability, costs or expenses incurred or sustained by any party as a result of such reliance upon or compliance with such instructions directors, reports, notices or other communications or information. Each other party, agrees to assume all risks arising out of the use of electronic methods to submit instructions, directions, reports, notices or other communications or indemnifications to the Trustee, including without limitation the risk of the Trustee acting on unauthorized instructions, notices, reports or other communications or information, and the risks of interception and misuse by third parties.</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If a notice or communication is delivered in the manner provided above within the time prescribed, it is duly given, whether or not the addressee receives it, except in the case of notices or communications given to the Trustee, which shall be effective only upon actual receipt by a Responsible Officer of the Trustee.</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If the Issuer delivers a notice or communication to Holders, it shall mail or deliver a copy to the Trustee and each Agent at the same time.</w:t>
      </w:r>
    </w:p>
    <w:p>
      <w:pPr>
        <w:spacing w:after="0" w:line="1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11.3</w:t>
      </w:r>
      <w:r>
        <w:rPr>
          <w:sz w:val="20"/>
          <w:szCs w:val="20"/>
          <w:color w:val="auto"/>
        </w:rPr>
        <w:tab/>
      </w:r>
      <w:r>
        <w:rPr>
          <w:rFonts w:ascii="Times New Roman" w:cs="Times New Roman" w:eastAsia="Times New Roman" w:hAnsi="Times New Roman"/>
          <w:sz w:val="22"/>
          <w:szCs w:val="22"/>
          <w:u w:val="single" w:color="auto"/>
          <w:color w:val="auto"/>
        </w:rPr>
        <w:t>Certificate and Opinion as to Conditions Precedent</w:t>
      </w:r>
      <w:r>
        <w:rPr>
          <w:rFonts w:ascii="Times New Roman" w:cs="Times New Roman" w:eastAsia="Times New Roman" w:hAnsi="Times New Roman"/>
          <w:sz w:val="22"/>
          <w:szCs w:val="22"/>
          <w:color w:val="auto"/>
        </w:rPr>
        <w:t>. Upon any request or application by the Issuer to the</w:t>
      </w:r>
    </w:p>
    <w:p>
      <w:pPr>
        <w:spacing w:after="0"/>
        <w:rPr>
          <w:sz w:val="20"/>
          <w:szCs w:val="20"/>
          <w:color w:val="auto"/>
        </w:rPr>
      </w:pPr>
      <w:r>
        <w:rPr>
          <w:rFonts w:ascii="Times New Roman" w:cs="Times New Roman" w:eastAsia="Times New Roman" w:hAnsi="Times New Roman"/>
          <w:sz w:val="22"/>
          <w:szCs w:val="22"/>
          <w:color w:val="auto"/>
        </w:rPr>
        <w:t>Trustee to take any action under this Indenture, the Issuer shall furnish to the Trustee upon request:</w:t>
      </w:r>
    </w:p>
    <w:p>
      <w:pPr>
        <w:spacing w:after="0" w:line="155" w:lineRule="exact"/>
        <w:rPr>
          <w:sz w:val="20"/>
          <w:szCs w:val="20"/>
          <w:color w:val="auto"/>
        </w:rPr>
      </w:pPr>
    </w:p>
    <w:p>
      <w:pPr>
        <w:jc w:val="both"/>
        <w:ind w:firstLine="656"/>
        <w:spacing w:after="0" w:line="225" w:lineRule="auto"/>
        <w:tabs>
          <w:tab w:leader="none" w:pos="129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(which shall include the statements set forth in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in form reasonably satisfactory to the Trustee stating that, in the opinion of the signers, all conditions precedent and covenants, if any, provided for in this Indenture relating to the proposed action have been satisfied;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Opinion of Counsel (which shall include the statements set forth in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in form reasonably satisfactory to the Trustee stating that, in the opinion of such counsel, all such conditions precedent and covenants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395" w:right="339" w:bottom="1440" w:gutter="0" w:footer="0" w:header="0"/>
        </w:sectPr>
      </w:pPr>
    </w:p>
    <w:bookmarkStart w:id="113" w:name="page114"/>
    <w:bookmarkEnd w:id="113"/>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11.4 </w:t>
      </w:r>
      <w:r>
        <w:rPr>
          <w:rFonts w:ascii="Times New Roman" w:cs="Times New Roman" w:eastAsia="Times New Roman" w:hAnsi="Times New Roman"/>
          <w:sz w:val="22"/>
          <w:szCs w:val="22"/>
          <w:u w:val="single" w:color="auto"/>
          <w:color w:val="auto"/>
        </w:rPr>
        <w:t>Statements Required in Certificate or Opinion</w:t>
      </w:r>
      <w:r>
        <w:rPr>
          <w:rFonts w:ascii="Times New Roman" w:cs="Times New Roman" w:eastAsia="Times New Roman" w:hAnsi="Times New Roman"/>
          <w:sz w:val="22"/>
          <w:szCs w:val="22"/>
          <w:color w:val="auto"/>
        </w:rPr>
        <w:t>. Each certificate or opinion with respect to compliance with a condition or covenant provided for in this Indenture shall include:</w:t>
      </w:r>
    </w:p>
    <w:p>
      <w:pPr>
        <w:spacing w:after="0" w:line="137"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and understands such covenant 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or not, in the opinion of such Person, such condition or covenant has been satisfied.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Rules by Trustee and Agents</w:t>
      </w:r>
      <w:r>
        <w:rPr>
          <w:rFonts w:ascii="Times New Roman" w:cs="Times New Roman" w:eastAsia="Times New Roman" w:hAnsi="Times New Roman"/>
          <w:sz w:val="22"/>
          <w:szCs w:val="22"/>
          <w:color w:val="auto"/>
        </w:rPr>
        <w:t>. The Trustee may make reasonable rules for action by or at a meeting of Holders. Each of the Agents may make reasonable rules and set reasonable requirements for its functions.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u w:val="single" w:color="auto"/>
          <w:color w:val="auto"/>
        </w:rPr>
        <w:t>No Personal Liability of Directors, Officers, Employees and Stockholders</w:t>
      </w:r>
      <w:r>
        <w:rPr>
          <w:rFonts w:ascii="Times New Roman" w:cs="Times New Roman" w:eastAsia="Times New Roman" w:hAnsi="Times New Roman"/>
          <w:sz w:val="22"/>
          <w:szCs w:val="22"/>
          <w:color w:val="auto"/>
        </w:rPr>
        <w:t>. No director, officer, employee, incorporator, member, shareholder or stockholder of the Issuer or any Guarantor will have any liability for any indebtedness, obligations or liabilities of the Issuer under the Notes or this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11.7</w:t>
      </w:r>
      <w:r>
        <w:rPr>
          <w:sz w:val="20"/>
          <w:szCs w:val="20"/>
          <w:color w:val="auto"/>
        </w:rPr>
        <w:tab/>
      </w:r>
      <w:r>
        <w:rPr>
          <w:rFonts w:ascii="Times New Roman" w:cs="Times New Roman" w:eastAsia="Times New Roman" w:hAnsi="Times New Roman"/>
          <w:sz w:val="21"/>
          <w:szCs w:val="21"/>
          <w:u w:val="single" w:color="auto"/>
          <w:color w:val="auto"/>
        </w:rPr>
        <w:t>Governing Law; Consent to Jurisdiction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THE LAW OF THE STATE OF NEW YORK SHALL GOVERN AND BE USED TO CONSTRUE THIS INDENTURE, THE NOTES AND THE GUARANTEES. Each of the parties to this Indenture hereby irrevocably submits to the exclusive jurisdiction of any New York State or federal court sitting in the Borough of Manhattan in The City of New York in any action or proceeding arising out of or relating to the Notes, the Guarantees or this Indenture, and all such parties hereby irrevocably agree that all claims in respect of such action or proceeding may be heard and determined in such New York State or federal court and hereby irrevocably waive, to the fullest extent that they may legally do so, the right to any other jurisdiction to which they may be entitled by reason of present or future domicile or place of residence or for any other reason and the defense of an inconvenient forum to the maintenance of such action or proceeding. The Issuer and each Guarantor that is not a domestic Guarantor has designated CT Corporation System, 28 Liberty Street, New York, New York 10005 (the “</w:t>
      </w:r>
      <w:r>
        <w:rPr>
          <w:rFonts w:ascii="Times New Roman" w:cs="Times New Roman" w:eastAsia="Times New Roman" w:hAnsi="Times New Roman"/>
          <w:sz w:val="22"/>
          <w:szCs w:val="22"/>
          <w:i w:val="1"/>
          <w:iCs w:val="1"/>
          <w:color w:val="auto"/>
        </w:rPr>
        <w:t>Process Agent</w:t>
      </w:r>
      <w:r>
        <w:rPr>
          <w:rFonts w:ascii="Times New Roman" w:cs="Times New Roman" w:eastAsia="Times New Roman" w:hAnsi="Times New Roman"/>
          <w:sz w:val="22"/>
          <w:szCs w:val="22"/>
          <w:color w:val="auto"/>
        </w:rPr>
        <w:t xml:space="preserve">”), as the designee, appointee and agent of such foreign party to receive, for and on behalf of such party, service of process in the State of New York, for the purposes of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and the Process Agent has accepted such appointment. In the case of the Mexican Guarantors, they have granted a special irrevocable power of attorney for lawsuits and collections (</w:t>
      </w:r>
      <w:r>
        <w:rPr>
          <w:rFonts w:ascii="Times New Roman" w:cs="Times New Roman" w:eastAsia="Times New Roman" w:hAnsi="Times New Roman"/>
          <w:sz w:val="22"/>
          <w:szCs w:val="22"/>
          <w:i w:val="1"/>
          <w:iCs w:val="1"/>
          <w:color w:val="auto"/>
        </w:rPr>
        <w:t>pleitos y cobranzas</w:t>
      </w:r>
      <w:r>
        <w:rPr>
          <w:rFonts w:ascii="Times New Roman" w:cs="Times New Roman" w:eastAsia="Times New Roman" w:hAnsi="Times New Roman"/>
          <w:sz w:val="22"/>
          <w:szCs w:val="22"/>
          <w:color w:val="auto"/>
        </w:rPr>
        <w:t>) notarized by a Mexican notary public in favor of the Process Agent in form and substance satisfactory to the Trustee, and the parties hereto hereby agree that the granting of such power of attorney shall be irrevocable considering it shall be granted as a means to satisfy the obligation of the Mexican Guarantors contained herein.</w:t>
      </w:r>
    </w:p>
    <w:p>
      <w:pPr>
        <w:spacing w:after="0" w:line="15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11.8 </w:t>
      </w:r>
      <w:r>
        <w:rPr>
          <w:rFonts w:ascii="Times New Roman" w:cs="Times New Roman" w:eastAsia="Times New Roman" w:hAnsi="Times New Roman"/>
          <w:sz w:val="22"/>
          <w:szCs w:val="22"/>
          <w:u w:val="single" w:color="auto"/>
          <w:color w:val="auto"/>
        </w:rPr>
        <w:t>No Adverse Interpretation of Other Agreements</w:t>
      </w:r>
      <w:r>
        <w:rPr>
          <w:rFonts w:ascii="Times New Roman" w:cs="Times New Roman" w:eastAsia="Times New Roman" w:hAnsi="Times New Roman"/>
          <w:sz w:val="22"/>
          <w:szCs w:val="22"/>
          <w:color w:val="auto"/>
        </w:rPr>
        <w:t>. This Indenture may not be used to interpret any other indenture, loan or debt agreement of the Issuer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or of any other Person. Any such indenture, loan or debt agreement may not be used to interpret this Indenture.</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11.9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agreements of the Issuer and the Guarantors in this Indenture and the Notes and the Guarantees, as applicable, shall bind their respective successors and assigns. All agreements of the Trustee in this Indenture shall bind its respective successors and assigns.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Indenture may be executed in two or more counterparts, which when so executed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except with respect to authentication of Notes by the Trustee. Except with respect to authentication of Notes by the Trustee,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to the extent permitted by applicable law,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5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11.12 </w:t>
      </w:r>
      <w:r>
        <w:rPr>
          <w:rFonts w:ascii="Times New Roman" w:cs="Times New Roman" w:eastAsia="Times New Roman" w:hAnsi="Times New Roman"/>
          <w:sz w:val="22"/>
          <w:szCs w:val="22"/>
          <w:u w:val="single" w:color="auto"/>
          <w:color w:val="auto"/>
        </w:rPr>
        <w:t>Table of Contents, Headings, Etc</w:t>
      </w:r>
      <w:r>
        <w:rPr>
          <w:rFonts w:ascii="Times New Roman" w:cs="Times New Roman" w:eastAsia="Times New Roman" w:hAnsi="Times New Roman"/>
          <w:sz w:val="22"/>
          <w:szCs w:val="22"/>
          <w:color w:val="auto"/>
        </w:rPr>
        <w:t>.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Acts of Holders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(or, with respect to Global Notes, otherwise in accordance with the rules and procedures of the Depositary);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xml:space="preserve">” of Holders signing such instrument or instruments. Proof of execution of any such instrument or of a writing appointing any such agent shall be sufficient for any purpose of this Indenture and conclusive in favor of the Trustee and the Issuer, if made in the manner provided in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395" w:right="339" w:bottom="1440" w:gutter="0" w:footer="0" w:header="0"/>
        </w:sectPr>
      </w:pPr>
    </w:p>
    <w:bookmarkStart w:id="115" w:name="page116"/>
    <w:bookmarkEnd w:id="115"/>
    <w:p>
      <w:pPr>
        <w:spacing w:after="0" w:line="236" w:lineRule="auto"/>
        <w:rPr>
          <w:sz w:val="20"/>
          <w:szCs w:val="20"/>
          <w:color w:val="auto"/>
        </w:rPr>
      </w:pPr>
      <w:r>
        <w:rPr>
          <w:rFonts w:ascii="Times New Roman" w:cs="Times New Roman" w:eastAsia="Times New Roman" w:hAnsi="Times New Roman"/>
          <w:sz w:val="22"/>
          <w:szCs w:val="22"/>
          <w:color w:val="auto"/>
        </w:rPr>
        <w:t>authority of the Person executing the same, may also be proved in any other manner which the Trustee deems sufficient in its sole discretion.</w:t>
      </w:r>
    </w:p>
    <w:p>
      <w:pPr>
        <w:spacing w:after="0" w:line="150" w:lineRule="exact"/>
        <w:rPr>
          <w:sz w:val="20"/>
          <w:szCs w:val="20"/>
          <w:color w:val="auto"/>
        </w:rPr>
      </w:pPr>
    </w:p>
    <w:p>
      <w:pPr>
        <w:ind w:left="1300" w:hanging="644"/>
        <w:spacing w:after="0"/>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ownership of Notes shall be proved by the register maintained by the Registrar hereunder.</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or the Issuer in reliance thereon, whether or not notation of such action is made upon such Note.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Issuer shall solicit from the Holders any request, demand, authorization, direction, notice, consent, waiver or other Act, the Issuer may, at its option, by or pursuant to a board resolution of the Issuer’s Board of Directors, fix in advance a record date for the determination of Holders entitled to give such request, demand, authorization, direction, notice, consent, waiver or other Act, but the Issuer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authorization, agreement or consent by the Holders on such record date shall be deemed effective unless it shall become effective pursuant to the provisions of this Indenture not later than six months after the record date.</w:t>
      </w:r>
    </w:p>
    <w:p>
      <w:pPr>
        <w:spacing w:after="0" w:line="15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the Trustee or Agent be responsible or liable for any failure or delay in the performance of its obligations hereunder arising out of or caused by, directly or indirectly, forces beyond its control, including, without limitation, fire, riots, strikes, or work stoppages for any reason, embargoes, governmental actions,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U.S. banking industry to resume performance as soon as practicable under the circumstances.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Legal Holidays</w:t>
      </w:r>
      <w:r>
        <w:rPr>
          <w:rFonts w:ascii="Times New Roman" w:cs="Times New Roman" w:eastAsia="Times New Roman" w:hAnsi="Times New Roman"/>
          <w:sz w:val="22"/>
          <w:szCs w:val="22"/>
          <w:color w:val="auto"/>
        </w:rPr>
        <w:t>. If any payment date with respect to the Notes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11.16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11.17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ISSUER, ANY GUARANTOR AND THE TRUSTEE HEREBY, AND EACH HOLDER OF A NOTE BY ITS ACCEPTANCE THEREOF, IRREVOCABLY WAIVES, TO THE FULLEST EXTENT PERMITTED BY APPLICABLE LAW, ANY AND ALL RIGHT TO TRIAL BY JURY IN ANY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395" w:right="339" w:bottom="1440" w:gutter="0" w:footer="0" w:header="0"/>
        </w:sectPr>
      </w:pPr>
    </w:p>
    <w:bookmarkStart w:id="116" w:name="page117"/>
    <w:bookmarkEnd w:id="116"/>
    <w:p>
      <w:pPr>
        <w:spacing w:after="0" w:line="236" w:lineRule="auto"/>
        <w:rPr>
          <w:sz w:val="20"/>
          <w:szCs w:val="20"/>
          <w:color w:val="auto"/>
        </w:rPr>
      </w:pPr>
      <w:r>
        <w:rPr>
          <w:rFonts w:ascii="Times New Roman" w:cs="Times New Roman" w:eastAsia="Times New Roman" w:hAnsi="Times New Roman"/>
          <w:sz w:val="22"/>
          <w:szCs w:val="22"/>
          <w:color w:val="auto"/>
        </w:rPr>
        <w:t>PROCEEDING ARISING OUT OF OR RELATING TO THIS INDENTURE, THE NOTES OR ANY OF THE TRANSACTIONS CONTEMPLATED THEREBY OR HEREBY.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20"/>
          </w:cols>
          <w:pgMar w:left="320" w:top="1395"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Dated as of October 6, 2025.</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ISSUER</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a Bermuda exempted company limited by shares</w:t>
      </w: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736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Maximiliano A. Kricorian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PARENT GUARANTOR</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 Irish public limited company</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736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Maximiliano A. Kricorian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Weatherford International,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736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Maximiliano A. Kricorian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10139"/>
          </w:cols>
          <w:pgMar w:left="320" w:top="1422"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ADVANTAGE R&amp;D, INC.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BENMORE IN-DEPTH CORP.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COLUMBIA OILFIELD SUPPLY, INC.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DATALOG ACQUISITION,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DISCOVERY LOGGING, INC.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EPRODUCTION SOLUTIONS,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IN-DEPTH SYSTEMS, INC.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INTERNATIONAL LOGGING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INTERNATIONAL LOGGING S.A.,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PRECISION ENERGY SERVICES, INC.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PRECISION OILFIELD SERVICES,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(PTWI),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ARTIFICIAL LIFT SYSTEMS,</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GLOBAL SERVICES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LATIN AMERICA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MANAGEMENT,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TECHNOLOGY HOLDINGS,</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U.S., L.P.</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WEATHERFORD/LAMB,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WEUS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WIHBV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WUS HOLDING, L.L.C.</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019"/>
          </w:cols>
          <w:pgMar w:left="1440" w:top="1440" w:right="1440" w:bottom="1440" w:gutter="0" w:footer="0" w:header="0"/>
        </w:sectPr>
      </w:pPr>
    </w:p>
    <w:bookmarkStart w:id="119" w:name="page120"/>
    <w:bookmarkEnd w:id="119"/>
    <w:p>
      <w:pPr>
        <w:ind w:left="2780"/>
        <w:spacing w:after="0"/>
        <w:rPr>
          <w:sz w:val="20"/>
          <w:szCs w:val="20"/>
          <w:color w:val="auto"/>
        </w:rPr>
      </w:pPr>
      <w:r>
        <w:rPr>
          <w:rFonts w:ascii="Times New Roman" w:cs="Times New Roman" w:eastAsia="Times New Roman" w:hAnsi="Times New Roman"/>
          <w:sz w:val="22"/>
          <w:szCs w:val="22"/>
          <w:color w:val="auto"/>
        </w:rPr>
        <w:t>WEATHERFORD CANADA LTD.</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PRECISION ENERGY SERVICES</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COLOMBIA LTD.</w:t>
      </w: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245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Pamela M. Webb</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BERMUDA HOLDINGS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LTD.</w:t>
      </w: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Assistant Secretary</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INTERNATIONAL HOLDING (BERMUDA) LTD.</w:t>
      </w:r>
    </w:p>
    <w:p>
      <w:pPr>
        <w:spacing w:after="0" w:line="2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Assistant Secretary</w:t>
      </w: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SERVICES, LTD.</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Assistant Secretary</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WOFS ASSURANCE LIMITED</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019"/>
          </w:cols>
          <w:pgMar w:left="1440" w:top="1422" w:right="1440" w:bottom="1440" w:gutter="0" w:footer="0" w:header="0"/>
        </w:sectPr>
      </w:pPr>
    </w:p>
    <w:bookmarkStart w:id="120" w:name="page121"/>
    <w:bookmarkEnd w:id="120"/>
    <w:p>
      <w:pPr>
        <w:ind w:left="2780"/>
        <w:spacing w:after="0"/>
        <w:rPr>
          <w:sz w:val="20"/>
          <w:szCs w:val="20"/>
          <w:color w:val="auto"/>
        </w:rPr>
      </w:pPr>
      <w:r>
        <w:rPr>
          <w:rFonts w:ascii="Times New Roman" w:cs="Times New Roman" w:eastAsia="Times New Roman" w:hAnsi="Times New Roman"/>
          <w:sz w:val="22"/>
          <w:szCs w:val="22"/>
          <w:color w:val="auto"/>
        </w:rPr>
        <w:t>HELIX EQUIPMENT LEASING LIMITED</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Secretary</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HOLDINGS (BVI) LTD.</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Vice President and Secretary</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DRILLING INTERNATIONAL HOLDINGS (BVI) LTD.</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Secretary</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OIL TOOL MIDDLE EAST LIMITED</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Vice President and Secretary</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COLUMBIA LIMITED</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480"/>
          </w:cols>
          <w:pgMar w:left="1440" w:top="1422" w:right="979" w:bottom="1440" w:gutter="0" w:footer="0" w:header="0"/>
        </w:sectPr>
      </w:pPr>
    </w:p>
    <w:bookmarkStart w:id="121" w:name="page122"/>
    <w:bookmarkEnd w:id="121"/>
    <w:p>
      <w:pPr>
        <w:ind w:left="2780"/>
        <w:spacing w:after="0"/>
        <w:rPr>
          <w:sz w:val="20"/>
          <w:szCs w:val="20"/>
          <w:color w:val="auto"/>
        </w:rPr>
      </w:pPr>
      <w:r>
        <w:rPr>
          <w:rFonts w:ascii="Times New Roman" w:cs="Times New Roman" w:eastAsia="Times New Roman" w:hAnsi="Times New Roman"/>
          <w:sz w:val="22"/>
          <w:szCs w:val="22"/>
          <w:color w:val="auto"/>
        </w:rPr>
        <w:t>WEATHERFORD DRILLING INTERNATIONAL (BVI) LTD.</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Beth Ann Dranguet</w:t>
      </w:r>
    </w:p>
    <w:p>
      <w:pPr>
        <w:spacing w:after="0" w:line="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Vice President and Secretary</w:t>
      </w: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U.K. LIMITED</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Jennifer Packham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280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600" w:val="left"/>
        </w:tabs>
        <w:rPr>
          <w:sz w:val="20"/>
          <w:szCs w:val="20"/>
          <w:color w:val="auto"/>
        </w:rPr>
      </w:pPr>
      <w:r>
        <w:rPr>
          <w:rFonts w:ascii="Times New Roman" w:cs="Times New Roman" w:eastAsia="Times New Roman" w:hAnsi="Times New Roman"/>
          <w:sz w:val="22"/>
          <w:szCs w:val="22"/>
          <w:color w:val="auto"/>
        </w:rPr>
        <w:t>Name:</w:t>
        <w:tab/>
        <w:t>Jennifer Packham</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EURASIA LIMITED</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Jennifer Packham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280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Jennifer Packham</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MANAGEMENT COMPANY SWITZERLAND SÀRL</w:t>
      </w:r>
    </w:p>
    <w:p>
      <w:pPr>
        <w:spacing w:after="0" w:line="2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21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Mathias Neuenschwander</w:t>
      </w:r>
    </w:p>
    <w:p>
      <w:pPr>
        <w:spacing w:after="0" w:line="1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Managing Officer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PRODUCTS GMBH</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2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1485"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Mathias Neuenschwander</w:t>
      </w:r>
    </w:p>
    <w:p>
      <w:pPr>
        <w:spacing w:after="0" w:line="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Managing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300"/>
          </w:cols>
          <w:pgMar w:left="1440" w:top="1422" w:right="1159" w:bottom="1440" w:gutter="0" w:footer="0" w:header="0"/>
        </w:sectPr>
      </w:pPr>
    </w:p>
    <w:bookmarkStart w:id="122" w:name="page123"/>
    <w:bookmarkEnd w:id="122"/>
    <w:p>
      <w:pPr>
        <w:ind w:left="2780"/>
        <w:spacing w:after="0"/>
        <w:rPr>
          <w:sz w:val="20"/>
          <w:szCs w:val="20"/>
          <w:color w:val="auto"/>
        </w:rPr>
      </w:pPr>
      <w:r>
        <w:rPr>
          <w:rFonts w:ascii="Times New Roman" w:cs="Times New Roman" w:eastAsia="Times New Roman" w:hAnsi="Times New Roman"/>
          <w:sz w:val="21"/>
          <w:szCs w:val="21"/>
          <w:color w:val="auto"/>
        </w:rPr>
        <w:t>WEATHERFORD SWITZERLAND TRADING AND DEVELOPMENT GMBH</w:t>
      </w:r>
    </w:p>
    <w:p>
      <w:pPr>
        <w:spacing w:after="0" w:line="2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21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Mathias Neuenschwander</w:t>
      </w:r>
    </w:p>
    <w:p>
      <w:pPr>
        <w:spacing w:after="0" w:line="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Managing Officer</w:t>
      </w: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WORLDWIDE HOLDINGS GMBH</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214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Mathias Neuenschwander</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Managing Officer</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WOFS INTERNATIONAL FINANCE GMBH</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214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Mathias Neuenschwander</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Managing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OIL TOOL GMBH</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Kerstin Hartmann-Miß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562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Kerstin Hartmann-Miß</w:t>
      </w:r>
    </w:p>
    <w:p>
      <w:pPr>
        <w:spacing w:after="0" w:line="1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880"/>
          </w:cols>
          <w:pgMar w:left="1440" w:top="1422" w:right="579" w:bottom="1440" w:gutter="0" w:footer="0" w:header="0"/>
        </w:sectPr>
      </w:pPr>
    </w:p>
    <w:bookmarkStart w:id="123" w:name="page124"/>
    <w:bookmarkEnd w:id="123"/>
    <w:p>
      <w:pPr>
        <w:ind w:left="2780"/>
        <w:spacing w:after="0"/>
        <w:rPr>
          <w:sz w:val="20"/>
          <w:szCs w:val="20"/>
          <w:color w:val="auto"/>
        </w:rPr>
      </w:pPr>
      <w:r>
        <w:rPr>
          <w:rFonts w:ascii="Times New Roman" w:cs="Times New Roman" w:eastAsia="Times New Roman" w:hAnsi="Times New Roman"/>
          <w:sz w:val="22"/>
          <w:szCs w:val="22"/>
          <w:color w:val="auto"/>
        </w:rPr>
        <w:t>WEATHERFORD NETHERLANDS B.V.</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A. W.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26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A.W. Versteeg</w:t>
      </w:r>
    </w:p>
    <w:p>
      <w:pPr>
        <w:spacing w:after="0" w:line="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NORGE AS</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/w/ Nina Haland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043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Nina Haland</w:t>
      </w:r>
    </w:p>
    <w:p>
      <w:pPr>
        <w:spacing w:after="0" w:line="4"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Chairperson of the Board</w:t>
      </w:r>
    </w:p>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WEATHERFORD SERVICES S. DE R.L.</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Beth Ann Dranguet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5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Beth Ann Dranguet</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Administrator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INTERNATIONAL (LUXEMBOURG) HOLDINGS S. À. R. L.</w:t>
      </w:r>
    </w:p>
    <w:p>
      <w:pPr>
        <w:spacing w:after="0" w:line="2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214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Mathias Neuenschwander</w:t>
      </w:r>
    </w:p>
    <w:p>
      <w:pPr>
        <w:spacing w:after="0" w:line="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 A</w:t>
      </w:r>
    </w:p>
    <w:p>
      <w:pPr>
        <w:spacing w:after="0" w:line="200" w:lineRule="exact"/>
        <w:rPr>
          <w:sz w:val="20"/>
          <w:szCs w:val="20"/>
          <w:color w:val="auto"/>
        </w:rPr>
      </w:pPr>
    </w:p>
    <w:p>
      <w:pPr>
        <w:spacing w:after="0" w:line="2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WEATHERFORD IRISH HOLDINGS LIMITED</w:t>
      </w:r>
    </w:p>
    <w:p>
      <w:pPr>
        <w:spacing w:after="0" w:line="200" w:lineRule="exact"/>
        <w:rPr>
          <w:sz w:val="20"/>
          <w:szCs w:val="20"/>
          <w:color w:val="auto"/>
        </w:rPr>
      </w:pPr>
    </w:p>
    <w:p>
      <w:pPr>
        <w:spacing w:after="0" w:line="3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736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Maximiliano A. Kricorian</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10020"/>
          </w:cols>
          <w:pgMar w:left="1440" w:top="1422" w:right="439" w:bottom="1440" w:gutter="0" w:footer="0" w:header="0"/>
        </w:sectPr>
      </w:pPr>
    </w:p>
    <w:bookmarkStart w:id="124" w:name="page125"/>
    <w:bookmarkEnd w:id="124"/>
    <w:p>
      <w:pPr>
        <w:ind w:left="3020"/>
        <w:spacing w:after="0"/>
        <w:rPr>
          <w:sz w:val="20"/>
          <w:szCs w:val="20"/>
          <w:color w:val="auto"/>
        </w:rPr>
      </w:pPr>
      <w:r>
        <w:rPr>
          <w:rFonts w:ascii="Times New Roman" w:cs="Times New Roman" w:eastAsia="Times New Roman" w:hAnsi="Times New Roman"/>
          <w:sz w:val="22"/>
          <w:szCs w:val="22"/>
          <w:color w:val="auto"/>
        </w:rPr>
        <w:t>WEATHERFORD AUSTRALIA PTY LIMITED</w:t>
      </w:r>
    </w:p>
    <w:p>
      <w:pPr>
        <w:spacing w:after="0" w:line="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ACN 008 947 395 in accordance with section 127</w:t>
      </w:r>
    </w:p>
    <w:p>
      <w:pPr>
        <w:spacing w:after="0" w:line="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of the Corporations Act 2001 (Cth):</w:t>
      </w:r>
    </w:p>
    <w:p>
      <w:pPr>
        <w:spacing w:after="0" w:line="200" w:lineRule="exact"/>
        <w:rPr>
          <w:sz w:val="20"/>
          <w:szCs w:val="20"/>
          <w:color w:val="auto"/>
        </w:rPr>
      </w:pPr>
    </w:p>
    <w:p>
      <w:pPr>
        <w:spacing w:after="0" w:line="2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Bruno Teixeira Bezerra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18605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9" w:lineRule="exact"/>
        <w:rPr>
          <w:sz w:val="20"/>
          <w:szCs w:val="20"/>
          <w:color w:val="auto"/>
        </w:rPr>
      </w:pPr>
    </w:p>
    <w:p>
      <w:pPr>
        <w:ind w:left="3020"/>
        <w:spacing w:after="0"/>
        <w:tabs>
          <w:tab w:leader="none" w:pos="3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Bruno Teixeira Bezerra</w:t>
      </w:r>
    </w:p>
    <w:p>
      <w:pPr>
        <w:spacing w:after="0" w:line="15" w:lineRule="exact"/>
        <w:rPr>
          <w:sz w:val="20"/>
          <w:szCs w:val="20"/>
          <w:color w:val="auto"/>
        </w:rPr>
      </w:pPr>
    </w:p>
    <w:p>
      <w:pPr>
        <w:ind w:left="3020"/>
        <w:spacing w:after="0"/>
        <w:tabs>
          <w:tab w:leader="none" w:pos="3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Robert Atonio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20726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8" w:lineRule="exact"/>
        <w:rPr>
          <w:sz w:val="20"/>
          <w:szCs w:val="20"/>
          <w:color w:val="auto"/>
        </w:rPr>
      </w:pPr>
    </w:p>
    <w:p>
      <w:pPr>
        <w:ind w:left="3020"/>
        <w:spacing w:after="0"/>
        <w:tabs>
          <w:tab w:leader="none" w:pos="3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Atonio De Gasperis</w:t>
      </w:r>
    </w:p>
    <w:p>
      <w:pPr>
        <w:spacing w:after="0" w:line="5" w:lineRule="exact"/>
        <w:rPr>
          <w:sz w:val="20"/>
          <w:szCs w:val="20"/>
          <w:color w:val="auto"/>
        </w:rPr>
      </w:pPr>
    </w:p>
    <w:p>
      <w:pPr>
        <w:ind w:left="3020"/>
        <w:spacing w:after="0"/>
        <w:tabs>
          <w:tab w:leader="none" w:pos="3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color w:val="auto"/>
        </w:rPr>
        <w:t>WEATHERFORD INDUSTRIA E COMERCIO LTDA.</w:t>
      </w:r>
    </w:p>
    <w:p>
      <w:pPr>
        <w:spacing w:after="0" w:line="24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Rodrigo Chafic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15621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 Rodrigo Chafic</w:t>
      </w:r>
    </w:p>
    <w:p>
      <w:pPr>
        <w:spacing w:after="0" w:line="4" w:lineRule="exact"/>
        <w:rPr>
          <w:sz w:val="20"/>
          <w:szCs w:val="20"/>
          <w:color w:val="auto"/>
        </w:rPr>
      </w:pPr>
    </w:p>
    <w:p>
      <w:pPr>
        <w:ind w:left="3020"/>
        <w:spacing w:after="0"/>
        <w:tabs>
          <w:tab w:leader="none" w:pos="3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Country Director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019"/>
          </w:cols>
          <w:pgMar w:left="1440" w:top="1422" w:right="1440" w:bottom="1440" w:gutter="0" w:footer="0" w:header="0"/>
        </w:sectPr>
      </w:pPr>
    </w:p>
    <w:bookmarkStart w:id="125" w:name="page126"/>
    <w:bookmarkEnd w:id="125"/>
    <w:p>
      <w:pPr>
        <w:ind w:left="3020"/>
        <w:spacing w:after="0"/>
        <w:rPr>
          <w:sz w:val="20"/>
          <w:szCs w:val="20"/>
          <w:color w:val="auto"/>
        </w:rPr>
      </w:pPr>
      <w:r>
        <w:rPr>
          <w:rFonts w:ascii="Times New Roman" w:cs="Times New Roman" w:eastAsia="Times New Roman" w:hAnsi="Times New Roman"/>
          <w:sz w:val="22"/>
          <w:szCs w:val="22"/>
          <w:color w:val="auto"/>
        </w:rPr>
        <w:t>WEATHERFORD DE MEXICO, S. DE R.L. DE C.V.</w:t>
      </w:r>
    </w:p>
    <w:p>
      <w:pPr>
        <w:spacing w:after="0" w:line="200" w:lineRule="exact"/>
        <w:rPr>
          <w:sz w:val="20"/>
          <w:szCs w:val="20"/>
          <w:color w:val="auto"/>
        </w:rPr>
      </w:pPr>
    </w:p>
    <w:p>
      <w:pPr>
        <w:spacing w:after="0" w:line="2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Juan Pablo Gress Díaz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1950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8" w:lineRule="exact"/>
        <w:rPr>
          <w:sz w:val="20"/>
          <w:szCs w:val="20"/>
          <w:color w:val="auto"/>
        </w:rPr>
      </w:pPr>
    </w:p>
    <w:p>
      <w:pPr>
        <w:ind w:left="3020"/>
        <w:spacing w:after="0"/>
        <w:tabs>
          <w:tab w:leader="none" w:pos="3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Juan Pablo Gress Díaz</w:t>
      </w:r>
    </w:p>
    <w:p>
      <w:pPr>
        <w:spacing w:after="0" w:line="5" w:lineRule="exact"/>
        <w:rPr>
          <w:sz w:val="20"/>
          <w:szCs w:val="20"/>
          <w:color w:val="auto"/>
        </w:rPr>
      </w:pPr>
    </w:p>
    <w:p>
      <w:pPr>
        <w:ind w:left="3020"/>
        <w:spacing w:after="0"/>
        <w:tabs>
          <w:tab w:leader="none" w:pos="3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7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Paris Piñera Camacho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1923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3415" cy="8255"/>
                    </a:xfrm>
                    <a:prstGeom prst="rect">
                      <a:avLst/>
                    </a:prstGeom>
                    <a:noFill/>
                  </pic:spPr>
                </pic:pic>
              </a:graphicData>
            </a:graphic>
          </wp:anchor>
        </w:drawing>
      </w:r>
    </w:p>
    <w:p>
      <w:pPr>
        <w:spacing w:after="0" w:line="8" w:lineRule="exact"/>
        <w:rPr>
          <w:sz w:val="20"/>
          <w:szCs w:val="20"/>
          <w:color w:val="auto"/>
        </w:rPr>
      </w:pPr>
    </w:p>
    <w:p>
      <w:pPr>
        <w:ind w:left="3020"/>
        <w:spacing w:after="0"/>
        <w:tabs>
          <w:tab w:leader="none" w:pos="3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Paris Piñera Camacho</w:t>
      </w:r>
    </w:p>
    <w:p>
      <w:pPr>
        <w:spacing w:after="0" w:line="4" w:lineRule="exact"/>
        <w:rPr>
          <w:sz w:val="20"/>
          <w:szCs w:val="20"/>
          <w:color w:val="auto"/>
        </w:rPr>
      </w:pPr>
    </w:p>
    <w:p>
      <w:pPr>
        <w:ind w:left="3020"/>
        <w:spacing w:after="0"/>
        <w:tabs>
          <w:tab w:leader="none" w:pos="3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color w:val="auto"/>
        </w:rPr>
        <w:t>PD OILFIELD SERVICES MEXICANA, S. DE R.L. DE C.V.</w:t>
      </w:r>
    </w:p>
    <w:p>
      <w:pPr>
        <w:spacing w:after="0" w:line="200" w:lineRule="exact"/>
        <w:rPr>
          <w:sz w:val="20"/>
          <w:szCs w:val="20"/>
          <w:color w:val="auto"/>
        </w:rPr>
      </w:pPr>
    </w:p>
    <w:p>
      <w:pPr>
        <w:spacing w:after="0" w:line="3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Juan Pablo Gress Díaz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19507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8" w:lineRule="exact"/>
        <w:rPr>
          <w:sz w:val="20"/>
          <w:szCs w:val="20"/>
          <w:color w:val="auto"/>
        </w:rPr>
      </w:pPr>
    </w:p>
    <w:p>
      <w:pPr>
        <w:ind w:left="3020"/>
        <w:spacing w:after="0"/>
        <w:tabs>
          <w:tab w:leader="none" w:pos="3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Juan Pablo Gress Díaz</w:t>
      </w:r>
    </w:p>
    <w:p>
      <w:pPr>
        <w:spacing w:after="0" w:line="4" w:lineRule="exact"/>
        <w:rPr>
          <w:sz w:val="20"/>
          <w:szCs w:val="20"/>
          <w:color w:val="auto"/>
        </w:rPr>
      </w:pPr>
    </w:p>
    <w:p>
      <w:pPr>
        <w:ind w:left="3020"/>
        <w:spacing w:after="0"/>
        <w:tabs>
          <w:tab w:leader="none" w:pos="3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6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 /s/ Paris Piñera Camacho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-13970</wp:posOffset>
            </wp:positionV>
            <wp:extent cx="19234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8" w:lineRule="exact"/>
        <w:rPr>
          <w:sz w:val="20"/>
          <w:szCs w:val="20"/>
          <w:color w:val="auto"/>
        </w:rPr>
      </w:pPr>
    </w:p>
    <w:p>
      <w:pPr>
        <w:ind w:left="3020"/>
        <w:spacing w:after="0"/>
        <w:tabs>
          <w:tab w:leader="none" w:pos="3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Paris Piñera Camacho</w:t>
      </w:r>
    </w:p>
    <w:p>
      <w:pPr>
        <w:spacing w:after="0" w:line="4" w:lineRule="exact"/>
        <w:rPr>
          <w:sz w:val="20"/>
          <w:szCs w:val="20"/>
          <w:color w:val="auto"/>
        </w:rPr>
      </w:pPr>
    </w:p>
    <w:p>
      <w:pPr>
        <w:ind w:left="3020"/>
        <w:spacing w:after="0"/>
        <w:tabs>
          <w:tab w:leader="none" w:pos="3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019"/>
          </w:cols>
          <w:pgMar w:left="1440" w:top="1422" w:right="1440" w:bottom="1440" w:gutter="0" w:footer="0" w:header="0"/>
        </w:sectPr>
      </w:pPr>
    </w:p>
    <w:bookmarkStart w:id="126" w:name="page127"/>
    <w:bookmarkEnd w:id="126"/>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WEATHERFORD INTERNATIONAL DE ARGENTINA S.A.</w:t>
      </w:r>
    </w:p>
    <w:p>
      <w:pPr>
        <w:spacing w:after="0" w:line="2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Diego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-5715</wp:posOffset>
            </wp:positionV>
            <wp:extent cx="13030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2780"/>
        <w:spacing w:after="0" w:line="214" w:lineRule="auto"/>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Diego Martinez</w:t>
      </w:r>
    </w:p>
    <w:p>
      <w:pPr>
        <w:spacing w:after="0" w:line="1"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UMB BANK, N.A.</w:t>
      </w:r>
      <w:r>
        <w:rPr>
          <w:rFonts w:ascii="Times New Roman" w:cs="Times New Roman" w:eastAsia="Times New Roman" w:hAnsi="Times New Roman"/>
          <w:sz w:val="21"/>
          <w:szCs w:val="21"/>
          <w:color w:val="auto"/>
        </w:rPr>
        <w:t>, as Trustee, Registrar and Paying Agent</w:t>
      </w:r>
    </w:p>
    <w:p>
      <w:pPr>
        <w:spacing w:after="0" w:line="200" w:lineRule="exact"/>
        <w:rPr>
          <w:sz w:val="20"/>
          <w:szCs w:val="20"/>
          <w:color w:val="auto"/>
        </w:rPr>
      </w:pPr>
    </w:p>
    <w:p>
      <w:pPr>
        <w:spacing w:after="0" w:line="3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811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2780"/>
        <w:spacing w:after="0" w:line="205" w:lineRule="auto"/>
        <w:rPr>
          <w:sz w:val="20"/>
          <w:szCs w:val="20"/>
          <w:color w:val="auto"/>
        </w:rPr>
      </w:pPr>
      <w:r>
        <w:rPr>
          <w:rFonts w:ascii="Times New Roman" w:cs="Times New Roman" w:eastAsia="Times New Roman" w:hAnsi="Times New Roman"/>
          <w:sz w:val="22"/>
          <w:szCs w:val="22"/>
          <w:color w:val="auto"/>
        </w:rPr>
        <w:t>Name: Shazia Flores</w:t>
      </w: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Indenture]</w:t>
      </w:r>
    </w:p>
    <w:p>
      <w:pPr>
        <w:sectPr>
          <w:pgSz w:w="11900" w:h="16838" w:orient="portrait"/>
          <w:cols w:equalWidth="0" w:num="1">
            <w:col w:w="9019"/>
          </w:cols>
          <w:pgMar w:left="1440" w:top="1440"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 NOTE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[Global Note Legend]</w:t>
      </w:r>
    </w:p>
    <w:p>
      <w:pPr>
        <w:spacing w:after="0" w:line="2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(55 WATER STREET, NEW YORK, NEW YORK) TO THE ISSUER OR ITS AGENT FOR REGISTRATION OR TRANSFER, EXCHANGE OR PAYMENT, AND ANY CERTIFICATE ISSUED IS REGISTERED IN THE NAME OF CEDE &amp; CO. OR TO SUCH OTHER NAME AS MAY BE REQUESTED BY AN AUTHORIZED REPRESENTATIVE OF THE DEPOSITORY TRUST COMPANY OR SUCH OTHER REPRESENTATIVE OF THE DEPOSITORY TRUST COMPANY (AND ANY PAYMENT HEREON IS MADE TO CEDE &amp; CO. OR TO SUCH OTHER ENTITY AS MAY BE REQUESTED BY AN AUTHORIZED REPRESENTATIVE OF THE DEPOSITORY TRUST COMPANY), ANY TRANSFER, PLEDGE OR OTHER USE HEREOF FOR VALUE OR OTHERWISE BY OR TO ANY PERSON IS WRONGFUL SINCE THE REGISTERED OWNER HEREOF, CEDE &amp; CO., HAS AN INTEREST HEREIN.</w:t>
      </w:r>
    </w:p>
    <w:p>
      <w:pPr>
        <w:spacing w:after="0" w:line="174"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2"/>
          <w:szCs w:val="22"/>
          <w:color w:val="auto"/>
        </w:rPr>
        <w:t>TRANSFERS OF THIS GLOBAL NOTE SHALL BE LIMITED TO TRANSFERS IN WHOLE, BUT NOT IN PART, TO NOMINEES OF CEDE &amp; CO. OR TO A SUCCESSOR THEREOF OR SUCH SUCCESSOR’S NOMINEE.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[Restricted Notes Legend]</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THIS SECURITY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OR OF A BENEFICIAL INTEREST HEREIN, THE HOLDER (1) REPRESENTS THAT (A) IT IS A “QUALIFIED INSTITUTIONAL BUYER” (AS DEFINED IN RULE 144A UNDER THE SECURITIES ACT) OR (B) IT IS NOT A U.S. PERSON, IS NOT ACQUIRING THIS SECURITY FOR THE ACCOUNT OR FOR THE BENEFIT OF A U.S. PERSON AND IS ACQUIRING THIS SECURITY IN AN OFFSHORE TRANSACTION IN COMPLIANCE WITH REGULATION S UNDER THE SECURITIES ACT, (2) AGREES THAT IT WILL NOT WITHIN ONE YEAR AFTER THE LATER OF THE ORIGINAL ISSUE DATE HEREOF AND THE LAST DATE ON WHICH THE ISSUER OR ANY AFFILIATE OF THE ISSUER WAS THE OWNER OF THIS SECURITY (OR ANY PREDECESSOR OF SUCH SECURITY) RESELL OR OTHERWISE TRANSFER THIS SECURITY EXCEPT (A) TO THE ISSUER OR ANY SUBSIDIARY THEREOF, (B) TO A PERSON WHOM THE HOLDER REASONABLY BELIEVES IS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w:t>
      </w:r>
    </w:p>
    <w:p>
      <w:pPr>
        <w:sectPr>
          <w:pgSz w:w="11900" w:h="16838" w:orient="portrait"/>
          <w:cols w:equalWidth="0" w:num="1">
            <w:col w:w="11240"/>
          </w:cols>
          <w:pgMar w:left="320" w:top="1418" w:right="339" w:bottom="1440" w:gutter="0" w:footer="0" w:header="0"/>
        </w:sectPr>
      </w:pPr>
    </w:p>
    <w:bookmarkStart w:id="129" w:name="page130"/>
    <w:bookmarkEnd w:id="129"/>
    <w:p>
      <w:pPr>
        <w:spacing w:after="0" w:line="250" w:lineRule="auto"/>
        <w:rPr>
          <w:sz w:val="20"/>
          <w:szCs w:val="20"/>
          <w:color w:val="auto"/>
        </w:rPr>
      </w:pPr>
      <w:r>
        <w:rPr>
          <w:rFonts w:ascii="Times New Roman" w:cs="Times New Roman" w:eastAsia="Times New Roman" w:hAnsi="Times New Roman"/>
          <w:sz w:val="22"/>
          <w:szCs w:val="22"/>
          <w:color w:val="auto"/>
        </w:rPr>
        <w:t>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SECURITY IS TRANSFERRED A NOTICE SUBSTANTIALLY TO THE EFFECT OF THIS LEGEND. AS USED HEREIN, THE TERMS “OFFSHORE TRANSACTION,” “UNITED STATES” AND “U.S. PERSON” HAVE THE MEANING GIVEN TO THEM BY REGULATION S UNDER THE SECURITIES ACT.</w:t>
      </w:r>
    </w:p>
    <w:p>
      <w:pPr>
        <w:spacing w:after="0" w:line="18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In the case of notes sold pursuant to Regulation S, the notes will bear an additional legend substantially to the following effect unless otherwise agreed by the Issuer and the holder thereof:</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ectPr>
          <w:pgSz w:w="11900" w:h="16838" w:orient="portrait"/>
          <w:cols w:equalWidth="0" w:num="1">
            <w:col w:w="11000"/>
          </w:cols>
          <w:pgMar w:left="320" w:top="1422" w:right="579" w:bottom="1440" w:gutter="0" w:footer="0" w:header="0"/>
        </w:sectPr>
      </w:pPr>
    </w:p>
    <w:bookmarkStart w:id="130" w:name="page131"/>
    <w:bookmarkEnd w:id="130"/>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6.750% Senior Notes due 2033</w:t>
      </w:r>
    </w:p>
    <w:p>
      <w:pPr>
        <w:spacing w:after="0" w:line="224"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$__________</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CUSIP NO.</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ISIN</w:t>
      </w:r>
    </w:p>
    <w:p>
      <w:pPr>
        <w:spacing w:after="0" w:line="20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1"/>
          <w:szCs w:val="21"/>
          <w:color w:val="auto"/>
        </w:rPr>
        <w:t>Weatherford International Ltd. (including any successor thereto) promises to pay to [Cede &amp; Co.]</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or registered assigns, the principal sum of $[ </w:t>
      </w:r>
      <w:r>
        <w:rPr>
          <w:rFonts w:ascii="Arial" w:cs="Arial" w:eastAsia="Arial" w:hAnsi="Arial"/>
          <w:sz w:val="15"/>
          <w:szCs w:val="15"/>
          <w:b w:val="1"/>
          <w:bCs w:val="1"/>
          <w:color w:val="auto"/>
        </w:rPr>
        <w:t>ò</w:t>
      </w:r>
      <w:r>
        <w:rPr>
          <w:rFonts w:ascii="Times New Roman" w:cs="Times New Roman" w:eastAsia="Times New Roman" w:hAnsi="Times New Roman"/>
          <w:sz w:val="21"/>
          <w:szCs w:val="21"/>
          <w:color w:val="auto"/>
        </w:rPr>
        <w:t xml:space="preserve"> ] (_______________ UNITED STATES DOLLARS) [(as may be increased or decreased as set forth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Schedule of Increases and Decreases of 6.750% Senior Notes due 2033 attached hereto)]</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on October 15, 2033.</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Interest Payment Dates: April 15 and October 15, beginning April 15, 2026</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Record Dates: April 1 and October 1 (whether or not a Business Day).</w:t>
      </w:r>
    </w:p>
    <w:p>
      <w:pPr>
        <w:spacing w:after="0" w:line="220"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Reference is made to further provisions of this Note set forth on the reverse hereof, which further provisions shall for all purposes have the same effect as set forth at this place.</w:t>
      </w:r>
    </w:p>
    <w:p>
      <w:pPr>
        <w:spacing w:after="0" w:line="158"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the Trustee referred to on the reverse hereof by manual signature, this Note shall not be entitled to any benefits under the Indenture referred to on the reverse hereof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645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hanging="112"/>
        <w:spacing w:after="0"/>
        <w:tabs>
          <w:tab w:leader="none" w:pos="120" w:val="left"/>
        </w:tabs>
        <w:numPr>
          <w:ilvl w:val="0"/>
          <w:numId w:val="1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Global Notes only.</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Global Notes only.</w:t>
      </w:r>
    </w:p>
    <w:p>
      <w:pPr>
        <w:sectPr>
          <w:pgSz w:w="11900" w:h="16838" w:orient="portrait"/>
          <w:cols w:equalWidth="0" w:num="1">
            <w:col w:w="11240"/>
          </w:cols>
          <w:pgMar w:left="320" w:top="1440" w:right="339" w:bottom="1440" w:gutter="0" w:footer="0" w:header="0"/>
        </w:sectPr>
      </w:pPr>
    </w:p>
    <w:bookmarkStart w:id="131" w:name="page132"/>
    <w:bookmarkEnd w:id="131"/>
    <w:p>
      <w:pPr>
        <w:ind w:left="3900"/>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-13970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is one of the Notes referred to in the within-mentioned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UMB BANK, N.A.</w:t>
      </w:r>
      <w:r>
        <w:rPr>
          <w:rFonts w:ascii="Times New Roman" w:cs="Times New Roman" w:eastAsia="Times New Roman" w:hAnsi="Times New Roman"/>
          <w:sz w:val="22"/>
          <w:szCs w:val="22"/>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Signatory</w:t>
      </w:r>
    </w:p>
    <w:p>
      <w:pPr>
        <w:sectPr>
          <w:pgSz w:w="11900" w:h="16838" w:orient="portrait"/>
          <w:cols w:equalWidth="0" w:num="1">
            <w:col w:w="10139"/>
          </w:cols>
          <w:pgMar w:left="320" w:top="1422"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2"/>
          <w:szCs w:val="22"/>
          <w:color w:val="auto"/>
        </w:rPr>
        <w:t>(Reverse of 6.750% Senior Note)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6.750% Senior Notes due 2033</w:t>
      </w:r>
    </w:p>
    <w:p>
      <w:pPr>
        <w:spacing w:after="0" w:line="196"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Capitalized terms used herein have the meanings assigned to them in the Indenture referred to below unless otherwise indicated.</w:t>
      </w:r>
    </w:p>
    <w:p>
      <w:pPr>
        <w:spacing w:after="0" w:line="144" w:lineRule="exact"/>
        <w:rPr>
          <w:sz w:val="20"/>
          <w:szCs w:val="20"/>
          <w:color w:val="auto"/>
        </w:rPr>
      </w:pPr>
    </w:p>
    <w:p>
      <w:pPr>
        <w:ind w:right="60" w:firstLine="656"/>
        <w:spacing w:after="0" w:line="254" w:lineRule="auto"/>
        <w:tabs>
          <w:tab w:leader="none" w:pos="1116"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Weatherford International Ltd., a Bermuda exempted company limited by shares, and any successor thereto (the “</w:t>
      </w:r>
      <w:r>
        <w:rPr>
          <w:rFonts w:ascii="Times New Roman" w:cs="Times New Roman" w:eastAsia="Times New Roman" w:hAnsi="Times New Roman"/>
          <w:sz w:val="21"/>
          <w:szCs w:val="21"/>
          <w:i w:val="1"/>
          <w:iCs w:val="1"/>
          <w:color w:val="auto"/>
        </w:rPr>
        <w:t>Issuer</w:t>
      </w:r>
      <w:r>
        <w:rPr>
          <w:rFonts w:ascii="Times New Roman" w:cs="Times New Roman" w:eastAsia="Times New Roman" w:hAnsi="Times New Roman"/>
          <w:sz w:val="21"/>
          <w:szCs w:val="21"/>
          <w:color w:val="auto"/>
        </w:rPr>
        <w:t>”) promises to pay interest on the unpaid principal amount of this 6.750% Senior Note due 2033 (a “</w:t>
      </w:r>
      <w:r>
        <w:rPr>
          <w:rFonts w:ascii="Times New Roman" w:cs="Times New Roman" w:eastAsia="Times New Roman" w:hAnsi="Times New Roman"/>
          <w:sz w:val="21"/>
          <w:szCs w:val="21"/>
          <w:i w:val="1"/>
          <w:iCs w:val="1"/>
          <w:color w:val="auto"/>
        </w:rPr>
        <w:t>Note</w:t>
      </w:r>
      <w:r>
        <w:rPr>
          <w:rFonts w:ascii="Times New Roman" w:cs="Times New Roman" w:eastAsia="Times New Roman" w:hAnsi="Times New Roman"/>
          <w:sz w:val="21"/>
          <w:szCs w:val="21"/>
          <w:color w:val="auto"/>
        </w:rPr>
        <w:t>”) at a fixed rate of 6.750% per annum. The Issuer will pay interest in U.S. dollars semiannually in arrears on April 15 and October 15, commencing [April 15, 2026]</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i w:val="1"/>
          <w:iCs w:val="1"/>
          <w:color w:val="auto"/>
        </w:rPr>
        <w:t>Interest Payment Date</w:t>
      </w:r>
      <w:r>
        <w:rPr>
          <w:rFonts w:ascii="Times New Roman" w:cs="Times New Roman" w:eastAsia="Times New Roman" w:hAnsi="Times New Roman"/>
          <w:sz w:val="21"/>
          <w:szCs w:val="21"/>
          <w:color w:val="auto"/>
        </w:rPr>
        <w:t>”) or if any such day is not a Business Day, on the next succeeding Business Day with the same force and effect as if made on such Interest Payment Date, and no additional interest shall accrue solely as a result of such delayed payment. Interest on the Notes shall accrue from the most recent date to which interest has been paid, or, if no interest has been paid, from and including the date of issuance.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Interest shall be computed on the basis of a 360-day year comprised of twelve 30-day months.</w:t>
      </w:r>
    </w:p>
    <w:p>
      <w:pPr>
        <w:spacing w:after="0" w:line="180" w:lineRule="exact"/>
        <w:rPr>
          <w:rFonts w:ascii="Times New Roman" w:cs="Times New Roman" w:eastAsia="Times New Roman" w:hAnsi="Times New Roman"/>
          <w:sz w:val="21"/>
          <w:szCs w:val="21"/>
          <w:color w:val="auto"/>
        </w:rPr>
      </w:pPr>
    </w:p>
    <w:p>
      <w:pPr>
        <w:ind w:firstLine="656"/>
        <w:spacing w:after="0" w:line="248" w:lineRule="auto"/>
        <w:tabs>
          <w:tab w:leader="none" w:pos="111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xml:space="preserve">. The Issuer shall pay interest on the Notes on the applicable Interest Payment Date to the Persons who are registered Holders at the close of business on the April 1 and October 1 preceding the Interest Payment Date (whether or not a Business Day), even if such Notes are cancelled after such record date and on or before such Interest Payment Date, except as provided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of the Indenture with respect to defaulted interest. If a Holder of at least $5,000,000 aggregate principal amount of the Notes in physical, certificated form has given written wire transfer instructions to the Trustee at least ten Business Days prior to the applicable Interest Payment Date, the Issuer will make all payments of principal, premium, and interest, if any, on such Holder’s Notes by wire transfer of immediately available funds to the account in the United States specified in those instructions. Otherwise, payments on the Notes will be made at the office or agency of the Trustee or Paying Agent unless the Issuer elects to make interest payments by check mailed to the Holders at their addresses set forth in the register of Holders. Such payment shall be in such coin or currency of the United States of America as at the time of payment is legal tender for payment of public and private debts.</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Any payments of principal of this Note prior to Stated Maturity shall be binding upon all future Holders of this Note and of any Note issued upon the registration of transfer hereof or in exchange hereof or in lieu hereof, whether or not noted hereon. The final principal amount due and payable at the maturity of this Note shall be payable only upon presentation and surrender of this Note at the Corporate Trust Office of the Trustee or the Trustee’s agent appointed for such purposes. Payments in respect of Global Notes will be made by wire transfer of immediately available funds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64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19" w:lineRule="exact"/>
        <w:rPr>
          <w:sz w:val="20"/>
          <w:szCs w:val="20"/>
          <w:color w:val="auto"/>
        </w:rPr>
      </w:pPr>
    </w:p>
    <w:p>
      <w:pPr>
        <w:ind w:left="120" w:hanging="112"/>
        <w:spacing w:after="0"/>
        <w:tabs>
          <w:tab w:leader="none" w:pos="120" w:val="left"/>
        </w:tabs>
        <w:numPr>
          <w:ilvl w:val="0"/>
          <w:numId w:val="1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With respect to the Initial Notes.</w:t>
      </w:r>
    </w:p>
    <w:p>
      <w:pPr>
        <w:sectPr>
          <w:pgSz w:w="11900" w:h="16838" w:orient="portrait"/>
          <w:cols w:equalWidth="0" w:num="1">
            <w:col w:w="11220"/>
          </w:cols>
          <w:pgMar w:left="320" w:top="1421" w:right="359" w:bottom="1440" w:gutter="0" w:footer="0" w:header="0"/>
        </w:sectPr>
      </w:pPr>
    </w:p>
    <w:bookmarkStart w:id="133" w:name="page134"/>
    <w:bookmarkEnd w:id="133"/>
    <w:p>
      <w:pPr>
        <w:jc w:val="both"/>
        <w:ind w:right="300" w:firstLine="656"/>
        <w:spacing w:after="0" w:line="257" w:lineRule="auto"/>
        <w:tabs>
          <w:tab w:leader="none" w:pos="111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Paying Agent and Registrar</w:t>
      </w:r>
      <w:r>
        <w:rPr>
          <w:rFonts w:ascii="Times New Roman" w:cs="Times New Roman" w:eastAsia="Times New Roman" w:hAnsi="Times New Roman"/>
          <w:sz w:val="22"/>
          <w:szCs w:val="22"/>
          <w:color w:val="auto"/>
        </w:rPr>
        <w:t>. Initially, the Trustee shall act as Paying Agent and Registrar. The Issuer may change any Paying Agent or Registrar without prior notice to any Holder, and the Issuer and/or any Restricted Subsidiaries may act as Paying Agent or Registrar.</w:t>
      </w:r>
    </w:p>
    <w:p>
      <w:pPr>
        <w:spacing w:after="0" w:line="182" w:lineRule="exact"/>
        <w:rPr>
          <w:rFonts w:ascii="Times New Roman" w:cs="Times New Roman" w:eastAsia="Times New Roman" w:hAnsi="Times New Roman"/>
          <w:sz w:val="22"/>
          <w:szCs w:val="22"/>
          <w:color w:val="auto"/>
        </w:rPr>
      </w:pPr>
    </w:p>
    <w:p>
      <w:pPr>
        <w:ind w:right="40" w:firstLine="656"/>
        <w:spacing w:after="0" w:line="252" w:lineRule="auto"/>
        <w:tabs>
          <w:tab w:leader="none" w:pos="111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Issuer issued the Notes under an Indenture, dated as of October 6, 2025 (the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among the Issuer, the Guarantors thereto and the Trustee. The terms of the Notes include those stated in the Indenture. To the extent the provisions of this Note are inconsistent with the provisions of the Indenture, the Indenture shall govern. The Notes are subject to all such terms, and Holders are referred to the Indenture for a statement of such terms. The Initial Notes issued on the Issue Date were initially issued in an aggregate principal amount of $1,200,000,000. The Indenture permits the issuance of Additional Notes subject to compliance with certain conditions.</w:t>
      </w:r>
    </w:p>
    <w:p>
      <w:pPr>
        <w:spacing w:after="0" w:line="179" w:lineRule="exact"/>
        <w:rPr>
          <w:sz w:val="20"/>
          <w:szCs w:val="20"/>
          <w:color w:val="auto"/>
        </w:rPr>
      </w:pPr>
    </w:p>
    <w:p>
      <w:pPr>
        <w:ind w:right="900" w:firstLine="648"/>
        <w:spacing w:after="0" w:line="271" w:lineRule="auto"/>
        <w:rPr>
          <w:sz w:val="20"/>
          <w:szCs w:val="20"/>
          <w:color w:val="auto"/>
        </w:rPr>
      </w:pPr>
      <w:r>
        <w:rPr>
          <w:rFonts w:ascii="Times New Roman" w:cs="Times New Roman" w:eastAsia="Times New Roman" w:hAnsi="Times New Roman"/>
          <w:sz w:val="22"/>
          <w:szCs w:val="22"/>
          <w:color w:val="auto"/>
        </w:rPr>
        <w:t>The payment of principal and interest on the Notes and all other amounts under the Indenture is unconditionally guaranteed, jointly and severally, on a senior unsecured basis by the Guarantors.</w:t>
      </w:r>
    </w:p>
    <w:p>
      <w:pPr>
        <w:spacing w:after="0" w:line="158" w:lineRule="exact"/>
        <w:rPr>
          <w:sz w:val="20"/>
          <w:szCs w:val="20"/>
          <w:color w:val="auto"/>
        </w:rPr>
      </w:pPr>
    </w:p>
    <w:p>
      <w:pPr>
        <w:jc w:val="both"/>
        <w:ind w:right="220" w:firstLine="656"/>
        <w:spacing w:after="0" w:line="257" w:lineRule="auto"/>
        <w:tabs>
          <w:tab w:leader="none" w:pos="111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and Repurchase</w:t>
      </w:r>
      <w:r>
        <w:rPr>
          <w:rFonts w:ascii="Times New Roman" w:cs="Times New Roman" w:eastAsia="Times New Roman" w:hAnsi="Times New Roman"/>
          <w:sz w:val="22"/>
          <w:szCs w:val="22"/>
          <w:color w:val="auto"/>
        </w:rPr>
        <w:t>. The Notes are subject to optional redemption, a Net Proceeds Offer and a Change of Control Offer, as further described in the Indenture. The Issuer shall not be required to make mandatory redemption or sinking fund payments with respect to Notes.</w:t>
      </w:r>
    </w:p>
    <w:p>
      <w:pPr>
        <w:spacing w:after="0" w:line="186" w:lineRule="exact"/>
        <w:rPr>
          <w:rFonts w:ascii="Times New Roman" w:cs="Times New Roman" w:eastAsia="Times New Roman" w:hAnsi="Times New Roman"/>
          <w:sz w:val="22"/>
          <w:szCs w:val="22"/>
          <w:color w:val="auto"/>
        </w:rPr>
      </w:pPr>
    </w:p>
    <w:p>
      <w:pPr>
        <w:ind w:right="900" w:firstLine="656"/>
        <w:spacing w:after="0" w:line="271" w:lineRule="auto"/>
        <w:tabs>
          <w:tab w:leader="none" w:pos="111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Denominations, Transfer, Exchange</w:t>
      </w:r>
      <w:r>
        <w:rPr>
          <w:rFonts w:ascii="Times New Roman" w:cs="Times New Roman" w:eastAsia="Times New Roman" w:hAnsi="Times New Roman"/>
          <w:sz w:val="22"/>
          <w:szCs w:val="22"/>
          <w:color w:val="auto"/>
        </w:rPr>
        <w:t>. The Notes are in registered form without coupons in initial minimum denominations of $2,000 and integral multiples of $1,000 in excess thereof.</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The transfer of the Notes may be registered and the Notes may be exchanged as provided in the Indenture. The Registrar, the Trustee and the Issuer may require a Holder, among other things, to furnish appropriate endorsements and transfer documents, and the Issuer may require a Holder to pay any stamp or transfer tax or similar government charge required by law or permitted by the Indenture in accordance with </w:t>
      </w:r>
      <w:r>
        <w:rPr>
          <w:rFonts w:ascii="Times New Roman" w:cs="Times New Roman" w:eastAsia="Times New Roman" w:hAnsi="Times New Roman"/>
          <w:sz w:val="21"/>
          <w:szCs w:val="21"/>
          <w:u w:val="single" w:color="auto"/>
          <w:color w:val="auto"/>
        </w:rPr>
        <w:t>Section 2.6(g)(2)</w:t>
      </w:r>
      <w:r>
        <w:rPr>
          <w:rFonts w:ascii="Times New Roman" w:cs="Times New Roman" w:eastAsia="Times New Roman" w:hAnsi="Times New Roman"/>
          <w:sz w:val="21"/>
          <w:szCs w:val="21"/>
          <w:color w:val="auto"/>
        </w:rPr>
        <w:t xml:space="preserve"> of the Indenture. The Registrar is not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86" w:lineRule="exact"/>
        <w:rPr>
          <w:sz w:val="20"/>
          <w:szCs w:val="20"/>
          <w:color w:val="auto"/>
        </w:rPr>
      </w:pPr>
    </w:p>
    <w:p>
      <w:pPr>
        <w:ind w:left="1120" w:hanging="464"/>
        <w:spacing w:after="0"/>
        <w:tabs>
          <w:tab w:leader="none" w:pos="11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Deemed Owners</w:t>
      </w:r>
      <w:r>
        <w:rPr>
          <w:rFonts w:ascii="Times New Roman" w:cs="Times New Roman" w:eastAsia="Times New Roman" w:hAnsi="Times New Roman"/>
          <w:sz w:val="22"/>
          <w:szCs w:val="22"/>
          <w:color w:val="auto"/>
        </w:rPr>
        <w:t>. The registered Holder of a Note will be treated as its owner for all purposes.</w:t>
      </w:r>
    </w:p>
    <w:p>
      <w:pPr>
        <w:spacing w:after="0" w:line="219" w:lineRule="exact"/>
        <w:rPr>
          <w:rFonts w:ascii="Times New Roman" w:cs="Times New Roman" w:eastAsia="Times New Roman" w:hAnsi="Times New Roman"/>
          <w:sz w:val="22"/>
          <w:szCs w:val="22"/>
          <w:color w:val="auto"/>
        </w:rPr>
      </w:pPr>
    </w:p>
    <w:p>
      <w:pPr>
        <w:ind w:right="1140" w:firstLine="656"/>
        <w:spacing w:after="0" w:line="295" w:lineRule="auto"/>
        <w:tabs>
          <w:tab w:leader="none" w:pos="111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Supplement and Waiver</w:t>
      </w:r>
      <w:r>
        <w:rPr>
          <w:rFonts w:ascii="Times New Roman" w:cs="Times New Roman" w:eastAsia="Times New Roman" w:hAnsi="Times New Roman"/>
          <w:sz w:val="21"/>
          <w:szCs w:val="21"/>
          <w:color w:val="auto"/>
        </w:rPr>
        <w:t>. The Indenture, the Notes and the Guarantees may be amended or supplemented, and compliance with provisions thereof may be waived, in each case as provided in the Indenture.</w:t>
      </w:r>
    </w:p>
    <w:p>
      <w:pPr>
        <w:sectPr>
          <w:pgSz w:w="11900" w:h="16838" w:orient="portrait"/>
          <w:cols w:equalWidth="0" w:num="1">
            <w:col w:w="11220"/>
          </w:cols>
          <w:pgMar w:left="320" w:top="1421" w:right="359" w:bottom="1440" w:gutter="0" w:footer="0" w:header="0"/>
        </w:sectPr>
      </w:pPr>
    </w:p>
    <w:bookmarkStart w:id="134" w:name="page135"/>
    <w:bookmarkEnd w:id="134"/>
    <w:p>
      <w:pPr>
        <w:ind w:left="464" w:hanging="464"/>
        <w:spacing w:after="0"/>
        <w:tabs>
          <w:tab w:leader="none" w:pos="4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and Remedies</w:t>
      </w:r>
      <w:r>
        <w:rPr>
          <w:rFonts w:ascii="Times New Roman" w:cs="Times New Roman" w:eastAsia="Times New Roman" w:hAnsi="Times New Roman"/>
          <w:sz w:val="22"/>
          <w:szCs w:val="22"/>
          <w:color w:val="auto"/>
        </w:rPr>
        <w:t>. The remedies of Holders in the event of a Default are as set forth in the Indenture.</w:t>
      </w:r>
    </w:p>
    <w:p>
      <w:pPr>
        <w:spacing w:after="0" w:line="219" w:lineRule="exact"/>
        <w:rPr>
          <w:rFonts w:ascii="Times New Roman" w:cs="Times New Roman" w:eastAsia="Times New Roman" w:hAnsi="Times New Roman"/>
          <w:sz w:val="22"/>
          <w:szCs w:val="22"/>
          <w:color w:val="auto"/>
        </w:rPr>
      </w:pPr>
    </w:p>
    <w:p>
      <w:pPr>
        <w:ind w:left="-656" w:right="20" w:firstLine="656"/>
        <w:spacing w:after="0" w:line="268" w:lineRule="auto"/>
        <w:tabs>
          <w:tab w:leader="none" w:pos="56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Recourse Against Others</w:t>
      </w:r>
      <w:r>
        <w:rPr>
          <w:rFonts w:ascii="Times New Roman" w:cs="Times New Roman" w:eastAsia="Times New Roman" w:hAnsi="Times New Roman"/>
          <w:sz w:val="21"/>
          <w:szCs w:val="21"/>
          <w:color w:val="auto"/>
        </w:rPr>
        <w:t>. No director, officer, employee, incorporator or stockholder, shareholder, partner or member of the Issuer or any Guarantor, as such, will have any liability for any indebtedness, obligations or liabilities of the Issuer under the Notes or the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 to the extent permitted by applicable law.</w:t>
      </w:r>
    </w:p>
    <w:p>
      <w:pPr>
        <w:spacing w:after="0" w:line="163" w:lineRule="exact"/>
        <w:rPr>
          <w:rFonts w:ascii="Times New Roman" w:cs="Times New Roman" w:eastAsia="Times New Roman" w:hAnsi="Times New Roman"/>
          <w:sz w:val="21"/>
          <w:szCs w:val="21"/>
          <w:color w:val="auto"/>
        </w:rPr>
      </w:pPr>
    </w:p>
    <w:p>
      <w:pPr>
        <w:ind w:left="-656" w:right="720" w:firstLine="656"/>
        <w:spacing w:after="0" w:line="271" w:lineRule="auto"/>
        <w:tabs>
          <w:tab w:leader="none" w:pos="5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Authentication</w:t>
      </w:r>
      <w:r>
        <w:rPr>
          <w:rFonts w:ascii="Times New Roman" w:cs="Times New Roman" w:eastAsia="Times New Roman" w:hAnsi="Times New Roman"/>
          <w:sz w:val="22"/>
          <w:szCs w:val="22"/>
          <w:color w:val="auto"/>
        </w:rPr>
        <w:t>. This Note shall not be valid until authenticated by the manual signature of the Trustee or an authenticating agent.</w:t>
      </w:r>
    </w:p>
    <w:p>
      <w:pPr>
        <w:spacing w:after="0" w:line="171" w:lineRule="exact"/>
        <w:rPr>
          <w:rFonts w:ascii="Times New Roman" w:cs="Times New Roman" w:eastAsia="Times New Roman" w:hAnsi="Times New Roman"/>
          <w:sz w:val="22"/>
          <w:szCs w:val="22"/>
          <w:color w:val="auto"/>
        </w:rPr>
      </w:pPr>
    </w:p>
    <w:p>
      <w:pPr>
        <w:ind w:left="-656" w:right="180" w:firstLine="656"/>
        <w:spacing w:after="0" w:line="257" w:lineRule="auto"/>
        <w:tabs>
          <w:tab w:leader="none" w:pos="56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Abbreviations</w:t>
      </w:r>
      <w:r>
        <w:rPr>
          <w:rFonts w:ascii="Times New Roman" w:cs="Times New Roman" w:eastAsia="Times New Roman" w:hAnsi="Times New Roman"/>
          <w:sz w:val="22"/>
          <w:szCs w:val="22"/>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2"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56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CUSIP Numbers</w:t>
      </w:r>
      <w:r>
        <w:rPr>
          <w:rFonts w:ascii="Times New Roman" w:cs="Times New Roman" w:eastAsia="Times New Roman" w:hAnsi="Times New Roman"/>
          <w:sz w:val="22"/>
          <w:szCs w:val="22"/>
          <w:color w:val="auto"/>
        </w:rPr>
        <w:t>. Pursuant to a recommendation promulgated by the Committee on Uniform Security Identification Procedures, the Issuer has caused CUSIP numbers to be printed on the Notes, and the Trustee may use CUSIP numbers in notices of redemption as a convenience to the Holders. No representation is made as to the accuracy of such numbers either as printed on the Notes or as contained in any notice of redemption, and reliance may be placed only on the other identification numbers placed thereon.</w:t>
      </w:r>
    </w:p>
    <w:p>
      <w:pPr>
        <w:sectPr>
          <w:pgSz w:w="11900" w:h="16838" w:orient="portrait"/>
          <w:cols w:equalWidth="0" w:num="1">
            <w:col w:w="10584"/>
          </w:cols>
          <w:pgMar w:left="976" w:top="1421"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irrevocably appoint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transfer this Note on the books of the Issuer. The agent may 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Your Signature:</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(Sign exactly as your name</w:t>
      </w:r>
    </w:p>
    <w:p>
      <w:pPr>
        <w:spacing w:after="0" w:line="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appears on the face of this Note)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ectPr>
          <w:pgSz w:w="11900" w:h="16838" w:orient="portrait"/>
          <w:cols w:equalWidth="0" w:num="1">
            <w:col w:w="10139"/>
          </w:cols>
          <w:pgMar w:left="320" w:top="1421" w:right="1440" w:bottom="1440" w:gutter="0" w:footer="0" w:header="0"/>
        </w:sectPr>
      </w:pPr>
    </w:p>
    <w:bookmarkStart w:id="136" w:name="page137"/>
    <w:bookmarkEnd w:id="136"/>
    <w:p>
      <w:pPr>
        <w:jc w:val="center"/>
        <w:ind w:right="-219"/>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If you want to elect to have this Note purchased by the Issuer pursuant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of the Indenture, check the box below:</w:t>
      </w:r>
    </w:p>
    <w:p>
      <w:pPr>
        <w:spacing w:after="0" w:line="171" w:lineRule="exact"/>
        <w:rPr>
          <w:sz w:val="20"/>
          <w:szCs w:val="20"/>
          <w:color w:val="auto"/>
        </w:rPr>
      </w:pPr>
    </w:p>
    <w:p>
      <w:pPr>
        <w:jc w:val="center"/>
        <w:ind w:right="-199"/>
        <w:spacing w:after="0"/>
        <w:tabs>
          <w:tab w:leader="none" w:pos="200" w:val="left"/>
        </w:tabs>
        <w:rPr>
          <w:sz w:val="20"/>
          <w:szCs w:val="20"/>
          <w:color w:val="auto"/>
        </w:rPr>
      </w:pPr>
      <w:r>
        <w:rPr>
          <w:rFonts w:ascii="Times New Roman" w:cs="Times New Roman" w:eastAsia="Times New Roman" w:hAnsi="Times New Roman"/>
          <w:sz w:val="22"/>
          <w:szCs w:val="22"/>
          <w:color w:val="auto"/>
        </w:rPr>
        <w:t>[ ] Section 4.10</w:t>
      </w:r>
      <w:r>
        <w:rPr>
          <w:sz w:val="20"/>
          <w:szCs w:val="20"/>
          <w:color w:val="auto"/>
        </w:rPr>
        <w:tab/>
      </w:r>
      <w:r>
        <w:rPr>
          <w:rFonts w:ascii="Times New Roman" w:cs="Times New Roman" w:eastAsia="Times New Roman" w:hAnsi="Times New Roman"/>
          <w:sz w:val="21"/>
          <w:szCs w:val="21"/>
          <w:color w:val="auto"/>
        </w:rPr>
        <w:t>[ ] Section 4.13</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If you want to elect to have only part of the Note purchased by the Issuer pursuant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xml:space="preserve"> of the Indenture, state the amount you elect to have purchased: $_____________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Your Signature:</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(Sign exactly as your name</w:t>
      </w:r>
    </w:p>
    <w:p>
      <w:pPr>
        <w:spacing w:after="0" w:line="1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appears on the face of this Note)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ectPr>
          <w:pgSz w:w="11900" w:h="16838" w:orient="portrait"/>
          <w:cols w:equalWidth="0" w:num="1">
            <w:col w:w="11040"/>
          </w:cols>
          <w:pgMar w:left="320" w:top="1421" w:right="539" w:bottom="1440" w:gutter="0" w:footer="0" w:header="0"/>
        </w:sectPr>
      </w:pPr>
    </w:p>
    <w:bookmarkStart w:id="137" w:name="page138"/>
    <w:bookmarkEnd w:id="137"/>
    <w:p>
      <w:pPr>
        <w:ind w:left="3300"/>
        <w:spacing w:after="0"/>
        <w:rPr>
          <w:sz w:val="20"/>
          <w:szCs w:val="20"/>
          <w:color w:val="auto"/>
        </w:rPr>
      </w:pPr>
      <w:r>
        <w:rPr>
          <w:rFonts w:ascii="Times New Roman" w:cs="Times New Roman" w:eastAsia="Times New Roman" w:hAnsi="Times New Roman"/>
          <w:sz w:val="22"/>
          <w:szCs w:val="22"/>
          <w:color w:val="auto"/>
        </w:rPr>
        <w:t>[INCLUDE IN TRANSFER RESTRICTED NOTES]</w:t>
      </w:r>
    </w:p>
    <w:p>
      <w:pPr>
        <w:spacing w:after="0" w:line="2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CERTIFICATE TO BE DELIVERED UPON</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EXCHANGE OF TRANSFER RESTRICTED NOTES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Weatherford International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Weatherford Notes Administrator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CUSIP NO.</w:t>
      </w:r>
    </w:p>
    <w:p>
      <w:pPr>
        <w:spacing w:after="0" w:line="216" w:lineRule="exact"/>
        <w:rPr>
          <w:sz w:val="20"/>
          <w:szCs w:val="20"/>
          <w:color w:val="auto"/>
        </w:rPr>
      </w:pPr>
    </w:p>
    <w:p>
      <w:pPr>
        <w:ind w:right="340" w:firstLine="648"/>
        <w:spacing w:after="0" w:line="265" w:lineRule="auto"/>
        <w:rPr>
          <w:sz w:val="20"/>
          <w:szCs w:val="20"/>
          <w:color w:val="auto"/>
        </w:rPr>
      </w:pPr>
      <w:r>
        <w:rPr>
          <w:rFonts w:ascii="Times New Roman" w:cs="Times New Roman" w:eastAsia="Times New Roman" w:hAnsi="Times New Roman"/>
          <w:sz w:val="22"/>
          <w:szCs w:val="22"/>
          <w:color w:val="auto"/>
        </w:rPr>
        <w:t>Reference is hereby made to that certain Indenture dated October 6, 2025 (the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among Weatherford International Ltd.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the guarantors named therein, and UMB Bank, N.A., as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Capitalized terms used but not defined herein have the meanings set forth in the Indenture.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certificate relates to $___________ principal amount of Notes held in (check applicable space) ___________ book-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entry or ___________ definitive form by the undersigned.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______________ (transferor) (check one box below):</w:t>
      </w:r>
    </w:p>
    <w:p>
      <w:pPr>
        <w:spacing w:after="0" w:line="220" w:lineRule="exact"/>
        <w:rPr>
          <w:sz w:val="20"/>
          <w:szCs w:val="20"/>
          <w:color w:val="auto"/>
        </w:rPr>
      </w:pPr>
    </w:p>
    <w:p>
      <w:pPr>
        <w:ind w:left="660" w:right="100" w:hanging="652"/>
        <w:spacing w:after="0" w:line="256" w:lineRule="auto"/>
        <w:tabs>
          <w:tab w:leader="none" w:pos="441" w:val="left"/>
        </w:tabs>
        <w:numPr>
          <w:ilvl w:val="0"/>
          <w:numId w:val="17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of the Indenture;</w:t>
      </w:r>
    </w:p>
    <w:p>
      <w:pPr>
        <w:spacing w:after="0" w:line="176" w:lineRule="exact"/>
        <w:rPr>
          <w:rFonts w:ascii="MS PGothic" w:cs="MS PGothic" w:eastAsia="MS PGothic" w:hAnsi="MS PGothic"/>
          <w:sz w:val="22"/>
          <w:szCs w:val="22"/>
          <w:color w:val="auto"/>
        </w:rPr>
      </w:pPr>
    </w:p>
    <w:p>
      <w:pPr>
        <w:ind w:left="440" w:hanging="432"/>
        <w:spacing w:after="0"/>
        <w:tabs>
          <w:tab w:leader="none" w:pos="440" w:val="left"/>
        </w:tabs>
        <w:numPr>
          <w:ilvl w:val="0"/>
          <w:numId w:val="17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hereby requests the Trustee to exchange a Note or Notes to ______________ (transferee).</w:t>
      </w:r>
    </w:p>
    <w:p>
      <w:pPr>
        <w:spacing w:after="0" w:line="220" w:lineRule="exact"/>
        <w:rPr>
          <w:sz w:val="20"/>
          <w:szCs w:val="20"/>
          <w:color w:val="auto"/>
        </w:rPr>
      </w:pPr>
    </w:p>
    <w:p>
      <w:pPr>
        <w:jc w:val="both"/>
        <w:ind w:right="160" w:firstLine="648"/>
        <w:spacing w:after="0" w:line="263" w:lineRule="auto"/>
        <w:rPr>
          <w:sz w:val="20"/>
          <w:szCs w:val="20"/>
          <w:color w:val="auto"/>
        </w:rPr>
      </w:pPr>
      <w:r>
        <w:rPr>
          <w:rFonts w:ascii="Times New Roman" w:cs="Times New Roman" w:eastAsia="Times New Roman" w:hAnsi="Times New Roman"/>
          <w:sz w:val="22"/>
          <w:szCs w:val="22"/>
          <w:color w:val="auto"/>
        </w:rPr>
        <w:t>In connection with any transfer of any of the Notes evidenced by this certificate occurring prior to the expiration of the periods referred to in Rule 144(d) under the Securities Act of 1933, as amended, the undersigned confirms that such Notes are being transferred in accordance with its terms:</w:t>
      </w:r>
    </w:p>
    <w:p>
      <w:pPr>
        <w:sectPr>
          <w:pgSz w:w="11900" w:h="16838" w:orient="portrait"/>
          <w:cols w:equalWidth="0" w:num="1">
            <w:col w:w="11080"/>
          </w:cols>
          <w:pgMar w:left="320" w:top="1421"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b w:val="1"/>
          <w:bCs w:val="1"/>
          <w:color w:val="auto"/>
        </w:rPr>
        <w:t>CHECK ONE BOX BELOW</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120" w:hanging="464"/>
        <w:spacing w:after="0" w:line="253" w:lineRule="exact"/>
        <w:tabs>
          <w:tab w:leader="none" w:pos="1120" w:val="left"/>
        </w:tabs>
        <w:numPr>
          <w:ilvl w:val="0"/>
          <w:numId w:val="17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to the Issuer or any of its subsidiaries; or</w:t>
      </w:r>
    </w:p>
    <w:p>
      <w:pPr>
        <w:spacing w:after="0" w:line="219" w:lineRule="exact"/>
        <w:rPr>
          <w:rFonts w:ascii="Times New Roman" w:cs="Times New Roman" w:eastAsia="Times New Roman" w:hAnsi="Times New Roman"/>
          <w:sz w:val="22"/>
          <w:szCs w:val="22"/>
          <w:color w:val="auto"/>
        </w:rPr>
      </w:pPr>
    </w:p>
    <w:p>
      <w:pPr>
        <w:ind w:left="1120" w:hanging="464"/>
        <w:spacing w:after="0" w:line="242" w:lineRule="exact"/>
        <w:tabs>
          <w:tab w:leader="none" w:pos="1120" w:val="left"/>
        </w:tabs>
        <w:numPr>
          <w:ilvl w:val="0"/>
          <w:numId w:val="174"/>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pursuant to a registration statement that has been declared effective under the Securities Act of 1933, as amended;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48" w:lineRule="exact"/>
        <w:rPr>
          <w:sz w:val="20"/>
          <w:szCs w:val="20"/>
          <w:color w:val="auto"/>
        </w:rPr>
      </w:pPr>
    </w:p>
    <w:p>
      <w:pPr>
        <w:ind w:right="200" w:firstLine="656"/>
        <w:spacing w:after="0" w:line="275" w:lineRule="exact"/>
        <w:tabs>
          <w:tab w:leader="none" w:pos="1116" w:val="left"/>
        </w:tabs>
        <w:numPr>
          <w:ilvl w:val="0"/>
          <w:numId w:val="17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159" w:lineRule="exact"/>
        <w:rPr>
          <w:rFonts w:ascii="Times New Roman" w:cs="Times New Roman" w:eastAsia="Times New Roman" w:hAnsi="Times New Roman"/>
          <w:sz w:val="22"/>
          <w:szCs w:val="22"/>
          <w:color w:val="auto"/>
        </w:rPr>
      </w:pPr>
    </w:p>
    <w:p>
      <w:pPr>
        <w:ind w:right="180" w:firstLine="656"/>
        <w:spacing w:after="0" w:line="294" w:lineRule="exact"/>
        <w:tabs>
          <w:tab w:leader="none" w:pos="1116" w:val="left"/>
        </w:tabs>
        <w:numPr>
          <w:ilvl w:val="0"/>
          <w:numId w:val="17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outside the United States in an offshore transaction within the meaning of Regulation S under the Securities Act of 1933, as amended, in compliance with Rule 904 thereunder; or</w:t>
      </w:r>
    </w:p>
    <w:p>
      <w:pPr>
        <w:spacing w:after="0" w:line="142" w:lineRule="exact"/>
        <w:rPr>
          <w:rFonts w:ascii="Times New Roman" w:cs="Times New Roman" w:eastAsia="Times New Roman" w:hAnsi="Times New Roman"/>
          <w:sz w:val="22"/>
          <w:szCs w:val="22"/>
          <w:color w:val="auto"/>
        </w:rPr>
      </w:pPr>
    </w:p>
    <w:p>
      <w:pPr>
        <w:jc w:val="both"/>
        <w:ind w:right="600" w:firstLine="656"/>
        <w:spacing w:after="0" w:line="281" w:lineRule="exact"/>
        <w:tabs>
          <w:tab w:leader="none" w:pos="1116" w:val="left"/>
        </w:tabs>
        <w:numPr>
          <w:ilvl w:val="0"/>
          <w:numId w:val="17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144" w:lineRule="exact"/>
        <w:rPr>
          <w:rFonts w:ascii="Times New Roman" w:cs="Times New Roman" w:eastAsia="Times New Roman" w:hAnsi="Times New Roman"/>
          <w:sz w:val="22"/>
          <w:szCs w:val="22"/>
          <w:color w:val="auto"/>
        </w:rPr>
      </w:pPr>
    </w:p>
    <w:p>
      <w:pPr>
        <w:ind w:left="1120" w:hanging="464"/>
        <w:spacing w:after="0" w:line="253" w:lineRule="exact"/>
        <w:tabs>
          <w:tab w:leader="none" w:pos="1120" w:val="left"/>
        </w:tabs>
        <w:numPr>
          <w:ilvl w:val="0"/>
          <w:numId w:val="17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pursuant to another available exemption from the registration requirements of the Securities Act of 1933, as</w:t>
      </w:r>
    </w:p>
    <w:p>
      <w:pPr>
        <w:spacing w:after="0" w:line="8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w:t>
      </w:r>
    </w:p>
    <w:p>
      <w:pPr>
        <w:spacing w:after="0" w:line="196"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Unless one of the boxes is checked, the Registrar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246380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-13970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600" w:right="560"/>
        <w:spacing w:after="0" w:line="248" w:lineRule="auto"/>
        <w:rPr>
          <w:sz w:val="20"/>
          <w:szCs w:val="20"/>
          <w:color w:val="auto"/>
        </w:rPr>
      </w:pPr>
      <w:r>
        <w:rPr>
          <w:rFonts w:ascii="Times New Roman" w:cs="Times New Roman" w:eastAsia="Times New Roman" w:hAnsi="Times New Roman"/>
          <w:sz w:val="22"/>
          <w:szCs w:val="22"/>
          <w:color w:val="auto"/>
        </w:rPr>
        <w:t>(Signature must be guaranteed by a participant in a recognized signature guarantee medallion program)</w:t>
      </w:r>
    </w:p>
    <w:p>
      <w:pPr>
        <w:spacing w:after="0" w:line="1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TO BE COMPLETED BY PURCHASER IF (2) ABOVE IS CHECKED.</w:t>
      </w:r>
    </w:p>
    <w:p>
      <w:pPr>
        <w:spacing w:after="0" w:line="220"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Times New Roman" w:cs="Times New Roman" w:eastAsia="Times New Roman" w:hAnsi="Times New Roman"/>
          <w:sz w:val="22"/>
          <w:szCs w:val="22"/>
          <w:i w:val="1"/>
          <w:iCs w:val="1"/>
          <w:color w:val="auto"/>
        </w:rPr>
        <w:t>Rule 144A</w:t>
      </w:r>
      <w:r>
        <w:rPr>
          <w:rFonts w:ascii="Times New Roman" w:cs="Times New Roman" w:eastAsia="Times New Roman" w:hAnsi="Times New Roman"/>
          <w:sz w:val="22"/>
          <w:szCs w:val="22"/>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ectPr>
          <w:pgSz w:w="11900" w:h="16838" w:orient="portrait"/>
          <w:cols w:equalWidth="0" w:num="1">
            <w:col w:w="11220"/>
          </w:cols>
          <w:pgMar w:left="320" w:top="1417" w:right="359" w:bottom="1440" w:gutter="0" w:footer="0" w:header="0"/>
        </w:sectPr>
      </w:pPr>
    </w:p>
    <w:bookmarkStart w:id="139" w:name="page140"/>
    <w:bookmarkEnd w:id="139"/>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304800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22"/>
          <w:szCs w:val="22"/>
          <w:color w:val="auto"/>
        </w:rPr>
        <w:t>NOTICE: To be executed by an executive officer, if an entity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w:t>
      </w:r>
    </w:p>
    <w:p>
      <w:pPr>
        <w:sectPr>
          <w:pgSz w:w="11900" w:h="16838" w:orient="portrait"/>
          <w:cols w:equalWidth="0" w:num="1">
            <w:col w:w="10139"/>
          </w:cols>
          <w:pgMar w:left="320" w:top="1417" w:right="1440" w:bottom="1440" w:gutter="0" w:footer="0" w:header="0"/>
        </w:sectPr>
      </w:pPr>
    </w:p>
    <w:bookmarkStart w:id="140" w:name="page141"/>
    <w:bookmarkEnd w:id="140"/>
    <w:p>
      <w:pPr>
        <w:ind w:left="2560"/>
        <w:spacing w:after="0"/>
        <w:rPr>
          <w:sz w:val="20"/>
          <w:szCs w:val="20"/>
          <w:color w:val="auto"/>
        </w:rPr>
      </w:pPr>
      <w:r>
        <w:rPr>
          <w:rFonts w:ascii="Times New Roman" w:cs="Times New Roman" w:eastAsia="Times New Roman" w:hAnsi="Times New Roman"/>
          <w:sz w:val="22"/>
          <w:szCs w:val="22"/>
          <w:color w:val="auto"/>
        </w:rPr>
        <w:t>[INCLUDE IN NOTES BEARING THE REGULATION S LEGEND]</w:t>
      </w:r>
    </w:p>
    <w:p>
      <w:pPr>
        <w:spacing w:after="0" w:line="2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CERTIFICATE TO BE DELIVERED UPON</w:t>
      </w:r>
    </w:p>
    <w:p>
      <w:pPr>
        <w:spacing w:after="0" w:line="2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EXCHANGE OF NOTES BEARING THE REGULATION S LEGEND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Weatherford International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Weatherford Notes Administrator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CUSIP NO.</w:t>
      </w:r>
    </w:p>
    <w:p>
      <w:pPr>
        <w:spacing w:after="0" w:line="216" w:lineRule="exact"/>
        <w:rPr>
          <w:sz w:val="20"/>
          <w:szCs w:val="20"/>
          <w:color w:val="auto"/>
        </w:rPr>
      </w:pPr>
    </w:p>
    <w:p>
      <w:pPr>
        <w:ind w:right="480" w:firstLine="648"/>
        <w:spacing w:after="0" w:line="265" w:lineRule="auto"/>
        <w:rPr>
          <w:sz w:val="20"/>
          <w:szCs w:val="20"/>
          <w:color w:val="auto"/>
        </w:rPr>
      </w:pPr>
      <w:r>
        <w:rPr>
          <w:rFonts w:ascii="Times New Roman" w:cs="Times New Roman" w:eastAsia="Times New Roman" w:hAnsi="Times New Roman"/>
          <w:sz w:val="22"/>
          <w:szCs w:val="22"/>
          <w:color w:val="auto"/>
        </w:rPr>
        <w:t>Reference is hereby made to that certain Indenture dated October 6, 2025 (the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among Weatherford International Ltd.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the guarantors named therein, and UMB Bank, N.A., as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Capitalized terms used but not defined herein have the meanings set forth in the Indenture.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certificate relates to $___________ principal amount of Notes held in (check applicable space) ___________ book-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entry or ___________ definitive form by the undersigned.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______________ (transferor) (check one box below):</w:t>
      </w:r>
    </w:p>
    <w:p>
      <w:pPr>
        <w:spacing w:after="0" w:line="220" w:lineRule="exact"/>
        <w:rPr>
          <w:sz w:val="20"/>
          <w:szCs w:val="20"/>
          <w:color w:val="auto"/>
        </w:rPr>
      </w:pPr>
    </w:p>
    <w:p>
      <w:pPr>
        <w:ind w:left="660" w:right="240" w:hanging="652"/>
        <w:spacing w:after="0" w:line="256" w:lineRule="auto"/>
        <w:tabs>
          <w:tab w:leader="none" w:pos="441" w:val="left"/>
        </w:tabs>
        <w:numPr>
          <w:ilvl w:val="0"/>
          <w:numId w:val="17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of the Indenture;</w:t>
      </w:r>
    </w:p>
    <w:p>
      <w:pPr>
        <w:spacing w:after="0" w:line="176" w:lineRule="exact"/>
        <w:rPr>
          <w:rFonts w:ascii="MS PGothic" w:cs="MS PGothic" w:eastAsia="MS PGothic" w:hAnsi="MS PGothic"/>
          <w:sz w:val="22"/>
          <w:szCs w:val="22"/>
          <w:color w:val="auto"/>
        </w:rPr>
      </w:pPr>
    </w:p>
    <w:p>
      <w:pPr>
        <w:ind w:left="440" w:hanging="432"/>
        <w:spacing w:after="0"/>
        <w:tabs>
          <w:tab w:leader="none" w:pos="440" w:val="left"/>
        </w:tabs>
        <w:numPr>
          <w:ilvl w:val="0"/>
          <w:numId w:val="17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hereby requests the Trustee to exchange a Note or Notes to ______________ (transferee).</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In connection with any transfer of any of the Notes evidenced by this certificate occurring prior to the expiration of the Restricted Period (as defined in the Indenture), the undersigned confirms that such Notes are being transferred in accordance with its terms:</w:t>
      </w:r>
    </w:p>
    <w:p>
      <w:pPr>
        <w:sectPr>
          <w:pgSz w:w="11900" w:h="16838" w:orient="portrait"/>
          <w:cols w:equalWidth="0" w:num="1">
            <w:col w:w="11220"/>
          </w:cols>
          <w:pgMar w:left="320" w:top="1421"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b w:val="1"/>
          <w:bCs w:val="1"/>
          <w:color w:val="auto"/>
        </w:rPr>
        <w:t>CHECK ONE BOX BELOW</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120" w:hanging="464"/>
        <w:spacing w:after="0" w:line="253" w:lineRule="exact"/>
        <w:tabs>
          <w:tab w:leader="none" w:pos="1120" w:val="left"/>
        </w:tabs>
        <w:numPr>
          <w:ilvl w:val="0"/>
          <w:numId w:val="17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to the Issuer or any of its subsidiaries; or</w:t>
      </w:r>
    </w:p>
    <w:p>
      <w:pPr>
        <w:spacing w:after="0" w:line="219" w:lineRule="exact"/>
        <w:rPr>
          <w:rFonts w:ascii="Times New Roman" w:cs="Times New Roman" w:eastAsia="Times New Roman" w:hAnsi="Times New Roman"/>
          <w:sz w:val="22"/>
          <w:szCs w:val="22"/>
          <w:color w:val="auto"/>
        </w:rPr>
      </w:pPr>
    </w:p>
    <w:p>
      <w:pPr>
        <w:ind w:left="1120" w:hanging="464"/>
        <w:spacing w:after="0" w:line="242" w:lineRule="exact"/>
        <w:tabs>
          <w:tab w:leader="none" w:pos="1120" w:val="left"/>
        </w:tabs>
        <w:numPr>
          <w:ilvl w:val="0"/>
          <w:numId w:val="177"/>
        </w:numPr>
        <w:rPr>
          <w:rFonts w:ascii="Times New Roman" w:cs="Times New Roman" w:eastAsia="Times New Roman" w:hAnsi="Times New Roman"/>
          <w:sz w:val="21"/>
          <w:szCs w:val="21"/>
          <w:color w:val="auto"/>
        </w:rPr>
      </w:pP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pursuant to a registration statement that has been declared effective under the Securities Act of 1933, as amended;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48" w:lineRule="exact"/>
        <w:rPr>
          <w:sz w:val="20"/>
          <w:szCs w:val="20"/>
          <w:color w:val="auto"/>
        </w:rPr>
      </w:pPr>
    </w:p>
    <w:p>
      <w:pPr>
        <w:ind w:right="200" w:firstLine="656"/>
        <w:spacing w:after="0" w:line="275" w:lineRule="exact"/>
        <w:tabs>
          <w:tab w:leader="none" w:pos="1116" w:val="left"/>
        </w:tabs>
        <w:numPr>
          <w:ilvl w:val="0"/>
          <w:numId w:val="17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159" w:lineRule="exact"/>
        <w:rPr>
          <w:rFonts w:ascii="Times New Roman" w:cs="Times New Roman" w:eastAsia="Times New Roman" w:hAnsi="Times New Roman"/>
          <w:sz w:val="22"/>
          <w:szCs w:val="22"/>
          <w:color w:val="auto"/>
        </w:rPr>
      </w:pPr>
    </w:p>
    <w:p>
      <w:pPr>
        <w:ind w:right="180" w:firstLine="656"/>
        <w:spacing w:after="0" w:line="294" w:lineRule="exact"/>
        <w:tabs>
          <w:tab w:leader="none" w:pos="1116" w:val="left"/>
        </w:tabs>
        <w:numPr>
          <w:ilvl w:val="0"/>
          <w:numId w:val="17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outside the United States in an offshore transaction within the meaning of Regulation S under the Securities Act of 1933, as amended, in compliance with Rule 904 thereunder; or</w:t>
      </w:r>
    </w:p>
    <w:p>
      <w:pPr>
        <w:spacing w:after="0" w:line="142" w:lineRule="exact"/>
        <w:rPr>
          <w:rFonts w:ascii="Times New Roman" w:cs="Times New Roman" w:eastAsia="Times New Roman" w:hAnsi="Times New Roman"/>
          <w:sz w:val="22"/>
          <w:szCs w:val="22"/>
          <w:color w:val="auto"/>
        </w:rPr>
      </w:pPr>
    </w:p>
    <w:p>
      <w:pPr>
        <w:jc w:val="both"/>
        <w:ind w:right="600" w:firstLine="656"/>
        <w:spacing w:after="0" w:line="281" w:lineRule="exact"/>
        <w:tabs>
          <w:tab w:leader="none" w:pos="1116" w:val="left"/>
        </w:tabs>
        <w:numPr>
          <w:ilvl w:val="0"/>
          <w:numId w:val="17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144" w:lineRule="exact"/>
        <w:rPr>
          <w:rFonts w:ascii="Times New Roman" w:cs="Times New Roman" w:eastAsia="Times New Roman" w:hAnsi="Times New Roman"/>
          <w:sz w:val="22"/>
          <w:szCs w:val="22"/>
          <w:color w:val="auto"/>
        </w:rPr>
      </w:pPr>
    </w:p>
    <w:p>
      <w:pPr>
        <w:ind w:left="1120" w:hanging="464"/>
        <w:spacing w:after="0" w:line="253" w:lineRule="exact"/>
        <w:tabs>
          <w:tab w:leader="none" w:pos="1120" w:val="left"/>
        </w:tabs>
        <w:numPr>
          <w:ilvl w:val="0"/>
          <w:numId w:val="17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pursuant to another available exemption from the registration requirements of the Securities Act of 1933, as</w:t>
      </w:r>
    </w:p>
    <w:p>
      <w:pPr>
        <w:spacing w:after="0" w:line="8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w:t>
      </w:r>
    </w:p>
    <w:p>
      <w:pPr>
        <w:spacing w:after="0" w:line="19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Prior to the expiration of the Restricted Period, unless one of the boxes is checked, the Registrar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246380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-13970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600" w:right="560"/>
        <w:spacing w:after="0" w:line="248" w:lineRule="auto"/>
        <w:rPr>
          <w:sz w:val="20"/>
          <w:szCs w:val="20"/>
          <w:color w:val="auto"/>
        </w:rPr>
      </w:pPr>
      <w:r>
        <w:rPr>
          <w:rFonts w:ascii="Times New Roman" w:cs="Times New Roman" w:eastAsia="Times New Roman" w:hAnsi="Times New Roman"/>
          <w:sz w:val="22"/>
          <w:szCs w:val="22"/>
          <w:color w:val="auto"/>
        </w:rPr>
        <w:t>(Signature must be guaranteed by a participant in a recognized signature guarantee medallion program)</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TO BE COMPLETED BY PURCHASER IF (2) ABOVE IS CHECKED.</w:t>
      </w:r>
    </w:p>
    <w:p>
      <w:pPr>
        <w:spacing w:after="0" w:line="220" w:lineRule="exact"/>
        <w:rPr>
          <w:sz w:val="20"/>
          <w:szCs w:val="20"/>
          <w:color w:val="auto"/>
        </w:rPr>
      </w:pPr>
    </w:p>
    <w:p>
      <w:pPr>
        <w:jc w:val="both"/>
        <w:ind w:right="180" w:firstLine="648"/>
        <w:spacing w:after="0" w:line="251" w:lineRule="auto"/>
        <w:rPr>
          <w:sz w:val="20"/>
          <w:szCs w:val="20"/>
          <w:color w:val="auto"/>
        </w:rPr>
      </w:pPr>
      <w:r>
        <w:rPr>
          <w:rFonts w:ascii="Times New Roman" w:cs="Times New Roman" w:eastAsia="Times New Roman" w:hAnsi="Times New Roman"/>
          <w:sz w:val="22"/>
          <w:szCs w:val="22"/>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Times New Roman" w:cs="Times New Roman" w:eastAsia="Times New Roman" w:hAnsi="Times New Roman"/>
          <w:sz w:val="22"/>
          <w:szCs w:val="22"/>
          <w:i w:val="1"/>
          <w:iCs w:val="1"/>
          <w:color w:val="auto"/>
        </w:rPr>
        <w:t>Rule 144A</w:t>
      </w:r>
      <w:r>
        <w:rPr>
          <w:rFonts w:ascii="Times New Roman" w:cs="Times New Roman" w:eastAsia="Times New Roman" w:hAnsi="Times New Roman"/>
          <w:sz w:val="22"/>
          <w:szCs w:val="22"/>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w:t>
      </w:r>
    </w:p>
    <w:p>
      <w:pPr>
        <w:sectPr>
          <w:pgSz w:w="11900" w:h="16838" w:orient="portrait"/>
          <w:cols w:equalWidth="0" w:num="1">
            <w:col w:w="11220"/>
          </w:cols>
          <w:pgMar w:left="320" w:top="1417"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1"/>
          <w:szCs w:val="21"/>
          <w:color w:val="auto"/>
        </w:rPr>
        <w:t>undersigned’s foregoing representations in order to claim the exemption from registration provided by Rule 144A.</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304800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NOTICE: To be executed by an executive officer, if an entity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w:t>
      </w:r>
    </w:p>
    <w:p>
      <w:pPr>
        <w:sectPr>
          <w:pgSz w:w="11900" w:h="16838" w:orient="portrait"/>
          <w:cols w:equalWidth="0" w:num="1">
            <w:col w:w="10139"/>
          </w:cols>
          <w:pgMar w:left="320" w:top="1421" w:right="1440"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22"/>
          <w:szCs w:val="22"/>
          <w:color w:val="auto"/>
        </w:rPr>
        <w:t>[INCLUDE IN GLOBAL NOTES]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OF INCREASES AND DECREASES OF 6.750% SENIOR NOTES DUE 2033</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The initial outstanding principal amount of this Global Note is $___________. The following transfers, exchanges and</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redemption of this Global Note have been made:</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Date of Transfer,</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Amount of Decrease in</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Amount of Increase in</w:t>
            </w:r>
          </w:p>
        </w:tc>
        <w:tc>
          <w:tcPr>
            <w:tcW w:w="22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Principal Amount of this</w:t>
            </w:r>
          </w:p>
        </w:tc>
        <w:tc>
          <w:tcPr>
            <w:tcW w:w="22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vMerge w:val="continue"/>
          </w:tcPr>
          <w:p>
            <w:pPr>
              <w:spacing w:after="0"/>
              <w:rPr>
                <w:sz w:val="18"/>
                <w:szCs w:val="18"/>
                <w:color w:val="auto"/>
              </w:rPr>
            </w:pPr>
          </w:p>
        </w:tc>
        <w:tc>
          <w:tcPr>
            <w:tcW w:w="2240" w:type="dxa"/>
            <w:vAlign w:val="bottom"/>
            <w:tcBorders>
              <w:right w:val="single" w:sz="8" w:color="auto"/>
            </w:tcBorders>
            <w:vMerge w:val="continue"/>
          </w:tcPr>
          <w:p>
            <w:pPr>
              <w:spacing w:after="0"/>
              <w:rPr>
                <w:sz w:val="18"/>
                <w:szCs w:val="18"/>
                <w:color w:val="auto"/>
              </w:rPr>
            </w:pPr>
          </w:p>
        </w:tc>
        <w:tc>
          <w:tcPr>
            <w:tcW w:w="2260" w:type="dxa"/>
            <w:vAlign w:val="bottom"/>
            <w:tcBorders>
              <w:right w:val="single" w:sz="8" w:color="auto"/>
            </w:tcBorders>
            <w:vMerge w:val="continue"/>
          </w:tcPr>
          <w:p>
            <w:pPr>
              <w:spacing w:after="0"/>
              <w:rPr>
                <w:sz w:val="18"/>
                <w:szCs w:val="18"/>
                <w:color w:val="auto"/>
              </w:rPr>
            </w:pPr>
          </w:p>
        </w:tc>
        <w:tc>
          <w:tcPr>
            <w:tcW w:w="22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Global Note Following</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Signature of Trustee or</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Exchange or</w:t>
            </w:r>
          </w:p>
        </w:tc>
        <w:tc>
          <w:tcPr>
            <w:tcW w:w="22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Principal Amount of this</w:t>
            </w:r>
          </w:p>
        </w:tc>
        <w:tc>
          <w:tcPr>
            <w:tcW w:w="22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Principal Amount of this</w:t>
            </w:r>
          </w:p>
        </w:tc>
        <w:tc>
          <w:tcPr>
            <w:tcW w:w="22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Such Decrease (or</w:t>
            </w:r>
          </w:p>
        </w:tc>
        <w:tc>
          <w:tcPr>
            <w:tcW w:w="2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Redemption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Global Note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Global Note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Increase)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Note Custodian</w:t>
            </w:r>
          </w:p>
        </w:tc>
        <w:tc>
          <w:tcPr>
            <w:tcW w:w="0" w:type="dxa"/>
            <w:vAlign w:val="bottom"/>
          </w:tcPr>
          <w:p>
            <w:pPr>
              <w:spacing w:after="0"/>
              <w:rPr>
                <w:sz w:val="1"/>
                <w:szCs w:val="1"/>
                <w:color w:val="auto"/>
              </w:rPr>
            </w:pPr>
          </w:p>
        </w:tc>
      </w:tr>
      <w:tr>
        <w:trPr>
          <w:trHeight w:val="251"/>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21"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SUPPLEMENTAL INDENTURE TO BE DELIVERED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SUBSEQUENT GUARANTORS]</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This Supplemental Indenture and Guarantee, dated as of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20[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(this “</w:t>
      </w:r>
      <w:r>
        <w:rPr>
          <w:rFonts w:ascii="Times New Roman" w:cs="Times New Roman" w:eastAsia="Times New Roman" w:hAnsi="Times New Roman"/>
          <w:sz w:val="22"/>
          <w:szCs w:val="22"/>
          <w:i w:val="1"/>
          <w:iCs w:val="1"/>
          <w:color w:val="auto"/>
        </w:rPr>
        <w:t>Supplemental Indenture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xml:space="preserve">”), among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22"/>
          <w:szCs w:val="22"/>
          <w:i w:val="1"/>
          <w:iCs w:val="1"/>
          <w:color w:val="auto"/>
        </w:rPr>
        <w:t>New Guarantor</w:t>
      </w:r>
      <w:r>
        <w:rPr>
          <w:rFonts w:ascii="Times New Roman" w:cs="Times New Roman" w:eastAsia="Times New Roman" w:hAnsi="Times New Roman"/>
          <w:sz w:val="22"/>
          <w:szCs w:val="22"/>
          <w:color w:val="auto"/>
        </w:rPr>
        <w:t>”), Weatherford International Ltd., a Bermuda exempted company limited by shares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the Existing Guarantors party hereto (the “</w:t>
      </w:r>
      <w:r>
        <w:rPr>
          <w:rFonts w:ascii="Times New Roman" w:cs="Times New Roman" w:eastAsia="Times New Roman" w:hAnsi="Times New Roman"/>
          <w:sz w:val="22"/>
          <w:szCs w:val="22"/>
          <w:i w:val="1"/>
          <w:iCs w:val="1"/>
          <w:color w:val="auto"/>
        </w:rPr>
        <w:t>Existing Guarantors</w:t>
      </w:r>
      <w:r>
        <w:rPr>
          <w:rFonts w:ascii="Times New Roman" w:cs="Times New Roman" w:eastAsia="Times New Roman" w:hAnsi="Times New Roman"/>
          <w:sz w:val="22"/>
          <w:szCs w:val="22"/>
          <w:color w:val="auto"/>
        </w:rPr>
        <w:t>”), and UMB Bank, N.A., as trustee under the Indenture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Issuer, certain Guarantors and the Trustee have heretofore executed and delivered an Indenture, dated as of October 6, 2025 (as amended, supplemented, waived or otherwise modified, the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providing for the issuance of an unlimited aggregate principal amount 6.750% Senior Notes due 2033 of the Issuer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WHEREAS,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of the Indenture provides that the Issuer will cause any Restricted Subsidiary of the Issuer that is not an existing Guarantor that guarantees certain Indebtedness as described therein, to execute and deliver a Guarantee with respect to the Notes on the same terms and conditions as those set forth in the Indenture.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of the Indenture, the Trustee is authorized to execute and deliver this Supplemental Indenture to amend the Indenture, without the consent of any Holder to add an additional Guarantor.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New Guarantor, the Issuer, the Existing Guarantors, and the Trustee mutually covenant and agree for the equal and ratable benefit of the Holders as follows:</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I.</w:t>
      </w:r>
      <w:r>
        <w:rPr>
          <w:sz w:val="20"/>
          <w:szCs w:val="20"/>
          <w:color w:val="auto"/>
        </w:rPr>
        <w:tab/>
      </w:r>
      <w:r>
        <w:rPr>
          <w:rFonts w:ascii="Times New Roman" w:cs="Times New Roman" w:eastAsia="Times New Roman" w:hAnsi="Times New Roman"/>
          <w:sz w:val="21"/>
          <w:szCs w:val="21"/>
          <w:u w:val="single" w:color="auto"/>
          <w:color w:val="auto"/>
        </w:rPr>
        <w:t>Definitions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II.</w:t>
      </w:r>
      <w:r>
        <w:rPr>
          <w:sz w:val="20"/>
          <w:szCs w:val="20"/>
          <w:color w:val="auto"/>
        </w:rPr>
        <w:tab/>
      </w:r>
      <w:r>
        <w:rPr>
          <w:rFonts w:ascii="Times New Roman" w:cs="Times New Roman" w:eastAsia="Times New Roman" w:hAnsi="Times New Roman"/>
          <w:sz w:val="21"/>
          <w:szCs w:val="21"/>
          <w:u w:val="single" w:color="auto"/>
          <w:color w:val="auto"/>
        </w:rPr>
        <w:t>Agreement to be Bound; Guarantee</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Agreement to be Bound</w:t>
      </w:r>
      <w:r>
        <w:rPr>
          <w:rFonts w:ascii="Times New Roman" w:cs="Times New Roman" w:eastAsia="Times New Roman" w:hAnsi="Times New Roman"/>
          <w:sz w:val="22"/>
          <w:szCs w:val="22"/>
          <w:color w:val="auto"/>
        </w:rPr>
        <w:t>. The New Guarantor hereby becomes a party to the Indenture as a Guarantor and as such shall have all of the rights and be subject to all of the obligations and agreements of a Guarantor under the Indenture, including Article X thereof.</w:t>
      </w:r>
    </w:p>
    <w:p>
      <w:pPr>
        <w:sectPr>
          <w:pgSz w:w="11900" w:h="16838" w:orient="portrait"/>
          <w:cols w:equalWidth="0" w:num="1">
            <w:col w:w="11240"/>
          </w:cols>
          <w:pgMar w:left="320" w:top="1417" w:right="339" w:bottom="1440" w:gutter="0" w:footer="0" w:header="0"/>
        </w:sectPr>
      </w:pPr>
    </w:p>
    <w:bookmarkStart w:id="145" w:name="page146"/>
    <w:bookmarkEnd w:id="145"/>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Article III.</w:t>
      </w:r>
      <w:r>
        <w:rPr>
          <w:sz w:val="20"/>
          <w:szCs w:val="20"/>
          <w:color w:val="auto"/>
        </w:rPr>
        <w:tab/>
      </w:r>
      <w:r>
        <w:rPr>
          <w:rFonts w:ascii="Times New Roman" w:cs="Times New Roman" w:eastAsia="Times New Roman" w:hAnsi="Times New Roman"/>
          <w:sz w:val="21"/>
          <w:szCs w:val="21"/>
          <w:u w:val="single" w:color="auto"/>
          <w:color w:val="auto"/>
        </w:rPr>
        <w:t>Miscellaneous</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Severability Clause</w:t>
      </w:r>
      <w:r>
        <w:rPr>
          <w:rFonts w:ascii="Times New Roman" w:cs="Times New Roman" w:eastAsia="Times New Roman" w:hAnsi="Times New Roman"/>
          <w:sz w:val="22"/>
          <w:szCs w:val="22"/>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Section 3.03 Rat</w:t>
      </w:r>
      <w:r>
        <w:rPr>
          <w:rFonts w:ascii="Times New Roman" w:cs="Times New Roman" w:eastAsia="Times New Roman" w:hAnsi="Times New Roman"/>
          <w:sz w:val="22"/>
          <w:szCs w:val="22"/>
          <w:u w:val="single" w:color="auto"/>
          <w:color w:val="auto"/>
        </w:rPr>
        <w:t>ification of Indenture; Supplemental Indentures Part of Indenture; No Liability of Trustee</w:t>
      </w:r>
      <w:r>
        <w:rPr>
          <w:rFonts w:ascii="Times New Roman" w:cs="Times New Roman" w:eastAsia="Times New Roman" w:hAnsi="Times New Roman"/>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Guarantee. Additionally, the Trustee shall not be responsible in any manner whatsoever for or with respect to any of the recitals or statements contained herein, all of which recitals or statements are made solely by the New Guarantor and the Trustee makes no representation with respect to any such matters.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the sections in this Guarantee are for convenience of reference only and shall not be deemed to alter or affect the meaning or interpretation of any provisions hereof.</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xml:space="preserve"> The Trustee shall not be responsible in any manner whatsoever for or in respect of the validity or sufficiency of this Supplemental Indenture or for or in respect of the recitals contained herein, all of which recitals are made solely by the New Guarantor.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ectPr>
          <w:pgSz w:w="11900" w:h="16838" w:orient="portrait"/>
          <w:cols w:equalWidth="0" w:num="1">
            <w:col w:w="11240"/>
          </w:cols>
          <w:pgMar w:left="320" w:top="1421" w:right="339" w:bottom="1440" w:gutter="0" w:footer="0" w:header="0"/>
        </w:sectPr>
      </w:pPr>
    </w:p>
    <w:bookmarkStart w:id="146" w:name="page147"/>
    <w:bookmarkEnd w:id="14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GUARANTOR]</w:t>
      </w:r>
      <w:r>
        <w:rPr>
          <w:rFonts w:ascii="Times New Roman" w:cs="Times New Roman" w:eastAsia="Times New Roman" w:hAnsi="Times New Roman"/>
          <w:sz w:val="22"/>
          <w:szCs w:val="22"/>
          <w:color w:val="auto"/>
        </w:rPr>
        <w:t>, as a New Guarantor</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WEATHERFORD INTERNATIONAL LTD.</w:t>
      </w:r>
      <w:r>
        <w:rPr>
          <w:rFonts w:ascii="Times New Roman" w:cs="Times New Roman" w:eastAsia="Times New Roman" w:hAnsi="Times New Roman"/>
          <w:sz w:val="22"/>
          <w:szCs w:val="22"/>
          <w:color w:val="auto"/>
        </w:rPr>
        <w:t>, as Issuer</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UMB BANK, N.A.</w:t>
      </w:r>
      <w:r>
        <w:rPr>
          <w:rFonts w:ascii="Times New Roman" w:cs="Times New Roman" w:eastAsia="Times New Roman" w:hAnsi="Times New Roman"/>
          <w:sz w:val="22"/>
          <w:szCs w:val="22"/>
          <w:color w:val="auto"/>
        </w:rPr>
        <w:t>, as Trustee</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080"/>
          </w:cols>
          <w:pgMar w:left="320" w:top="1421" w:right="49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 CERTIFICATE TO BE DELIVERED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 CONNECTION WITH TRANSFERS PURSUANT TO RULE 144A]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Weatherford International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Weatherford Notes Administrator</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 Weatherford International Ltd.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6.750% Senior Notes due 2033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In connection with our proposed sale of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aggregate principal amount at maturity of the Notes (CUSIP No.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we hereby certify that such transfer is being effected pursuant to and in accordance with Rule 144A (“</w:t>
      </w:r>
      <w:r>
        <w:rPr>
          <w:rFonts w:ascii="Times New Roman" w:cs="Times New Roman" w:eastAsia="Times New Roman" w:hAnsi="Times New Roman"/>
          <w:sz w:val="22"/>
          <w:szCs w:val="22"/>
          <w:i w:val="1"/>
          <w:iCs w:val="1"/>
          <w:color w:val="auto"/>
        </w:rPr>
        <w:t>Rule 144A</w:t>
      </w:r>
      <w:r>
        <w:rPr>
          <w:rFonts w:ascii="Times New Roman" w:cs="Times New Roman" w:eastAsia="Times New Roman" w:hAnsi="Times New Roman"/>
          <w:sz w:val="22"/>
          <w:szCs w:val="22"/>
          <w:color w:val="auto"/>
        </w:rPr>
        <w:t>”)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and, accordingly, we hereby further certify that the Notes are being transferred to a person that we reasonably believe is purchasing the Notes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Notes are being transferred in compliance with any applicable blue sky securities laws of any state of the United States.</w:t>
      </w:r>
    </w:p>
    <w:p>
      <w:pPr>
        <w:spacing w:after="0" w:line="178"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22"/>
          <w:szCs w:val="22"/>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[NAME OF TRANSFEROR]</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Authorized Signature</w:t>
      </w:r>
    </w:p>
    <w:p>
      <w:pPr>
        <w:sectPr>
          <w:pgSz w:w="11900" w:h="16838" w:orient="portrait"/>
          <w:cols w:equalWidth="0" w:num="1">
            <w:col w:w="11240"/>
          </w:cols>
          <w:pgMar w:left="320" w:top="1417" w:right="339" w:bottom="1440" w:gutter="0" w:footer="0" w:header="0"/>
        </w:sectPr>
      </w:pPr>
    </w:p>
    <w:bookmarkStart w:id="148" w:name="page149"/>
    <w:bookmarkEnd w:id="148"/>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[FORM OF CERTIFICATE TO BE DELIVERED</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IN CONNECTION WITH TRANSFERS PURSUANT TO REGULATION 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International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Weatherford International plc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UMB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Weatherford Notes Administrator</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 Weatherford International Ltd.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6.750% Senior Notes due 2033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22"/>
          <w:szCs w:val="22"/>
          <w:color w:val="auto"/>
        </w:rPr>
        <w:t xml:space="preserve">In connection with our proposed sale of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aggregate principal amount of the Notes (CUSIP No. U8859YAB3), we confirm that such sale has been effected pursuant to and in accordance with Regulation S (“</w:t>
      </w:r>
      <w:r>
        <w:rPr>
          <w:rFonts w:ascii="Times New Roman" w:cs="Times New Roman" w:eastAsia="Times New Roman" w:hAnsi="Times New Roman"/>
          <w:sz w:val="22"/>
          <w:szCs w:val="22"/>
          <w:i w:val="1"/>
          <w:iCs w:val="1"/>
          <w:color w:val="auto"/>
        </w:rPr>
        <w:t>Regulation S</w:t>
      </w:r>
      <w:r>
        <w:rPr>
          <w:rFonts w:ascii="Times New Roman" w:cs="Times New Roman" w:eastAsia="Times New Roman" w:hAnsi="Times New Roman"/>
          <w:sz w:val="22"/>
          <w:szCs w:val="22"/>
          <w:color w:val="auto"/>
        </w:rPr>
        <w:t>”)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and, accordingly, we represent that:</w:t>
      </w:r>
    </w:p>
    <w:p>
      <w:pPr>
        <w:spacing w:after="0" w:line="196" w:lineRule="exact"/>
        <w:rPr>
          <w:sz w:val="20"/>
          <w:szCs w:val="20"/>
          <w:color w:val="auto"/>
        </w:rPr>
      </w:pPr>
    </w:p>
    <w:p>
      <w:pPr>
        <w:ind w:left="1120" w:hanging="464"/>
        <w:spacing w:after="0"/>
        <w:tabs>
          <w:tab w:leader="none" w:pos="112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 of the Notes was not made to a person in the United States;</w:t>
      </w:r>
    </w:p>
    <w:p>
      <w:pPr>
        <w:spacing w:after="0" w:line="219" w:lineRule="exact"/>
        <w:rPr>
          <w:rFonts w:ascii="Times New Roman" w:cs="Times New Roman" w:eastAsia="Times New Roman" w:hAnsi="Times New Roman"/>
          <w:sz w:val="22"/>
          <w:szCs w:val="22"/>
          <w:color w:val="auto"/>
        </w:rPr>
      </w:pPr>
    </w:p>
    <w:p>
      <w:pPr>
        <w:ind w:right="20" w:firstLine="656"/>
        <w:spacing w:after="0" w:line="256" w:lineRule="auto"/>
        <w:tabs>
          <w:tab w:leader="none" w:pos="111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at the time the buy order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176" w:lineRule="exact"/>
        <w:rPr>
          <w:rFonts w:ascii="Times New Roman" w:cs="Times New Roman" w:eastAsia="Times New Roman" w:hAnsi="Times New Roman"/>
          <w:sz w:val="22"/>
          <w:szCs w:val="22"/>
          <w:color w:val="auto"/>
        </w:rPr>
      </w:pPr>
    </w:p>
    <w:p>
      <w:pPr>
        <w:ind w:right="140" w:firstLine="656"/>
        <w:spacing w:after="0" w:line="271" w:lineRule="auto"/>
        <w:tabs>
          <w:tab w:leader="none" w:pos="111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directed selling efforts have been made in the United States in contravention of the requirements of Rule 903(b) or Rule 904(b) of Regulation S, as applicable; and</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not part of a plan or scheme to evade the registration requirements of the Securities Act.</w:t>
      </w:r>
    </w:p>
    <w:p>
      <w:pPr>
        <w:spacing w:after="0" w:line="23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In addition, if the sale is made during a restricted period and the provisions of Rule 903(b) or Rule 904(b) of Regulation S are applicable thereto, we confirm that such sale has been made in accordance with the applicable provisions of Rule 903(b) or Rule 904(b), as the case may be.</w:t>
      </w:r>
    </w:p>
    <w:p>
      <w:pPr>
        <w:sectPr>
          <w:pgSz w:w="11900" w:h="16838" w:orient="portrait"/>
          <w:cols w:equalWidth="0" w:num="1">
            <w:col w:w="11200"/>
          </w:cols>
          <w:pgMar w:left="320" w:top="1417" w:right="379" w:bottom="1440" w:gutter="0" w:footer="0" w:header="0"/>
        </w:sectPr>
      </w:pPr>
    </w:p>
    <w:bookmarkStart w:id="149" w:name="page150"/>
    <w:bookmarkEnd w:id="149"/>
    <w:p>
      <w:pPr>
        <w:ind w:firstLine="648"/>
        <w:spacing w:after="0" w:line="257" w:lineRule="auto"/>
        <w:rPr>
          <w:sz w:val="20"/>
          <w:szCs w:val="20"/>
          <w:color w:val="auto"/>
        </w:rPr>
      </w:pPr>
      <w:r>
        <w:rPr>
          <w:rFonts w:ascii="Times New Roman" w:cs="Times New Roman" w:eastAsia="Times New Roman" w:hAnsi="Times New Roman"/>
          <w:sz w:val="22"/>
          <w:szCs w:val="22"/>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[NAME OF TRANSFEROR]</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Authorized Signature</w:t>
      </w:r>
    </w:p>
    <w:sectPr>
      <w:pgSz w:w="11900" w:h="16838" w:orient="portrait"/>
      <w:cols w:equalWidth="0" w:num="1">
        <w:col w:w="10880"/>
      </w:cols>
      <w:pgMar w:left="320" w:top="14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1)"/>
      <w:numFmt w:val="lowerLetter"/>
      <w:start w:val="4"/>
    </w:lvl>
  </w:abstractNum>
  <w:abstractNum w:abstractNumId="2">
    <w:nsid w:val="46B7D447"/>
    <w:multiLevelType w:val="hybridMultilevel"/>
    <w:lvl w:ilvl="0">
      <w:lvlJc w:val="left"/>
      <w:lvlText w:val="%1"/>
      <w:numFmt w:val="decimal"/>
      <w:start w:val="104"/>
    </w:lvl>
  </w:abstractNum>
  <w:abstractNum w:abstractNumId="3">
    <w:nsid w:val="4A2AC315"/>
    <w:multiLevelType w:val="hybridMultilevel"/>
    <w:lvl w:ilvl="0">
      <w:lvlJc w:val="left"/>
      <w:lvlText w:val="(%1)"/>
      <w:numFmt w:val="decimal"/>
      <w:start w:val="1"/>
    </w:lvl>
  </w:abstractNum>
  <w:abstractNum w:abstractNumId="4">
    <w:nsid w:val="39EE015C"/>
    <w:multiLevelType w:val="hybridMultilevel"/>
    <w:lvl w:ilvl="0">
      <w:lvlJc w:val="left"/>
      <w:lvlText w:val="(%1)"/>
      <w:numFmt w:val="lowerLetter"/>
      <w:start w:val="1"/>
    </w:lvl>
  </w:abstractNum>
  <w:abstractNum w:abstractNumId="5">
    <w:nsid w:val="57FC4FBB"/>
    <w:multiLevelType w:val="hybridMultilevel"/>
    <w:lvl w:ilvl="0">
      <w:lvlJc w:val="left"/>
      <w:lvlText w:val="(%1)"/>
      <w:numFmt w:val="decimal"/>
      <w:start w:val="1"/>
    </w:lvl>
  </w:abstractNum>
  <w:abstractNum w:abstractNumId="6">
    <w:nsid w:val="CC1016F"/>
    <w:multiLevelType w:val="hybridMultilevel"/>
    <w:lvl w:ilvl="0">
      <w:lvlJc w:val="left"/>
      <w:lvlText w:val="(%1)"/>
      <w:numFmt w:val="decimal"/>
      <w:start w:val="1"/>
    </w:lvl>
  </w:abstractNum>
  <w:abstractNum w:abstractNumId="7">
    <w:nsid w:val="43F18422"/>
    <w:multiLevelType w:val="hybridMultilevel"/>
    <w:lvl w:ilvl="0">
      <w:lvlJc w:val="left"/>
      <w:lvlText w:val="(%1)"/>
      <w:numFmt w:val="lowerLetter"/>
      <w:start w:val="1"/>
    </w:lvl>
  </w:abstractNum>
  <w:abstractNum w:abstractNumId="8">
    <w:nsid w:val="60EF0119"/>
    <w:multiLevelType w:val="hybridMultilevel"/>
    <w:lvl w:ilvl="0">
      <w:lvlJc w:val="left"/>
      <w:lvlText w:val="(%1)"/>
      <w:numFmt w:val="lowerLetter"/>
      <w:start w:val="5"/>
    </w:lvl>
  </w:abstractNum>
  <w:abstractNum w:abstractNumId="9">
    <w:nsid w:val="26F324BA"/>
    <w:multiLevelType w:val="hybridMultilevel"/>
    <w:lvl w:ilvl="0">
      <w:lvlJc w:val="left"/>
      <w:lvlText w:val="(%1)"/>
      <w:numFmt w:val="lowerLetter"/>
      <w:start w:val="17"/>
    </w:lvl>
  </w:abstractNum>
  <w:abstractNum w:abstractNumId="10">
    <w:nsid w:val="7F01579B"/>
    <w:multiLevelType w:val="hybridMultilevel"/>
    <w:lvl w:ilvl="0">
      <w:lvlJc w:val="left"/>
      <w:lvlText w:val="(%1)"/>
      <w:numFmt w:val="decimal"/>
      <w:start w:val="1"/>
    </w:lvl>
  </w:abstractNum>
  <w:abstractNum w:abstractNumId="11">
    <w:nsid w:val="49DA307D"/>
    <w:multiLevelType w:val="hybridMultilevel"/>
    <w:lvl w:ilvl="0">
      <w:lvlJc w:val="left"/>
      <w:lvlText w:val="(%1)"/>
      <w:numFmt w:val="decimal"/>
      <w:start w:val="2"/>
    </w:lvl>
  </w:abstractNum>
  <w:abstractNum w:abstractNumId="12">
    <w:nsid w:val="7055A5F5"/>
    <w:multiLevelType w:val="hybridMultilevel"/>
    <w:lvl w:ilvl="0">
      <w:lvlJc w:val="left"/>
      <w:lvlText w:val="(%1)"/>
      <w:numFmt w:val="decimal"/>
      <w:start w:val="1"/>
    </w:lvl>
  </w:abstractNum>
  <w:abstractNum w:abstractNumId="13">
    <w:nsid w:val="5FB8370B"/>
    <w:multiLevelType w:val="hybridMultilevel"/>
    <w:lvl w:ilvl="0">
      <w:lvlJc w:val="left"/>
      <w:lvlText w:val="(%1)"/>
      <w:numFmt w:val="decimal"/>
      <w:start w:val="1"/>
    </w:lvl>
  </w:abstractNum>
  <w:abstractNum w:abstractNumId="14">
    <w:nsid w:val="50801EE1"/>
    <w:multiLevelType w:val="hybridMultilevel"/>
    <w:lvl w:ilvl="0">
      <w:lvlJc w:val="left"/>
      <w:lvlText w:val="(%1)"/>
      <w:numFmt w:val="lowerLetter"/>
      <w:start w:val="5"/>
    </w:lvl>
    <w:lvl w:ilvl="1">
      <w:lvlJc w:val="left"/>
      <w:lvlText w:val="(%2)"/>
      <w:numFmt w:val="decimal"/>
      <w:start w:val="3"/>
    </w:lvl>
    <w:lvl w:ilvl="2">
      <w:lvlJc w:val="left"/>
      <w:lvlText w:val="(%3)"/>
      <w:numFmt w:val="lowerLetter"/>
      <w:start w:val="1"/>
    </w:lvl>
  </w:abstractNum>
  <w:abstractNum w:abstractNumId="15">
    <w:nsid w:val="488AC1A"/>
    <w:multiLevelType w:val="hybridMultilevel"/>
    <w:lvl w:ilvl="0">
      <w:lvlJc w:val="left"/>
      <w:lvlText w:val="(%1)"/>
      <w:numFmt w:val="decimal"/>
      <w:start w:val="1"/>
    </w:lvl>
  </w:abstractNum>
  <w:abstractNum w:abstractNumId="16">
    <w:nsid w:val="5FB8011C"/>
    <w:multiLevelType w:val="hybridMultilevel"/>
    <w:lvl w:ilvl="0">
      <w:lvlJc w:val="left"/>
      <w:lvlText w:val="(%1)"/>
      <w:numFmt w:val="lowerLetter"/>
      <w:start w:val="1"/>
    </w:lvl>
  </w:abstractNum>
  <w:abstractNum w:abstractNumId="17">
    <w:nsid w:val="6AA78F7F"/>
    <w:multiLevelType w:val="hybridMultilevel"/>
    <w:lvl w:ilvl="0">
      <w:lvlJc w:val="left"/>
      <w:lvlText w:val="(%1)"/>
      <w:numFmt w:val="decimal"/>
      <w:start w:val="1"/>
    </w:lvl>
  </w:abstractNum>
  <w:abstractNum w:abstractNumId="18">
    <w:nsid w:val="7672BD23"/>
    <w:multiLevelType w:val="hybridMultilevel"/>
    <w:lvl w:ilvl="0">
      <w:lvlJc w:val="left"/>
      <w:lvlText w:val="(%1)"/>
      <w:numFmt w:val="decimal"/>
      <w:start w:val="2"/>
    </w:lvl>
  </w:abstractNum>
  <w:abstractNum w:abstractNumId="19">
    <w:nsid w:val="6FC75AF8"/>
    <w:multiLevelType w:val="hybridMultilevel"/>
    <w:lvl w:ilvl="0">
      <w:lvlJc w:val="left"/>
      <w:lvlText w:val="%1"/>
      <w:numFmt w:val="lowerRoman"/>
      <w:start w:val="1"/>
    </w:lvl>
    <w:lvl w:ilvl="1">
      <w:lvlJc w:val="left"/>
      <w:lvlText w:val="(%2)"/>
      <w:numFmt w:val="decimal"/>
      <w:start w:val="1"/>
    </w:lvl>
  </w:abstractNum>
  <w:abstractNum w:abstractNumId="20">
    <w:nsid w:val="6A5F7029"/>
    <w:multiLevelType w:val="hybridMultilevel"/>
    <w:lvl w:ilvl="0">
      <w:lvlJc w:val="left"/>
      <w:lvlText w:val="(%1)"/>
      <w:numFmt w:val="lowerRoman"/>
      <w:start w:val="3"/>
    </w:lvl>
    <w:lvl w:ilvl="1">
      <w:lvlJc w:val="left"/>
      <w:lvlText w:val="(%2)"/>
      <w:numFmt w:val="decimal"/>
      <w:start w:val="4"/>
    </w:lvl>
  </w:abstractNum>
  <w:abstractNum w:abstractNumId="21">
    <w:nsid w:val="7D5E18F8"/>
    <w:multiLevelType w:val="hybridMultilevel"/>
    <w:lvl w:ilvl="0">
      <w:lvlJc w:val="left"/>
      <w:lvlText w:val="(%1)"/>
      <w:numFmt w:val="decimal"/>
      <w:start w:val="5"/>
    </w:lvl>
  </w:abstractNum>
  <w:abstractNum w:abstractNumId="22">
    <w:nsid w:val="5F3534A4"/>
    <w:multiLevelType w:val="hybridMultilevel"/>
    <w:lvl w:ilvl="0">
      <w:lvlJc w:val="left"/>
      <w:lvlText w:val="(%1)"/>
      <w:numFmt w:val="decimal"/>
      <w:start w:val="1"/>
    </w:lvl>
  </w:abstractNum>
  <w:abstractNum w:abstractNumId="23">
    <w:nsid w:val="73A1821B"/>
    <w:multiLevelType w:val="hybridMultilevel"/>
    <w:lvl w:ilvl="0">
      <w:lvlJc w:val="left"/>
      <w:lvlText w:val="%1"/>
      <w:numFmt w:val="decimal"/>
      <w:start w:val="1"/>
    </w:lvl>
    <w:lvl w:ilvl="1">
      <w:lvlJc w:val="left"/>
      <w:lvlText w:val="(%2)"/>
      <w:numFmt w:val="decimal"/>
      <w:start w:val="1"/>
    </w:lvl>
  </w:abstractNum>
  <w:abstractNum w:abstractNumId="24">
    <w:nsid w:val="7DE67713"/>
    <w:multiLevelType w:val="hybridMultilevel"/>
    <w:lvl w:ilvl="0">
      <w:lvlJc w:val="left"/>
      <w:lvlText w:val="(%1)"/>
      <w:numFmt w:val="decimal"/>
      <w:start w:val="2"/>
    </w:lvl>
    <w:lvl w:ilvl="1">
      <w:lvlJc w:val="left"/>
      <w:lvlText w:val="(%2)"/>
      <w:numFmt w:val="decimal"/>
      <w:start w:val="3"/>
    </w:lvl>
  </w:abstractNum>
  <w:abstractNum w:abstractNumId="25">
    <w:nsid w:val="555C55B5"/>
    <w:multiLevelType w:val="hybridMultilevel"/>
    <w:lvl w:ilvl="0">
      <w:lvlJc w:val="left"/>
      <w:lvlText w:val="(%1)"/>
      <w:numFmt w:val="decimal"/>
      <w:start w:val="1"/>
    </w:lvl>
  </w:abstractNum>
  <w:abstractNum w:abstractNumId="26">
    <w:nsid w:val="3FA62ACA"/>
    <w:multiLevelType w:val="hybridMultilevel"/>
    <w:lvl w:ilvl="0">
      <w:lvlJc w:val="left"/>
      <w:lvlText w:val="(%1)"/>
      <w:numFmt w:val="decimal"/>
      <w:start w:val="3"/>
    </w:lvl>
  </w:abstractNum>
  <w:abstractNum w:abstractNumId="27">
    <w:nsid w:val="14FCE74E"/>
    <w:multiLevelType w:val="hybridMultilevel"/>
    <w:lvl w:ilvl="0">
      <w:lvlJc w:val="left"/>
      <w:lvlText w:val="(%1)"/>
      <w:numFmt w:val="decimal"/>
      <w:start w:val="1"/>
    </w:lvl>
  </w:abstractNum>
  <w:abstractNum w:abstractNumId="28">
    <w:nsid w:val="6A3DD3E8"/>
    <w:multiLevelType w:val="hybridMultilevel"/>
    <w:lvl w:ilvl="0">
      <w:lvlJc w:val="left"/>
      <w:lvlText w:val="%1"/>
      <w:numFmt w:val="decimal"/>
      <w:start w:val="1"/>
    </w:lvl>
    <w:lvl w:ilvl="1">
      <w:lvlJc w:val="left"/>
      <w:lvlText w:val="(%2)"/>
      <w:numFmt w:val="decimal"/>
      <w:start w:val="4"/>
    </w:lvl>
  </w:abstractNum>
  <w:abstractNum w:abstractNumId="29">
    <w:nsid w:val="71C91298"/>
    <w:multiLevelType w:val="hybridMultilevel"/>
    <w:lvl w:ilvl="0">
      <w:lvlJc w:val="left"/>
      <w:lvlText w:val="(%1)"/>
      <w:numFmt w:val="decimal"/>
      <w:start w:val="11"/>
    </w:lvl>
    <w:lvl w:ilvl="1">
      <w:lvlJc w:val="left"/>
      <w:lvlText w:val="(%2)"/>
      <w:numFmt w:val="decimal"/>
      <w:start w:val="12"/>
    </w:lvl>
  </w:abstractNum>
  <w:abstractNum w:abstractNumId="30">
    <w:nsid w:val="9DAF632"/>
    <w:multiLevelType w:val="hybridMultilevel"/>
    <w:lvl w:ilvl="0">
      <w:lvlJc w:val="left"/>
      <w:lvlText w:val="(%1)"/>
      <w:numFmt w:val="decimal"/>
      <w:start w:val="16"/>
    </w:lvl>
  </w:abstractNum>
  <w:abstractNum w:abstractNumId="31">
    <w:nsid w:val="53299938"/>
    <w:multiLevelType w:val="hybridMultilevel"/>
    <w:lvl w:ilvl="0">
      <w:lvlJc w:val="left"/>
      <w:lvlText w:val="(%1)"/>
      <w:numFmt w:val="decimal"/>
      <w:start w:val="1"/>
    </w:lvl>
  </w:abstractNum>
  <w:abstractNum w:abstractNumId="32">
    <w:nsid w:val="1FBFE8E0"/>
    <w:multiLevelType w:val="hybridMultilevel"/>
    <w:lvl w:ilvl="0">
      <w:lvlJc w:val="left"/>
      <w:lvlText w:val="(%1)"/>
      <w:numFmt w:val="decimal"/>
      <w:start w:val="4"/>
    </w:lvl>
  </w:abstractNum>
  <w:abstractNum w:abstractNumId="33">
    <w:nsid w:val="5092CA79"/>
    <w:multiLevelType w:val="hybridMultilevel"/>
    <w:lvl w:ilvl="0">
      <w:lvlJc w:val="left"/>
      <w:lvlText w:val="(%1)"/>
      <w:numFmt w:val="decimal"/>
      <w:start w:val="14"/>
    </w:lvl>
  </w:abstractNum>
  <w:abstractNum w:abstractNumId="34">
    <w:nsid w:val="1D545C4D"/>
    <w:multiLevelType w:val="hybridMultilevel"/>
    <w:lvl w:ilvl="0">
      <w:lvlJc w:val="left"/>
      <w:lvlText w:val="%1"/>
      <w:numFmt w:val="lowerRoman"/>
      <w:start w:val="1"/>
    </w:lvl>
    <w:lvl w:ilvl="1">
      <w:lvlJc w:val="left"/>
      <w:lvlText w:val="(%2)"/>
      <w:numFmt w:val="decimal"/>
      <w:start w:val="24"/>
    </w:lvl>
  </w:abstractNum>
  <w:abstractNum w:abstractNumId="35">
    <w:nsid w:val="59ADEA3D"/>
    <w:multiLevelType w:val="hybridMultilevel"/>
    <w:lvl w:ilvl="0">
      <w:lvlJc w:val="left"/>
      <w:lvlText w:val="(%1)"/>
      <w:numFmt w:val="lowerRoman"/>
      <w:start w:val="1"/>
    </w:lvl>
    <w:lvl w:ilvl="1">
      <w:lvlJc w:val="left"/>
      <w:lvlText w:val="(%2)"/>
      <w:numFmt w:val="decimal"/>
      <w:start w:val="28"/>
    </w:lvl>
  </w:abstractNum>
  <w:abstractNum w:abstractNumId="36">
    <w:nsid w:val="288F1A34"/>
    <w:multiLevelType w:val="hybridMultilevel"/>
    <w:lvl w:ilvl="0">
      <w:lvlJc w:val="left"/>
      <w:lvlText w:val="(%1)"/>
      <w:numFmt w:val="lowerLetter"/>
      <w:start w:val="1"/>
    </w:lvl>
  </w:abstractNum>
  <w:abstractNum w:abstractNumId="37">
    <w:nsid w:val="2A155DBC"/>
    <w:multiLevelType w:val="hybridMultilevel"/>
    <w:lvl w:ilvl="0">
      <w:lvlJc w:val="left"/>
      <w:lvlText w:val="(%1)"/>
      <w:numFmt w:val="decimal"/>
      <w:start w:val="1"/>
    </w:lvl>
  </w:abstractNum>
  <w:abstractNum w:abstractNumId="38">
    <w:nsid w:val="1D9F6E5F"/>
    <w:multiLevelType w:val="hybridMultilevel"/>
    <w:lvl w:ilvl="0">
      <w:lvlJc w:val="left"/>
      <w:lvlText w:val="(%1)"/>
      <w:numFmt w:val="lowerRoman"/>
      <w:start w:val="10"/>
    </w:lvl>
  </w:abstractNum>
  <w:abstractNum w:abstractNumId="39">
    <w:nsid w:val="97E1B4E"/>
    <w:multiLevelType w:val="hybridMultilevel"/>
    <w:lvl w:ilvl="0">
      <w:lvlJc w:val="left"/>
      <w:lvlText w:val="(%1)"/>
      <w:numFmt w:val="decimal"/>
      <w:start w:val="1"/>
    </w:lvl>
  </w:abstractNum>
  <w:abstractNum w:abstractNumId="40">
    <w:nsid w:val="51088277"/>
    <w:multiLevelType w:val="hybridMultilevel"/>
    <w:lvl w:ilvl="0">
      <w:lvlJc w:val="left"/>
      <w:lvlText w:val="(%1)"/>
      <w:numFmt w:val="decimal"/>
      <w:start w:val="1"/>
    </w:lvl>
    <w:lvl w:ilvl="1">
      <w:lvlJc w:val="left"/>
      <w:lvlText w:val="(%2)"/>
      <w:numFmt w:val="lowerLetter"/>
      <w:start w:val="1"/>
    </w:lvl>
  </w:abstractNum>
  <w:abstractNum w:abstractNumId="41">
    <w:nsid w:val="1CA0C5FA"/>
    <w:multiLevelType w:val="hybridMultilevel"/>
    <w:lvl w:ilvl="0">
      <w:lvlJc w:val="left"/>
      <w:lvlText w:val="(%1)"/>
      <w:numFmt w:val="decimal"/>
      <w:start w:val="1"/>
    </w:lvl>
  </w:abstractNum>
  <w:abstractNum w:abstractNumId="42">
    <w:nsid w:val="53584BCB"/>
    <w:multiLevelType w:val="hybridMultilevel"/>
    <w:lvl w:ilvl="0">
      <w:lvlJc w:val="left"/>
      <w:lvlText w:val="(%1)"/>
      <w:numFmt w:val="decimal"/>
      <w:start w:val="2"/>
    </w:lvl>
  </w:abstractNum>
  <w:abstractNum w:abstractNumId="43">
    <w:nsid w:val="415E286C"/>
    <w:multiLevelType w:val="hybridMultilevel"/>
    <w:lvl w:ilvl="0">
      <w:lvlJc w:val="left"/>
      <w:lvlText w:val="(%1)"/>
      <w:numFmt w:val="decimal"/>
      <w:start w:val="1"/>
    </w:lvl>
  </w:abstractNum>
  <w:abstractNum w:abstractNumId="44">
    <w:nsid w:val="7C58FD05"/>
    <w:multiLevelType w:val="hybridMultilevel"/>
    <w:lvl w:ilvl="0">
      <w:lvlJc w:val="left"/>
      <w:lvlText w:val="(%1)"/>
      <w:numFmt w:val="lowerLetter"/>
      <w:start w:val="1"/>
    </w:lvl>
  </w:abstractNum>
  <w:abstractNum w:abstractNumId="45">
    <w:nsid w:val="23D86AAC"/>
    <w:multiLevelType w:val="hybridMultilevel"/>
    <w:lvl w:ilvl="0">
      <w:lvlJc w:val="left"/>
      <w:lvlText w:val="(%1)"/>
      <w:numFmt w:val="lowerLetter"/>
      <w:start w:val="7"/>
    </w:lvl>
  </w:abstractNum>
  <w:abstractNum w:abstractNumId="46">
    <w:nsid w:val="45E6D486"/>
    <w:multiLevelType w:val="hybridMultilevel"/>
    <w:lvl w:ilvl="0">
      <w:lvlJc w:val="left"/>
      <w:lvlText w:val="%1"/>
      <w:numFmt w:val="lowerLetter"/>
      <w:start w:val="1"/>
    </w:lvl>
    <w:lvl w:ilvl="1">
      <w:lvlJc w:val="left"/>
      <w:lvlText w:val="(%2)"/>
      <w:numFmt w:val="lowerLetter"/>
      <w:start w:val="1"/>
    </w:lvl>
  </w:abstractNum>
  <w:abstractNum w:abstractNumId="47">
    <w:nsid w:val="5C10FE21"/>
    <w:multiLevelType w:val="hybridMultilevel"/>
    <w:lvl w:ilvl="0">
      <w:lvlJc w:val="left"/>
      <w:lvlText w:val="(%1)"/>
      <w:numFmt w:val="lowerLetter"/>
      <w:start w:val="2"/>
    </w:lvl>
    <w:lvl w:ilvl="1">
      <w:lvlJc w:val="left"/>
      <w:lvlText w:val="(%2)"/>
      <w:numFmt w:val="lowerLetter"/>
      <w:start w:val="2"/>
    </w:lvl>
  </w:abstractNum>
  <w:abstractNum w:abstractNumId="48">
    <w:nsid w:val="E7FFA2B"/>
    <w:multiLevelType w:val="hybridMultilevel"/>
    <w:lvl w:ilvl="0">
      <w:lvlJc w:val="left"/>
      <w:lvlText w:val="(%1)"/>
      <w:numFmt w:val="lowerLetter"/>
      <w:start w:val="4"/>
    </w:lvl>
  </w:abstractNum>
  <w:abstractNum w:abstractNumId="49">
    <w:nsid w:val="3C5991AA"/>
    <w:multiLevelType w:val="hybridMultilevel"/>
    <w:lvl w:ilvl="0">
      <w:lvlJc w:val="left"/>
      <w:lvlText w:val="(%1)"/>
      <w:numFmt w:val="lowerLetter"/>
      <w:start w:val="1"/>
    </w:lvl>
  </w:abstractNum>
  <w:abstractNum w:abstractNumId="50">
    <w:nsid w:val="4BD8591A"/>
    <w:multiLevelType w:val="hybridMultilevel"/>
    <w:lvl w:ilvl="0">
      <w:lvlJc w:val="left"/>
      <w:lvlText w:val="(%1)"/>
      <w:numFmt w:val="lowerLetter"/>
      <w:start w:val="2"/>
    </w:lvl>
  </w:abstractNum>
  <w:abstractNum w:abstractNumId="51">
    <w:nsid w:val="78DF6A55"/>
    <w:multiLevelType w:val="hybridMultilevel"/>
    <w:lvl w:ilvl="0">
      <w:lvlJc w:val="left"/>
      <w:lvlText w:val="(%1)"/>
      <w:numFmt w:val="lowerLetter"/>
      <w:start w:val="3"/>
    </w:lvl>
  </w:abstractNum>
  <w:abstractNum w:abstractNumId="52">
    <w:nsid w:val="39B7AAA2"/>
    <w:multiLevelType w:val="hybridMultilevel"/>
    <w:lvl w:ilvl="0">
      <w:lvlJc w:val="left"/>
      <w:lvlText w:val="(%1)"/>
      <w:numFmt w:val="lowerLetter"/>
      <w:start w:val="1"/>
    </w:lvl>
  </w:abstractNum>
  <w:abstractNum w:abstractNumId="53">
    <w:nsid w:val="2B0D8DBE"/>
    <w:multiLevelType w:val="hybridMultilevel"/>
    <w:lvl w:ilvl="0">
      <w:lvlJc w:val="left"/>
      <w:lvlText w:val="(%1)"/>
      <w:numFmt w:val="lowerLetter"/>
      <w:start w:val="2"/>
    </w:lvl>
    <w:lvl w:ilvl="1">
      <w:lvlJc w:val="left"/>
      <w:lvlText w:val="(%2)"/>
      <w:numFmt w:val="decimal"/>
      <w:start w:val="1"/>
    </w:lvl>
  </w:abstractNum>
  <w:abstractNum w:abstractNumId="54">
    <w:nsid w:val="6C80EC70"/>
    <w:multiLevelType w:val="hybridMultilevel"/>
    <w:lvl w:ilvl="0">
      <w:lvlJc w:val="left"/>
      <w:lvlText w:val="(%1)"/>
      <w:numFmt w:val="decimal"/>
      <w:start w:val="4"/>
    </w:lvl>
  </w:abstractNum>
  <w:abstractNum w:abstractNumId="55">
    <w:nsid w:val="379E21B5"/>
    <w:multiLevelType w:val="hybridMultilevel"/>
    <w:lvl w:ilvl="0">
      <w:lvlJc w:val="left"/>
      <w:lvlText w:val="(%1)"/>
      <w:numFmt w:val="lowerLetter"/>
      <w:start w:val="1"/>
    </w:lvl>
    <w:lvl w:ilvl="1">
      <w:lvlJc w:val="left"/>
      <w:lvlText w:val="(%2)"/>
      <w:numFmt w:val="decimal"/>
      <w:start w:val="1"/>
    </w:lvl>
  </w:abstractNum>
  <w:abstractNum w:abstractNumId="56">
    <w:nsid w:val="69E37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7">
    <w:nsid w:val="2C27173B"/>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58">
    <w:nsid w:val="4C9B0904"/>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59">
    <w:nsid w:val="6AA7B75C"/>
    <w:multiLevelType w:val="hybridMultilevel"/>
    <w:lvl w:ilvl="0">
      <w:lvlJc w:val="left"/>
      <w:lvlText w:val="(%1)"/>
      <w:numFmt w:val="lowerLetter"/>
      <w:start w:val="1"/>
    </w:lvl>
  </w:abstractNum>
  <w:abstractNum w:abstractNumId="60">
    <w:nsid w:val="1DF029D3"/>
    <w:multiLevelType w:val="hybridMultilevel"/>
    <w:lvl w:ilvl="0">
      <w:lvlJc w:val="left"/>
      <w:lvlText w:val="(%1)"/>
      <w:numFmt w:val="lowerLetter"/>
      <w:start w:val="1"/>
    </w:lvl>
  </w:abstractNum>
  <w:abstractNum w:abstractNumId="61">
    <w:nsid w:val="5675FF36"/>
    <w:multiLevelType w:val="hybridMultilevel"/>
    <w:lvl w:ilvl="0">
      <w:lvlJc w:val="left"/>
      <w:lvlText w:val="(%1)"/>
      <w:numFmt w:val="lowerLetter"/>
      <w:start w:val="8"/>
    </w:lvl>
  </w:abstractNum>
  <w:abstractNum w:abstractNumId="62">
    <w:nsid w:val="3DD15094"/>
    <w:multiLevelType w:val="hybridMultilevel"/>
    <w:lvl w:ilvl="0">
      <w:lvlJc w:val="left"/>
      <w:lvlText w:val="(%1)"/>
      <w:numFmt w:val="lowerLetter"/>
      <w:start w:val="1"/>
    </w:lvl>
  </w:abstractNum>
  <w:abstractNum w:abstractNumId="63">
    <w:nsid w:val="3DB012B3"/>
    <w:multiLevelType w:val="hybridMultilevel"/>
    <w:lvl w:ilvl="0">
      <w:lvlJc w:val="left"/>
      <w:lvlText w:val="(%1)"/>
      <w:numFmt w:val="lowerLetter"/>
      <w:start w:val="2"/>
    </w:lvl>
  </w:abstractNum>
  <w:abstractNum w:abstractNumId="64">
    <w:nsid w:val="2708C9AF"/>
    <w:multiLevelType w:val="hybridMultilevel"/>
    <w:lvl w:ilvl="0">
      <w:lvlJc w:val="left"/>
      <w:lvlText w:val="(%1)"/>
      <w:numFmt w:val="lowerLetter"/>
      <w:start w:val="3"/>
    </w:lvl>
    <w:lvl w:ilvl="1">
      <w:lvlJc w:val="left"/>
      <w:lvlText w:val="(%2)"/>
      <w:numFmt w:val="decimal"/>
      <w:start w:val="1"/>
    </w:lvl>
  </w:abstractNum>
  <w:abstractNum w:abstractNumId="65">
    <w:nsid w:val="5B25ACE2"/>
    <w:multiLevelType w:val="hybridMultilevel"/>
    <w:lvl w:ilvl="0">
      <w:lvlJc w:val="left"/>
      <w:lvlText w:val="(%1)"/>
      <w:numFmt w:val="lowerLetter"/>
      <w:start w:val="5"/>
    </w:lvl>
  </w:abstractNum>
  <w:abstractNum w:abstractNumId="66">
    <w:nsid w:val="175DFCF0"/>
    <w:multiLevelType w:val="hybridMultilevel"/>
    <w:lvl w:ilvl="0">
      <w:lvlJc w:val="left"/>
      <w:lvlText w:val="(%1)"/>
      <w:numFmt w:val="lowerLetter"/>
      <w:start w:val="1"/>
    </w:lvl>
    <w:lvl w:ilvl="1">
      <w:lvlJc w:val="left"/>
      <w:lvlText w:val="(%2)"/>
      <w:numFmt w:val="upperLetter"/>
      <w:start w:val="1"/>
    </w:lvl>
  </w:abstractNum>
  <w:abstractNum w:abstractNumId="67">
    <w:nsid w:val="4F97E3E4"/>
    <w:multiLevelType w:val="hybridMultilevel"/>
    <w:lvl w:ilvl="0">
      <w:lvlJc w:val="left"/>
      <w:lvlText w:val="(%1)"/>
      <w:numFmt w:val="lowerLetter"/>
      <w:start w:val="4"/>
    </w:lvl>
  </w:abstractNum>
  <w:abstractNum w:abstractNumId="68">
    <w:nsid w:val="53B0A9E"/>
    <w:multiLevelType w:val="hybridMultilevel"/>
    <w:lvl w:ilvl="0">
      <w:lvlJc w:val="left"/>
      <w:lvlText w:val="(%1)"/>
      <w:numFmt w:val="lowerLetter"/>
      <w:start w:val="1"/>
    </w:lvl>
  </w:abstractNum>
  <w:abstractNum w:abstractNumId="69">
    <w:nsid w:val="34FD6B4F"/>
    <w:multiLevelType w:val="hybridMultilevel"/>
    <w:lvl w:ilvl="0">
      <w:lvlJc w:val="left"/>
      <w:lvlText w:val="(%1)"/>
      <w:numFmt w:val="decimal"/>
      <w:start w:val="1"/>
    </w:lvl>
  </w:abstractNum>
  <w:abstractNum w:abstractNumId="70">
    <w:nsid w:val="5915FF32"/>
    <w:multiLevelType w:val="hybridMultilevel"/>
    <w:lvl w:ilvl="0">
      <w:lvlJc w:val="left"/>
      <w:lvlText w:val="(%1)"/>
      <w:numFmt w:val="decimal"/>
      <w:start w:val="1"/>
    </w:lvl>
    <w:lvl w:ilvl="1">
      <w:lvlJc w:val="left"/>
      <w:lvlText w:val="(%2)"/>
      <w:numFmt w:val="lowerLetter"/>
      <w:start w:val="2"/>
    </w:lvl>
  </w:abstractNum>
  <w:abstractNum w:abstractNumId="71">
    <w:nsid w:val="56438D15"/>
    <w:multiLevelType w:val="hybridMultilevel"/>
    <w:lvl w:ilvl="0">
      <w:lvlJc w:val="left"/>
      <w:lvlText w:val="(%1)"/>
      <w:numFmt w:val="lowerLetter"/>
      <w:start w:val="4"/>
    </w:lvl>
  </w:abstractNum>
  <w:abstractNum w:abstractNumId="72">
    <w:nsid w:val="519E3149"/>
    <w:multiLevelType w:val="hybridMultilevel"/>
    <w:lvl w:ilvl="0">
      <w:lvlJc w:val="left"/>
      <w:lvlText w:val="(%1)"/>
      <w:numFmt w:val="lowerLetter"/>
      <w:start w:val="1"/>
    </w:lvl>
  </w:abstractNum>
  <w:abstractNum w:abstractNumId="73">
    <w:nsid w:val="2C6E4AFD"/>
    <w:multiLevelType w:val="hybridMultilevel"/>
    <w:lvl w:ilvl="0">
      <w:lvlJc w:val="left"/>
      <w:lvlText w:val="(%1)"/>
      <w:numFmt w:val="decimal"/>
      <w:start w:val="1"/>
    </w:lvl>
    <w:lvl w:ilvl="1">
      <w:lvlJc w:val="left"/>
      <w:lvlText w:val="(%2)"/>
      <w:numFmt w:val="upperLetter"/>
      <w:start w:val="1"/>
    </w:lvl>
  </w:abstractNum>
  <w:abstractNum w:abstractNumId="74">
    <w:nsid w:val="17A1B582"/>
    <w:multiLevelType w:val="hybridMultilevel"/>
    <w:lvl w:ilvl="0">
      <w:lvlJc w:val="left"/>
      <w:lvlText w:val="(%1)"/>
      <w:numFmt w:val="lowerLetter"/>
      <w:start w:val="2"/>
    </w:lvl>
    <w:lvl w:ilvl="1">
      <w:lvlJc w:val="left"/>
      <w:lvlText w:val="(%2)"/>
      <w:numFmt w:val="decimal"/>
      <w:start w:val="1"/>
    </w:lvl>
  </w:abstractNum>
  <w:abstractNum w:abstractNumId="75">
    <w:nsid w:val="4DF72E4E"/>
    <w:multiLevelType w:val="hybridMultilevel"/>
    <w:lvl w:ilvl="0">
      <w:lvlJc w:val="left"/>
      <w:lvlText w:val="(%1)"/>
      <w:numFmt w:val="lowerLetter"/>
      <w:start w:val="25"/>
    </w:lvl>
    <w:lvl w:ilvl="1">
      <w:lvlJc w:val="left"/>
      <w:lvlText w:val="%2"/>
      <w:numFmt w:val="decimal"/>
      <w:start w:val="1"/>
    </w:lvl>
  </w:abstractNum>
  <w:abstractNum w:abstractNumId="76">
    <w:nsid w:val="5046B5A9"/>
    <w:multiLevelType w:val="hybridMultilevel"/>
    <w:lvl w:ilvl="0">
      <w:lvlJc w:val="left"/>
      <w:lvlText w:val="(%1)"/>
      <w:numFmt w:val="decimal"/>
      <w:start w:val="6"/>
    </w:lvl>
  </w:abstractNum>
  <w:abstractNum w:abstractNumId="77">
    <w:nsid w:val="5D888A08"/>
    <w:multiLevelType w:val="hybridMultilevel"/>
    <w:lvl w:ilvl="0">
      <w:lvlJc w:val="left"/>
      <w:lvlText w:val="(%1)"/>
      <w:numFmt w:val="decimal"/>
      <w:start w:val="14"/>
    </w:lvl>
  </w:abstractNum>
  <w:abstractNum w:abstractNumId="78">
    <w:nsid w:val="2A082C70"/>
    <w:multiLevelType w:val="hybridMultilevel"/>
    <w:lvl w:ilvl="0">
      <w:lvlJc w:val="left"/>
      <w:lvlText w:val="(%1)"/>
      <w:numFmt w:val="lowerLetter"/>
      <w:start w:val="3"/>
    </w:lvl>
  </w:abstractNum>
  <w:abstractNum w:abstractNumId="79">
    <w:nsid w:val="5EC6AFD4"/>
    <w:multiLevelType w:val="hybridMultilevel"/>
    <w:lvl w:ilvl="0">
      <w:lvlJc w:val="left"/>
      <w:lvlText w:val="(%1)"/>
      <w:numFmt w:val="lowerLetter"/>
      <w:start w:val="1"/>
    </w:lvl>
    <w:lvl w:ilvl="1">
      <w:lvlJc w:val="left"/>
      <w:lvlText w:val="(%2)"/>
      <w:numFmt w:val="decimal"/>
      <w:start w:val="1"/>
    </w:lvl>
  </w:abstractNum>
  <w:abstractNum w:abstractNumId="80">
    <w:nsid w:val="19E21BB2"/>
    <w:multiLevelType w:val="hybridMultilevel"/>
    <w:lvl w:ilvl="0">
      <w:lvlJc w:val="left"/>
      <w:lvlText w:val="%1"/>
      <w:numFmt w:val="lowerLetter"/>
      <w:start w:val="1"/>
    </w:lvl>
    <w:lvl w:ilvl="1">
      <w:lvlJc w:val="left"/>
      <w:lvlText w:val="(%2)"/>
      <w:numFmt w:val="decimal"/>
      <w:start w:val="3"/>
    </w:lvl>
  </w:abstractNum>
  <w:abstractNum w:abstractNumId="81">
    <w:nsid w:val="75E0858A"/>
    <w:multiLevelType w:val="hybridMultilevel"/>
    <w:lvl w:ilvl="0">
      <w:lvlJc w:val="left"/>
      <w:lvlText w:val="(%1)"/>
      <w:numFmt w:val="lowerLetter"/>
      <w:start w:val="2"/>
    </w:lvl>
    <w:lvl w:ilvl="1">
      <w:lvlJc w:val="left"/>
      <w:lvlText w:val="(%2)"/>
      <w:numFmt w:val="decimal"/>
      <w:start w:val="1"/>
    </w:lvl>
  </w:abstractNum>
  <w:abstractNum w:abstractNumId="82">
    <w:nsid w:val="57A61A29"/>
    <w:multiLevelType w:val="hybridMultilevel"/>
    <w:lvl w:ilvl="0">
      <w:lvlJc w:val="left"/>
      <w:lvlText w:val="%1"/>
      <w:numFmt w:val="upperLetter"/>
      <w:start w:val="1"/>
    </w:lvl>
    <w:lvl w:ilvl="1">
      <w:lvlJc w:val="left"/>
      <w:lvlText w:val="(%2)"/>
      <w:numFmt w:val="decimal"/>
      <w:start w:val="10"/>
    </w:lvl>
  </w:abstractNum>
  <w:abstractNum w:abstractNumId="83">
    <w:nsid w:val="5399C654"/>
    <w:multiLevelType w:val="hybridMultilevel"/>
    <w:lvl w:ilvl="0">
      <w:lvlJc w:val="left"/>
      <w:lvlText w:val="(%1)"/>
      <w:numFmt w:val="upperLetter"/>
      <w:start w:val="2"/>
    </w:lvl>
    <w:lvl w:ilvl="1">
      <w:lvlJc w:val="left"/>
      <w:lvlText w:val="(%2)"/>
      <w:numFmt w:val="decimal"/>
      <w:start w:val="11"/>
    </w:lvl>
  </w:abstractNum>
  <w:abstractNum w:abstractNumId="84">
    <w:nsid w:val="20EE134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5">
    <w:nsid w:val="4427069A"/>
    <w:multiLevelType w:val="hybridMultilevel"/>
    <w:lvl w:ilvl="0">
      <w:lvlJc w:val="left"/>
      <w:lvlText w:val="%1"/>
      <w:numFmt w:val="upperLetter"/>
      <w:start w:val="1"/>
    </w:lvl>
    <w:lvl w:ilvl="1">
      <w:lvlJc w:val="left"/>
      <w:lvlText w:val="(%2)"/>
      <w:numFmt w:val="decimal"/>
      <w:start w:val="7"/>
    </w:lvl>
  </w:abstractNum>
  <w:abstractNum w:abstractNumId="86">
    <w:nsid w:val="B37E80A"/>
    <w:multiLevelType w:val="hybridMultilevel"/>
    <w:lvl w:ilvl="0">
      <w:lvlJc w:val="left"/>
      <w:lvlText w:val="(%1)"/>
      <w:numFmt w:val="upperLetter"/>
      <w:start w:val="2"/>
    </w:lvl>
    <w:lvl w:ilvl="1">
      <w:lvlJc w:val="left"/>
      <w:lvlText w:val="(%2)"/>
      <w:numFmt w:val="decimal"/>
      <w:start w:val="9"/>
    </w:lvl>
  </w:abstractNum>
  <w:abstractNum w:abstractNumId="87">
    <w:nsid w:val="2157F6BC"/>
    <w:multiLevelType w:val="hybridMultilevel"/>
    <w:lvl w:ilvl="0">
      <w:lvlJc w:val="left"/>
      <w:lvlText w:val="%1"/>
      <w:numFmt w:val="lowerLetter"/>
      <w:start w:val="1"/>
    </w:lvl>
    <w:lvl w:ilvl="1">
      <w:lvlJc w:val="left"/>
      <w:lvlText w:val="(%2)"/>
      <w:numFmt w:val="decimal"/>
      <w:start w:val="14"/>
    </w:lvl>
  </w:abstractNum>
  <w:abstractNum w:abstractNumId="88">
    <w:nsid w:val="704E1DD5"/>
    <w:multiLevelType w:val="hybridMultilevel"/>
    <w:lvl w:ilvl="0">
      <w:lvlJc w:val="left"/>
      <w:lvlText w:val="(%1)"/>
      <w:numFmt w:val="lowerLetter"/>
      <w:start w:val="3"/>
    </w:lvl>
    <w:lvl w:ilvl="1">
      <w:lvlJc w:val="left"/>
      <w:lvlText w:val="%2"/>
      <w:numFmt w:val="decimal"/>
      <w:start w:val="1"/>
    </w:lvl>
  </w:abstractNum>
  <w:abstractNum w:abstractNumId="89">
    <w:nsid w:val="57D2F10E"/>
    <w:multiLevelType w:val="hybridMultilevel"/>
    <w:lvl w:ilvl="0">
      <w:lvlJc w:val="left"/>
      <w:lvlText w:val="(%1)"/>
      <w:numFmt w:val="lowerLetter"/>
      <w:start w:val="4"/>
    </w:lvl>
  </w:abstractNum>
  <w:abstractNum w:abstractNumId="90">
    <w:nsid w:val="BFFAE18"/>
    <w:multiLevelType w:val="hybridMultilevel"/>
    <w:lvl w:ilvl="0">
      <w:lvlJc w:val="left"/>
      <w:lvlText w:val="(%1)"/>
      <w:numFmt w:val="lowerLetter"/>
      <w:start w:val="1"/>
    </w:lvl>
    <w:lvl w:ilvl="1">
      <w:lvlJc w:val="left"/>
      <w:lvlText w:val="(%2)"/>
      <w:numFmt w:val="decimal"/>
      <w:start w:val="1"/>
    </w:lvl>
  </w:abstractNum>
  <w:abstractNum w:abstractNumId="91">
    <w:nsid w:val="E3E47A8"/>
    <w:multiLevelType w:val="hybridMultilevel"/>
    <w:lvl w:ilvl="0">
      <w:lvlJc w:val="left"/>
      <w:lvlText w:val="(%1)"/>
      <w:numFmt w:val="upperLetter"/>
      <w:start w:val="1"/>
    </w:lvl>
  </w:abstractNum>
  <w:abstractNum w:abstractNumId="92">
    <w:nsid w:val="2E48F044"/>
    <w:multiLevelType w:val="hybridMultilevel"/>
    <w:lvl w:ilvl="0">
      <w:lvlJc w:val="left"/>
      <w:lvlText w:val="(%1)"/>
      <w:numFmt w:val="lowerLetter"/>
      <w:start w:val="2"/>
    </w:lvl>
    <w:lvl w:ilvl="1">
      <w:lvlJc w:val="left"/>
      <w:lvlText w:val="(%2)"/>
      <w:numFmt w:val="decimal"/>
      <w:start w:val="1"/>
    </w:lvl>
  </w:abstractNum>
  <w:abstractNum w:abstractNumId="93">
    <w:nsid w:val="49D0FEAC"/>
    <w:multiLevelType w:val="hybridMultilevel"/>
    <w:lvl w:ilvl="0">
      <w:lvlJc w:val="left"/>
      <w:lvlText w:val="(%1)"/>
      <w:numFmt w:val="lowerLetter"/>
      <w:start w:val="3"/>
    </w:lvl>
  </w:abstractNum>
  <w:abstractNum w:abstractNumId="94">
    <w:nsid w:val="4BEE5A5B"/>
    <w:multiLevelType w:val="hybridMultilevel"/>
    <w:lvl w:ilvl="0">
      <w:lvlJc w:val="left"/>
      <w:lvlText w:val="(%1)"/>
      <w:numFmt w:val="lowerLetter"/>
      <w:start w:val="4"/>
    </w:lvl>
  </w:abstractNum>
  <w:abstractNum w:abstractNumId="95">
    <w:nsid w:val="5551B9F3"/>
    <w:multiLevelType w:val="hybridMultilevel"/>
    <w:lvl w:ilvl="0">
      <w:lvlJc w:val="left"/>
      <w:lvlText w:val="(%1)"/>
      <w:numFmt w:val="lowerLetter"/>
      <w:start w:val="9"/>
    </w:lvl>
  </w:abstractNum>
  <w:abstractNum w:abstractNumId="96">
    <w:nsid w:val="24F6AB8E"/>
    <w:multiLevelType w:val="hybridMultilevel"/>
    <w:lvl w:ilvl="0">
      <w:lvlJc w:val="left"/>
      <w:lvlText w:val="(%1)"/>
      <w:numFmt w:val="lowerLetter"/>
      <w:start w:val="1"/>
    </w:lvl>
  </w:abstractNum>
  <w:abstractNum w:abstractNumId="97">
    <w:nsid w:val="634C574C"/>
    <w:multiLevelType w:val="hybridMultilevel"/>
    <w:lvl w:ilvl="0">
      <w:lvlJc w:val="left"/>
      <w:lvlText w:val="(%1)"/>
      <w:numFmt w:val="lowerLetter"/>
      <w:start w:val="2"/>
    </w:lvl>
    <w:lvl w:ilvl="1">
      <w:lvlJc w:val="left"/>
      <w:lvlText w:val="(%2)"/>
      <w:numFmt w:val="decimal"/>
      <w:start w:val="1"/>
    </w:lvl>
  </w:abstractNum>
  <w:abstractNum w:abstractNumId="98">
    <w:nsid w:val="24E99DD7"/>
    <w:multiLevelType w:val="hybridMultilevel"/>
    <w:lvl w:ilvl="0">
      <w:lvlJc w:val="left"/>
      <w:lvlText w:val="(%1)"/>
      <w:numFmt w:val="decimal"/>
      <w:start w:val="10"/>
    </w:lvl>
  </w:abstractNum>
  <w:abstractNum w:abstractNumId="99">
    <w:nsid w:val="2A31B62D"/>
    <w:multiLevelType w:val="hybridMultilevel"/>
    <w:lvl w:ilvl="0">
      <w:lvlJc w:val="left"/>
      <w:lvlText w:val="(%1)"/>
      <w:numFmt w:val="lowerLetter"/>
      <w:start w:val="1"/>
    </w:lvl>
    <w:lvl w:ilvl="1">
      <w:lvlJc w:val="left"/>
      <w:lvlText w:val="(%2)"/>
      <w:numFmt w:val="decimal"/>
      <w:start w:val="1"/>
    </w:lvl>
  </w:abstractNum>
  <w:abstractNum w:abstractNumId="100">
    <w:nsid w:val="1849C29B"/>
    <w:multiLevelType w:val="hybridMultilevel"/>
    <w:lvl w:ilvl="0">
      <w:lvlJc w:val="left"/>
      <w:lvlText w:val="(%1)"/>
      <w:numFmt w:val="lowerLetter"/>
      <w:start w:val="1"/>
    </w:lvl>
    <w:lvl w:ilvl="1">
      <w:lvlJc w:val="left"/>
      <w:lvlText w:val="(%2)"/>
      <w:numFmt w:val="decimal"/>
      <w:start w:val="1"/>
    </w:lvl>
  </w:abstractNum>
  <w:abstractNum w:abstractNumId="101">
    <w:nsid w:val="7DFF9D09"/>
    <w:multiLevelType w:val="hybridMultilevel"/>
    <w:lvl w:ilvl="0">
      <w:lvlJc w:val="left"/>
      <w:lvlText w:val="%1"/>
      <w:numFmt w:val="lowerLetter"/>
      <w:start w:val="1"/>
    </w:lvl>
    <w:lvl w:ilvl="1">
      <w:lvlJc w:val="left"/>
      <w:lvlText w:val="(%2)"/>
      <w:numFmt w:val="lowerLetter"/>
      <w:start w:val="6"/>
    </w:lvl>
  </w:abstractNum>
  <w:abstractNum w:abstractNumId="102">
    <w:nsid w:val="754342"/>
    <w:multiLevelType w:val="hybridMultilevel"/>
    <w:lvl w:ilvl="0">
      <w:lvlJc w:val="left"/>
      <w:lvlText w:val="(%1)"/>
      <w:numFmt w:val="lowerLetter"/>
      <w:start w:val="9"/>
    </w:lvl>
    <w:lvl w:ilvl="1">
      <w:lvlJc w:val="left"/>
      <w:lvlText w:val="(%2)"/>
      <w:numFmt w:val="lowerLetter"/>
      <w:start w:val="8"/>
    </w:lvl>
  </w:abstractNum>
  <w:abstractNum w:abstractNumId="103">
    <w:nsid w:val="69E7F3E5"/>
    <w:multiLevelType w:val="hybridMultilevel"/>
    <w:lvl w:ilvl="0">
      <w:lvlJc w:val="left"/>
      <w:lvlText w:val="(%1)"/>
      <w:numFmt w:val="lowerLetter"/>
      <w:start w:val="1"/>
    </w:lvl>
    <w:lvl w:ilvl="1">
      <w:lvlJc w:val="left"/>
      <w:lvlText w:val="(%2)"/>
      <w:numFmt w:val="decimal"/>
      <w:start w:val="1"/>
    </w:lvl>
  </w:abstractNum>
  <w:abstractNum w:abstractNumId="104">
    <w:nsid w:val="2A6DE806"/>
    <w:multiLevelType w:val="hybridMultilevel"/>
    <w:lvl w:ilvl="0">
      <w:lvlJc w:val="left"/>
      <w:lvlText w:val="(%1)"/>
      <w:numFmt w:val="decimal"/>
      <w:start w:val="3"/>
    </w:lvl>
  </w:abstractNum>
  <w:abstractNum w:abstractNumId="105">
    <w:nsid w:val="1816F8C4"/>
    <w:multiLevelType w:val="hybridMultilevel"/>
    <w:lvl w:ilvl="0">
      <w:lvlJc w:val="left"/>
      <w:lvlText w:val="(%1)"/>
      <w:numFmt w:val="lowerLetter"/>
      <w:start w:val="3"/>
    </w:lvl>
    <w:lvl w:ilvl="1">
      <w:lvlJc w:val="left"/>
      <w:lvlText w:val="(%2)"/>
      <w:numFmt w:val="decimal"/>
      <w:start w:val="1"/>
    </w:lvl>
  </w:abstractNum>
  <w:abstractNum w:abstractNumId="106">
    <w:nsid w:val="37DF2233"/>
    <w:multiLevelType w:val="hybridMultilevel"/>
    <w:lvl w:ilvl="0">
      <w:lvlJc w:val="left"/>
      <w:lvlText w:val="(%1)"/>
      <w:numFmt w:val="lowerLetter"/>
      <w:start w:val="1"/>
    </w:lvl>
  </w:abstractNum>
  <w:abstractNum w:abstractNumId="107">
    <w:nsid w:val="7AB49DAF"/>
    <w:multiLevelType w:val="hybridMultilevel"/>
    <w:lvl w:ilvl="0">
      <w:lvlJc w:val="left"/>
      <w:lvlText w:val="(%1)"/>
      <w:numFmt w:val="decimal"/>
      <w:start w:val="1"/>
    </w:lvl>
    <w:lvl w:ilvl="1">
      <w:lvlJc w:val="left"/>
      <w:lvlText w:val="(%2)"/>
      <w:numFmt w:val="upperLetter"/>
      <w:start w:val="1"/>
    </w:lvl>
  </w:abstractNum>
  <w:abstractNum w:abstractNumId="108">
    <w:nsid w:val="759F82CD"/>
    <w:multiLevelType w:val="hybridMultilevel"/>
    <w:lvl w:ilvl="0">
      <w:lvlJc w:val="left"/>
      <w:lvlText w:val="%1"/>
      <w:numFmt w:val="lowerLetter"/>
      <w:start w:val="1"/>
    </w:lvl>
    <w:lvl w:ilvl="1">
      <w:lvlJc w:val="left"/>
      <w:lvlText w:val="(%2)"/>
      <w:numFmt w:val="decimal"/>
      <w:start w:val="6"/>
    </w:lvl>
  </w:abstractNum>
  <w:abstractNum w:abstractNumId="109">
    <w:nsid w:val="61E74EA3"/>
    <w:multiLevelType w:val="hybridMultilevel"/>
    <w:lvl w:ilvl="0">
      <w:lvlJc w:val="left"/>
      <w:lvlText w:val="(%1)"/>
      <w:numFmt w:val="lowerLetter"/>
      <w:start w:val="2"/>
    </w:lvl>
    <w:lvl w:ilvl="1">
      <w:lvlJc w:val="left"/>
      <w:lvlText w:val="%2"/>
      <w:numFmt w:val="decimal"/>
      <w:start w:val="1"/>
    </w:lvl>
  </w:abstractNum>
  <w:abstractNum w:abstractNumId="110">
    <w:nsid w:val="597B4D84"/>
    <w:multiLevelType w:val="hybridMultilevel"/>
    <w:lvl w:ilvl="0">
      <w:lvlJc w:val="left"/>
      <w:lvlText w:val="(%1)"/>
      <w:numFmt w:val="lowerLetter"/>
      <w:start w:val="5"/>
    </w:lvl>
  </w:abstractNum>
  <w:abstractNum w:abstractNumId="111">
    <w:nsid w:val="F819E7F"/>
    <w:multiLevelType w:val="hybridMultilevel"/>
    <w:lvl w:ilvl="0">
      <w:lvlJc w:val="left"/>
      <w:lvlText w:val="(%1)"/>
      <w:numFmt w:val="lowerLetter"/>
      <w:start w:val="1"/>
    </w:lvl>
  </w:abstractNum>
  <w:abstractNum w:abstractNumId="112">
    <w:nsid w:val="57C7D42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3">
    <w:nsid w:val="312167AD"/>
    <w:multiLevelType w:val="hybridMultilevel"/>
    <w:lvl w:ilvl="0">
      <w:lvlJc w:val="left"/>
      <w:lvlText w:val="(%1)"/>
      <w:numFmt w:val="upperLetter"/>
      <w:start w:val="5"/>
    </w:lvl>
  </w:abstractNum>
  <w:abstractNum w:abstractNumId="114">
    <w:nsid w:val="631B64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5">
    <w:nsid w:val="78B5E776"/>
    <w:multiLevelType w:val="hybridMultilevel"/>
    <w:lvl w:ilvl="0">
      <w:lvlJc w:val="left"/>
      <w:lvlText w:val="%1"/>
      <w:numFmt w:val="lowerLetter"/>
      <w:start w:val="1"/>
    </w:lvl>
    <w:lvl w:ilvl="1">
      <w:lvlJc w:val="left"/>
      <w:lvlText w:val="(%2)"/>
      <w:numFmt w:val="decimal"/>
      <w:start w:val="4"/>
    </w:lvl>
  </w:abstractNum>
  <w:abstractNum w:abstractNumId="116">
    <w:nsid w:val="75486E47"/>
    <w:multiLevelType w:val="hybridMultilevel"/>
    <w:lvl w:ilvl="0">
      <w:lvlJc w:val="left"/>
      <w:lvlText w:val="(%1)"/>
      <w:numFmt w:val="lowerLetter"/>
      <w:start w:val="2"/>
    </w:lvl>
    <w:lvl w:ilvl="1">
      <w:lvlJc w:val="left"/>
      <w:lvlText w:val="%2"/>
      <w:numFmt w:val="decimal"/>
      <w:start w:val="1"/>
    </w:lvl>
  </w:abstractNum>
  <w:abstractNum w:abstractNumId="117">
    <w:nsid w:val="6E534CD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8">
    <w:nsid w:val="1A0DDE3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19">
    <w:nsid w:val="65968C1C"/>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20">
    <w:nsid w:val="46263DEC"/>
    <w:multiLevelType w:val="hybridMultilevel"/>
    <w:lvl w:ilvl="0">
      <w:lvlJc w:val="left"/>
      <w:lvlText w:val="(%1)"/>
      <w:numFmt w:val="lowerLetter"/>
      <w:start w:val="7"/>
    </w:lvl>
  </w:abstractNum>
  <w:abstractNum w:abstractNumId="121">
    <w:nsid w:val="260D8C4A"/>
    <w:multiLevelType w:val="hybridMultilevel"/>
    <w:lvl w:ilvl="0">
      <w:lvlJc w:val="left"/>
      <w:lvlText w:val="(%1)"/>
      <w:numFmt w:val="lowerLetter"/>
      <w:start w:val="1"/>
    </w:lvl>
  </w:abstractNum>
  <w:abstractNum w:abstractNumId="122">
    <w:nsid w:val="73D4D3C4"/>
    <w:multiLevelType w:val="hybridMultilevel"/>
    <w:lvl w:ilvl="0">
      <w:lvlJc w:val="left"/>
      <w:lvlText w:val="(%1)"/>
      <w:numFmt w:val="decimal"/>
      <w:start w:val="1"/>
    </w:lvl>
  </w:abstractNum>
  <w:abstractNum w:abstractNumId="123">
    <w:nsid w:val="746F2E30"/>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24">
    <w:nsid w:val="6FDE8AF6"/>
    <w:multiLevelType w:val="hybridMultilevel"/>
    <w:lvl w:ilvl="0">
      <w:lvlJc w:val="left"/>
      <w:lvlText w:val="(%1)"/>
      <w:numFmt w:val="lowerLetter"/>
      <w:start w:val="8"/>
    </w:lvl>
  </w:abstractNum>
  <w:abstractNum w:abstractNumId="125">
    <w:nsid w:val="3FC32E20"/>
    <w:multiLevelType w:val="hybridMultilevel"/>
    <w:lvl w:ilvl="0">
      <w:lvlJc w:val="left"/>
      <w:lvlText w:val="(%1)"/>
      <w:numFmt w:val="lowerLetter"/>
      <w:start w:val="1"/>
    </w:lvl>
  </w:abstractNum>
  <w:abstractNum w:abstractNumId="126">
    <w:nsid w:val="49C0E823"/>
    <w:multiLevelType w:val="hybridMultilevel"/>
    <w:lvl w:ilvl="0">
      <w:lvlJc w:val="left"/>
      <w:lvlText w:val="(%1)"/>
      <w:numFmt w:val="lowerLetter"/>
      <w:start w:val="1"/>
    </w:lvl>
  </w:abstractNum>
  <w:abstractNum w:abstractNumId="127">
    <w:nsid w:val="14D53685"/>
    <w:multiLevelType w:val="hybridMultilevel"/>
    <w:lvl w:ilvl="0">
      <w:lvlJc w:val="left"/>
      <w:lvlText w:val="(%1)"/>
      <w:numFmt w:val="lowerLetter"/>
      <w:start w:val="2"/>
    </w:lvl>
  </w:abstractNum>
  <w:abstractNum w:abstractNumId="128">
    <w:nsid w:val="230F856C"/>
    <w:multiLevelType w:val="hybridMultilevel"/>
    <w:lvl w:ilvl="0">
      <w:lvlJc w:val="left"/>
      <w:lvlText w:val="(%1)"/>
      <w:numFmt w:val="lowerLetter"/>
      <w:start w:val="1"/>
    </w:lvl>
  </w:abstractNum>
  <w:abstractNum w:abstractNumId="129">
    <w:nsid w:val="6EAA85FB"/>
    <w:multiLevelType w:val="hybridMultilevel"/>
    <w:lvl w:ilvl="0">
      <w:lvlJc w:val="left"/>
      <w:lvlText w:val="%1"/>
      <w:numFmt w:val="lowerLetter"/>
      <w:start w:val="1"/>
    </w:lvl>
    <w:lvl w:ilvl="1">
      <w:lvlJc w:val="left"/>
      <w:lvlText w:val="(%2)"/>
      <w:numFmt w:val="decimal"/>
      <w:start w:val="1"/>
    </w:lvl>
  </w:abstractNum>
  <w:abstractNum w:abstractNumId="130">
    <w:nsid w:val="3F06ECB2"/>
    <w:multiLevelType w:val="hybridMultilevel"/>
    <w:lvl w:ilvl="0">
      <w:lvlJc w:val="left"/>
      <w:lvlText w:val="(%1)"/>
      <w:numFmt w:val="lowerLetter"/>
      <w:start w:val="3"/>
    </w:lvl>
    <w:lvl w:ilvl="1">
      <w:lvlJc w:val="left"/>
      <w:lvlText w:val="(%2)"/>
      <w:numFmt w:val="decimal"/>
      <w:start w:val="1"/>
    </w:lvl>
  </w:abstractNum>
  <w:abstractNum w:abstractNumId="131">
    <w:nsid w:val="3B594807"/>
    <w:multiLevelType w:val="hybridMultilevel"/>
    <w:lvl w:ilvl="0">
      <w:lvlJc w:val="left"/>
      <w:lvlText w:val="(%1)"/>
      <w:numFmt w:val="lowerLetter"/>
      <w:start w:val="5"/>
    </w:lvl>
  </w:abstractNum>
  <w:abstractNum w:abstractNumId="132">
    <w:nsid w:val="6CAA2304"/>
    <w:multiLevelType w:val="hybridMultilevel"/>
    <w:lvl w:ilvl="0">
      <w:lvlJc w:val="left"/>
      <w:lvlText w:val="(%1)"/>
      <w:numFmt w:val="lowerLetter"/>
      <w:start w:val="1"/>
    </w:lvl>
  </w:abstractNum>
  <w:abstractNum w:abstractNumId="133">
    <w:nsid w:val="3F7C2FF4"/>
    <w:multiLevelType w:val="hybridMultilevel"/>
    <w:lvl w:ilvl="0">
      <w:lvlJc w:val="left"/>
      <w:lvlText w:val="(%1)"/>
      <w:numFmt w:val="lowerLetter"/>
      <w:start w:val="10"/>
    </w:lvl>
  </w:abstractNum>
  <w:abstractNum w:abstractNumId="134">
    <w:nsid w:val="25413BEC"/>
    <w:multiLevelType w:val="hybridMultilevel"/>
    <w:lvl w:ilvl="0">
      <w:lvlJc w:val="left"/>
      <w:lvlText w:val="(%1)"/>
      <w:numFmt w:val="lowerLetter"/>
      <w:start w:val="1"/>
    </w:lvl>
  </w:abstractNum>
  <w:abstractNum w:abstractNumId="135">
    <w:nsid w:val="17180B0B"/>
    <w:multiLevelType w:val="hybridMultilevel"/>
    <w:lvl w:ilvl="0">
      <w:lvlJc w:val="left"/>
      <w:lvlText w:val="(%1)"/>
      <w:numFmt w:val="lowerLetter"/>
      <w:start w:val="1"/>
    </w:lvl>
    <w:lvl w:ilvl="1">
      <w:lvlJc w:val="left"/>
      <w:lvlText w:val="(%2)"/>
      <w:numFmt w:val="decimal"/>
      <w:start w:val="1"/>
    </w:lvl>
  </w:abstractNum>
  <w:abstractNum w:abstractNumId="136">
    <w:nsid w:val="579328B9"/>
    <w:multiLevelType w:val="hybridMultilevel"/>
    <w:lvl w:ilvl="0">
      <w:lvlJc w:val="left"/>
      <w:lvlText w:val="(%1)"/>
      <w:numFmt w:val="lowerLetter"/>
      <w:start w:val="3"/>
    </w:lvl>
  </w:abstractNum>
  <w:abstractNum w:abstractNumId="137">
    <w:nsid w:val="5D205E20"/>
    <w:multiLevelType w:val="hybridMultilevel"/>
    <w:lvl w:ilvl="0">
      <w:lvlJc w:val="left"/>
      <w:lvlText w:val="(%1)"/>
      <w:numFmt w:val="lowerLetter"/>
      <w:start w:val="1"/>
    </w:lvl>
  </w:abstractNum>
  <w:abstractNum w:abstractNumId="138">
    <w:nsid w:val="11CCA8BA"/>
    <w:multiLevelType w:val="hybridMultilevel"/>
    <w:lvl w:ilvl="0">
      <w:lvlJc w:val="left"/>
      <w:lvlText w:val="(%1)"/>
      <w:numFmt w:val="decimal"/>
      <w:start w:val="1"/>
    </w:lvl>
  </w:abstractNum>
  <w:abstractNum w:abstractNumId="139">
    <w:nsid w:val="4D32AB86"/>
    <w:multiLevelType w:val="hybridMultilevel"/>
    <w:lvl w:ilvl="0">
      <w:lvlJc w:val="left"/>
      <w:lvlText w:val="(%1)"/>
      <w:numFmt w:val="lowerLetter"/>
      <w:start w:val="1"/>
    </w:lvl>
  </w:abstractNum>
  <w:abstractNum w:abstractNumId="140">
    <w:nsid w:val="3F07ACC3"/>
    <w:multiLevelType w:val="hybridMultilevel"/>
    <w:lvl w:ilvl="0">
      <w:lvlJc w:val="left"/>
      <w:lvlText w:val="(%1)"/>
      <w:numFmt w:val="lowerLetter"/>
      <w:start w:val="1"/>
    </w:lvl>
  </w:abstractNum>
  <w:abstractNum w:abstractNumId="141">
    <w:nsid w:val="6B47F63E"/>
    <w:multiLevelType w:val="hybridMultilevel"/>
    <w:lvl w:ilvl="0">
      <w:lvlJc w:val="left"/>
      <w:lvlText w:val="(%1)"/>
      <w:numFmt w:val="lowerLetter"/>
      <w:start w:val="1"/>
    </w:lvl>
  </w:abstractNum>
  <w:abstractNum w:abstractNumId="142">
    <w:nsid w:val="5CB44A05"/>
    <w:multiLevelType w:val="hybridMultilevel"/>
    <w:lvl w:ilvl="0">
      <w:lvlJc w:val="left"/>
      <w:lvlText w:val="(%1)"/>
      <w:numFmt w:val="lowerLetter"/>
      <w:start w:val="4"/>
    </w:lvl>
  </w:abstractNum>
  <w:abstractNum w:abstractNumId="143">
    <w:nsid w:val="16CF80F1"/>
    <w:multiLevelType w:val="hybridMultilevel"/>
    <w:lvl w:ilvl="0">
      <w:lvlJc w:val="left"/>
      <w:lvlText w:val="(%1)"/>
      <w:numFmt w:val="lowerLetter"/>
      <w:start w:val="1"/>
    </w:lvl>
  </w:abstractNum>
  <w:abstractNum w:abstractNumId="144">
    <w:nsid w:val="1C695DEC"/>
    <w:multiLevelType w:val="hybridMultilevel"/>
    <w:lvl w:ilvl="0">
      <w:lvlJc w:val="left"/>
      <w:lvlText w:val="(%1)"/>
      <w:numFmt w:val="lowerLetter"/>
      <w:start w:val="1"/>
    </w:lvl>
    <w:lvl w:ilvl="1">
      <w:lvlJc w:val="left"/>
      <w:lvlText w:val="(%2)"/>
      <w:numFmt w:val="decimal"/>
      <w:start w:val="1"/>
    </w:lvl>
  </w:abstractNum>
  <w:abstractNum w:abstractNumId="145">
    <w:nsid w:val="3FCFAED9"/>
    <w:multiLevelType w:val="hybridMultilevel"/>
    <w:lvl w:ilvl="0">
      <w:lvlJc w:val="left"/>
      <w:lvlText w:val="(%1)"/>
      <w:numFmt w:val="lowerLetter"/>
      <w:start w:val="3"/>
    </w:lvl>
  </w:abstractNum>
  <w:abstractNum w:abstractNumId="146">
    <w:nsid w:val="F856867"/>
    <w:multiLevelType w:val="hybridMultilevel"/>
    <w:lvl w:ilvl="0">
      <w:lvlJc w:val="left"/>
      <w:lvlText w:val="(%1)"/>
      <w:numFmt w:val="lowerLetter"/>
      <w:start w:val="1"/>
    </w:lvl>
  </w:abstractNum>
  <w:abstractNum w:abstractNumId="147">
    <w:nsid w:val="11B1CC33"/>
    <w:multiLevelType w:val="hybridMultilevel"/>
    <w:lvl w:ilvl="0">
      <w:lvlJc w:val="left"/>
      <w:lvlText w:val="(%1)"/>
      <w:numFmt w:val="lowerLetter"/>
      <w:start w:val="3"/>
    </w:lvl>
    <w:lvl w:ilvl="1">
      <w:lvlJc w:val="left"/>
      <w:lvlText w:val="(%2)"/>
      <w:numFmt w:val="decimal"/>
      <w:start w:val="1"/>
    </w:lvl>
  </w:abstractNum>
  <w:abstractNum w:abstractNumId="148">
    <w:nsid w:val="2E22FBB7"/>
    <w:multiLevelType w:val="hybridMultilevel"/>
    <w:lvl w:ilvl="0">
      <w:lvlJc w:val="left"/>
      <w:lvlText w:val="(%1)"/>
      <w:numFmt w:val="lowerLetter"/>
      <w:start w:val="6"/>
    </w:lvl>
    <w:lvl w:ilvl="1">
      <w:lvlJc w:val="left"/>
      <w:lvlText w:val="(%2)"/>
      <w:numFmt w:val="decimal"/>
      <w:start w:val="1"/>
    </w:lvl>
  </w:abstractNum>
  <w:abstractNum w:abstractNumId="149">
    <w:nsid w:val="29934699"/>
    <w:multiLevelType w:val="hybridMultilevel"/>
    <w:lvl w:ilvl="0">
      <w:lvlJc w:val="left"/>
      <w:lvlText w:val="(%1)"/>
      <w:numFmt w:val="lowerLetter"/>
      <w:start w:val="1"/>
    </w:lvl>
  </w:abstractNum>
  <w:abstractNum w:abstractNumId="150">
    <w:nsid w:val="77485850"/>
    <w:multiLevelType w:val="hybridMultilevel"/>
    <w:lvl w:ilvl="0">
      <w:lvlJc w:val="left"/>
      <w:lvlText w:val="(%1)"/>
      <w:numFmt w:val="lowerLetter"/>
      <w:start w:val="4"/>
    </w:lvl>
  </w:abstractNum>
  <w:abstractNum w:abstractNumId="151">
    <w:nsid w:val="744939A3"/>
    <w:multiLevelType w:val="hybridMultilevel"/>
    <w:lvl w:ilvl="0">
      <w:lvlJc w:val="left"/>
      <w:lvlText w:val="(%1)"/>
      <w:numFmt w:val="lowerLetter"/>
      <w:start w:val="1"/>
    </w:lvl>
    <w:lvl w:ilvl="1">
      <w:lvlJc w:val="left"/>
      <w:lvlText w:val="(%2)"/>
      <w:numFmt w:val="decimal"/>
      <w:start w:val="1"/>
    </w:lvl>
  </w:abstractNum>
  <w:abstractNum w:abstractNumId="152">
    <w:nsid w:val="4FA0D2E3"/>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53">
    <w:nsid w:val="6B1D2C14"/>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54">
    <w:nsid w:val="68B867D3"/>
    <w:multiLevelType w:val="hybridMultilevel"/>
    <w:lvl w:ilvl="0">
      <w:lvlJc w:val="left"/>
      <w:lvlText w:val="(%1)"/>
      <w:numFmt w:val="lowerLetter"/>
      <w:start w:val="7"/>
    </w:lvl>
    <w:lvl w:ilvl="1">
      <w:lvlJc w:val="left"/>
      <w:lvlText w:val="(%2)"/>
      <w:numFmt w:val="decimal"/>
      <w:start w:val="1"/>
    </w:lvl>
  </w:abstractNum>
  <w:abstractNum w:abstractNumId="155">
    <w:nsid w:val="3F7F5DD9"/>
    <w:multiLevelType w:val="hybridMultilevel"/>
    <w:lvl w:ilvl="0">
      <w:lvlJc w:val="left"/>
      <w:lvlText w:val="(%1)"/>
      <w:numFmt w:val="lowerLetter"/>
      <w:start w:val="10"/>
    </w:lvl>
  </w:abstractNum>
  <w:abstractNum w:abstractNumId="156">
    <w:nsid w:val="2AE05A34"/>
    <w:multiLevelType w:val="hybridMultilevel"/>
    <w:lvl w:ilvl="0">
      <w:lvlJc w:val="left"/>
      <w:lvlText w:val="(%1)"/>
      <w:numFmt w:val="lowerLetter"/>
      <w:start w:val="1"/>
    </w:lvl>
  </w:abstractNum>
  <w:abstractNum w:abstractNumId="157">
    <w:nsid w:val="32794FF7"/>
    <w:multiLevelType w:val="hybridMultilevel"/>
    <w:lvl w:ilvl="0">
      <w:lvlJc w:val="left"/>
      <w:lvlText w:val="(%1)"/>
      <w:numFmt w:val="lowerLetter"/>
      <w:start w:val="1"/>
    </w:lvl>
  </w:abstractNum>
  <w:abstractNum w:abstractNumId="158">
    <w:nsid w:val="5454945E"/>
    <w:multiLevelType w:val="hybridMultilevel"/>
    <w:lvl w:ilvl="0">
      <w:lvlJc w:val="left"/>
      <w:lvlText w:val="(%1)"/>
      <w:numFmt w:val="lowerLetter"/>
      <w:start w:val="4"/>
    </w:lvl>
  </w:abstractNum>
  <w:abstractNum w:abstractNumId="159">
    <w:nsid w:val="4DEFDFA0"/>
    <w:multiLevelType w:val="hybridMultilevel"/>
    <w:lvl w:ilvl="0">
      <w:lvlJc w:val="left"/>
      <w:lvlText w:val="(%1)"/>
      <w:numFmt w:val="lowerLetter"/>
      <w:start w:val="1"/>
    </w:lvl>
  </w:abstractNum>
  <w:abstractNum w:abstractNumId="160">
    <w:nsid w:val="2123D5F2"/>
    <w:multiLevelType w:val="hybridMultilevel"/>
    <w:lvl w:ilvl="0">
      <w:lvlJc w:val="left"/>
      <w:lvlText w:val="(%1)"/>
      <w:numFmt w:val="lowerLetter"/>
      <w:start w:val="2"/>
    </w:lvl>
  </w:abstractNum>
  <w:abstractNum w:abstractNumId="161">
    <w:nsid w:val="135B8110"/>
    <w:multiLevelType w:val="hybridMultilevel"/>
    <w:lvl w:ilvl="0">
      <w:lvlJc w:val="left"/>
      <w:lvlText w:val="(%1)"/>
      <w:numFmt w:val="lowerLetter"/>
      <w:start w:val="1"/>
    </w:lvl>
  </w:abstractNum>
  <w:abstractNum w:abstractNumId="162">
    <w:nsid w:val="94927A8"/>
    <w:multiLevelType w:val="hybridMultilevel"/>
    <w:lvl w:ilvl="0">
      <w:lvlJc w:val="left"/>
      <w:lvlText w:val="(%1)"/>
      <w:numFmt w:val="lowerLetter"/>
      <w:start w:val="1"/>
    </w:lvl>
  </w:abstractNum>
  <w:abstractNum w:abstractNumId="163">
    <w:nsid w:val="DCDF8F6"/>
    <w:multiLevelType w:val="hybridMultilevel"/>
    <w:lvl w:ilvl="0">
      <w:lvlJc w:val="left"/>
      <w:lvlText w:val="(%1)"/>
      <w:numFmt w:val="lowerLetter"/>
      <w:start w:val="1"/>
    </w:lvl>
  </w:abstractNum>
  <w:abstractNum w:abstractNumId="164">
    <w:nsid w:val="52D7B105"/>
    <w:multiLevelType w:val="hybridMultilevel"/>
    <w:lvl w:ilvl="0">
      <w:lvlJc w:val="left"/>
      <w:lvlText w:val="(%1)"/>
      <w:numFmt w:val="lowerLetter"/>
      <w:start w:val="3"/>
    </w:lvl>
  </w:abstractNum>
  <w:abstractNum w:abstractNumId="165">
    <w:nsid w:val="2E8A6394"/>
    <w:multiLevelType w:val="hybridMultilevel"/>
    <w:lvl w:ilvl="0">
      <w:lvlJc w:val="left"/>
      <w:lvlText w:val="1"/>
      <w:numFmt w:val="bullet"/>
      <w:start w:val="1"/>
    </w:lvl>
  </w:abstractNum>
  <w:abstractNum w:abstractNumId="166">
    <w:nsid w:val="24E60401"/>
    <w:multiLevelType w:val="hybridMultilevel"/>
    <w:lvl w:ilvl="0">
      <w:lvlJc w:val="left"/>
      <w:lvlText w:val="(%1)"/>
      <w:numFmt w:val="decimal"/>
      <w:start w:val="1"/>
    </w:lvl>
  </w:abstractNum>
  <w:abstractNum w:abstractNumId="167">
    <w:nsid w:val="2A6AD9BE"/>
    <w:multiLevelType w:val="hybridMultilevel"/>
    <w:lvl w:ilvl="0">
      <w:lvlJc w:val="left"/>
      <w:lvlText w:val="3"/>
      <w:numFmt w:val="bullet"/>
      <w:start w:val="1"/>
    </w:lvl>
  </w:abstractNum>
  <w:abstractNum w:abstractNumId="168">
    <w:nsid w:val="BAAC1B4"/>
    <w:multiLevelType w:val="hybridMultilevel"/>
    <w:lvl w:ilvl="0">
      <w:lvlJc w:val="left"/>
      <w:lvlText w:val="(%1)"/>
      <w:numFmt w:val="decimal"/>
      <w:start w:val="3"/>
    </w:lvl>
  </w:abstractNum>
  <w:abstractNum w:abstractNumId="169">
    <w:nsid w:val="36B2ACBC"/>
    <w:multiLevelType w:val="hybridMultilevel"/>
    <w:lvl w:ilvl="0">
      <w:lvlJc w:val="left"/>
      <w:lvlText w:val="(%1)"/>
      <w:numFmt w:val="decimal"/>
      <w:start w:val="5"/>
    </w:lvl>
  </w:abstractNum>
  <w:abstractNum w:abstractNumId="170">
    <w:nsid w:val="779D8544"/>
    <w:multiLevelType w:val="hybridMultilevel"/>
    <w:lvl w:ilvl="0">
      <w:lvlJc w:val="left"/>
      <w:lvlText w:val="(%1)"/>
      <w:numFmt w:val="decimal"/>
      <w:start w:val="7"/>
    </w:lvl>
  </w:abstractNum>
  <w:abstractNum w:abstractNumId="171">
    <w:nsid w:val="4AB26E78"/>
    <w:multiLevelType w:val="hybridMultilevel"/>
    <w:lvl w:ilvl="0">
      <w:lvlJc w:val="left"/>
      <w:lvlText w:val="(%1)"/>
      <w:numFmt w:val="decimal"/>
      <w:start w:val="9"/>
    </w:lvl>
  </w:abstractNum>
  <w:abstractNum w:abstractNumId="172">
    <w:nsid w:val="21FAA2FA"/>
    <w:multiLevelType w:val="hybridMultilevel"/>
    <w:lvl w:ilvl="0">
      <w:lvlJc w:val="left"/>
      <w:lvlText w:val="☐"/>
      <w:numFmt w:val="bullet"/>
      <w:start w:val="1"/>
    </w:lvl>
  </w:abstractNum>
  <w:abstractNum w:abstractNumId="173">
    <w:nsid w:val="5451CF49"/>
    <w:multiLevelType w:val="hybridMultilevel"/>
    <w:lvl w:ilvl="0">
      <w:lvlJc w:val="left"/>
      <w:lvlText w:val="(%1)"/>
      <w:numFmt w:val="decimal"/>
      <w:start w:val="1"/>
    </w:lvl>
  </w:abstractNum>
  <w:abstractNum w:abstractNumId="174">
    <w:nsid w:val="6181EF69"/>
    <w:multiLevelType w:val="hybridMultilevel"/>
    <w:lvl w:ilvl="0">
      <w:lvlJc w:val="left"/>
      <w:lvlText w:val="(%1)"/>
      <w:numFmt w:val="decimal"/>
      <w:start w:val="3"/>
    </w:lvl>
  </w:abstractNum>
  <w:abstractNum w:abstractNumId="175">
    <w:nsid w:val="3E6400E6"/>
    <w:multiLevelType w:val="hybridMultilevel"/>
    <w:lvl w:ilvl="0">
      <w:lvlJc w:val="left"/>
      <w:lvlText w:val="☐"/>
      <w:numFmt w:val="bullet"/>
      <w:start w:val="1"/>
    </w:lvl>
  </w:abstractNum>
  <w:abstractNum w:abstractNumId="176">
    <w:nsid w:val="14217E23"/>
    <w:multiLevelType w:val="hybridMultilevel"/>
    <w:lvl w:ilvl="0">
      <w:lvlJc w:val="left"/>
      <w:lvlText w:val="(%1)"/>
      <w:numFmt w:val="decimal"/>
      <w:start w:val="1"/>
    </w:lvl>
  </w:abstractNum>
  <w:abstractNum w:abstractNumId="177">
    <w:nsid w:val="710757D0"/>
    <w:multiLevelType w:val="hybridMultilevel"/>
    <w:lvl w:ilvl="0">
      <w:lvlJc w:val="left"/>
      <w:lvlText w:val="(%1)"/>
      <w:numFmt w:val="decimal"/>
      <w:start w:val="3"/>
    </w:lvl>
  </w:abstractNum>
  <w:abstractNum w:abstractNumId="178">
    <w:nsid w:val="5015CD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2025-10-06T15:40:05Z</dcterms:created>
  <dcterms:modified xsi:type="dcterms:W3CDTF">2025-10-06T15:40:05Z</dcterms:modified>
</cp:coreProperties>
</file>