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June 13, 2025</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9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REGISTRATION STATEMENT</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1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Weatherford International plc</w:t>
      </w:r>
    </w:p>
    <w:p>
      <w:pPr>
        <w:spacing w:after="0" w:line="107" w:lineRule="exact"/>
        <w:rPr>
          <w:sz w:val="24"/>
          <w:szCs w:val="24"/>
          <w:color w:val="auto"/>
        </w:rPr>
      </w:pPr>
    </w:p>
    <w:tbl>
      <w:tblPr>
        <w:tblLayout w:type="fixed"/>
        <w:tblInd w:w="2400" w:type="dxa"/>
        <w:tblCellMar>
          <w:top w:w="0" w:type="dxa"/>
          <w:left w:w="0" w:type="dxa"/>
          <w:bottom w:w="0" w:type="dxa"/>
          <w:right w:w="0" w:type="dxa"/>
        </w:tblCellMar>
      </w:tblPr>
      <w:tr>
        <w:trPr>
          <w:trHeight w:val="164"/>
        </w:trPr>
        <w:tc>
          <w:tcPr>
            <w:tcW w:w="1700" w:type="dxa"/>
            <w:vAlign w:val="bottom"/>
          </w:tcPr>
          <w:p>
            <w:pPr>
              <w:spacing w:after="0"/>
              <w:rPr>
                <w:sz w:val="14"/>
                <w:szCs w:val="14"/>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r>
      <w:tr>
        <w:trPr>
          <w:trHeight w:val="268"/>
        </w:trPr>
        <w:tc>
          <w:tcPr>
            <w:tcW w:w="1700" w:type="dxa"/>
            <w:vAlign w:val="bottom"/>
          </w:tcPr>
          <w:p>
            <w:pPr>
              <w:jc w:val="center"/>
              <w:ind w:right="113"/>
              <w:spacing w:after="0"/>
              <w:rPr>
                <w:sz w:val="20"/>
                <w:szCs w:val="20"/>
                <w:color w:val="auto"/>
              </w:rPr>
            </w:pPr>
            <w:r>
              <w:rPr>
                <w:rFonts w:ascii="Times New Roman" w:cs="Times New Roman" w:eastAsia="Times New Roman" w:hAnsi="Times New Roman"/>
                <w:sz w:val="15"/>
                <w:szCs w:val="15"/>
                <w:b w:val="1"/>
                <w:bCs w:val="1"/>
                <w:color w:val="auto"/>
              </w:rPr>
              <w:t>Ireland</w:t>
            </w:r>
          </w:p>
        </w:tc>
        <w:tc>
          <w:tcPr>
            <w:tcW w:w="5280" w:type="dxa"/>
            <w:vAlign w:val="bottom"/>
          </w:tcPr>
          <w:p>
            <w:pPr>
              <w:jc w:val="center"/>
              <w:ind w:left="4034"/>
              <w:spacing w:after="0"/>
              <w:rPr>
                <w:sz w:val="20"/>
                <w:szCs w:val="20"/>
                <w:color w:val="auto"/>
              </w:rPr>
            </w:pPr>
            <w:r>
              <w:rPr>
                <w:rFonts w:ascii="Times New Roman" w:cs="Times New Roman" w:eastAsia="Times New Roman" w:hAnsi="Times New Roman"/>
                <w:sz w:val="15"/>
                <w:szCs w:val="15"/>
                <w:b w:val="1"/>
                <w:bCs w:val="1"/>
                <w:color w:val="auto"/>
              </w:rPr>
              <w:t>98-0606750</w:t>
            </w:r>
          </w:p>
        </w:tc>
      </w:tr>
      <w:tr>
        <w:trPr>
          <w:trHeight w:val="148"/>
        </w:trPr>
        <w:tc>
          <w:tcPr>
            <w:tcW w:w="17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6"/>
              </w:rPr>
              <w:t>(State or other jurisdiction of</w:t>
            </w:r>
          </w:p>
        </w:tc>
        <w:tc>
          <w:tcPr>
            <w:tcW w:w="5280" w:type="dxa"/>
            <w:vAlign w:val="bottom"/>
          </w:tcPr>
          <w:p>
            <w:pPr>
              <w:jc w:val="center"/>
              <w:ind w:left="3994"/>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170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5280" w:type="dxa"/>
            <w:vAlign w:val="bottom"/>
          </w:tcPr>
          <w:p>
            <w:pPr>
              <w:jc w:val="center"/>
              <w:ind w:left="4034"/>
              <w:spacing w:after="0"/>
              <w:rPr>
                <w:sz w:val="20"/>
                <w:szCs w:val="20"/>
                <w:color w:val="auto"/>
              </w:rPr>
            </w:pPr>
            <w:r>
              <w:rPr>
                <w:rFonts w:ascii="Times New Roman" w:cs="Times New Roman" w:eastAsia="Times New Roman" w:hAnsi="Times New Roman"/>
                <w:sz w:val="13"/>
                <w:szCs w:val="13"/>
                <w:color w:val="auto"/>
                <w:w w:val="98"/>
              </w:rPr>
              <w:t>Identification Number)</w:t>
            </w: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2000 St. James Place, Houston, Texas 77056</w:t>
      </w:r>
    </w:p>
    <w:p>
      <w:pPr>
        <w:spacing w:after="0" w:line="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p>
    <w:p>
      <w:pPr>
        <w:spacing w:after="0" w:line="63" w:lineRule="exact"/>
        <w:rPr>
          <w:sz w:val="24"/>
          <w:szCs w:val="24"/>
          <w:color w:val="auto"/>
        </w:rPr>
      </w:pPr>
    </w:p>
    <w:tbl>
      <w:tblPr>
        <w:tblLayout w:type="fixed"/>
        <w:tblInd w:w="940" w:type="dxa"/>
        <w:tblCellMar>
          <w:top w:w="0" w:type="dxa"/>
          <w:left w:w="0" w:type="dxa"/>
          <w:bottom w:w="0" w:type="dxa"/>
          <w:right w:w="0" w:type="dxa"/>
        </w:tblCellMar>
      </w:tblPr>
      <w:tr>
        <w:trPr>
          <w:trHeight w:val="202"/>
        </w:trPr>
        <w:tc>
          <w:tcPr>
            <w:tcW w:w="4660" w:type="dxa"/>
            <w:vAlign w:val="bottom"/>
          </w:tcPr>
          <w:p>
            <w:pPr>
              <w:jc w:val="center"/>
              <w:ind w:right="850"/>
              <w:spacing w:after="0"/>
              <w:rPr>
                <w:sz w:val="20"/>
                <w:szCs w:val="20"/>
                <w:color w:val="auto"/>
              </w:rPr>
            </w:pPr>
            <w:r>
              <w:rPr>
                <w:rFonts w:ascii="Times New Roman" w:cs="Times New Roman" w:eastAsia="Times New Roman" w:hAnsi="Times New Roman"/>
                <w:sz w:val="15"/>
                <w:szCs w:val="15"/>
                <w:b w:val="1"/>
                <w:bCs w:val="1"/>
                <w:color w:val="auto"/>
              </w:rPr>
              <w:t>Weatherford International Ltd.</w:t>
            </w:r>
          </w:p>
        </w:tc>
        <w:tc>
          <w:tcPr>
            <w:tcW w:w="4660" w:type="dxa"/>
            <w:vAlign w:val="bottom"/>
          </w:tcPr>
          <w:p>
            <w:pPr>
              <w:jc w:val="center"/>
              <w:ind w:left="930"/>
              <w:spacing w:after="0"/>
              <w:rPr>
                <w:sz w:val="20"/>
                <w:szCs w:val="20"/>
                <w:color w:val="auto"/>
              </w:rPr>
            </w:pPr>
            <w:r>
              <w:rPr>
                <w:rFonts w:ascii="Times New Roman" w:cs="Times New Roman" w:eastAsia="Times New Roman" w:hAnsi="Times New Roman"/>
                <w:sz w:val="15"/>
                <w:szCs w:val="15"/>
                <w:b w:val="1"/>
                <w:bCs w:val="1"/>
                <w:color w:val="auto"/>
              </w:rPr>
              <w:t>Weatherford International, LLC</w:t>
            </w:r>
          </w:p>
        </w:tc>
      </w:tr>
      <w:tr>
        <w:trPr>
          <w:trHeight w:val="168"/>
        </w:trPr>
        <w:tc>
          <w:tcPr>
            <w:tcW w:w="4660" w:type="dxa"/>
            <w:vAlign w:val="bottom"/>
          </w:tcPr>
          <w:p>
            <w:pPr>
              <w:jc w:val="center"/>
              <w:ind w:right="870"/>
              <w:spacing w:after="0"/>
              <w:rPr>
                <w:sz w:val="20"/>
                <w:szCs w:val="20"/>
                <w:color w:val="auto"/>
              </w:rPr>
            </w:pPr>
            <w:r>
              <w:rPr>
                <w:rFonts w:ascii="Times New Roman" w:cs="Times New Roman" w:eastAsia="Times New Roman" w:hAnsi="Times New Roman"/>
                <w:sz w:val="13"/>
                <w:szCs w:val="13"/>
                <w:color w:val="auto"/>
                <w:w w:val="96"/>
              </w:rPr>
              <w:t>(Exact name of co-registrant as specified in its charter)</w:t>
            </w:r>
          </w:p>
        </w:tc>
        <w:tc>
          <w:tcPr>
            <w:tcW w:w="4660" w:type="dxa"/>
            <w:vAlign w:val="bottom"/>
          </w:tcPr>
          <w:p>
            <w:pPr>
              <w:jc w:val="center"/>
              <w:ind w:left="910"/>
              <w:spacing w:after="0"/>
              <w:rPr>
                <w:sz w:val="20"/>
                <w:szCs w:val="20"/>
                <w:color w:val="auto"/>
              </w:rPr>
            </w:pPr>
            <w:r>
              <w:rPr>
                <w:rFonts w:ascii="Times New Roman" w:cs="Times New Roman" w:eastAsia="Times New Roman" w:hAnsi="Times New Roman"/>
                <w:sz w:val="13"/>
                <w:szCs w:val="13"/>
                <w:color w:val="auto"/>
                <w:w w:val="96"/>
              </w:rPr>
              <w:t>(Exact name of co-registrant as specified in its charter)</w:t>
            </w:r>
          </w:p>
        </w:tc>
      </w:tr>
      <w:tr>
        <w:trPr>
          <w:trHeight w:val="238"/>
        </w:trPr>
        <w:tc>
          <w:tcPr>
            <w:tcW w:w="4660" w:type="dxa"/>
            <w:vAlign w:val="bottom"/>
          </w:tcPr>
          <w:p>
            <w:pPr>
              <w:jc w:val="center"/>
              <w:ind w:right="870"/>
              <w:spacing w:after="0"/>
              <w:rPr>
                <w:sz w:val="20"/>
                <w:szCs w:val="20"/>
                <w:color w:val="auto"/>
              </w:rPr>
            </w:pPr>
            <w:r>
              <w:rPr>
                <w:rFonts w:ascii="Times New Roman" w:cs="Times New Roman" w:eastAsia="Times New Roman" w:hAnsi="Times New Roman"/>
                <w:sz w:val="15"/>
                <w:szCs w:val="15"/>
                <w:b w:val="1"/>
                <w:bCs w:val="1"/>
                <w:color w:val="auto"/>
                <w:w w:val="99"/>
              </w:rPr>
              <w:t>Bermuda</w:t>
            </w:r>
          </w:p>
        </w:tc>
        <w:tc>
          <w:tcPr>
            <w:tcW w:w="4660" w:type="dxa"/>
            <w:vAlign w:val="bottom"/>
          </w:tcPr>
          <w:p>
            <w:pPr>
              <w:jc w:val="center"/>
              <w:ind w:left="930"/>
              <w:spacing w:after="0"/>
              <w:rPr>
                <w:sz w:val="20"/>
                <w:szCs w:val="20"/>
                <w:color w:val="auto"/>
              </w:rPr>
            </w:pPr>
            <w:r>
              <w:rPr>
                <w:rFonts w:ascii="Times New Roman" w:cs="Times New Roman" w:eastAsia="Times New Roman" w:hAnsi="Times New Roman"/>
                <w:sz w:val="15"/>
                <w:szCs w:val="15"/>
                <w:b w:val="1"/>
                <w:bCs w:val="1"/>
                <w:color w:val="auto"/>
              </w:rPr>
              <w:t>Delaware</w:t>
            </w:r>
          </w:p>
        </w:tc>
      </w:tr>
      <w:tr>
        <w:trPr>
          <w:trHeight w:val="195"/>
        </w:trPr>
        <w:tc>
          <w:tcPr>
            <w:tcW w:w="4660" w:type="dxa"/>
            <w:vAlign w:val="bottom"/>
          </w:tcPr>
          <w:p>
            <w:pPr>
              <w:jc w:val="center"/>
              <w:ind w:right="870"/>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4660" w:type="dxa"/>
            <w:vAlign w:val="bottom"/>
          </w:tcPr>
          <w:p>
            <w:pPr>
              <w:jc w:val="center"/>
              <w:ind w:left="910"/>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r>
      <w:tr>
        <w:trPr>
          <w:trHeight w:val="264"/>
        </w:trPr>
        <w:tc>
          <w:tcPr>
            <w:tcW w:w="4660" w:type="dxa"/>
            <w:vAlign w:val="bottom"/>
          </w:tcPr>
          <w:p>
            <w:pPr>
              <w:jc w:val="right"/>
              <w:ind w:right="2350"/>
              <w:spacing w:after="0"/>
              <w:rPr>
                <w:sz w:val="20"/>
                <w:szCs w:val="20"/>
                <w:color w:val="auto"/>
              </w:rPr>
            </w:pPr>
            <w:r>
              <w:rPr>
                <w:rFonts w:ascii="Times New Roman" w:cs="Times New Roman" w:eastAsia="Times New Roman" w:hAnsi="Times New Roman"/>
                <w:sz w:val="15"/>
                <w:szCs w:val="15"/>
                <w:b w:val="1"/>
                <w:bCs w:val="1"/>
                <w:color w:val="auto"/>
              </w:rPr>
              <w:t>98-0371344</w:t>
            </w:r>
          </w:p>
        </w:tc>
        <w:tc>
          <w:tcPr>
            <w:tcW w:w="4660" w:type="dxa"/>
            <w:vAlign w:val="bottom"/>
          </w:tcPr>
          <w:p>
            <w:pPr>
              <w:jc w:val="right"/>
              <w:ind w:right="1390"/>
              <w:spacing w:after="0"/>
              <w:rPr>
                <w:sz w:val="20"/>
                <w:szCs w:val="20"/>
                <w:color w:val="auto"/>
              </w:rPr>
            </w:pPr>
            <w:r>
              <w:rPr>
                <w:rFonts w:ascii="Times New Roman" w:cs="Times New Roman" w:eastAsia="Times New Roman" w:hAnsi="Times New Roman"/>
                <w:sz w:val="15"/>
                <w:szCs w:val="15"/>
                <w:b w:val="1"/>
                <w:bCs w:val="1"/>
                <w:color w:val="auto"/>
              </w:rPr>
              <w:t>33-0430755</w:t>
            </w:r>
          </w:p>
        </w:tc>
      </w:tr>
      <w:tr>
        <w:trPr>
          <w:trHeight w:val="195"/>
        </w:trPr>
        <w:tc>
          <w:tcPr>
            <w:tcW w:w="4660" w:type="dxa"/>
            <w:vAlign w:val="bottom"/>
          </w:tcPr>
          <w:p>
            <w:pPr>
              <w:jc w:val="center"/>
              <w:ind w:right="850"/>
              <w:spacing w:after="0"/>
              <w:rPr>
                <w:sz w:val="20"/>
                <w:szCs w:val="20"/>
                <w:color w:val="auto"/>
              </w:rPr>
            </w:pPr>
            <w:r>
              <w:rPr>
                <w:rFonts w:ascii="Times New Roman" w:cs="Times New Roman" w:eastAsia="Times New Roman" w:hAnsi="Times New Roman"/>
                <w:sz w:val="13"/>
                <w:szCs w:val="13"/>
                <w:color w:val="auto"/>
                <w:w w:val="97"/>
              </w:rPr>
              <w:t>(I.R.S. Employer Identification Number)</w:t>
            </w:r>
          </w:p>
        </w:tc>
        <w:tc>
          <w:tcPr>
            <w:tcW w:w="4660" w:type="dxa"/>
            <w:vAlign w:val="bottom"/>
          </w:tcPr>
          <w:p>
            <w:pPr>
              <w:jc w:val="center"/>
              <w:ind w:left="930"/>
              <w:spacing w:after="0"/>
              <w:rPr>
                <w:sz w:val="20"/>
                <w:szCs w:val="20"/>
                <w:color w:val="auto"/>
              </w:rPr>
            </w:pPr>
            <w:r>
              <w:rPr>
                <w:rFonts w:ascii="Times New Roman" w:cs="Times New Roman" w:eastAsia="Times New Roman" w:hAnsi="Times New Roman"/>
                <w:sz w:val="13"/>
                <w:szCs w:val="13"/>
                <w:color w:val="auto"/>
                <w:w w:val="97"/>
              </w:rPr>
              <w:t>(I.R.S. Employer Identification Number)</w:t>
            </w:r>
          </w:p>
        </w:tc>
      </w:tr>
      <w:tr>
        <w:trPr>
          <w:trHeight w:val="265"/>
        </w:trPr>
        <w:tc>
          <w:tcPr>
            <w:tcW w:w="466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2000 St. James Place, Houston, Texas 77056</w:t>
            </w:r>
          </w:p>
        </w:tc>
        <w:tc>
          <w:tcPr>
            <w:tcW w:w="4660" w:type="dxa"/>
            <w:vAlign w:val="bottom"/>
          </w:tcPr>
          <w:p>
            <w:pPr>
              <w:ind w:left="1360"/>
              <w:spacing w:after="0"/>
              <w:rPr>
                <w:sz w:val="20"/>
                <w:szCs w:val="20"/>
                <w:color w:val="auto"/>
              </w:rPr>
            </w:pPr>
            <w:r>
              <w:rPr>
                <w:rFonts w:ascii="Times New Roman" w:cs="Times New Roman" w:eastAsia="Times New Roman" w:hAnsi="Times New Roman"/>
                <w:sz w:val="15"/>
                <w:szCs w:val="15"/>
                <w:b w:val="1"/>
                <w:bCs w:val="1"/>
                <w:color w:val="auto"/>
              </w:rPr>
              <w:t>2000 St. James Place, Houston, Texas 77056</w:t>
            </w:r>
          </w:p>
        </w:tc>
      </w:tr>
      <w:tr>
        <w:trPr>
          <w:trHeight w:val="192"/>
        </w:trPr>
        <w:tc>
          <w:tcPr>
            <w:tcW w:w="4660" w:type="dxa"/>
            <w:vAlign w:val="bottom"/>
          </w:tcPr>
          <w:p>
            <w:pPr>
              <w:jc w:val="right"/>
              <w:ind w:right="2250"/>
              <w:spacing w:after="0"/>
              <w:rPr>
                <w:sz w:val="20"/>
                <w:szCs w:val="20"/>
                <w:color w:val="auto"/>
              </w:rPr>
            </w:pPr>
            <w:r>
              <w:rPr>
                <w:rFonts w:ascii="Times New Roman" w:cs="Times New Roman" w:eastAsia="Times New Roman" w:hAnsi="Times New Roman"/>
                <w:sz w:val="15"/>
                <w:szCs w:val="15"/>
                <w:b w:val="1"/>
                <w:bCs w:val="1"/>
                <w:color w:val="auto"/>
              </w:rPr>
              <w:t>(713) 836-4000</w:t>
            </w:r>
          </w:p>
        </w:tc>
        <w:tc>
          <w:tcPr>
            <w:tcW w:w="4660" w:type="dxa"/>
            <w:vAlign w:val="bottom"/>
          </w:tcPr>
          <w:p>
            <w:pPr>
              <w:jc w:val="right"/>
              <w:ind w:right="1290"/>
              <w:spacing w:after="0"/>
              <w:rPr>
                <w:sz w:val="20"/>
                <w:szCs w:val="20"/>
                <w:color w:val="auto"/>
              </w:rPr>
            </w:pPr>
            <w:r>
              <w:rPr>
                <w:rFonts w:ascii="Times New Roman" w:cs="Times New Roman" w:eastAsia="Times New Roman" w:hAnsi="Times New Roman"/>
                <w:sz w:val="15"/>
                <w:szCs w:val="15"/>
                <w:b w:val="1"/>
                <w:bCs w:val="1"/>
                <w:color w:val="auto"/>
              </w:rPr>
              <w:t>(713) 836-4000</w:t>
            </w:r>
          </w:p>
        </w:tc>
      </w:tr>
      <w:tr>
        <w:trPr>
          <w:trHeight w:val="148"/>
        </w:trPr>
        <w:tc>
          <w:tcPr>
            <w:tcW w:w="4660" w:type="dxa"/>
            <w:vAlign w:val="bottom"/>
          </w:tcPr>
          <w:p>
            <w:pPr>
              <w:jc w:val="center"/>
              <w:ind w:right="890"/>
              <w:spacing w:after="0"/>
              <w:rPr>
                <w:sz w:val="20"/>
                <w:szCs w:val="20"/>
                <w:color w:val="auto"/>
              </w:rPr>
            </w:pPr>
            <w:r>
              <w:rPr>
                <w:rFonts w:ascii="Times New Roman" w:cs="Times New Roman" w:eastAsia="Times New Roman" w:hAnsi="Times New Roman"/>
                <w:sz w:val="13"/>
                <w:szCs w:val="13"/>
                <w:color w:val="auto"/>
                <w:w w:val="96"/>
              </w:rPr>
              <w:t>(Address, including zip code, and telephone number, including area code,</w:t>
            </w:r>
          </w:p>
        </w:tc>
        <w:tc>
          <w:tcPr>
            <w:tcW w:w="4660" w:type="dxa"/>
            <w:vAlign w:val="bottom"/>
          </w:tcPr>
          <w:p>
            <w:pPr>
              <w:jc w:val="center"/>
              <w:ind w:left="890"/>
              <w:spacing w:after="0"/>
              <w:rPr>
                <w:sz w:val="20"/>
                <w:szCs w:val="20"/>
                <w:color w:val="auto"/>
              </w:rPr>
            </w:pPr>
            <w:r>
              <w:rPr>
                <w:rFonts w:ascii="Times New Roman" w:cs="Times New Roman" w:eastAsia="Times New Roman" w:hAnsi="Times New Roman"/>
                <w:sz w:val="13"/>
                <w:szCs w:val="13"/>
                <w:color w:val="auto"/>
                <w:w w:val="96"/>
              </w:rPr>
              <w:t>(Address, including zip code, and telephone number, including area code,</w:t>
            </w:r>
          </w:p>
        </w:tc>
      </w:tr>
      <w:tr>
        <w:trPr>
          <w:trHeight w:val="164"/>
        </w:trPr>
        <w:tc>
          <w:tcPr>
            <w:tcW w:w="4660" w:type="dxa"/>
            <w:vAlign w:val="bottom"/>
          </w:tcPr>
          <w:p>
            <w:pPr>
              <w:jc w:val="center"/>
              <w:ind w:right="850"/>
              <w:spacing w:after="0"/>
              <w:rPr>
                <w:sz w:val="20"/>
                <w:szCs w:val="20"/>
                <w:color w:val="auto"/>
              </w:rPr>
            </w:pPr>
            <w:r>
              <w:rPr>
                <w:rFonts w:ascii="Times New Roman" w:cs="Times New Roman" w:eastAsia="Times New Roman" w:hAnsi="Times New Roman"/>
                <w:sz w:val="13"/>
                <w:szCs w:val="13"/>
                <w:color w:val="auto"/>
                <w:w w:val="96"/>
              </w:rPr>
              <w:t>of co-registrant’s principal executive offices)</w:t>
            </w:r>
          </w:p>
        </w:tc>
        <w:tc>
          <w:tcPr>
            <w:tcW w:w="4660" w:type="dxa"/>
            <w:vAlign w:val="bottom"/>
          </w:tcPr>
          <w:p>
            <w:pPr>
              <w:jc w:val="center"/>
              <w:ind w:left="930"/>
              <w:spacing w:after="0"/>
              <w:rPr>
                <w:sz w:val="20"/>
                <w:szCs w:val="20"/>
                <w:color w:val="auto"/>
              </w:rPr>
            </w:pPr>
            <w:r>
              <w:rPr>
                <w:rFonts w:ascii="Times New Roman" w:cs="Times New Roman" w:eastAsia="Times New Roman" w:hAnsi="Times New Roman"/>
                <w:sz w:val="13"/>
                <w:szCs w:val="13"/>
                <w:color w:val="auto"/>
                <w:w w:val="96"/>
              </w:rPr>
              <w:t>of co-registrant’s principal executive offices)</w:t>
            </w:r>
          </w:p>
        </w:tc>
      </w:tr>
    </w:tbl>
    <w:p>
      <w:pPr>
        <w:spacing w:after="0" w:line="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Scott C. Weatherholt</w:t>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Weatherford International plc</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Executive Vice President, General Counsel and Chief Compliance Officer</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2000 St. James Place</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Houston, Texas 77056</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(713) 836-4000</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i w:val="1"/>
          <w:iCs w:val="1"/>
          <w:color w:val="auto"/>
        </w:rPr>
        <w:t>With a copy to:</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Jonathan B. Newton</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Heath C. Trisdale</w:t>
      </w:r>
    </w:p>
    <w:p>
      <w:pPr>
        <w:spacing w:after="0" w:line="1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5"/>
          <w:szCs w:val="15"/>
          <w:color w:val="auto"/>
        </w:rPr>
        <w:t>King &amp; Spalding LLP</w:t>
      </w:r>
    </w:p>
    <w:p>
      <w:pPr>
        <w:spacing w:after="0" w:line="1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5"/>
          <w:szCs w:val="15"/>
          <w:color w:val="auto"/>
        </w:rPr>
        <w:t>1100 Louisiana, Suite 4100</w:t>
      </w:r>
    </w:p>
    <w:p>
      <w:pPr>
        <w:spacing w:after="0" w:line="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5"/>
          <w:szCs w:val="15"/>
          <w:color w:val="auto"/>
        </w:rPr>
        <w:t>Houston, TX 77002</w:t>
      </w:r>
    </w:p>
    <w:p>
      <w:pPr>
        <w:spacing w:after="0" w:line="1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5"/>
          <w:szCs w:val="15"/>
          <w:color w:val="auto"/>
        </w:rPr>
        <w:t>(713) 751-3200</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From time to time after the effective date of this Registration Statement.</w:t>
      </w:r>
    </w:p>
    <w:p>
      <w:pPr>
        <w:spacing w:after="0" w:line="8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60" w:lineRule="exact"/>
        <w:rPr>
          <w:sz w:val="24"/>
          <w:szCs w:val="24"/>
          <w:color w:val="auto"/>
        </w:rPr>
      </w:pPr>
    </w:p>
    <w:p>
      <w:pPr>
        <w:ind w:right="20"/>
        <w:spacing w:after="0" w:line="206"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75"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ectPr>
          <w:pgSz w:w="11900" w:h="16838" w:orient="portrait"/>
          <w:cols w:equalWidth="0" w:num="1">
            <w:col w:w="11240"/>
          </w:cols>
          <w:pgMar w:left="320" w:top="1440" w:right="339" w:bottom="1440" w:gutter="0" w:footer="0" w:header="0"/>
        </w:sectPr>
      </w:pPr>
    </w:p>
    <w:bookmarkStart w:id="1" w:name="page2"/>
    <w:bookmarkEnd w:id="1"/>
    <w:p>
      <w:pPr>
        <w:spacing w:after="0" w:line="206"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5" w:lineRule="exact"/>
        <w:rPr>
          <w:sz w:val="20"/>
          <w:szCs w:val="20"/>
          <w:color w:val="auto"/>
        </w:rPr>
      </w:pPr>
    </w:p>
    <w:p>
      <w:pPr>
        <w:spacing w:after="0" w:line="206"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75" w:lineRule="exact"/>
        <w:rPr>
          <w:sz w:val="20"/>
          <w:szCs w:val="20"/>
          <w:color w:val="auto"/>
        </w:rPr>
      </w:pPr>
    </w:p>
    <w:p>
      <w:pPr>
        <w:spacing w:after="0" w:line="206"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18" w:right="339" w:bottom="1440" w:gutter="0" w:footer="0" w:header="0"/>
        </w:sectPr>
      </w:pPr>
    </w:p>
    <w:p>
      <w:pPr>
        <w:spacing w:after="0" w:line="80" w:lineRule="exact"/>
        <w:rPr>
          <w:sz w:val="20"/>
          <w:szCs w:val="20"/>
          <w:color w:val="auto"/>
        </w:rPr>
      </w:pPr>
    </w:p>
    <w:p>
      <w:pPr>
        <w:ind w:left="36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111" w:lineRule="exact"/>
        <w:rPr>
          <w:sz w:val="20"/>
          <w:szCs w:val="20"/>
          <w:color w:val="auto"/>
        </w:rPr>
      </w:pPr>
    </w:p>
    <w:p>
      <w:pPr>
        <w:sectPr>
          <w:pgSz w:w="11900" w:h="16838" w:orient="portrait"/>
          <w:cols w:equalWidth="0" w:num="2">
            <w:col w:w="1920" w:space="640"/>
            <w:col w:w="8680"/>
          </w:cols>
          <w:pgMar w:left="320" w:top="1418" w:right="339" w:bottom="1440" w:gutter="0" w:footer="0" w:header="0"/>
          <w:type w:val="continuous"/>
        </w:sectPr>
      </w:pPr>
    </w:p>
    <w:p>
      <w:pPr>
        <w:ind w:left="36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125" w:lineRule="exact"/>
        <w:rPr>
          <w:sz w:val="20"/>
          <w:szCs w:val="20"/>
          <w:color w:val="auto"/>
        </w:rPr>
      </w:pPr>
    </w:p>
    <w:p>
      <w:pPr>
        <w:sectPr>
          <w:pgSz w:w="11900" w:h="16838" w:orient="portrait"/>
          <w:cols w:equalWidth="0" w:num="2">
            <w:col w:w="1840" w:space="640"/>
            <w:col w:w="8760"/>
          </w:cols>
          <w:pgMar w:left="320" w:top="1418" w:right="339" w:bottom="1440" w:gutter="0" w:footer="0" w:header="0"/>
          <w:type w:val="continuous"/>
        </w:sectPr>
      </w:pPr>
    </w:p>
    <w:p>
      <w:pPr>
        <w:ind w:left="36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240"/>
          </w:cols>
          <w:pgMar w:left="320" w:top="1418" w:right="339" w:bottom="1440" w:gutter="0" w:footer="0" w:header="0"/>
          <w:type w:val="continuous"/>
        </w:sectPr>
      </w:pPr>
    </w:p>
    <w:p>
      <w:pPr>
        <w:spacing w:after="0" w:line="160" w:lineRule="exact"/>
        <w:rPr>
          <w:sz w:val="20"/>
          <w:szCs w:val="20"/>
          <w:color w:val="auto"/>
        </w:rPr>
      </w:pPr>
    </w:p>
    <w:p>
      <w:pPr>
        <w:ind w:right="2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ectPr>
          <w:pgSz w:w="11900" w:h="16838" w:orient="portrait"/>
          <w:cols w:equalWidth="0" w:num="1">
            <w:col w:w="11240"/>
          </w:cols>
          <w:pgMar w:left="320" w:top="1418" w:right="339" w:bottom="1440" w:gutter="0" w:footer="0" w:header="0"/>
          <w:type w:val="continuous"/>
        </w:sectPr>
      </w:pPr>
    </w:p>
    <w:bookmarkStart w:id="2" w:name="page3"/>
    <w:bookmarkEnd w:id="2"/>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45720</wp:posOffset>
            </wp:positionV>
            <wp:extent cx="10629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Irish public limited company)</w:t>
      </w:r>
    </w:p>
    <w:p>
      <w:pPr>
        <w:spacing w:after="0" w:line="4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5"/>
          <w:szCs w:val="25"/>
          <w:b w:val="1"/>
          <w:bCs w:val="1"/>
          <w:color w:val="auto"/>
        </w:rPr>
        <w:t>Options</w:t>
      </w:r>
    </w:p>
    <w:p>
      <w:pPr>
        <w:spacing w:after="0" w:line="5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5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5"/>
          <w:szCs w:val="25"/>
          <w:b w:val="1"/>
          <w:bCs w:val="1"/>
          <w:color w:val="auto"/>
        </w:rPr>
        <w:t>Share Purchase Contracts</w:t>
      </w:r>
    </w:p>
    <w:p>
      <w:pPr>
        <w:spacing w:after="0" w:line="5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Share Purchase Units</w:t>
      </w:r>
    </w:p>
    <w:p>
      <w:pPr>
        <w:spacing w:after="0" w:line="5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Guarantees of Debt Securities</w:t>
      </w:r>
    </w:p>
    <w:p>
      <w:pPr>
        <w:spacing w:after="0" w:line="68" w:lineRule="exact"/>
        <w:rPr>
          <w:sz w:val="20"/>
          <w:szCs w:val="20"/>
          <w:color w:val="auto"/>
        </w:rPr>
      </w:pPr>
    </w:p>
    <w:tbl>
      <w:tblPr>
        <w:tblLayout w:type="fixed"/>
        <w:tblInd w:w="940" w:type="dxa"/>
        <w:tblCellMar>
          <w:top w:w="0" w:type="dxa"/>
          <w:left w:w="0" w:type="dxa"/>
          <w:bottom w:w="0" w:type="dxa"/>
          <w:right w:w="0" w:type="dxa"/>
        </w:tblCellMar>
      </w:tblPr>
      <w:tr>
        <w:trPr>
          <w:trHeight w:val="353"/>
        </w:trPr>
        <w:tc>
          <w:tcPr>
            <w:tcW w:w="4700" w:type="dxa"/>
            <w:vAlign w:val="bottom"/>
          </w:tcPr>
          <w:p>
            <w:pPr>
              <w:jc w:val="center"/>
              <w:ind w:right="737"/>
              <w:spacing w:after="0"/>
              <w:rPr>
                <w:sz w:val="20"/>
                <w:szCs w:val="20"/>
                <w:color w:val="auto"/>
              </w:rPr>
            </w:pPr>
            <w:r>
              <w:rPr>
                <w:rFonts w:ascii="Times New Roman" w:cs="Times New Roman" w:eastAsia="Times New Roman" w:hAnsi="Times New Roman"/>
                <w:sz w:val="29"/>
                <w:szCs w:val="29"/>
                <w:b w:val="1"/>
                <w:bCs w:val="1"/>
                <w:color w:val="auto"/>
                <w:w w:val="98"/>
              </w:rPr>
              <w:t>Weatherford International Ltd.</w:t>
            </w:r>
          </w:p>
        </w:tc>
        <w:tc>
          <w:tcPr>
            <w:tcW w:w="4860" w:type="dxa"/>
            <w:vAlign w:val="bottom"/>
          </w:tcPr>
          <w:p>
            <w:pPr>
              <w:jc w:val="center"/>
              <w:ind w:left="737"/>
              <w:spacing w:after="0"/>
              <w:rPr>
                <w:sz w:val="20"/>
                <w:szCs w:val="20"/>
                <w:color w:val="auto"/>
              </w:rPr>
            </w:pPr>
            <w:r>
              <w:rPr>
                <w:rFonts w:ascii="Times New Roman" w:cs="Times New Roman" w:eastAsia="Times New Roman" w:hAnsi="Times New Roman"/>
                <w:sz w:val="29"/>
                <w:szCs w:val="29"/>
                <w:b w:val="1"/>
                <w:bCs w:val="1"/>
                <w:color w:val="auto"/>
                <w:w w:val="98"/>
              </w:rPr>
              <w:t>Weatherford International, LLC</w:t>
            </w:r>
          </w:p>
        </w:tc>
      </w:tr>
      <w:tr>
        <w:trPr>
          <w:trHeight w:val="238"/>
        </w:trPr>
        <w:tc>
          <w:tcPr>
            <w:tcW w:w="4700" w:type="dxa"/>
            <w:vAlign w:val="bottom"/>
          </w:tcPr>
          <w:p>
            <w:pPr>
              <w:jc w:val="center"/>
              <w:ind w:right="737"/>
              <w:spacing w:after="0"/>
              <w:rPr>
                <w:sz w:val="20"/>
                <w:szCs w:val="20"/>
                <w:color w:val="auto"/>
              </w:rPr>
            </w:pPr>
            <w:r>
              <w:rPr>
                <w:rFonts w:ascii="Times New Roman" w:cs="Times New Roman" w:eastAsia="Times New Roman" w:hAnsi="Times New Roman"/>
                <w:sz w:val="18"/>
                <w:szCs w:val="18"/>
                <w:b w:val="1"/>
                <w:bCs w:val="1"/>
                <w:color w:val="auto"/>
                <w:w w:val="99"/>
              </w:rPr>
              <w:t>(a Bermuda exempted company)</w:t>
            </w:r>
          </w:p>
        </w:tc>
        <w:tc>
          <w:tcPr>
            <w:tcW w:w="4860" w:type="dxa"/>
            <w:vAlign w:val="bottom"/>
          </w:tcPr>
          <w:p>
            <w:pPr>
              <w:jc w:val="center"/>
              <w:ind w:left="737"/>
              <w:spacing w:after="0"/>
              <w:rPr>
                <w:sz w:val="20"/>
                <w:szCs w:val="20"/>
                <w:color w:val="auto"/>
              </w:rPr>
            </w:pPr>
            <w:r>
              <w:rPr>
                <w:rFonts w:ascii="Times New Roman" w:cs="Times New Roman" w:eastAsia="Times New Roman" w:hAnsi="Times New Roman"/>
                <w:sz w:val="18"/>
                <w:szCs w:val="18"/>
                <w:b w:val="1"/>
                <w:bCs w:val="1"/>
                <w:color w:val="auto"/>
                <w:w w:val="99"/>
              </w:rPr>
              <w:t>(a Delaware limited liability company)</w:t>
            </w:r>
          </w:p>
        </w:tc>
      </w:tr>
      <w:tr>
        <w:trPr>
          <w:trHeight w:val="270"/>
        </w:trPr>
        <w:tc>
          <w:tcPr>
            <w:tcW w:w="4700" w:type="dxa"/>
            <w:vAlign w:val="bottom"/>
          </w:tcPr>
          <w:p>
            <w:pPr>
              <w:jc w:val="center"/>
              <w:ind w:right="797"/>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c>
          <w:tcPr>
            <w:tcW w:w="4860" w:type="dxa"/>
            <w:vAlign w:val="bottom"/>
          </w:tcPr>
          <w:p>
            <w:pPr>
              <w:jc w:val="center"/>
              <w:ind w:left="697"/>
              <w:spacing w:after="0"/>
              <w:rPr>
                <w:sz w:val="20"/>
                <w:szCs w:val="20"/>
                <w:color w:val="auto"/>
              </w:rPr>
            </w:pPr>
            <w:r>
              <w:rPr>
                <w:rFonts w:ascii="Times New Roman" w:cs="Times New Roman" w:eastAsia="Times New Roman" w:hAnsi="Times New Roman"/>
                <w:sz w:val="18"/>
                <w:szCs w:val="18"/>
                <w:b w:val="1"/>
                <w:bCs w:val="1"/>
                <w:color w:val="auto"/>
              </w:rPr>
              <w:t>Debt Securities</w:t>
            </w:r>
          </w:p>
        </w:tc>
      </w:tr>
      <w:tr>
        <w:trPr>
          <w:trHeight w:val="257"/>
        </w:trPr>
        <w:tc>
          <w:tcPr>
            <w:tcW w:w="47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Guarantees of Debt Securities</w:t>
            </w:r>
          </w:p>
        </w:tc>
        <w:tc>
          <w:tcPr>
            <w:tcW w:w="486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Guarantees of Debt Securities</w:t>
            </w:r>
          </w:p>
        </w:tc>
      </w:tr>
    </w:tbl>
    <w:p>
      <w:pPr>
        <w:spacing w:after="0" w:line="373" w:lineRule="exact"/>
        <w:rPr>
          <w:sz w:val="20"/>
          <w:szCs w:val="20"/>
          <w:color w:val="auto"/>
        </w:rPr>
      </w:pPr>
    </w:p>
    <w:p>
      <w:pPr>
        <w:ind w:right="20" w:firstLine="324"/>
        <w:spacing w:after="0" w:line="285" w:lineRule="auto"/>
        <w:rPr>
          <w:sz w:val="20"/>
          <w:szCs w:val="20"/>
          <w:color w:val="auto"/>
        </w:rPr>
      </w:pPr>
      <w:r>
        <w:rPr>
          <w:rFonts w:ascii="Times New Roman" w:cs="Times New Roman" w:eastAsia="Times New Roman" w:hAnsi="Times New Roman"/>
          <w:sz w:val="18"/>
          <w:szCs w:val="18"/>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together, separately or in any combination thereof, and sell such securities from time to time in one or more offerings, at prices and on terms determined at the time of any such offering, to or through one or more underwriters, dealers and agents, or directly to purchasers, on a continuous or delayed basis.</w:t>
      </w:r>
    </w:p>
    <w:p>
      <w:pPr>
        <w:spacing w:after="0" w:line="27" w:lineRule="exact"/>
        <w:rPr>
          <w:sz w:val="20"/>
          <w:szCs w:val="20"/>
          <w:color w:val="auto"/>
        </w:rPr>
      </w:pPr>
    </w:p>
    <w:p>
      <w:pPr>
        <w:ind w:right="240" w:firstLine="324"/>
        <w:spacing w:after="0" w:line="287"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The prospectus supplement may also add, update or change information contained in this prospectus. You should read this prospectus and any applicable accompanying prospectus supplement carefully before you make any investment decision.</w:t>
      </w:r>
    </w:p>
    <w:p>
      <w:pPr>
        <w:spacing w:after="0" w:line="9" w:lineRule="exact"/>
        <w:rPr>
          <w:sz w:val="20"/>
          <w:szCs w:val="20"/>
          <w:color w:val="auto"/>
        </w:rPr>
      </w:pPr>
    </w:p>
    <w:p>
      <w:pPr>
        <w:ind w:firstLine="324"/>
        <w:spacing w:after="0" w:line="313" w:lineRule="auto"/>
        <w:rPr>
          <w:sz w:val="20"/>
          <w:szCs w:val="20"/>
          <w:color w:val="auto"/>
        </w:rPr>
      </w:pPr>
      <w:r>
        <w:rPr>
          <w:rFonts w:ascii="Times New Roman" w:cs="Times New Roman" w:eastAsia="Times New Roman" w:hAnsi="Times New Roman"/>
          <w:sz w:val="18"/>
          <w:szCs w:val="18"/>
          <w:color w:val="auto"/>
        </w:rPr>
        <w:t>This prospectus may not be used to consummate sales of securities of Weatherford Ireland, Weatherford Bermuda or Weatherford Delaware, unless it is accompanied by a prospectus supplement.</w:t>
      </w:r>
    </w:p>
    <w:p>
      <w:pPr>
        <w:ind w:left="340"/>
        <w:spacing w:after="0"/>
        <w:rPr>
          <w:sz w:val="20"/>
          <w:szCs w:val="20"/>
          <w:color w:val="auto"/>
        </w:rPr>
      </w:pPr>
      <w:r>
        <w:rPr>
          <w:rFonts w:ascii="Times New Roman" w:cs="Times New Roman" w:eastAsia="Times New Roman" w:hAnsi="Times New Roman"/>
          <w:sz w:val="18"/>
          <w:szCs w:val="18"/>
          <w:color w:val="auto"/>
        </w:rPr>
        <w:t>The ordinary shares of Weatherford Ireland are traded on the Nasdaq Global Select Market (“Nasdaq”) under the symbol “WFRD.”</w:t>
      </w:r>
    </w:p>
    <w:p>
      <w:pPr>
        <w:spacing w:after="0" w:line="86" w:lineRule="exact"/>
        <w:rPr>
          <w:sz w:val="20"/>
          <w:szCs w:val="20"/>
          <w:color w:val="auto"/>
        </w:rPr>
      </w:pPr>
    </w:p>
    <w:p>
      <w:pPr>
        <w:ind w:right="60" w:firstLine="324"/>
        <w:spacing w:after="0" w:line="29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review the risks and uncertainties described under the headings “Forward-Looking Statements” on page 4 and “Risk Factors” on page 8 herein and in any applicable prospectus supplement and the risk factors included in our periodic reports that we file with the Securities and Exchange Commission before you invest in our securities.</w:t>
      </w:r>
    </w:p>
    <w:p>
      <w:pPr>
        <w:spacing w:after="0" w:line="14" w:lineRule="exact"/>
        <w:rPr>
          <w:sz w:val="20"/>
          <w:szCs w:val="20"/>
          <w:color w:val="auto"/>
        </w:rPr>
      </w:pPr>
    </w:p>
    <w:p>
      <w:pPr>
        <w:ind w:right="480" w:firstLine="324"/>
        <w:spacing w:after="0" w:line="30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13, 2025.</w:t>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0"/>
                <w:szCs w:val="20"/>
                <w:color w:val="auto"/>
              </w:rPr>
            </w:pPr>
          </w:p>
        </w:tc>
      </w:tr>
      <w:tr>
        <w:trPr>
          <w:trHeight w:val="279"/>
        </w:trPr>
        <w:tc>
          <w:tcPr>
            <w:tcW w:w="8500" w:type="dxa"/>
            <w:vAlign w:val="bottom"/>
          </w:tcPr>
          <w:p>
            <w:pPr>
              <w:spacing w:after="0"/>
              <w:rPr>
                <w:sz w:val="24"/>
                <w:szCs w:val="24"/>
                <w:color w:val="auto"/>
              </w:rPr>
            </w:pPr>
          </w:p>
        </w:tc>
        <w:tc>
          <w:tcPr>
            <w:tcW w:w="204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FORWARD-LOOKING STATEMENTS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ABOUT US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OUR ORDINARY SHARES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OPTIONS AND WARRANTS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PURCHASE CONTRACTS AND SHARE PURCHASE UNITS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28</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30</w:t>
            </w: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30</w:t>
            </w:r>
          </w:p>
        </w:tc>
      </w:t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SERVICE OF PROCESS AND ENFORCEMENT OF LIABILITIES</w:t>
            </w:r>
          </w:p>
        </w:tc>
        <w:tc>
          <w:tcPr>
            <w:tcW w:w="20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540"/>
          </w:cols>
          <w:pgMar w:left="340" w:top="1440"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ind w:right="40" w:firstLine="324"/>
        <w:spacing w:after="0" w:line="279"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which we refer to as the “SEC,” under the U.S. Securities Act of 1933, as amended, which we refer to as the “Securities Act,” using a “shelf” registration process under applicable SEC rules. Under this shelf registration process, Weatherford Ireland, Weatherford Bermuda or Weatherford Delaware may, over time, offer and sell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offers securities, Weatherford Ireland, Weatherford Bermuda or Weatherford Delaware, as the case may be,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incorporated by reference as described under the heading “Where You Can Find More Information” in this prospectus. You should rely only on the information incorporated by reference or provided in this prospectus and the applicable prospectus supplement. We have not authorized anyone else to provide you with different information. This prospectus and any applicable prospectus supplement or free writing prospectus do not constitute an offer to sell, or a solicitation of an offer to buy, any securities offered by this prospectus and any such prospectus supplement or free writing prospectus by any person in any jurisdiction in which it is unlawful for such person to make such an offer or solicitation.</w:t>
      </w:r>
    </w:p>
    <w:p>
      <w:pPr>
        <w:spacing w:after="0" w:line="79" w:lineRule="exact"/>
        <w:rPr>
          <w:sz w:val="20"/>
          <w:szCs w:val="20"/>
          <w:color w:val="auto"/>
        </w:rPr>
      </w:pPr>
    </w:p>
    <w:p>
      <w:pPr>
        <w:ind w:firstLine="324"/>
        <w:spacing w:after="0" w:line="285"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81" w:lineRule="exact"/>
        <w:rPr>
          <w:sz w:val="20"/>
          <w:szCs w:val="20"/>
          <w:color w:val="auto"/>
        </w:rPr>
      </w:pPr>
    </w:p>
    <w:p>
      <w:pPr>
        <w:ind w:firstLine="324"/>
        <w:spacing w:after="0" w:line="285" w:lineRule="auto"/>
        <w:rPr>
          <w:sz w:val="20"/>
          <w:szCs w:val="20"/>
          <w:color w:val="auto"/>
        </w:rPr>
      </w:pPr>
      <w:r>
        <w:rPr>
          <w:rFonts w:ascii="Times New Roman" w:cs="Times New Roman" w:eastAsia="Times New Roman" w:hAnsi="Times New Roman"/>
          <w:sz w:val="18"/>
          <w:szCs w:val="18"/>
          <w:color w:val="auto"/>
        </w:rPr>
        <w:t>This prospectus and certain of the documents incorporated by reference into this prospectus contain, and any accompanying prospectus supplement or free writing prospectus that we deliver to you may contain, summaries of information contained in documents that we have filed or will file as exhibits to our SEC filings. Such summaries do not purport to be complete, and are subject to, and qualified in their entirety by reference to, the actual documents filed with the SEC. You should read this prospectus and any applicable prospectus supplement or free writing prospectus, together with the additional information described under the heading “Where You Can Find More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 EEA Investors</w:t>
      </w:r>
    </w:p>
    <w:p>
      <w:pPr>
        <w:spacing w:after="0" w:line="148" w:lineRule="exact"/>
        <w:rPr>
          <w:sz w:val="20"/>
          <w:szCs w:val="20"/>
          <w:color w:val="auto"/>
        </w:rPr>
      </w:pPr>
    </w:p>
    <w:p>
      <w:pPr>
        <w:ind w:right="100" w:firstLine="324"/>
        <w:spacing w:after="0" w:line="287" w:lineRule="auto"/>
        <w:rPr>
          <w:sz w:val="20"/>
          <w:szCs w:val="20"/>
          <w:color w:val="auto"/>
        </w:rPr>
      </w:pPr>
      <w:r>
        <w:rPr>
          <w:rFonts w:ascii="Times New Roman" w:cs="Times New Roman" w:eastAsia="Times New Roman" w:hAnsi="Times New Roman"/>
          <w:sz w:val="18"/>
          <w:szCs w:val="18"/>
          <w:color w:val="auto"/>
        </w:rPr>
        <w:t>This document is not, and is not intended to be, a prospectus for the purposes of Regulation (EU) 2017/1129 of the European Parliament and of the Council of 14 June 2017 on the prospectus to be published when securities are offered to the public or admitted to trading on a regulated market (as amended) (the “EU Prospectus Regulation”), the European Union (Prospectus) Regulations 2019 of Ireland or any other legislation, regulations or rules of Ireland or any other member state of the European Economic Area (“EEA”) implementing the EU Prospectus Regulation.</w:t>
      </w:r>
    </w:p>
    <w:p>
      <w:pPr>
        <w:spacing w:after="0" w:line="76" w:lineRule="exact"/>
        <w:rPr>
          <w:sz w:val="20"/>
          <w:szCs w:val="20"/>
          <w:color w:val="auto"/>
        </w:rPr>
      </w:pPr>
    </w:p>
    <w:p>
      <w:pPr>
        <w:ind w:right="80" w:firstLine="324"/>
        <w:spacing w:after="0" w:line="287" w:lineRule="auto"/>
        <w:rPr>
          <w:sz w:val="20"/>
          <w:szCs w:val="20"/>
          <w:color w:val="auto"/>
        </w:rPr>
      </w:pPr>
      <w:r>
        <w:rPr>
          <w:rFonts w:ascii="Times New Roman" w:cs="Times New Roman" w:eastAsia="Times New Roman" w:hAnsi="Times New Roman"/>
          <w:sz w:val="18"/>
          <w:szCs w:val="18"/>
          <w:color w:val="auto"/>
        </w:rPr>
        <w:t>This document has not been reviewed or approved by the Central Bank of Ireland or by any other competent or supervisory authority of any other member state of the EEA for the purposes of the EU Prospectus Regulation. No offer to the public of securities of Weatherford Ireland, Weatherford Bermuda or Weatherford Delaware is being, or shall be, made in Ireland or any other member state of the EEA on the basis of this document or, otherwise,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8"/>
          <w:szCs w:val="18"/>
          <w:color w:val="auto"/>
        </w:rPr>
        <w:t>circumstances that would require a prospectus to be published pursuant to the EU Prospectus Regulation. Any investment in securities of Weatherford Ireland, Weatherford Bermuda or Weatherford Delaware does not have the status of a bank deposit in Ireland and is not within the scope of the deposit protection scheme operated by the Central Bank of Ireland.</w:t>
      </w:r>
    </w:p>
    <w:p>
      <w:pPr>
        <w:spacing w:after="0" w:line="7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b w:val="1"/>
          <w:bCs w:val="1"/>
          <w:color w:val="auto"/>
        </w:rPr>
        <w:t>Prohibition of sales to EEA retail investors</w:t>
      </w:r>
      <w:r>
        <w:rPr>
          <w:rFonts w:ascii="Times New Roman" w:cs="Times New Roman" w:eastAsia="Times New Roman" w:hAnsi="Times New Roman"/>
          <w:sz w:val="18"/>
          <w:szCs w:val="18"/>
          <w:color w:val="auto"/>
        </w:rPr>
        <w:t>: No securities of Weatherford Ireland, Weatherford Bermuda or Weatherford Delaware are intended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sold or otherwise made available to or should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 qualified investor as defined in the EU Prospectus Regulation. Consequently, no key information document required by Regulation (EU) No. 1286/2014 (as amended) (the “PRIIPs Regulation”) for offering or selling securities or otherwise making them available to retail investors in the EEA has been prepared and therefore offering or selling securities or otherwise making them available to any retail investor in the EEA may be unlawful under the PRIIPs Regulation.</w:t>
      </w:r>
    </w:p>
    <w:p>
      <w:pPr>
        <w:spacing w:after="0" w:line="83" w:lineRule="exact"/>
        <w:rPr>
          <w:sz w:val="20"/>
          <w:szCs w:val="20"/>
          <w:color w:val="auto"/>
        </w:rPr>
      </w:pPr>
    </w:p>
    <w:p>
      <w:pPr>
        <w:ind w:firstLine="324"/>
        <w:spacing w:after="0" w:line="280" w:lineRule="auto"/>
        <w:rPr>
          <w:sz w:val="20"/>
          <w:szCs w:val="20"/>
          <w:color w:val="auto"/>
        </w:rPr>
      </w:pPr>
      <w:r>
        <w:rPr>
          <w:rFonts w:ascii="Times New Roman" w:cs="Times New Roman" w:eastAsia="Times New Roman" w:hAnsi="Times New Roman"/>
          <w:sz w:val="18"/>
          <w:szCs w:val="18"/>
          <w:color w:val="auto"/>
        </w:rPr>
        <w:t>Prohibition of Sales to UK Retail Investors: No securities of Weatherford Ireland, Weatherford Bermuda or Weatherford Delaware are intended to be offered, sold or otherwise made available to or should be offered, sold or otherwise made available to any retail investor in the United Kingdom (the “UK”). For these purposes, a “retail investor” means a person who is one (or more) of the following: (i) a retail client, as defined in point (8) of Article 2 of Regulation (EU) No 2017/565 as it forms part of domestic law by virtue of the European Union (Withdrawal) Act 2018 (the “EUWA”); or (ii) a customer within the meaning of the provisions of the Financial Services and Markets Act 2000 (as amended,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Consequently no key information document required by the PRIIPs Regulation as it forms part of domestic law by virtue of the EUWA (the “UK PRIIPs Regulation”) for offering or selling the notes or otherwise making them available to retail investors in the UK has been prepared and therefore offering or selling securities or otherwise making them available to any retail investor in the UK may be unlawful under the UK PRIIPs Regulation.</w:t>
      </w:r>
    </w:p>
    <w:p>
      <w:pPr>
        <w:spacing w:after="0" w:line="83" w:lineRule="exact"/>
        <w:rPr>
          <w:sz w:val="20"/>
          <w:szCs w:val="20"/>
          <w:color w:val="auto"/>
        </w:rPr>
      </w:pPr>
    </w:p>
    <w:p>
      <w:pPr>
        <w:jc w:val="both"/>
        <w:ind w:right="120" w:firstLine="324"/>
        <w:spacing w:after="0" w:line="287" w:lineRule="auto"/>
        <w:rPr>
          <w:sz w:val="20"/>
          <w:szCs w:val="20"/>
          <w:color w:val="auto"/>
        </w:rPr>
      </w:pPr>
      <w:r>
        <w:rPr>
          <w:rFonts w:ascii="Times New Roman" w:cs="Times New Roman" w:eastAsia="Times New Roman" w:hAnsi="Times New Roman"/>
          <w:sz w:val="18"/>
          <w:szCs w:val="18"/>
          <w:color w:val="auto"/>
        </w:rPr>
        <w:t>THE FOLLOWING PROSPECTUS HAS BEEN PREPARED ON THE BASIS THAT ANY OFFER OF SECURITIES IN ANY MEMBER STATE OF THE EEA OR THE UK WILL BE MADE PURSUANT TO AN EXEMPTION UNDER THE EU OR THE UK PROSPECTUS REGULATION, AS APPLICABLE, FROM THE REQUIREMENT TO PUBLISH A PROSPECTUS FOR OFFERS OF SECURITIES. THE FOLLOWING DOCUMENT IS NOT A PROSPECTUS FOR THE PURPOSES OF THE EU OR THE UK PROSPECTUS REGULATION.</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Unless the context requires otherwise or unless otherwise noted, as used in this prospectus or any prospectus supplement:</w:t>
      </w:r>
    </w:p>
    <w:p>
      <w:pPr>
        <w:spacing w:after="0" w:line="144"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 refers to Weatherford International plc, an Irish public limited company.</w:t>
      </w:r>
    </w:p>
    <w:p>
      <w:pPr>
        <w:spacing w:after="0" w:line="130" w:lineRule="exact"/>
        <w:rPr>
          <w:rFonts w:ascii="Times New Roman" w:cs="Times New Roman" w:eastAsia="Times New Roman" w:hAnsi="Times New Roman"/>
          <w:sz w:val="18"/>
          <w:szCs w:val="18"/>
          <w:color w:val="auto"/>
        </w:rPr>
      </w:pPr>
    </w:p>
    <w:p>
      <w:pPr>
        <w:ind w:left="660" w:right="620" w:hanging="328"/>
        <w:spacing w:after="0" w:line="313"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Bermuda” refers to Weatherford International Ltd., a Bermuda exempted company and wholly owned, indirect subsidiary of Weatherford Ireland.</w:t>
      </w:r>
    </w:p>
    <w:p>
      <w:pPr>
        <w:spacing w:after="0" w:line="54" w:lineRule="exact"/>
        <w:rPr>
          <w:rFonts w:ascii="Times New Roman" w:cs="Times New Roman" w:eastAsia="Times New Roman" w:hAnsi="Times New Roman"/>
          <w:sz w:val="18"/>
          <w:szCs w:val="18"/>
          <w:color w:val="auto"/>
        </w:rPr>
      </w:pPr>
    </w:p>
    <w:p>
      <w:pPr>
        <w:ind w:left="660" w:right="40" w:hanging="328"/>
        <w:spacing w:after="0" w:line="313"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Delaware” refers to Weatherford International, LLC, a Delaware limited liability company and wholly owned, indirect subsidiary of Weatherford Ireland.</w:t>
      </w:r>
    </w:p>
    <w:p>
      <w:pPr>
        <w:spacing w:after="0" w:line="40" w:lineRule="exact"/>
        <w:rPr>
          <w:rFonts w:ascii="Times New Roman" w:cs="Times New Roman" w:eastAsia="Times New Roman" w:hAnsi="Times New Roman"/>
          <w:sz w:val="18"/>
          <w:szCs w:val="18"/>
          <w:color w:val="auto"/>
        </w:rPr>
      </w:pPr>
    </w:p>
    <w:p>
      <w:pPr>
        <w:ind w:left="660" w:right="760" w:hanging="328"/>
        <w:spacing w:after="0" w:line="313"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or “our” refers to Weatherford Ireland and its subsidiaries (including Weatherford Bermuda and Weatherford Delaware)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right="120" w:firstLine="360"/>
        <w:spacing w:after="0" w:line="289"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at our website at </w:t>
      </w:r>
      <w:r>
        <w:rPr>
          <w:rFonts w:ascii="Times New Roman" w:cs="Times New Roman" w:eastAsia="Times New Roman" w:hAnsi="Times New Roman"/>
          <w:sz w:val="18"/>
          <w:szCs w:val="18"/>
          <w:i w:val="1"/>
          <w:iCs w:val="1"/>
          <w:color w:val="auto"/>
        </w:rPr>
        <w:t>www.weatherford.com</w:t>
      </w:r>
      <w:r>
        <w:rPr>
          <w:rFonts w:ascii="Times New Roman" w:cs="Times New Roman" w:eastAsia="Times New Roman" w:hAnsi="Times New Roman"/>
          <w:sz w:val="18"/>
          <w:szCs w:val="18"/>
          <w:color w:val="auto"/>
        </w:rPr>
        <w:t>. The information contained on or linked to or from our website is not incorporated by reference into this prospectus and should not be considered a part of this prospectus or of any prospectus supplement.</w:t>
      </w:r>
    </w:p>
    <w:p>
      <w:pPr>
        <w:spacing w:after="0" w:line="76" w:lineRule="exact"/>
        <w:rPr>
          <w:sz w:val="20"/>
          <w:szCs w:val="20"/>
          <w:color w:val="auto"/>
        </w:rPr>
      </w:pPr>
    </w:p>
    <w:p>
      <w:pPr>
        <w:ind w:right="120" w:firstLine="360"/>
        <w:spacing w:after="0" w:line="287"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and will be considered to be a part of this prospectus from the date those documents are filed. We incorporate by reference the following documents:</w:t>
      </w:r>
    </w:p>
    <w:p>
      <w:pPr>
        <w:spacing w:after="0" w:line="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Weatherford Ireland’s </w:t>
      </w:r>
      <w:hyperlink r:id="rId9">
        <w:r>
          <w:rPr>
            <w:rFonts w:ascii="Times New Roman" w:cs="Times New Roman" w:eastAsia="Times New Roman" w:hAnsi="Times New Roman"/>
            <w:sz w:val="18"/>
            <w:szCs w:val="18"/>
            <w:color w:val="auto"/>
          </w:rPr>
          <w:t>Annual Report on Form 10-K for the fiscal year ended December 31, 2024, as filed with the SEC on February 6, 2025;</w:t>
        </w:r>
      </w:hyperlink>
    </w:p>
    <w:p>
      <w:pPr>
        <w:spacing w:after="0" w:line="130"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Weatherford Ireland's </w:t>
      </w:r>
      <w:hyperlink r:id="rId10">
        <w:r>
          <w:rPr>
            <w:rFonts w:ascii="Times New Roman" w:cs="Times New Roman" w:eastAsia="Times New Roman" w:hAnsi="Times New Roman"/>
            <w:sz w:val="18"/>
            <w:szCs w:val="18"/>
            <w:color w:val="auto"/>
          </w:rPr>
          <w:t xml:space="preserve">Definitive Proxy Statement on Schedule 14A, filed on April 23, 2025, </w:t>
        </w:r>
      </w:hyperlink>
      <w:r>
        <w:rPr>
          <w:rFonts w:ascii="Times New Roman" w:cs="Times New Roman" w:eastAsia="Times New Roman" w:hAnsi="Times New Roman"/>
          <w:sz w:val="18"/>
          <w:szCs w:val="18"/>
          <w:color w:val="auto"/>
        </w:rPr>
        <w:t>that are incorporated by reference into Part III of our Annual Report on Form 10-K for the fiscal year ended December 31, 2024;</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Weatherford Ireland's </w:t>
      </w:r>
      <w:hyperlink r:id="rId11">
        <w:r>
          <w:rPr>
            <w:rFonts w:ascii="Times New Roman" w:cs="Times New Roman" w:eastAsia="Times New Roman" w:hAnsi="Times New Roman"/>
            <w:sz w:val="18"/>
            <w:szCs w:val="18"/>
            <w:color w:val="auto"/>
          </w:rPr>
          <w:t>Quarterly Report on Form 10-Q for the quarter ended March 31, 2025, as filed with the SEC on April 23, 2025;</w:t>
        </w:r>
      </w:hyperlink>
    </w:p>
    <w:p>
      <w:pPr>
        <w:spacing w:after="0" w:line="144" w:lineRule="exact"/>
        <w:rPr>
          <w:rFonts w:ascii="Times New Roman" w:cs="Times New Roman" w:eastAsia="Times New Roman" w:hAnsi="Times New Roman"/>
          <w:sz w:val="18"/>
          <w:szCs w:val="18"/>
          <w:color w:val="auto"/>
        </w:rPr>
      </w:pPr>
    </w:p>
    <w:p>
      <w:pPr>
        <w:ind w:left="660" w:right="20" w:hanging="328"/>
        <w:spacing w:after="0" w:line="29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Weatherford Ireland’s Current Reports on Form 8-K, as filed with the SEC on </w:t>
      </w:r>
      <w:hyperlink r:id="rId12">
        <w:r>
          <w:rPr>
            <w:rFonts w:ascii="Times New Roman" w:cs="Times New Roman" w:eastAsia="Times New Roman" w:hAnsi="Times New Roman"/>
            <w:sz w:val="18"/>
            <w:szCs w:val="18"/>
            <w:color w:val="auto"/>
          </w:rPr>
          <w:t xml:space="preserve">February 5, 2025, </w:t>
        </w:r>
      </w:hyperlink>
      <w:hyperlink r:id="rId13">
        <w:r>
          <w:rPr>
            <w:rFonts w:ascii="Times New Roman" w:cs="Times New Roman" w:eastAsia="Times New Roman" w:hAnsi="Times New Roman"/>
            <w:sz w:val="18"/>
            <w:szCs w:val="18"/>
            <w:color w:val="auto"/>
          </w:rPr>
          <w:t xml:space="preserve">April 22, 2025, </w:t>
        </w:r>
      </w:hyperlink>
      <w:hyperlink r:id="rId14">
        <w:r>
          <w:rPr>
            <w:rFonts w:ascii="Times New Roman" w:cs="Times New Roman" w:eastAsia="Times New Roman" w:hAnsi="Times New Roman"/>
            <w:sz w:val="18"/>
            <w:szCs w:val="18"/>
            <w:color w:val="auto"/>
          </w:rPr>
          <w:t xml:space="preserve">April 22, 2025 </w:t>
        </w:r>
      </w:hyperlink>
      <w:r>
        <w:rPr>
          <w:rFonts w:ascii="Times New Roman" w:cs="Times New Roman" w:eastAsia="Times New Roman" w:hAnsi="Times New Roman"/>
          <w:sz w:val="18"/>
          <w:szCs w:val="18"/>
          <w:color w:val="auto"/>
        </w:rPr>
        <w:t xml:space="preserve">and </w:t>
      </w:r>
      <w:hyperlink r:id="rId15">
        <w:r>
          <w:rPr>
            <w:rFonts w:ascii="Times New Roman" w:cs="Times New Roman" w:eastAsia="Times New Roman" w:hAnsi="Times New Roman"/>
            <w:sz w:val="18"/>
            <w:szCs w:val="18"/>
            <w:color w:val="auto"/>
          </w:rPr>
          <w:t>June 13, 2025</w:t>
        </w:r>
      </w:hyperlink>
      <w:r>
        <w:rPr>
          <w:rFonts w:ascii="Times New Roman" w:cs="Times New Roman" w:eastAsia="Times New Roman" w:hAnsi="Times New Roman"/>
          <w:sz w:val="18"/>
          <w:szCs w:val="18"/>
          <w:color w:val="auto"/>
        </w:rPr>
        <w:t xml:space="preserve"> (excluding any information furnished and not filed); and</w:t>
      </w:r>
    </w:p>
    <w:p>
      <w:pPr>
        <w:spacing w:after="0" w:line="108"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55" w:val="left"/>
        </w:tabs>
        <w:numPr>
          <w:ilvl w:val="0"/>
          <w:numId w:val="2"/>
        </w:numPr>
        <w:rPr>
          <w:rFonts w:ascii="Times New Roman" w:cs="Times New Roman" w:eastAsia="Times New Roman" w:hAnsi="Times New Roman"/>
          <w:sz w:val="18"/>
          <w:szCs w:val="18"/>
          <w:color w:val="auto"/>
        </w:rPr>
      </w:pPr>
      <w:hyperlink r:id="rId16">
        <w:r>
          <w:rPr>
            <w:rFonts w:ascii="Times New Roman" w:cs="Times New Roman" w:eastAsia="Times New Roman" w:hAnsi="Times New Roman"/>
            <w:sz w:val="18"/>
            <w:szCs w:val="18"/>
            <w:color w:val="auto"/>
          </w:rPr>
          <w:t>The description of Weatherford Ireland’s ordinary shares contained in its Registration Statement on Form 10, as filed with the SEC on March 29,</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color w:val="auto"/>
          </w:rPr>
          <w:t>2021, as updated by Exhibit 4.1 to our Annual Report on Form 10-K for the fiscal year ended December 31, 2024, as filed with the SEC on</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color w:val="auto"/>
          </w:rPr>
          <w:t>February 6, 2025, and any amendment or report filed with the SEC for the purpose of updating such description.</w:t>
        </w:r>
      </w:hyperlink>
    </w:p>
    <w:p>
      <w:pPr>
        <w:spacing w:after="0" w:line="82" w:lineRule="exact"/>
        <w:rPr>
          <w:rFonts w:ascii="Times New Roman" w:cs="Times New Roman" w:eastAsia="Times New Roman" w:hAnsi="Times New Roman"/>
          <w:sz w:val="18"/>
          <w:szCs w:val="18"/>
          <w:color w:val="auto"/>
        </w:rPr>
      </w:pPr>
    </w:p>
    <w:p>
      <w:pPr>
        <w:ind w:firstLine="360"/>
        <w:spacing w:after="0" w:line="284" w:lineRule="auto"/>
        <w:rPr>
          <w:sz w:val="20"/>
          <w:szCs w:val="20"/>
          <w:color w:val="auto"/>
        </w:rPr>
      </w:pPr>
      <w:r>
        <w:rPr>
          <w:rFonts w:ascii="Times New Roman" w:cs="Times New Roman" w:eastAsia="Times New Roman" w:hAnsi="Times New Roman"/>
          <w:sz w:val="18"/>
          <w:szCs w:val="18"/>
          <w:color w:val="auto"/>
        </w:rPr>
        <w:t>In addition, all documents that we subsequently file with the SEC under Sections 13(a), 13(c), 14 or 15(d) of the U.S. Securities Exchange Act of 1934, as amended, which we refer to as the “Exchange Act”, after the date of this prospectus and prior to the termination of the offering of the applicable securities, shall be deemed to be incorporated by reference into this prospectus. We are not, however, incorporating, in each case, any documents (or portions thereof) or information that we are deemed to furnish and not file in accordance with SEC rules unless expressly stated otherwise. Any statement in this prospectus, in any prospectus supplement, or in any document incorporated by reference that is different from any statement contained in any later-filed document should be regarded as changed by that later statement. Once so changed, the earlier statement is no longer considered part of this prospectus or any prospectus supplement.</w:t>
      </w:r>
    </w:p>
    <w:p>
      <w:pPr>
        <w:spacing w:after="0" w:line="67" w:lineRule="exact"/>
        <w:rPr>
          <w:rFonts w:ascii="Times New Roman" w:cs="Times New Roman" w:eastAsia="Times New Roman" w:hAnsi="Times New Roman"/>
          <w:sz w:val="18"/>
          <w:szCs w:val="18"/>
          <w:color w:val="auto"/>
        </w:rPr>
      </w:pPr>
    </w:p>
    <w:p>
      <w:pPr>
        <w:ind w:right="20" w:firstLine="360"/>
        <w:spacing w:after="0" w:line="313"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50" w:lineRule="exact"/>
        <w:rPr>
          <w:rFonts w:ascii="Times New Roman" w:cs="Times New Roman" w:eastAsia="Times New Roman" w:hAnsi="Times New Roman"/>
          <w:sz w:val="18"/>
          <w:szCs w:val="18"/>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40" w:lineRule="exact"/>
        <w:rPr>
          <w:rFonts w:ascii="Times New Roman" w:cs="Times New Roman" w:eastAsia="Times New Roman" w:hAnsi="Times New Roman"/>
          <w:sz w:val="18"/>
          <w:szCs w:val="18"/>
          <w:color w:val="auto"/>
        </w:rPr>
      </w:pPr>
    </w:p>
    <w:p>
      <w:pPr>
        <w:ind w:left="45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7" w:lineRule="exact"/>
        <w:rPr>
          <w:rFonts w:ascii="Times New Roman" w:cs="Times New Roman" w:eastAsia="Times New Roman" w:hAnsi="Times New Roman"/>
          <w:sz w:val="18"/>
          <w:szCs w:val="18"/>
          <w:color w:val="auto"/>
        </w:rPr>
      </w:pPr>
    </w:p>
    <w:p>
      <w:pPr>
        <w:ind w:left="4840"/>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31" w:lineRule="exact"/>
        <w:rPr>
          <w:rFonts w:ascii="Times New Roman" w:cs="Times New Roman" w:eastAsia="Times New Roman" w:hAnsi="Times New Roman"/>
          <w:sz w:val="18"/>
          <w:szCs w:val="18"/>
          <w:color w:val="auto"/>
        </w:rPr>
      </w:pPr>
    </w:p>
    <w:p>
      <w:pPr>
        <w:ind w:left="480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36"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836-4000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18"/>
          <w:szCs w:val="18"/>
          <w:color w:val="auto"/>
        </w:rPr>
        <w:t>This prospectus includes, and any accompanying prospectus supplement may include,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within the meaning of the Private Securities Litigation Reform Act of 1995, Section 27A of the Securities Act and Section 21E of the Exchange Act,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85" w:lineRule="exact"/>
        <w:rPr>
          <w:sz w:val="20"/>
          <w:szCs w:val="20"/>
          <w:color w:val="auto"/>
        </w:rPr>
      </w:pPr>
    </w:p>
    <w:p>
      <w:pPr>
        <w:ind w:right="60" w:firstLine="360"/>
        <w:spacing w:after="0" w:line="284"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Forward-looking statements are only made as of the date of this prospectus or any accompanying prospectus supplement, or if earlier, as of the date they were made, and we undertake no obligation to correct, update or revise any forward-looking statement, whether as a result of new information, future events, or otherwise, except to the extent required under federal securities laws.</w:t>
      </w:r>
    </w:p>
    <w:p>
      <w:pPr>
        <w:spacing w:after="0" w:line="69" w:lineRule="exact"/>
        <w:rPr>
          <w:sz w:val="20"/>
          <w:szCs w:val="20"/>
          <w:color w:val="auto"/>
        </w:rPr>
      </w:pPr>
    </w:p>
    <w:p>
      <w:pPr>
        <w:ind w:right="660" w:firstLine="360"/>
        <w:spacing w:after="0" w:line="313" w:lineRule="auto"/>
        <w:rPr>
          <w:sz w:val="20"/>
          <w:szCs w:val="20"/>
          <w:color w:val="auto"/>
        </w:rPr>
      </w:pPr>
      <w:r>
        <w:rPr>
          <w:rFonts w:ascii="Times New Roman" w:cs="Times New Roman" w:eastAsia="Times New Roman" w:hAnsi="Times New Roman"/>
          <w:sz w:val="18"/>
          <w:szCs w:val="18"/>
          <w:color w:val="auto"/>
        </w:rPr>
        <w:t>The following, together with disclosures under “Risk Factors” below, sets forth certain risks and uncertainties relating to our forward-looking statements that may cause actual results to be materially different from our present expectations or projections:</w:t>
      </w:r>
    </w:p>
    <w:p>
      <w:pPr>
        <w:spacing w:after="0" w:line="54" w:lineRule="exact"/>
        <w:rPr>
          <w:sz w:val="20"/>
          <w:szCs w:val="20"/>
          <w:color w:val="auto"/>
        </w:rPr>
      </w:pPr>
    </w:p>
    <w:p>
      <w:pPr>
        <w:ind w:left="980" w:hanging="324"/>
        <w:spacing w:after="0" w:line="289"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and conflicts in the Middle East);</w:t>
      </w:r>
    </w:p>
    <w:p>
      <w:pPr>
        <w:spacing w:after="0" w:line="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144" w:lineRule="exact"/>
        <w:rPr>
          <w:rFonts w:ascii="Times New Roman" w:cs="Times New Roman" w:eastAsia="Times New Roman" w:hAnsi="Times New Roman"/>
          <w:sz w:val="18"/>
          <w:szCs w:val="18"/>
          <w:color w:val="auto"/>
        </w:rPr>
      </w:pPr>
    </w:p>
    <w:p>
      <w:pPr>
        <w:ind w:left="980" w:right="160" w:hanging="324"/>
        <w:spacing w:after="0" w:line="297"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68" w:lineRule="exact"/>
        <w:rPr>
          <w:rFonts w:ascii="Times New Roman" w:cs="Times New Roman" w:eastAsia="Times New Roman" w:hAnsi="Times New Roman"/>
          <w:sz w:val="18"/>
          <w:szCs w:val="18"/>
          <w:color w:val="auto"/>
        </w:rPr>
      </w:pPr>
    </w:p>
    <w:p>
      <w:pPr>
        <w:ind w:left="980" w:right="320" w:hanging="324"/>
        <w:spacing w:after="0" w:line="313"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spacing w:after="0" w:line="54"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spacing w:after="0" w:line="75" w:lineRule="exact"/>
        <w:rPr>
          <w:rFonts w:ascii="Times New Roman" w:cs="Times New Roman" w:eastAsia="Times New Roman" w:hAnsi="Times New Roman"/>
          <w:sz w:val="18"/>
          <w:szCs w:val="18"/>
          <w:color w:val="auto"/>
        </w:rPr>
      </w:pPr>
    </w:p>
    <w:p>
      <w:pPr>
        <w:ind w:left="980" w:right="260" w:hanging="324"/>
        <w:spacing w:after="0" w:line="329" w:lineRule="auto"/>
        <w:tabs>
          <w:tab w:leader="none" w:pos="9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44" w:lineRule="exact"/>
        <w:rPr>
          <w:rFonts w:ascii="Times New Roman" w:cs="Times New Roman" w:eastAsia="Times New Roman" w:hAnsi="Times New Roman"/>
          <w:sz w:val="17"/>
          <w:szCs w:val="17"/>
          <w:color w:val="auto"/>
        </w:rPr>
      </w:pPr>
    </w:p>
    <w:p>
      <w:pPr>
        <w:ind w:left="980" w:right="220" w:hanging="324"/>
        <w:spacing w:after="0" w:line="313"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spacing w:after="0" w:line="54" w:lineRule="exact"/>
        <w:rPr>
          <w:rFonts w:ascii="Times New Roman" w:cs="Times New Roman" w:eastAsia="Times New Roman" w:hAnsi="Times New Roman"/>
          <w:sz w:val="18"/>
          <w:szCs w:val="18"/>
          <w:color w:val="auto"/>
        </w:rPr>
      </w:pPr>
    </w:p>
    <w:p>
      <w:pPr>
        <w:ind w:left="980" w:right="260" w:hanging="324"/>
        <w:spacing w:after="0" w:line="289"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1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80"/>
        <w:spacing w:after="0" w:line="289" w:lineRule="auto"/>
        <w:rPr>
          <w:sz w:val="20"/>
          <w:szCs w:val="20"/>
          <w:color w:val="auto"/>
        </w:rPr>
      </w:pPr>
      <w:r>
        <w:rPr>
          <w:rFonts w:ascii="Times New Roman" w:cs="Times New Roman" w:eastAsia="Times New Roman" w:hAnsi="Times New Roman"/>
          <w:sz w:val="18"/>
          <w:szCs w:val="18"/>
          <w:color w:val="auto"/>
        </w:rPr>
        <w:t>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144" w:lineRule="exact"/>
        <w:rPr>
          <w:rFonts w:ascii="Times New Roman" w:cs="Times New Roman" w:eastAsia="Times New Roman" w:hAnsi="Times New Roman"/>
          <w:sz w:val="18"/>
          <w:szCs w:val="18"/>
          <w:color w:val="auto"/>
        </w:rPr>
      </w:pPr>
    </w:p>
    <w:p>
      <w:pPr>
        <w:ind w:left="980" w:right="20" w:hanging="324"/>
        <w:spacing w:after="0" w:line="289"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spacing w:after="0" w:line="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lead times; and the lack of availability of our procured products and services;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capital allocation framework;</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terms that are commercially acceptable to Weatherford Ireland;</w:t>
      </w:r>
    </w:p>
    <w:p>
      <w:pPr>
        <w:spacing w:after="0" w:line="144" w:lineRule="exact"/>
        <w:rPr>
          <w:rFonts w:ascii="Times New Roman" w:cs="Times New Roman" w:eastAsia="Times New Roman" w:hAnsi="Times New Roman"/>
          <w:sz w:val="18"/>
          <w:szCs w:val="18"/>
          <w:color w:val="auto"/>
        </w:rPr>
      </w:pPr>
    </w:p>
    <w:p>
      <w:pPr>
        <w:ind w:left="980" w:right="180" w:hanging="324"/>
        <w:spacing w:after="0" w:line="289"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75" w:lineRule="exact"/>
        <w:rPr>
          <w:rFonts w:ascii="Times New Roman" w:cs="Times New Roman" w:eastAsia="Times New Roman" w:hAnsi="Times New Roman"/>
          <w:sz w:val="18"/>
          <w:szCs w:val="18"/>
          <w:color w:val="auto"/>
        </w:rPr>
      </w:pPr>
    </w:p>
    <w:p>
      <w:pPr>
        <w:ind w:left="980" w:right="80" w:hanging="324"/>
        <w:spacing w:after="0" w:line="297"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131" w:lineRule="exact"/>
        <w:rPr>
          <w:sz w:val="20"/>
          <w:szCs w:val="20"/>
          <w:color w:val="auto"/>
        </w:rPr>
      </w:pPr>
    </w:p>
    <w:p>
      <w:pPr>
        <w:ind w:right="20" w:firstLine="324"/>
        <w:spacing w:after="0" w:line="287"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76" w:lineRule="exact"/>
        <w:rPr>
          <w:sz w:val="20"/>
          <w:szCs w:val="20"/>
          <w:color w:val="auto"/>
        </w:rPr>
      </w:pPr>
    </w:p>
    <w:p>
      <w:pPr>
        <w:ind w:right="220" w:firstLine="324"/>
        <w:spacing w:after="0" w:line="287"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 These factors are not necessarily all of the important factors that could cause our actual results, performance or achievements to differ materially from those expressed in or implied by any of our forward-looking statements. Other unknown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unpredictable factors, many of which are beyond our control, also could harm our results, performance, or achievements. All forward-looking statements contained in this prospectus and any accompanying prospectus supplement, including the information incorporated by reference into this prospectus and any accompanying prospectus supplement, are expressly qualified in their entirety by the cautionary statements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320" w:top="118"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148" w:lineRule="exact"/>
        <w:rPr>
          <w:sz w:val="20"/>
          <w:szCs w:val="20"/>
          <w:color w:val="auto"/>
        </w:rPr>
      </w:pPr>
    </w:p>
    <w:p>
      <w:pPr>
        <w:ind w:right="260" w:firstLine="405"/>
        <w:spacing w:after="0" w:line="289" w:lineRule="auto"/>
        <w:rPr>
          <w:sz w:val="20"/>
          <w:szCs w:val="20"/>
          <w:color w:val="auto"/>
        </w:rPr>
      </w:pPr>
      <w:r>
        <w:rPr>
          <w:rFonts w:ascii="Times New Roman" w:cs="Times New Roman" w:eastAsia="Times New Roman" w:hAnsi="Times New Roman"/>
          <w:sz w:val="18"/>
          <w:szCs w:val="18"/>
          <w:color w:val="auto"/>
        </w:rPr>
        <w:t>We are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76" w:lineRule="exact"/>
        <w:rPr>
          <w:sz w:val="20"/>
          <w:szCs w:val="20"/>
          <w:color w:val="auto"/>
        </w:rPr>
      </w:pPr>
    </w:p>
    <w:p>
      <w:pPr>
        <w:ind w:firstLine="405"/>
        <w:spacing w:after="0" w:line="289"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320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76" w:lineRule="exact"/>
        <w:rPr>
          <w:sz w:val="20"/>
          <w:szCs w:val="20"/>
          <w:color w:val="auto"/>
        </w:rPr>
      </w:pPr>
    </w:p>
    <w:p>
      <w:pPr>
        <w:ind w:right="60" w:firstLine="405"/>
        <w:spacing w:after="0" w:line="289" w:lineRule="auto"/>
        <w:rPr>
          <w:sz w:val="20"/>
          <w:szCs w:val="20"/>
          <w:color w:val="auto"/>
        </w:rPr>
      </w:pPr>
      <w:r>
        <w:rPr>
          <w:rFonts w:ascii="Times New Roman" w:cs="Times New Roman" w:eastAsia="Times New Roman" w:hAnsi="Times New Roman"/>
          <w:sz w:val="18"/>
          <w:szCs w:val="18"/>
          <w:color w:val="auto"/>
        </w:rPr>
        <w:t>Weatherford Ireland is incorporated in Ireland and is the ultimate parent company of the Weatherford group of companies. Weatherford Bermuda and Weatherford Delaware are each indirect, wholly owned subsidiaries of Weatherford Ireland. Weatherford Ireland currently conducts all of its operations through its subsidiaries, including Weatherford Bermuda and Weatherford Delaware.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principal executive offices are located at 2000 St. James Place, Houston, Texas and our telephone number is (713) 836-4000.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firstLine="405"/>
        <w:spacing w:after="0" w:line="280" w:lineRule="auto"/>
        <w:rPr>
          <w:sz w:val="20"/>
          <w:szCs w:val="20"/>
          <w:color w:val="auto"/>
        </w:rPr>
      </w:pPr>
      <w:r>
        <w:rPr>
          <w:rFonts w:ascii="Times New Roman" w:cs="Times New Roman" w:eastAsia="Times New Roman" w:hAnsi="Times New Roman"/>
          <w:sz w:val="18"/>
          <w:szCs w:val="18"/>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future prospects, financial condition or operating results and could result in a partial or complete loss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118"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8"/>
          <w:szCs w:val="18"/>
          <w:color w:val="auto"/>
        </w:rPr>
        <w:t>Unless otherwise specified in a prospectus supplement, we will use the net proceeds received by us from the sale of the securities offered by this prospectus and the accompanying prospectus supplement for general corporate purposes. These could include, but are not limited to, capital expenditures, the repayment, refinancing or redemption of debt, investment in subsidiaries, additions to working capital, the repurchase, redemption or retirement of securities, including ordinary shares, dividends, acquisitions and other business opportunities. We may invest funds not required immediately for such purposes in marketable securities and short-term investments. Further details relating to the use of the net proceeds from the offering of securities under this prospectus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p>
      <w:pPr>
        <w:spacing w:after="0" w:line="148" w:lineRule="exact"/>
        <w:rPr>
          <w:sz w:val="20"/>
          <w:szCs w:val="20"/>
          <w:color w:val="auto"/>
        </w:rPr>
      </w:pPr>
    </w:p>
    <w:p>
      <w:pPr>
        <w:jc w:val="both"/>
        <w:ind w:right="20" w:firstLine="360"/>
        <w:spacing w:after="0" w:line="285" w:lineRule="auto"/>
        <w:rPr>
          <w:sz w:val="20"/>
          <w:szCs w:val="20"/>
          <w:color w:val="auto"/>
        </w:rPr>
      </w:pPr>
      <w:r>
        <w:rPr>
          <w:rFonts w:ascii="Times New Roman" w:cs="Times New Roman" w:eastAsia="Times New Roman" w:hAnsi="Times New Roman"/>
          <w:sz w:val="18"/>
          <w:szCs w:val="18"/>
          <w:color w:val="auto"/>
        </w:rPr>
        <w:t>The following description of the ordinary shares of Weatherford Ireland is a summary. The complete text of our Constitution comprising our Amended and Restated Memorandum of Association and Articles of Association (the “Articles”), as adopted on December 10, 2019, which sets forth further detail as to the rights of holders of our ordinary shares, have been filed as exhibits to our periodic reports filed with the SEC, and each are incorporated by reference as exhibits to the registration statement of which this prospectus forms a part. As used in this section only, “we,” “our” and “us” refers only to Weatherford Ireland.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148" w:lineRule="exact"/>
        <w:rPr>
          <w:sz w:val="20"/>
          <w:szCs w:val="20"/>
          <w:color w:val="auto"/>
        </w:rPr>
      </w:pPr>
    </w:p>
    <w:p>
      <w:pPr>
        <w:ind w:right="140" w:firstLine="360"/>
        <w:spacing w:after="0" w:line="287" w:lineRule="auto"/>
        <w:rPr>
          <w:sz w:val="20"/>
          <w:szCs w:val="20"/>
          <w:color w:val="auto"/>
        </w:rPr>
      </w:pPr>
      <w:r>
        <w:rPr>
          <w:rFonts w:ascii="Times New Roman" w:cs="Times New Roman" w:eastAsia="Times New Roman" w:hAnsi="Times New Roman"/>
          <w:sz w:val="18"/>
          <w:szCs w:val="18"/>
          <w:color w:val="auto"/>
        </w:rPr>
        <w:t>As of June 13, 2025, our authorized share capital is $1,356,000 divided into 1,356,000,000 ordinary shares with a nominal value of $0.001 per share. As of June 13, 2025, there were approximately 67 shareholders of record and 71,832,563 ordinary shares issued and outstanding. The actual number of shareholders is considerably greater than the number of shareholders of record and includes shareholders who are beneficial owners but whose ordinary shares are held in street name by brokers and other nominees.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48" w:lineRule="exact"/>
        <w:rPr>
          <w:sz w:val="20"/>
          <w:szCs w:val="20"/>
          <w:color w:val="auto"/>
        </w:rPr>
      </w:pPr>
    </w:p>
    <w:p>
      <w:pPr>
        <w:ind w:right="200" w:firstLine="360"/>
        <w:spacing w:after="0" w:line="289" w:lineRule="auto"/>
        <w:rPr>
          <w:sz w:val="20"/>
          <w:szCs w:val="20"/>
          <w:color w:val="auto"/>
        </w:rPr>
      </w:pPr>
      <w:r>
        <w:rPr>
          <w:rFonts w:ascii="Times New Roman" w:cs="Times New Roman" w:eastAsia="Times New Roman" w:hAnsi="Times New Roman"/>
          <w:sz w:val="18"/>
          <w:szCs w:val="18"/>
          <w:color w:val="auto"/>
        </w:rPr>
        <w:t>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76" w:lineRule="exact"/>
        <w:rPr>
          <w:sz w:val="20"/>
          <w:szCs w:val="20"/>
          <w:color w:val="auto"/>
        </w:rPr>
      </w:pPr>
    </w:p>
    <w:p>
      <w:pPr>
        <w:ind w:right="80" w:firstLine="360"/>
        <w:spacing w:after="0" w:line="313" w:lineRule="auto"/>
        <w:rPr>
          <w:sz w:val="20"/>
          <w:szCs w:val="20"/>
          <w:color w:val="auto"/>
        </w:rPr>
      </w:pPr>
      <w:r>
        <w:rPr>
          <w:rFonts w:ascii="Times New Roman" w:cs="Times New Roman" w:eastAsia="Times New Roman" w:hAnsi="Times New Roman"/>
          <w:sz w:val="18"/>
          <w:szCs w:val="18"/>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148" w:lineRule="exact"/>
        <w:rPr>
          <w:sz w:val="20"/>
          <w:szCs w:val="20"/>
          <w:color w:val="auto"/>
        </w:rPr>
      </w:pPr>
    </w:p>
    <w:p>
      <w:pPr>
        <w:ind w:right="120" w:firstLine="360"/>
        <w:spacing w:after="0" w:line="284" w:lineRule="auto"/>
        <w:rPr>
          <w:sz w:val="20"/>
          <w:szCs w:val="20"/>
          <w:color w:val="auto"/>
        </w:rPr>
      </w:pPr>
      <w:r>
        <w:rPr>
          <w:rFonts w:ascii="Times New Roman" w:cs="Times New Roman" w:eastAsia="Times New Roman" w:hAnsi="Times New Roman"/>
          <w:sz w:val="18"/>
          <w:szCs w:val="18"/>
          <w:color w:val="auto"/>
        </w:rPr>
        <w:t>We are required to hold an annual general meeting of shareholders (the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Weatherford Ireland has a duty to make provision for shareholders of record to participate at the meeting by use of electronic communications technology from a venue in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Elections</w:t>
      </w:r>
    </w:p>
    <w:p>
      <w:pPr>
        <w:spacing w:after="0" w:line="148" w:lineRule="exact"/>
        <w:rPr>
          <w:sz w:val="20"/>
          <w:szCs w:val="20"/>
          <w:color w:val="auto"/>
        </w:rPr>
      </w:pPr>
    </w:p>
    <w:p>
      <w:pPr>
        <w:ind w:right="60" w:firstLine="360"/>
        <w:spacing w:after="0" w:line="313" w:lineRule="auto"/>
        <w:rPr>
          <w:sz w:val="20"/>
          <w:szCs w:val="20"/>
          <w:color w:val="auto"/>
        </w:rPr>
      </w:pPr>
      <w:r>
        <w:rPr>
          <w:rFonts w:ascii="Times New Roman" w:cs="Times New Roman" w:eastAsia="Times New Roman" w:hAnsi="Times New Roman"/>
          <w:sz w:val="18"/>
          <w:szCs w:val="18"/>
          <w:color w:val="auto"/>
        </w:rPr>
        <w:t>Directors may be appointed by our shareholders at the Annual General Meeting or at any extraordinary general meeting called for that purpose and by our Board of Directors in accordance with our Articles.</w:t>
      </w:r>
    </w:p>
    <w:p>
      <w:pPr>
        <w:spacing w:after="0" w:line="41" w:lineRule="exact"/>
        <w:rPr>
          <w:sz w:val="20"/>
          <w:szCs w:val="20"/>
          <w:color w:val="auto"/>
        </w:rPr>
      </w:pPr>
    </w:p>
    <w:p>
      <w:pPr>
        <w:ind w:right="60" w:firstLine="360"/>
        <w:spacing w:after="0" w:line="313" w:lineRule="auto"/>
        <w:rPr>
          <w:sz w:val="20"/>
          <w:szCs w:val="20"/>
          <w:color w:val="auto"/>
        </w:rPr>
      </w:pPr>
      <w:r>
        <w:rPr>
          <w:rFonts w:ascii="Times New Roman" w:cs="Times New Roman" w:eastAsia="Times New Roman" w:hAnsi="Times New Roman"/>
          <w:sz w:val="18"/>
          <w:szCs w:val="18"/>
          <w:color w:val="auto"/>
        </w:rPr>
        <w:t>Each of our directors shall (unless his or her office is earlier vacated in accordance with our Articles) serve for a one-year term concluding on the later of (i) the Annual General Meeting after such director was last appointed or reappointed and (y) the date his or her successor is elected and qualified.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director retiring at an Annual General Meeting will be eligible for re-appointment.</w:t>
      </w:r>
    </w:p>
    <w:p>
      <w:pPr>
        <w:spacing w:after="0" w:line="144" w:lineRule="exact"/>
        <w:rPr>
          <w:sz w:val="20"/>
          <w:szCs w:val="20"/>
          <w:color w:val="auto"/>
        </w:rPr>
      </w:pPr>
    </w:p>
    <w:p>
      <w:pPr>
        <w:ind w:firstLine="360"/>
        <w:spacing w:after="0" w:line="287" w:lineRule="auto"/>
        <w:rPr>
          <w:sz w:val="20"/>
          <w:szCs w:val="20"/>
          <w:color w:val="auto"/>
        </w:rPr>
      </w:pPr>
      <w:r>
        <w:rPr>
          <w:rFonts w:ascii="Times New Roman" w:cs="Times New Roman" w:eastAsia="Times New Roman" w:hAnsi="Times New Roman"/>
          <w:sz w:val="18"/>
          <w:szCs w:val="18"/>
          <w:color w:val="auto"/>
        </w:rPr>
        <w:t>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firstLine="360"/>
        <w:spacing w:after="0" w:line="308" w:lineRule="auto"/>
        <w:rPr>
          <w:sz w:val="20"/>
          <w:szCs w:val="20"/>
          <w:color w:val="auto"/>
        </w:rPr>
      </w:pPr>
      <w:r>
        <w:rPr>
          <w:rFonts w:ascii="Times New Roman" w:cs="Times New Roman" w:eastAsia="Times New Roman" w:hAnsi="Times New Roman"/>
          <w:sz w:val="17"/>
          <w:szCs w:val="17"/>
          <w:color w:val="auto"/>
        </w:rPr>
        <w:t>Under our Articles, in an uncontested election (where the number of director nominees does not exceed the number of directors to be elected), any nominee for election to the Board of Directors who is then serving as a director and who receives a greater number of “against” votes than “for” votes shall promptly tender his or her resignation following certification of the vote. The Board of Directors (excluding the director who has so tendered his or her resignation) is then obliged to consider the resignation offer and decide whether to accept or reject the resignation, or whether other action should be taken.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pacing w:after="0" w:line="148" w:lineRule="exact"/>
        <w:rPr>
          <w:sz w:val="20"/>
          <w:szCs w:val="20"/>
          <w:color w:val="auto"/>
        </w:rPr>
      </w:pPr>
    </w:p>
    <w:p>
      <w:pPr>
        <w:ind w:right="180" w:firstLine="360"/>
        <w:spacing w:after="0" w:line="297" w:lineRule="auto"/>
        <w:rPr>
          <w:sz w:val="20"/>
          <w:szCs w:val="20"/>
          <w:color w:val="auto"/>
        </w:rPr>
      </w:pPr>
      <w:r>
        <w:rPr>
          <w:rFonts w:ascii="Times New Roman" w:cs="Times New Roman" w:eastAsia="Times New Roman" w:hAnsi="Times New Roman"/>
          <w:sz w:val="18"/>
          <w:szCs w:val="18"/>
          <w:color w:val="auto"/>
        </w:rPr>
        <w:t>We may allot and issue ordinary shares subject to the maximum authorized share capital contained in our Articles. The authorized maximum may be increased or reduced by an ordinary resolution of shareholders.</w:t>
      </w:r>
    </w:p>
    <w:p>
      <w:pPr>
        <w:spacing w:after="0" w:line="68"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8"/>
          <w:szCs w:val="18"/>
          <w:color w:val="auto"/>
        </w:rPr>
        <w:t>Under Irish law, our Board of Directors may issue new ordinary shares having the rights provided for in our Articles without shareholder approval once authorized to do so by the Articles or by an ordinary resolution adopted by the shareholders at a general meeting, subject at all times to the maximum authorized share capital. Irish law provides that this authorization may be granted for a maximum period of five years, at which point it must be renewed by the shareholders by an ordinary resolution. Our Board of Directors has been authorized by our shareholders at our 2025 Annual General Meeting to issue new ordinary shares without shareholder approval for a period of 15 months ending September 11, 2026 (or the next Annual General Meeting, whichever is later), up to an aggregate nominal value of $14,511 (14,511,000 ordinary shares). We are also subject to stock exchange listing rules requiring shareholder approval of certain ordinary share issuances.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Share Warrants and Options</w:t>
      </w:r>
    </w:p>
    <w:p>
      <w:pPr>
        <w:spacing w:after="0" w:line="148"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when shares are to be issued for cash, unless the Board of Directors is authorized to opt out of such rights by the Articles or by a resolution passed by a qualified 75% majority of the votes cast, in person or by proxy, at a general meeting of our shareholders at which a quorum is present (referred to under Irish law as a “special resolution”). Irish law provides that this opt-out may be authorized for a maximum period of five years, at which point it must be renewed by the shareholders by a special resolution. Our Board of Directors has been authorized by our shareholders at our 2025 Annual General Meeting to opt out of statutory pre-emption rights in respect of the issue of new ordinary shares for cash for a period of 15 months ending September 11,2026 (or the next Annual General Meeting, whichever is later), up to an aggregate nominal value of $14,511 (14,511,000 ordinary shares).</w:t>
      </w:r>
    </w:p>
    <w:p>
      <w:pPr>
        <w:spacing w:after="0" w:line="86" w:lineRule="exact"/>
        <w:rPr>
          <w:sz w:val="20"/>
          <w:szCs w:val="20"/>
          <w:color w:val="auto"/>
        </w:rPr>
      </w:pPr>
    </w:p>
    <w:p>
      <w:pPr>
        <w:ind w:right="40" w:firstLine="360"/>
        <w:spacing w:after="0" w:line="289" w:lineRule="auto"/>
        <w:rPr>
          <w:sz w:val="20"/>
          <w:szCs w:val="20"/>
          <w:color w:val="auto"/>
        </w:rPr>
      </w:pPr>
      <w:r>
        <w:rPr>
          <w:rFonts w:ascii="Times New Roman" w:cs="Times New Roman" w:eastAsia="Times New Roman" w:hAnsi="Times New Roman"/>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w:t>
      </w:r>
    </w:p>
    <w:p>
      <w:pPr>
        <w:spacing w:after="0" w:line="76" w:lineRule="exact"/>
        <w:rPr>
          <w:sz w:val="20"/>
          <w:szCs w:val="20"/>
          <w:color w:val="auto"/>
        </w:rPr>
      </w:pPr>
    </w:p>
    <w:p>
      <w:pPr>
        <w:ind w:firstLine="360"/>
        <w:spacing w:after="0" w:line="289" w:lineRule="auto"/>
        <w:rPr>
          <w:sz w:val="20"/>
          <w:szCs w:val="20"/>
          <w:color w:val="auto"/>
        </w:rPr>
      </w:pPr>
      <w:r>
        <w:rPr>
          <w:rFonts w:ascii="Times New Roman" w:cs="Times New Roman" w:eastAsia="Times New Roman" w:hAnsi="Times New Roman"/>
          <w:sz w:val="18"/>
          <w:szCs w:val="18"/>
          <w:color w:val="auto"/>
        </w:rPr>
        <w:t>Our Articles provide that, subject to the provisions contained therein relating to the allotment of new shares and the Companies Act 2014 of Ireland, as amended (the “Irish Companies Act”), our directors may allot, grant options over or otherwise dispose of them to such persons, on such terms and conditions and at such times as they may consider to be in the best interests of Weatherford Ireland and its shareholders.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right="120" w:firstLine="360"/>
        <w:spacing w:after="0" w:line="346" w:lineRule="auto"/>
        <w:rPr>
          <w:sz w:val="20"/>
          <w:szCs w:val="20"/>
          <w:color w:val="auto"/>
        </w:rPr>
      </w:pPr>
      <w:r>
        <w:rPr>
          <w:rFonts w:ascii="Times New Roman" w:cs="Times New Roman" w:eastAsia="Times New Roman" w:hAnsi="Times New Roman"/>
          <w:sz w:val="17"/>
          <w:szCs w:val="17"/>
          <w:color w:val="auto"/>
        </w:rPr>
        <w:t>Holders of ordinary shares are entitled to receive dividends which may be declared (i) at a general meeting of shareholders upon the recommendation of the Board of Directors or (ii) by the Board of Directors in such amount as appear to the directors to be justified by our profits, subject to applicable law.</w:t>
      </w:r>
    </w:p>
    <w:p>
      <w:pPr>
        <w:spacing w:after="0" w:line="17" w:lineRule="exact"/>
        <w:rPr>
          <w:sz w:val="20"/>
          <w:szCs w:val="20"/>
          <w:color w:val="auto"/>
        </w:rPr>
      </w:pPr>
    </w:p>
    <w:p>
      <w:pPr>
        <w:ind w:right="460" w:firstLine="360"/>
        <w:spacing w:after="0" w:line="297" w:lineRule="auto"/>
        <w:rPr>
          <w:sz w:val="20"/>
          <w:szCs w:val="20"/>
          <w:color w:val="auto"/>
        </w:rPr>
      </w:pPr>
      <w:r>
        <w:rPr>
          <w:rFonts w:ascii="Times New Roman" w:cs="Times New Roman" w:eastAsia="Times New Roman" w:hAnsi="Times New Roman"/>
          <w:sz w:val="18"/>
          <w:szCs w:val="18"/>
          <w:color w:val="auto"/>
        </w:rPr>
        <w:t>On July 23, 2024, we announced that our Board of Directors authorized a dividend program under which we intend to pay regular quarterly cash dividends. Subsequent dividend declarations and the record and payment dates for future dividend payments, if any, are subject to the continuing determination by the Board of Directors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dividend program is in the best interest of Weatherford Ireland and complies with applicable legal requirements. The dividend program may be suspended or cancelled at the discretion of the Board of Directors at any time.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48" w:lineRule="exact"/>
        <w:rPr>
          <w:sz w:val="20"/>
          <w:szCs w:val="20"/>
          <w:color w:val="auto"/>
        </w:rPr>
      </w:pPr>
    </w:p>
    <w:p>
      <w:pPr>
        <w:ind w:right="460" w:firstLine="360"/>
        <w:spacing w:after="0" w:line="313" w:lineRule="auto"/>
        <w:rPr>
          <w:sz w:val="20"/>
          <w:szCs w:val="20"/>
          <w:color w:val="auto"/>
        </w:rPr>
      </w:pPr>
      <w:r>
        <w:rPr>
          <w:rFonts w:ascii="Times New Roman" w:cs="Times New Roman" w:eastAsia="Times New Roman" w:hAnsi="Times New Roman"/>
          <w:sz w:val="18"/>
          <w:szCs w:val="18"/>
          <w:color w:val="auto"/>
        </w:rPr>
        <w:t>Subject to the provisions of the Irish Companies Act as to preferential payments, upon winding up, our property shall be distributed among the members according to their rights and interests.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Nasdaq under the ticker symbol “WFRD.”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118"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p>
      <w:pPr>
        <w:spacing w:after="0" w:line="148" w:lineRule="exact"/>
        <w:rPr>
          <w:sz w:val="20"/>
          <w:szCs w:val="20"/>
          <w:color w:val="auto"/>
        </w:rPr>
      </w:pPr>
    </w:p>
    <w:p>
      <w:pPr>
        <w:ind w:right="400" w:firstLine="360"/>
        <w:spacing w:after="0" w:line="287" w:lineRule="auto"/>
        <w:rPr>
          <w:sz w:val="20"/>
          <w:szCs w:val="20"/>
          <w:color w:val="auto"/>
        </w:rPr>
      </w:pPr>
      <w:r>
        <w:rPr>
          <w:rFonts w:ascii="Times New Roman" w:cs="Times New Roman" w:eastAsia="Times New Roman" w:hAnsi="Times New Roman"/>
          <w:sz w:val="18"/>
          <w:szCs w:val="18"/>
          <w:color w:val="auto"/>
        </w:rPr>
        <w:t>The following description of the options and warrants exercisable for the ordinary shares sets forth certain general terms and provisions. This summary does not contain all of the information that you may find useful. The particular terms of any series of options or warrants exercisable for the ordinary shares will be described in the prospectus supplement relating to those securities. The terms of any options or warrants offered under that prospectus supplement may differ from the terms described below.</w:t>
      </w:r>
    </w:p>
    <w:p>
      <w:pPr>
        <w:spacing w:after="0" w:line="76" w:lineRule="exact"/>
        <w:rPr>
          <w:sz w:val="20"/>
          <w:szCs w:val="20"/>
          <w:color w:val="auto"/>
        </w:rPr>
      </w:pPr>
    </w:p>
    <w:p>
      <w:pPr>
        <w:ind w:firstLine="360"/>
        <w:spacing w:after="0" w:line="300" w:lineRule="auto"/>
        <w:rPr>
          <w:sz w:val="20"/>
          <w:szCs w:val="20"/>
          <w:color w:val="auto"/>
        </w:rPr>
      </w:pPr>
      <w:r>
        <w:rPr>
          <w:rFonts w:ascii="Times New Roman" w:cs="Times New Roman" w:eastAsia="Times New Roman" w:hAnsi="Times New Roman"/>
          <w:sz w:val="17"/>
          <w:szCs w:val="17"/>
          <w:color w:val="auto"/>
        </w:rPr>
        <w:t>We will file as exhibits to the registration statement of which this prospectus is a part, or will incorporate by reference from reports that we file with the SEC, the form of option or warrant agreement, including a form of option or warrant certificate, that describes the terms of the series of options or warrants we are offering, and any supplemental agreements, before the issuance of the related series of options or warrants. The following summaries of material terms and provisions of the option or warrant agreements and option or warrant certificates are subject to, and qualified in their entirety by reference to, all the provisions of the option or warrant agreement, any option or warrant certificate and any supplemental agreements applicable to the particular series of options or warrants that we may offer under this prospectus. We urge you to read the applicable prospectus supplements related to the particular series of options or warrants that we may offer under this prospectus, as well as any related free writing prospectuses and the complete option or warrant agreement, any option or warrant certificate and any supplemental agreements that contain the terms of the options or warrants, as the case may be.</w:t>
      </w:r>
    </w:p>
    <w:p>
      <w:pPr>
        <w:spacing w:after="0" w:line="57" w:lineRule="exact"/>
        <w:rPr>
          <w:sz w:val="20"/>
          <w:szCs w:val="20"/>
          <w:color w:val="auto"/>
        </w:rPr>
      </w:pPr>
    </w:p>
    <w:p>
      <w:pPr>
        <w:ind w:right="300" w:firstLine="360"/>
        <w:spacing w:after="0" w:line="313" w:lineRule="auto"/>
        <w:rPr>
          <w:sz w:val="20"/>
          <w:szCs w:val="20"/>
          <w:color w:val="auto"/>
        </w:rPr>
      </w:pPr>
      <w:r>
        <w:rPr>
          <w:rFonts w:ascii="Times New Roman" w:cs="Times New Roman" w:eastAsia="Times New Roman" w:hAnsi="Times New Roman"/>
          <w:sz w:val="18"/>
          <w:szCs w:val="18"/>
          <w:color w:val="auto"/>
        </w:rPr>
        <w:t>We may issue options and warrants for the purchase of ordinary shares in one or more series. We may issue options and warrants independently or together with ordinary shares, and the options and warrants may be attached to or separate from these securities.</w:t>
      </w:r>
    </w:p>
    <w:p>
      <w:pPr>
        <w:spacing w:after="0" w:line="54" w:lineRule="exact"/>
        <w:rPr>
          <w:sz w:val="20"/>
          <w:szCs w:val="20"/>
          <w:color w:val="auto"/>
        </w:rPr>
      </w:pPr>
    </w:p>
    <w:p>
      <w:pPr>
        <w:ind w:right="100" w:firstLine="360"/>
        <w:spacing w:after="0" w:line="285" w:lineRule="auto"/>
        <w:rPr>
          <w:sz w:val="20"/>
          <w:szCs w:val="20"/>
          <w:color w:val="auto"/>
        </w:rPr>
      </w:pPr>
      <w:r>
        <w:rPr>
          <w:rFonts w:ascii="Times New Roman" w:cs="Times New Roman" w:eastAsia="Times New Roman" w:hAnsi="Times New Roman"/>
          <w:sz w:val="18"/>
          <w:szCs w:val="18"/>
          <w:color w:val="auto"/>
        </w:rPr>
        <w:t>We will evidence each series of options and warrants by certificates that we will issue under a separate agreement. We may enter into an option or warrant agreement with an option or warrant agent, as the case may be. If we elect to do so, the agent will act solely as our agent in connection with the options or warrants, as the case may be, and will not assume any obligation or relationship of agency or trust for or with any registered holders of options or warrants or beneficial owners of options or warrants. We will indicate the name and address and other information regarding the applicable agent in the applicable prospectus supplement relating to a particular series of warrants if we elect to use a warrant agent.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options and warrants, including:</w:t>
      </w:r>
    </w:p>
    <w:p>
      <w:pPr>
        <w:spacing w:after="0" w:line="14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the options or warrants offered;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options or warrants may be payable;</w:t>
      </w:r>
    </w:p>
    <w:p>
      <w:pPr>
        <w:spacing w:after="0" w:line="130" w:lineRule="exact"/>
        <w:rPr>
          <w:rFonts w:ascii="Times New Roman" w:cs="Times New Roman" w:eastAsia="Times New Roman" w:hAnsi="Times New Roman"/>
          <w:sz w:val="18"/>
          <w:szCs w:val="18"/>
          <w:color w:val="auto"/>
        </w:rPr>
      </w:pPr>
    </w:p>
    <w:p>
      <w:pPr>
        <w:ind w:left="660" w:right="300" w:hanging="328"/>
        <w:spacing w:after="0" w:line="31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currencies, including composite currencies, in which the securities purchasable upon exercise of such warrants shall commence and the date on which such right will expire;</w:t>
      </w:r>
    </w:p>
    <w:p>
      <w:pPr>
        <w:spacing w:after="0" w:line="54" w:lineRule="exact"/>
        <w:rPr>
          <w:rFonts w:ascii="Times New Roman" w:cs="Times New Roman" w:eastAsia="Times New Roman" w:hAnsi="Times New Roman"/>
          <w:sz w:val="18"/>
          <w:szCs w:val="18"/>
          <w:color w:val="auto"/>
        </w:rPr>
      </w:pPr>
    </w:p>
    <w:p>
      <w:pPr>
        <w:ind w:left="660" w:right="440" w:hanging="328"/>
        <w:spacing w:after="0" w:line="29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options or warrants are issued and the number of options or warrants issued with each such security or each principal amount of such security;</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options or warrants;</w:t>
      </w:r>
    </w:p>
    <w:p>
      <w:pPr>
        <w:spacing w:after="0" w:line="144" w:lineRule="exact"/>
        <w:rPr>
          <w:rFonts w:ascii="Times New Roman" w:cs="Times New Roman" w:eastAsia="Times New Roman" w:hAnsi="Times New Roman"/>
          <w:sz w:val="18"/>
          <w:szCs w:val="18"/>
          <w:color w:val="auto"/>
        </w:rPr>
      </w:pPr>
    </w:p>
    <w:p>
      <w:pPr>
        <w:ind w:left="660" w:right="140" w:hanging="328"/>
        <w:spacing w:after="0" w:line="31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ordinary shares purchasable upon the exercise of one option or warrant and the price at which these ordinary shares may be purchased upon such exercise;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options or warrants,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options or warrants;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option or warrant agreement and the options or warrants;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options or warrants;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options or warrants will commence and expire;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option or warrant agreement and options or warrants may be modified;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options or warrants which may be exercised at any one time;</w:t>
      </w:r>
    </w:p>
    <w:p>
      <w:pPr>
        <w:spacing w:after="0" w:line="130" w:lineRule="exact"/>
        <w:rPr>
          <w:rFonts w:ascii="Times New Roman" w:cs="Times New Roman" w:eastAsia="Times New Roman" w:hAnsi="Times New Roman"/>
          <w:sz w:val="18"/>
          <w:szCs w:val="18"/>
          <w:color w:val="auto"/>
        </w:rPr>
      </w:pPr>
    </w:p>
    <w:p>
      <w:pPr>
        <w:ind w:left="660" w:right="80" w:hanging="328"/>
        <w:spacing w:after="0" w:line="31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title, rank, aggregate principal amount and terms of the securities with which such options or warrants are issued and the number of such options or warrants issued with each such security;</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options or warrants and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660" w:right="440" w:hanging="328"/>
        <w:spacing w:after="0" w:line="31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4" w:lineRule="exact"/>
        <w:rPr>
          <w:rFonts w:ascii="Times New Roman" w:cs="Times New Roman" w:eastAsia="Times New Roman" w:hAnsi="Times New Roman"/>
          <w:sz w:val="18"/>
          <w:szCs w:val="18"/>
          <w:color w:val="auto"/>
        </w:rPr>
      </w:pPr>
    </w:p>
    <w:p>
      <w:pPr>
        <w:ind w:left="660" w:right="420" w:hanging="328"/>
        <w:spacing w:after="0" w:line="31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options or warrants or any securities purchasable upon exercise of the options or warrants on any securities exchange;</w:t>
      </w:r>
    </w:p>
    <w:p>
      <w:pPr>
        <w:spacing w:after="0" w:line="40" w:lineRule="exact"/>
        <w:rPr>
          <w:rFonts w:ascii="Times New Roman" w:cs="Times New Roman" w:eastAsia="Times New Roman" w:hAnsi="Times New Roman"/>
          <w:sz w:val="18"/>
          <w:szCs w:val="18"/>
          <w:color w:val="auto"/>
        </w:rPr>
      </w:pPr>
    </w:p>
    <w:p>
      <w:pPr>
        <w:ind w:left="660" w:right="40" w:hanging="328"/>
        <w:spacing w:after="0" w:line="31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certificates evidencing the options or warrants will be issued in registered or bearer form and, if registered, where they may be transferred and exchanged;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options or warrants.</w:t>
      </w:r>
    </w:p>
    <w:p>
      <w:pPr>
        <w:spacing w:after="0" w:line="144" w:lineRule="exact"/>
        <w:rPr>
          <w:sz w:val="20"/>
          <w:szCs w:val="20"/>
          <w:color w:val="auto"/>
        </w:rPr>
      </w:pPr>
    </w:p>
    <w:p>
      <w:pPr>
        <w:ind w:right="620" w:firstLine="360"/>
        <w:spacing w:after="0" w:line="297" w:lineRule="auto"/>
        <w:rPr>
          <w:sz w:val="20"/>
          <w:szCs w:val="20"/>
          <w:color w:val="auto"/>
        </w:rPr>
      </w:pPr>
      <w:r>
        <w:rPr>
          <w:rFonts w:ascii="Times New Roman" w:cs="Times New Roman" w:eastAsia="Times New Roman" w:hAnsi="Times New Roman"/>
          <w:sz w:val="18"/>
          <w:szCs w:val="18"/>
          <w:color w:val="auto"/>
        </w:rPr>
        <w:t>U.S. federal income tax consequences and special considerations, if any, applicable to any such offering will be described in an accompanying prospectus supplement.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Options and Warrants</w:t>
      </w:r>
    </w:p>
    <w:p>
      <w:pPr>
        <w:spacing w:after="0" w:line="148" w:lineRule="exact"/>
        <w:rPr>
          <w:sz w:val="20"/>
          <w:szCs w:val="20"/>
          <w:color w:val="auto"/>
        </w:rPr>
      </w:pPr>
    </w:p>
    <w:p>
      <w:pPr>
        <w:ind w:firstLine="360"/>
        <w:spacing w:after="0" w:line="279" w:lineRule="auto"/>
        <w:rPr>
          <w:sz w:val="20"/>
          <w:szCs w:val="20"/>
          <w:color w:val="auto"/>
        </w:rPr>
      </w:pPr>
      <w:r>
        <w:rPr>
          <w:rFonts w:ascii="Times New Roman" w:cs="Times New Roman" w:eastAsia="Times New Roman" w:hAnsi="Times New Roman"/>
          <w:sz w:val="18"/>
          <w:szCs w:val="18"/>
          <w:color w:val="auto"/>
        </w:rPr>
        <w:t>Each option and warrant will entitle the holder thereof to purchase the securities that we specify in the applicable prospectus supplement at the exercise price as will in each case be set forth in, or be determinable as set forth in, the applicable prospectus supplement. Unless we otherwise specify in the applicable prospectus supplement, holders of options and warrants may exercise the options and warrants at any time before the expiration date that we set forth in the applicable prospectus supplement, and after the expiration date, unexercised options and warrants will become void. Holders of the options and warrants may exercise the options and warrants by delivering the certificate representing the options and warrants to be exercised together with specified information, and paying the required amount to us or to the warrant agent in immediately available funds, as provided in the applicable prospectus supplement. Irish law requires that no shares in Weatherford Ireland’s authorized but unissued share capital shall be issued at a discount to their nominal (or par) value. We will set forth on the reverse side of the certificate and in the applicable prospectus supplement the information that the holder of the option or warrant will be required to deliver to us or to the applicable agent. The holder of an option or warrant will be required to pay any tax or other governmental charge that may be imposed in connection with any transfer involved in the issuance of underlying securities purchased upon exercise. Upon receipt of the required payment and the certificate properly completed and duly executed at the corporate trust office of the option or warrant agent or any other office indicated in the applicable prospectus supplement, we will issue and deliver the securities purchasable upon such exercise. Unless we otherwise specify in the applicable prospectus supplement, if fewer than all of the options and warrants represented by the certificate are exercised, then we will issue a new certificate for the remaining amount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and warrants. If we so indicate in the applicable prospectus supplement, holders of the options and warrants may surrender securities as all or part of the exercise price for options and warrants.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Option and Warrant Agreements</w:t>
      </w:r>
    </w:p>
    <w:p>
      <w:pPr>
        <w:spacing w:after="0" w:line="148"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We, and, if applicable, the option or warrant agent, may amend or supplement the option or warrant agreement for a series of options or warrants without the consent of the holders of the options or warrants issued thereunder to effect changes that are not inconsistent with the provisions of the options or warrants, and that do not materially and adversely affect the interests of the holders of the options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118"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48" w:lineRule="exact"/>
        <w:rPr>
          <w:sz w:val="20"/>
          <w:szCs w:val="20"/>
          <w:color w:val="auto"/>
        </w:rPr>
      </w:pPr>
    </w:p>
    <w:p>
      <w:pPr>
        <w:ind w:right="600" w:firstLine="360"/>
        <w:spacing w:after="0" w:line="297" w:lineRule="auto"/>
        <w:rPr>
          <w:sz w:val="20"/>
          <w:szCs w:val="20"/>
          <w:color w:val="auto"/>
        </w:rPr>
      </w:pPr>
      <w:r>
        <w:rPr>
          <w:rFonts w:ascii="Times New Roman" w:cs="Times New Roman" w:eastAsia="Times New Roman" w:hAnsi="Times New Roman"/>
          <w:sz w:val="18"/>
          <w:szCs w:val="18"/>
          <w:color w:val="auto"/>
        </w:rPr>
        <w:t>Weatherford Bermuda and Weatherford Delaware (either separately or together) may offer debt securities in one or more series, which may be convertible into another security.</w:t>
      </w:r>
    </w:p>
    <w:p>
      <w:pPr>
        <w:spacing w:after="0" w:line="68"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that Weatherford Bermuda and Weatherford Delaware (as applicable, the “Issuer”) may offer and guarantees thereof by Weatherford Bermuda, Weatherford Delaware or Weatherford Ireland, as the case maybe (in its role as guarantor under the Indenture (as defined below), the “Guarantor”). Unless otherwise specified in an accompanying prospectus supplement, any debt securities will be issued in one or more series under an Indenture to be entered into by and among Weatherford Ireland, Weatherford Bermuda, Weatherford Delaware and Deutsche Bank Trust Company Americas, as trustee, or such other trustee named therein (the “Indenture”).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86" w:lineRule="exact"/>
        <w:rPr>
          <w:sz w:val="20"/>
          <w:szCs w:val="20"/>
          <w:color w:val="auto"/>
        </w:rPr>
      </w:pPr>
    </w:p>
    <w:p>
      <w:pPr>
        <w:ind w:right="140" w:firstLine="360"/>
        <w:spacing w:after="0" w:line="287" w:lineRule="auto"/>
        <w:rPr>
          <w:sz w:val="20"/>
          <w:szCs w:val="20"/>
          <w:color w:val="auto"/>
        </w:rPr>
      </w:pPr>
      <w:r>
        <w:rPr>
          <w:rFonts w:ascii="Times New Roman" w:cs="Times New Roman" w:eastAsia="Times New Roman" w:hAnsi="Times New Roman"/>
          <w:sz w:val="18"/>
          <w:szCs w:val="18"/>
          <w:color w:val="auto"/>
        </w:rPr>
        <w:t>When a particular series of debt securities are offered and sold, we will describe the specific terms and conditions of the series in a prospectus supplement. We will also indicate in the applicable prospectus supplement whether the general terms and conditions described in this prospectus apply to the series of debt securities. In addition, the terms and conditions of the debt securities of a series may be different in one or more respects from the terms and conditions described below. If so, those differences will be described in the applicable prospectus supplement and will supersede this prospectus.</w:t>
      </w:r>
    </w:p>
    <w:p>
      <w:pPr>
        <w:spacing w:after="0" w:line="76" w:lineRule="exact"/>
        <w:rPr>
          <w:sz w:val="20"/>
          <w:szCs w:val="20"/>
          <w:color w:val="auto"/>
        </w:rPr>
      </w:pPr>
    </w:p>
    <w:p>
      <w:pPr>
        <w:jc w:val="both"/>
        <w:ind w:right="60" w:firstLine="360"/>
        <w:spacing w:after="0" w:line="313" w:lineRule="auto"/>
        <w:rPr>
          <w:sz w:val="20"/>
          <w:szCs w:val="20"/>
          <w:color w:val="auto"/>
        </w:rPr>
      </w:pPr>
      <w:r>
        <w:rPr>
          <w:rFonts w:ascii="Times New Roman" w:cs="Times New Roman" w:eastAsia="Times New Roman" w:hAnsi="Times New Roman"/>
          <w:sz w:val="18"/>
          <w:szCs w:val="18"/>
          <w:color w:val="auto"/>
        </w:rPr>
        <w:t>The following description only summarizes the terms of the Indenture and the debt securities. For more information you should read the Indenture. In addition, the following description is qualified in all respects by reference to the actual text of the Indenture and the forms of the debt securities.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right="680" w:firstLine="360"/>
        <w:spacing w:after="0" w:line="313" w:lineRule="auto"/>
        <w:rPr>
          <w:sz w:val="20"/>
          <w:szCs w:val="20"/>
          <w:color w:val="auto"/>
        </w:rPr>
      </w:pPr>
      <w:r>
        <w:rPr>
          <w:rFonts w:ascii="Times New Roman" w:cs="Times New Roman" w:eastAsia="Times New Roman" w:hAnsi="Times New Roman"/>
          <w:sz w:val="18"/>
          <w:szCs w:val="18"/>
          <w:color w:val="auto"/>
        </w:rPr>
        <w:t>Weatherford Bermuda or Weatherford Delaware, as the case may be, may issue debt securities either separately, or together with, or upon the conversion of or in exchange for, other securities. The debt securities will be issued in one or more series under the Indenture.</w:t>
      </w:r>
    </w:p>
    <w:p>
      <w:pPr>
        <w:spacing w:after="0" w:line="41" w:lineRule="exact"/>
        <w:rPr>
          <w:sz w:val="20"/>
          <w:szCs w:val="20"/>
          <w:color w:val="auto"/>
        </w:rPr>
      </w:pPr>
    </w:p>
    <w:p>
      <w:pPr>
        <w:jc w:val="both"/>
        <w:ind w:right="60" w:firstLine="360"/>
        <w:spacing w:after="0" w:line="297" w:lineRule="auto"/>
        <w:rPr>
          <w:sz w:val="20"/>
          <w:szCs w:val="20"/>
          <w:color w:val="auto"/>
        </w:rPr>
      </w:pPr>
      <w:r>
        <w:rPr>
          <w:rFonts w:ascii="Times New Roman" w:cs="Times New Roman" w:eastAsia="Times New Roman" w:hAnsi="Times New Roman"/>
          <w:sz w:val="18"/>
          <w:szCs w:val="18"/>
          <w:color w:val="auto"/>
        </w:rPr>
        <w:t>The trustee for each series of debt securities will be Deutsche Bank Trust Company Americas, unless otherwise specified in the applicable prospectus supplement. The Indenture does not limit the amount of debt securities that may be issued and provides that debt securities may be issued thereunder from time to time in one or more series.</w:t>
      </w:r>
    </w:p>
    <w:p>
      <w:pPr>
        <w:spacing w:after="0" w:line="69" w:lineRule="exact"/>
        <w:rPr>
          <w:sz w:val="20"/>
          <w:szCs w:val="20"/>
          <w:color w:val="auto"/>
        </w:rPr>
      </w:pPr>
    </w:p>
    <w:p>
      <w:pPr>
        <w:jc w:val="both"/>
        <w:ind w:right="60" w:firstLine="360"/>
        <w:spacing w:after="0" w:line="297" w:lineRule="auto"/>
        <w:rPr>
          <w:sz w:val="20"/>
          <w:szCs w:val="20"/>
          <w:color w:val="auto"/>
        </w:rPr>
      </w:pPr>
      <w:r>
        <w:rPr>
          <w:rFonts w:ascii="Times New Roman" w:cs="Times New Roman" w:eastAsia="Times New Roman" w:hAnsi="Times New Roman"/>
          <w:sz w:val="18"/>
          <w:szCs w:val="18"/>
          <w:color w:val="auto"/>
        </w:rPr>
        <w:t>The prospectus supplement relating to any series of debt securities that the Issuer may offer will contain a description of the specific terms of the debt securities, including, among others, the following:</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co-Issuer, as applicable) of such series of debt securities;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44" w:lineRule="exact"/>
        <w:rPr>
          <w:rFonts w:ascii="Times New Roman" w:cs="Times New Roman" w:eastAsia="Times New Roman" w:hAnsi="Times New Roman"/>
          <w:sz w:val="18"/>
          <w:szCs w:val="18"/>
          <w:color w:val="auto"/>
        </w:rPr>
      </w:pPr>
    </w:p>
    <w:p>
      <w:pPr>
        <w:ind w:left="660" w:right="500" w:hanging="328"/>
        <w:spacing w:after="0" w:line="29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line="31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 of principal and interest may be made, where debt securities may be presented and where notices or demands upon the Issuer may be made;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(including any sinking fund) or early repayment provisions applicable to the particular debt securities being issued;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authorized denominations;</w:t>
      </w:r>
    </w:p>
    <w:p>
      <w:pPr>
        <w:spacing w:after="0" w:line="8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44"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guarantee by the Guarantor (including provisions relating to seniority, subordination and release of the guarantees);</w:t>
      </w:r>
    </w:p>
    <w:p>
      <w:pPr>
        <w:spacing w:after="0" w:line="144" w:lineRule="exact"/>
        <w:rPr>
          <w:rFonts w:ascii="Times New Roman" w:cs="Times New Roman" w:eastAsia="Times New Roman" w:hAnsi="Times New Roman"/>
          <w:sz w:val="18"/>
          <w:szCs w:val="18"/>
          <w:color w:val="auto"/>
        </w:rPr>
      </w:pPr>
    </w:p>
    <w:p>
      <w:pPr>
        <w:ind w:left="660" w:right="20" w:hanging="328"/>
        <w:spacing w:after="0" w:line="29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68" w:lineRule="exact"/>
        <w:rPr>
          <w:rFonts w:ascii="Times New Roman" w:cs="Times New Roman" w:eastAsia="Times New Roman" w:hAnsi="Times New Roman"/>
          <w:sz w:val="18"/>
          <w:szCs w:val="18"/>
          <w:color w:val="auto"/>
        </w:rPr>
      </w:pPr>
    </w:p>
    <w:p>
      <w:pPr>
        <w:ind w:left="660" w:right="60" w:hanging="328"/>
        <w:spacing w:after="0" w:line="31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right to redeem, purchase or repay debt securities under a sinking fund, amortization or analogous provision;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the debt securities upon occurrence of specified events;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relating to compensation or reimbursement of the trustee of the series of debt securities;</w:t>
      </w:r>
    </w:p>
    <w:p>
      <w:pPr>
        <w:spacing w:after="0" w:line="144" w:lineRule="exact"/>
        <w:rPr>
          <w:rFonts w:ascii="Times New Roman" w:cs="Times New Roman" w:eastAsia="Times New Roman" w:hAnsi="Times New Roman"/>
          <w:sz w:val="18"/>
          <w:szCs w:val="18"/>
          <w:color w:val="auto"/>
        </w:rPr>
      </w:pPr>
    </w:p>
    <w:p>
      <w:pPr>
        <w:ind w:left="660" w:right="120" w:hanging="328"/>
        <w:spacing w:after="0" w:line="31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54" w:lineRule="exact"/>
        <w:rPr>
          <w:rFonts w:ascii="Times New Roman" w:cs="Times New Roman" w:eastAsia="Times New Roman" w:hAnsi="Times New Roman"/>
          <w:sz w:val="18"/>
          <w:szCs w:val="18"/>
          <w:color w:val="auto"/>
        </w:rPr>
      </w:pPr>
    </w:p>
    <w:p>
      <w:pPr>
        <w:ind w:left="660" w:right="420" w:hanging="328"/>
        <w:spacing w:after="0" w:line="29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 (which terms shall not be inconsistent with the provisions of the TIA, but may modify, amend, supplement or delete any of the terms of the Indenture with respect to such series of debt securities).</w:t>
      </w:r>
    </w:p>
    <w:p>
      <w:pPr>
        <w:spacing w:after="0" w:line="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Issuer may sell the debt securities, including original issue discount securities, at par or at a substantial discount below their stated principal</w:t>
      </w:r>
    </w:p>
    <w:p>
      <w:pPr>
        <w:spacing w:after="0" w:line="3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amount. Unless we inform you otherwise in a prospectus supplement, additional debt securities of a particular series may be issued without the consent of the holders of the debt securities of such series or any other series outstanding at the time of issuance. Any such additional debt securities,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1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all other outstanding debt securities of that series, will constitute a single series of securities under the Indenture.</w:t>
      </w:r>
    </w:p>
    <w:p>
      <w:pPr>
        <w:spacing w:after="0" w:line="144" w:lineRule="exact"/>
        <w:rPr>
          <w:sz w:val="20"/>
          <w:szCs w:val="20"/>
          <w:color w:val="auto"/>
        </w:rPr>
      </w:pPr>
    </w:p>
    <w:p>
      <w:pPr>
        <w:ind w:right="80" w:firstLine="360"/>
        <w:spacing w:after="0" w:line="281"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86" w:lineRule="exact"/>
        <w:rPr>
          <w:sz w:val="20"/>
          <w:szCs w:val="20"/>
          <w:color w:val="auto"/>
        </w:rPr>
      </w:pPr>
    </w:p>
    <w:p>
      <w:pPr>
        <w:ind w:right="800" w:firstLine="360"/>
        <w:spacing w:after="0" w:line="297" w:lineRule="auto"/>
        <w:rPr>
          <w:sz w:val="20"/>
          <w:szCs w:val="20"/>
          <w:color w:val="auto"/>
        </w:rPr>
      </w:pPr>
      <w:r>
        <w:rPr>
          <w:rFonts w:ascii="Times New Roman" w:cs="Times New Roman" w:eastAsia="Times New Roman" w:hAnsi="Times New Roman"/>
          <w:sz w:val="18"/>
          <w:szCs w:val="18"/>
          <w:color w:val="auto"/>
        </w:rPr>
        <w:t>U.S. federal income tax consequences and special considerations, if any, applicable to any such series will be described in an accompanying prospectus supplement.</w:t>
      </w:r>
    </w:p>
    <w:p>
      <w:pPr>
        <w:spacing w:after="0" w:line="68" w:lineRule="exact"/>
        <w:rPr>
          <w:sz w:val="20"/>
          <w:szCs w:val="20"/>
          <w:color w:val="auto"/>
        </w:rPr>
      </w:pPr>
    </w:p>
    <w:p>
      <w:pPr>
        <w:ind w:right="20" w:firstLine="360"/>
        <w:spacing w:after="0" w:line="287" w:lineRule="auto"/>
        <w:rPr>
          <w:sz w:val="20"/>
          <w:szCs w:val="20"/>
          <w:color w:val="auto"/>
        </w:rPr>
      </w:pPr>
      <w:r>
        <w:rPr>
          <w:rFonts w:ascii="Times New Roman" w:cs="Times New Roman" w:eastAsia="Times New Roman" w:hAnsi="Times New Roman"/>
          <w:sz w:val="18"/>
          <w:szCs w:val="18"/>
          <w:color w:val="auto"/>
        </w:rPr>
        <w:t>We expect the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48" w:lineRule="exact"/>
        <w:rPr>
          <w:sz w:val="20"/>
          <w:szCs w:val="20"/>
          <w:color w:val="auto"/>
        </w:rPr>
      </w:pPr>
    </w:p>
    <w:p>
      <w:pPr>
        <w:ind w:right="40" w:firstLine="360"/>
        <w:spacing w:after="0" w:line="287" w:lineRule="auto"/>
        <w:rPr>
          <w:sz w:val="20"/>
          <w:szCs w:val="20"/>
          <w:color w:val="auto"/>
        </w:rPr>
      </w:pPr>
      <w:r>
        <w:rPr>
          <w:rFonts w:ascii="Times New Roman" w:cs="Times New Roman" w:eastAsia="Times New Roman" w:hAnsi="Times New Roman"/>
          <w:sz w:val="18"/>
          <w:szCs w:val="18"/>
          <w:color w:val="auto"/>
        </w:rPr>
        <w:t>Each Guarantor will fully and unconditionally guarantee all obligations of the Issuer under the Indenture and the related debt securities. Unless otherwise provided in a prospectus supplement, each guarantee will be a senior unsecured obligation of the Guarantor. The obligations of any Guarantor under its guarantee will be limited as necessary to prevent such guarantee from constituting a fraudulent conveyance or fraudulent transfer under applicable law.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35" w:lineRule="exact"/>
        <w:rPr>
          <w:sz w:val="20"/>
          <w:szCs w:val="20"/>
          <w:color w:val="auto"/>
        </w:rPr>
      </w:pPr>
    </w:p>
    <w:p>
      <w:pPr>
        <w:ind w:right="20" w:firstLine="360"/>
        <w:spacing w:after="0" w:line="297" w:lineRule="auto"/>
        <w:rPr>
          <w:sz w:val="20"/>
          <w:szCs w:val="20"/>
          <w:color w:val="auto"/>
        </w:rPr>
      </w:pPr>
      <w:r>
        <w:rPr>
          <w:rFonts w:ascii="Times New Roman" w:cs="Times New Roman" w:eastAsia="Times New Roman" w:hAnsi="Times New Roman"/>
          <w:sz w:val="18"/>
          <w:szCs w:val="18"/>
          <w:color w:val="auto"/>
        </w:rPr>
        <w:t>The terms, if any, on which debt securities of any series are convertible into or exchangeable for ordinary shares of Weatherford Ireland, other debt securities or any other securities will be set forth in the related prospectus supplement. The terms may include provisions for conversion or exchange, either mandatory, at the option of the holders, the Issuer or Weatherford Ireland.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Transfer and Exchange</w:t>
      </w:r>
    </w:p>
    <w:p>
      <w:pPr>
        <w:spacing w:after="0" w:line="135" w:lineRule="exact"/>
        <w:rPr>
          <w:sz w:val="20"/>
          <w:szCs w:val="20"/>
          <w:color w:val="auto"/>
        </w:rPr>
      </w:pPr>
    </w:p>
    <w:p>
      <w:pPr>
        <w:ind w:firstLine="360"/>
        <w:spacing w:after="0" w:line="287"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debt securities may be transferred or exchanged at the corporate trust office of the trustee or at any other office or agency maintained by the Issuer for that purpose. No service charge will be made for any registration of transfer or exchange of the debt securities, but the Issuer may require a payment by the holder to cover any tax or other governmental charge. The Issuer will not be required to register the transfer of or exchange debt securities of any series:</w:t>
      </w:r>
    </w:p>
    <w:p>
      <w:pPr>
        <w:spacing w:after="0" w:line="76" w:lineRule="exact"/>
        <w:rPr>
          <w:sz w:val="20"/>
          <w:szCs w:val="20"/>
          <w:color w:val="auto"/>
        </w:rPr>
      </w:pPr>
    </w:p>
    <w:p>
      <w:pPr>
        <w:ind w:left="660" w:right="600" w:hanging="328"/>
        <w:spacing w:after="0" w:line="31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beginning at the opening of business 15 days before the day of mailing of a notice of redemption of securities of that series selected for redemption; or</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for redemption in whole or in part, except the unredeemed portion of any debt security being redeemed in part.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48" w:lineRule="exact"/>
        <w:rPr>
          <w:sz w:val="20"/>
          <w:szCs w:val="20"/>
          <w:color w:val="auto"/>
        </w:rPr>
      </w:pPr>
    </w:p>
    <w:p>
      <w:pPr>
        <w:jc w:val="both"/>
        <w:ind w:right="20" w:firstLine="360"/>
        <w:spacing w:after="0" w:line="289"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interest and any premium on the debt securities will be paid at the place or places that the Issuer will designate for such purposes. Unless otherwise indicated in the applicable prospectus supplement, payment of interest on a debt security that is payable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8"/>
          <w:szCs w:val="18"/>
          <w:color w:val="auto"/>
        </w:rPr>
        <w:t>punctually paid or duly provided for on any interest payment date will be made to the person in whose name that debt security is registered at the close of business on the regular record date for that interest payment. The Issuer will pay the principal of (and premium, if any, on) registered debt securities only against surrender of those debt securities.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48"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in the United States identified in an accompanying prospectus supplement. The specific terms of the depositary arrangement with respect to any debt securities of a series will be described in the prospectus supplement relating to the series. So long as the depositary for a global note in registered form, or its nominee, is the registered owner of the global note, the depositary or the nominee, as the case may be, will be considered the sole owner or holder of the debt securities represented by the global note for all purposes under the Indenture.</w:t>
      </w:r>
    </w:p>
    <w:p>
      <w:pPr>
        <w:spacing w:after="0" w:line="85" w:lineRule="exact"/>
        <w:rPr>
          <w:sz w:val="20"/>
          <w:szCs w:val="20"/>
          <w:color w:val="auto"/>
        </w:rPr>
      </w:pPr>
    </w:p>
    <w:p>
      <w:pPr>
        <w:ind w:right="20" w:firstLine="360"/>
        <w:spacing w:after="0" w:line="297" w:lineRule="auto"/>
        <w:rPr>
          <w:sz w:val="20"/>
          <w:szCs w:val="20"/>
          <w:color w:val="auto"/>
        </w:rPr>
      </w:pPr>
      <w:r>
        <w:rPr>
          <w:rFonts w:ascii="Times New Roman" w:cs="Times New Roman" w:eastAsia="Times New Roman" w:hAnsi="Times New Roman"/>
          <w:sz w:val="18"/>
          <w:szCs w:val="18"/>
          <w:color w:val="auto"/>
        </w:rPr>
        <w:t>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 of the Debt Securities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debt securities will include the following covenants:</w:t>
      </w:r>
    </w:p>
    <w:p>
      <w:pPr>
        <w:spacing w:after="0" w:line="142" w:lineRule="exact"/>
        <w:rPr>
          <w:sz w:val="20"/>
          <w:szCs w:val="20"/>
          <w:color w:val="auto"/>
        </w:rPr>
      </w:pPr>
    </w:p>
    <w:p>
      <w:pPr>
        <w:ind w:right="40" w:firstLine="36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Limitation on Liens. </w:t>
      </w:r>
      <w:r>
        <w:rPr>
          <w:rFonts w:ascii="Times New Roman" w:cs="Times New Roman" w:eastAsia="Times New Roman" w:hAnsi="Times New Roman"/>
          <w:sz w:val="18"/>
          <w:szCs w:val="18"/>
          <w:color w:val="auto"/>
        </w:rPr>
        <w:t>Unless otherwise indicated in the prospectus supplement relating to a series of debt securities, Weatherford Ireland will not,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permit any restricted subsidiary to, create, assume or guarantee any indebtedness for money borrowed secured by any mortgage, lien, pledge, charge or other security interest or encumbrance of any kind (hereinafter referred to as a “mortgage” or “mortgages”) on any principal property of Weatherford Ireland or a restricted subsidiary or on any shares or funded indebtedness of a restricted subsidiary (whether such principal property, shares or funded indebtedness are now owned or hereafter acquired) without, in any such case, effectively providing concurrently with the creation, assumption or guaranteeing of such indebtedness that the debt securities (together, if Weatherford Ireland shall so determine, with any other indebtedness then or thereafter existing, created, assumed or guaranteed by Weatherford Ireland or such restricted subsidiary ranking equally with the debt securities) shall be secured equally and ratably with (or prior to) such indebtedness. The Indenture excludes, however, from the foregoing any indebtedness secured by a mortgage (including any extension, renewal or replacement, or successive extensions, renewals or replacements, of any mortgage hereinafter specified or any indebtedness secured thereby, without increase of the principal of such indebtedness or expansion of the collateral securing such indebtedness):</w:t>
      </w:r>
    </w:p>
    <w:p>
      <w:pPr>
        <w:spacing w:after="0" w:line="85"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shares or funded indebtedness of any Person existing at the time such Person becomes a restricted subsidiary;</w:t>
      </w:r>
    </w:p>
    <w:p>
      <w:pPr>
        <w:spacing w:after="0" w:line="144"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existing at the time of acquisition of such property, or to secure indebtedness incurred for the purpose of financing the purchase price of such property or improvements or construction thereon, which indebtedness is incurred prior to, at the time of or within 360 days after the later of such acquisition, the completion of such construction or the commencement of commercial operation of such property; provided, however, that in the case of any such acquisition, construction or improvement the mortgage shall not apply to any property previously owned by Weatherford Ireland or a restricted subsidiary, other than any previously unimproved real property on which the property is constructed or the improvement is located;</w:t>
      </w:r>
    </w:p>
    <w:p>
      <w:pPr>
        <w:spacing w:after="0" w:line="84" w:lineRule="exact"/>
        <w:rPr>
          <w:rFonts w:ascii="Times New Roman" w:cs="Times New Roman" w:eastAsia="Times New Roman" w:hAnsi="Times New Roman"/>
          <w:sz w:val="18"/>
          <w:szCs w:val="18"/>
          <w:color w:val="auto"/>
        </w:rPr>
      </w:pPr>
    </w:p>
    <w:p>
      <w:pPr>
        <w:ind w:left="660" w:hanging="328"/>
        <w:spacing w:after="0" w:line="313"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shares or funded indebtedness of a Person existing at the time such Person is merged into or consolidated with Weatherford Ireland or a restricted subsidiary, or at the time of a sale, lease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80"/>
          </w:cols>
          <w:pgMar w:left="320" w:top="118"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disposition of the properties of a Person as an entirety or substantially as an entirety to Weatherford Ireland or a restricted subsidiary;</w:t>
      </w:r>
    </w:p>
    <w:p>
      <w:pPr>
        <w:spacing w:after="0" w:line="144"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of a restricted subsidiary to secure indebtedness of such restricted subsidiary to Weatherford Ireland or another restricted subsidiary;</w:t>
      </w:r>
    </w:p>
    <w:p>
      <w:pPr>
        <w:spacing w:after="0" w:line="130" w:lineRule="exact"/>
        <w:rPr>
          <w:rFonts w:ascii="Times New Roman" w:cs="Times New Roman" w:eastAsia="Times New Roman" w:hAnsi="Times New Roman"/>
          <w:sz w:val="18"/>
          <w:szCs w:val="18"/>
          <w:color w:val="auto"/>
        </w:rPr>
      </w:pPr>
    </w:p>
    <w:p>
      <w:pPr>
        <w:ind w:left="660" w:right="40" w:hanging="328"/>
        <w:spacing w:after="0" w:line="285"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of Weatherford Ireland or property of a restricted subsidiary in favor of the United States or any State thereof, or the jurisdiction of organization of Weatherford Ireland, or any department, agency or instrumentality or political subdivision of the United States or any State thereof, Bermuda or the jurisdiction of organization of Weatherford Ireland, to secure partial, progress, advance or other payments pursuant to any contract or statute or to secure any indebtedness incurred for the purpose of financing all or any part of the purchase price or the cost of constructing or improving the property subject to such mortgage; or</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date of the Indenture;</w:t>
      </w:r>
    </w:p>
    <w:p>
      <w:pPr>
        <w:spacing w:after="0" w:line="144" w:lineRule="exact"/>
        <w:rPr>
          <w:sz w:val="20"/>
          <w:szCs w:val="20"/>
          <w:color w:val="auto"/>
        </w:rPr>
      </w:pPr>
    </w:p>
    <w:p>
      <w:pPr>
        <w:ind w:right="460"/>
        <w:spacing w:after="0" w:line="329" w:lineRule="auto"/>
        <w:rPr>
          <w:sz w:val="20"/>
          <w:szCs w:val="20"/>
          <w:color w:val="auto"/>
        </w:rPr>
      </w:pPr>
      <w:r>
        <w:rPr>
          <w:rFonts w:ascii="Times New Roman" w:cs="Times New Roman" w:eastAsia="Times New Roman" w:hAnsi="Times New Roman"/>
          <w:sz w:val="17"/>
          <w:szCs w:val="17"/>
          <w:color w:val="auto"/>
        </w:rPr>
        <w:t>provided, however, that any mortgage permitted by any of clauses (1), (2), (3) and (5) above shall not extend to or cover any property of Weatherford Ireland or such restricted subsidiary, as the case may be, other than the property specified in such clauses and improvements to that property.</w:t>
      </w:r>
    </w:p>
    <w:p>
      <w:pPr>
        <w:spacing w:after="0" w:line="45" w:lineRule="exact"/>
        <w:rPr>
          <w:sz w:val="20"/>
          <w:szCs w:val="20"/>
          <w:color w:val="auto"/>
        </w:rPr>
      </w:pPr>
    </w:p>
    <w:p>
      <w:pPr>
        <w:ind w:firstLine="360"/>
        <w:spacing w:after="0" w:line="284" w:lineRule="auto"/>
        <w:rPr>
          <w:sz w:val="20"/>
          <w:szCs w:val="20"/>
          <w:color w:val="auto"/>
        </w:rPr>
      </w:pPr>
      <w:r>
        <w:rPr>
          <w:rFonts w:ascii="Times New Roman" w:cs="Times New Roman" w:eastAsia="Times New Roman" w:hAnsi="Times New Roman"/>
          <w:sz w:val="18"/>
          <w:szCs w:val="18"/>
          <w:color w:val="auto"/>
        </w:rPr>
        <w:t>Notwithstanding the above, Weatherford Ireland or any restricted subsidiary may create, assume or guarantee secured indebtedness for money borrowed which would otherwise be prohibited in an aggregate amount which, together with all other such indebtedness for money borrowed of Weatherford Ireland and its restricted subsidiaries and the attributable debt of Weatherford Ireland and its restricted subsidiaries in respect of sale and leaseback transactions (as defined below) existing at such time (other than sale and leaseback transactions entered into prior to the date of the Indenture and sale and leaseback transactions the proceeds of which have been applied in accordance with the Indenture), does not at the time exceed 10% of the shareholders’ equity in Weatherford Ireland and its consolidated subsidiaries, as shown on the audited consolidated balance sheet contained in the latest annual report to shareholders of Weatherford Ireland.</w:t>
      </w:r>
    </w:p>
    <w:p>
      <w:pPr>
        <w:spacing w:after="0" w:line="67" w:lineRule="exact"/>
        <w:rPr>
          <w:sz w:val="20"/>
          <w:szCs w:val="20"/>
          <w:color w:val="auto"/>
        </w:rPr>
      </w:pPr>
    </w:p>
    <w:p>
      <w:pPr>
        <w:ind w:right="20" w:firstLine="360"/>
        <w:spacing w:after="0" w:line="280" w:lineRule="auto"/>
        <w:rPr>
          <w:sz w:val="20"/>
          <w:szCs w:val="20"/>
          <w:color w:val="auto"/>
        </w:rPr>
      </w:pPr>
      <w:r>
        <w:rPr>
          <w:rFonts w:ascii="Times New Roman" w:cs="Times New Roman" w:eastAsia="Times New Roman" w:hAnsi="Times New Roman"/>
          <w:sz w:val="18"/>
          <w:szCs w:val="18"/>
          <w:color w:val="auto"/>
        </w:rPr>
        <w:t>“attributable debt” means, as of any particular time, the lesser of (i) the fair value of the property subject to the applicable sale and leaseback transaction (as determined by the Board of Directors of Weatherford Ireland) and (ii) the then present value (discounted at a rate equal to the weighted average of the rate of interest on all securities issued by the applicable Issuer then issued and outstanding under the Indenture, compounded semi-annually) of the total net amount of rent required to be paid under such lease during the remaining term thereof (excluding any renewal term unless the renewal is at the option of the lessor) or, if earlier, until the earliest date on which the lessee may terminate such lease upon payment of a penalty (in which case the obligation of the lessee for rental payments shall include such penalty). The net amount of rent required to be paid for any such period shall be the aggregate amount of the rent payable by the lessee with respect to such period after excluding amounts required to be paid on account of, or measured or determined by, any variable factor, including, without limitation, the cost-of-living index and costs of maintenance and repairs, insurance, taxes, assessments, water rates and similar charges and after excluding any portion of rentals based on a percentage of sales made by the lessee.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84" w:lineRule="exact"/>
        <w:rPr>
          <w:sz w:val="20"/>
          <w:szCs w:val="20"/>
          <w:color w:val="auto"/>
        </w:rPr>
      </w:pPr>
    </w:p>
    <w:p>
      <w:pPr>
        <w:ind w:right="1000" w:firstLine="360"/>
        <w:spacing w:after="0" w:line="313"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joint venture, association, joint-stock company, trust, unincorporated organization or government or any agency or political subdivision thereof or any other entity; and</w:t>
      </w:r>
    </w:p>
    <w:p>
      <w:pPr>
        <w:spacing w:after="0" w:line="54" w:lineRule="exact"/>
        <w:rPr>
          <w:sz w:val="20"/>
          <w:szCs w:val="20"/>
          <w:color w:val="auto"/>
        </w:rPr>
      </w:pPr>
    </w:p>
    <w:p>
      <w:pPr>
        <w:ind w:right="520" w:firstLine="360"/>
        <w:spacing w:after="0" w:line="297" w:lineRule="auto"/>
        <w:rPr>
          <w:sz w:val="20"/>
          <w:szCs w:val="20"/>
          <w:color w:val="auto"/>
        </w:rPr>
      </w:pPr>
      <w:r>
        <w:rPr>
          <w:rFonts w:ascii="Times New Roman" w:cs="Times New Roman" w:eastAsia="Times New Roman" w:hAnsi="Times New Roman"/>
          <w:sz w:val="18"/>
          <w:szCs w:val="18"/>
          <w:color w:val="auto"/>
        </w:rPr>
        <w:t>“shareholders’ equity in Weatherford Ireland and its consolidated subsidiaries” means the share capital, share premium, contributed surplus and retained earnings of Weatherford Ireland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8"/>
          <w:szCs w:val="18"/>
          <w:color w:val="auto"/>
        </w:rPr>
        <w:t>excluding the cost of shares of Weatherford Ireland held by its affiliates, all as determined in accordance with United States generally accepted accounting principles.</w:t>
      </w:r>
    </w:p>
    <w:p>
      <w:pPr>
        <w:spacing w:after="0" w:line="39" w:lineRule="exact"/>
        <w:rPr>
          <w:sz w:val="20"/>
          <w:szCs w:val="20"/>
          <w:color w:val="auto"/>
        </w:rPr>
      </w:pPr>
    </w:p>
    <w:p>
      <w:pPr>
        <w:ind w:right="40" w:firstLine="360"/>
        <w:spacing w:after="0" w:line="280" w:lineRule="auto"/>
        <w:rPr>
          <w:sz w:val="20"/>
          <w:szCs w:val="20"/>
          <w:color w:val="auto"/>
        </w:rPr>
      </w:pPr>
      <w:r>
        <w:rPr>
          <w:rFonts w:ascii="Times New Roman" w:cs="Times New Roman" w:eastAsia="Times New Roman" w:hAnsi="Times New Roman"/>
          <w:sz w:val="18"/>
          <w:szCs w:val="18"/>
          <w:i w:val="1"/>
          <w:iCs w:val="1"/>
          <w:color w:val="auto"/>
        </w:rPr>
        <w:t>Limitation on Sale and Leaseback Transactions</w:t>
      </w:r>
      <w:r>
        <w:rPr>
          <w:rFonts w:ascii="Times New Roman" w:cs="Times New Roman" w:eastAsia="Times New Roman" w:hAnsi="Times New Roman"/>
          <w:sz w:val="18"/>
          <w:szCs w:val="18"/>
          <w:color w:val="auto"/>
        </w:rPr>
        <w:t>. Unless otherwise indicated in the prospectus supplement relating to a series of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Weatherford Ireland will not, and will not permit any restricted subsidiary to, enter into any sale and leaseback transactions (which are defined in the Indenture to exclude leases expiring within three years of making, leases between Weatherford Ireland and a restricted subsidiary or between restricted subsidiaries and any lease of a part of a principal property which has been sold, for use in connection with the winding up or termination of the business conducted on such principal property), unless (a) Weatherford Ireland or such restricted subsidiary would be entitled to incur indebtedness secured by a mortgage on such principal property without equally and ratably securing the debt securities or (b) an amount equal to the fair value of the principal property so leased (as determined by the Board of Directors of Weatherford Ireland) is applied within 360 days (i) to the retirement (other than by payment at maturity or pursuant to mandatory sinking, purchase or analogous fund or prepayment provision) of (x) the debt securities or (y) other funded indebtedness of Weatherford Ireland or any restricted subsidiary ranking on a parity with the debt securities, provided, however, that the amount to be applied to the retirement of any funded indebtedness as provided under clause (i) shall be reduced by (A) the principal amount of any debt securities delivered within 360 days after such sale or transfer to the trustee for the debt securities of such series for retirement and cancellation and (B) the principal amount of other funded indebtedness ranking on parity with the debt securities voluntarily retired by Weatherford Ireland within one year after such sale or transfer; or (ii) to purchase, improve or construct principal properties, provided that if only a portion of such proceeds is designated as a credit against such purchase, improvement or construction, Weatherford Ireland shall apply an amount equal to the remainder as provided in (i) above.</w:t>
      </w:r>
    </w:p>
    <w:p>
      <w:pPr>
        <w:spacing w:after="0" w:line="89"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Restrictions Upon Merger and Sales of Assets. </w:t>
      </w:r>
      <w:r>
        <w:rPr>
          <w:rFonts w:ascii="Times New Roman" w:cs="Times New Roman" w:eastAsia="Times New Roman" w:hAnsi="Times New Roman"/>
          <w:sz w:val="18"/>
          <w:szCs w:val="18"/>
          <w:color w:val="auto"/>
        </w:rPr>
        <w:t>Unless otherwise indicated in the prospectus supplement relating to a series of debt securities,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shall not consolidate, amalgamate or merge with or into any other Person (whether or not affiliated with such Issuer) and the Issuer or its successor or successors shall not be a party or parties to successive consolidations, amalgamations or mergers and such Issuer shall not sell, convey or lease all or substantially all of its property to any other Person (whether or not affiliated with such Issuer) authorized to acquire and operate the same, unless (i) upon any such consolidation, amalgamation, merger, sale, conveyance or lease, the due and punctual payment of the principal of (and premium, if any, on) and interest, if any, on all of the debt securities of such series, according to their tenor, and the due and punctual performance and observance of all of the covenants and conditions of the Indenture to be performed by such Issuer shall be expressly assumed, by supplemental Indenture reasonably satisfactory in form to the trustee for such series of the debt securities, executed and delivered to each such trustee by the Person (if other than such Issuer) formed by such consolidation or amalgamation, or into which such Issuer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“EU”), the United Kingdom, Ireland, Bermuda, Cayman Islands, British Virgin Islands, Gibraltar, the British Crown Dependencies, any member country of the Organisation for Economic Co-operation and Development, or any political subdivision of any of the foregoing. The Issuer will not so consolidate, amalgamate or merge, or make any such sale, lease or other conveyance, and such Issuer will not permit any other Person to merge into it, unless immediately after the proposed consolidation, amalgamation, merger, sale, lease or other conveyance, and after giving effect thereto, no default in the performance or observance by such Issuer or such successor Person, as the case may be, of any of the terms, covenants, agreements or conditions contained in the Indenture with respect to the debt securities shall have occurred and be continuing.</w:t>
      </w:r>
    </w:p>
    <w:p>
      <w:pPr>
        <w:spacing w:after="0" w:line="98" w:lineRule="exact"/>
        <w:rPr>
          <w:sz w:val="20"/>
          <w:szCs w:val="20"/>
          <w:color w:val="auto"/>
        </w:rPr>
      </w:pPr>
    </w:p>
    <w:p>
      <w:pPr>
        <w:ind w:right="100" w:firstLine="360"/>
        <w:spacing w:after="0" w:line="289" w:lineRule="auto"/>
        <w:rPr>
          <w:sz w:val="20"/>
          <w:szCs w:val="20"/>
          <w:color w:val="auto"/>
        </w:rPr>
      </w:pPr>
      <w:r>
        <w:rPr>
          <w:rFonts w:ascii="Times New Roman" w:cs="Times New Roman" w:eastAsia="Times New Roman" w:hAnsi="Times New Roman"/>
          <w:sz w:val="18"/>
          <w:szCs w:val="18"/>
          <w:color w:val="auto"/>
        </w:rPr>
        <w:t>Unless otherwise indicated in the prospectus supplement relating to a series of debt securities, each Guarantor, if any, of any series of debt securities shall not consolidate, amalgamate or merge with or into any other Person (whether or not affiliated with such Guarantor) and such Guarantor and its successor or successors shall not be a party or parties to successive consolidations, amalgamations or mergers and such Guarantor shall not sell, convey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lease all or substantially all of its property to any other Person (whether or not affiliated with such Guarantor) authorized to acquire and operate the same, unless (i) upon any such consolidation, amalgamation, merger, sale, conveyance or lease, the performance of the obligations under the guarantee of such Guarantor, and the due and punctual performance and observance of all of the covenants and conditions of the Indenture to be performed by such Guarantor shall be expressly assumed, by supplemental Indenture reasonably satisfactory in form to the trustee for each series of the debt securities, executed and delivered to each such trustee by the Person (if other than Weatherford Bermuda or Weatherford Delaware or a Guarantor for such series) formed by such consolidation or amalgamation, or into which such Guarantor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 the United Kingdom, Ireland, Bermuda, Cayman Islands, British Virgin Islands, Gibraltar, the British Crown Dependencies, any member country of the Organisation for Economic Co-operation and Development, or any political subdivision of any of the foregoing. Furthermore, such Guarantor will not so consolidate, amalgamate or merge, or make any such sale, lease or other conveyance, and such Guarantor will not permit any other Person to merge into it, unless immediately after the proposed consolidation, amalgamation, merger, sale, lease or other conveyance, and after giving effect thereto, no default in the performance or observance by such Guarantor or such successor Person, as the case may be, of any of the terms, covenants, agreements or conditions in respect of the debt securities contained in the Indenture or the guarantee of such Guarantor shall have occurred and be continuing.</w:t>
      </w:r>
    </w:p>
    <w:p>
      <w:pPr>
        <w:spacing w:after="0" w:line="85" w:lineRule="exact"/>
        <w:rPr>
          <w:sz w:val="20"/>
          <w:szCs w:val="20"/>
          <w:color w:val="auto"/>
        </w:rPr>
      </w:pPr>
    </w:p>
    <w:p>
      <w:pPr>
        <w:ind w:right="380" w:firstLine="360"/>
        <w:spacing w:after="0" w:line="315" w:lineRule="auto"/>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“funded indebtedness” means indebtedness created, assumed or guaranteed by a person for money borrowed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matures by its terms, or is renewable by the borrower to a date, more than one year after the date of its original creation, assumption or guarantee.</w:t>
      </w:r>
    </w:p>
    <w:p>
      <w:pPr>
        <w:spacing w:after="0" w:line="53" w:lineRule="exact"/>
        <w:rPr>
          <w:sz w:val="20"/>
          <w:szCs w:val="20"/>
          <w:color w:val="auto"/>
        </w:rPr>
      </w:pPr>
    </w:p>
    <w:p>
      <w:pPr>
        <w:ind w:right="40" w:firstLine="360"/>
        <w:spacing w:after="0" w:line="287" w:lineRule="auto"/>
        <w:rPr>
          <w:sz w:val="20"/>
          <w:szCs w:val="20"/>
          <w:color w:val="auto"/>
        </w:rPr>
      </w:pPr>
      <w:r>
        <w:rPr>
          <w:rFonts w:ascii="Times New Roman" w:cs="Times New Roman" w:eastAsia="Times New Roman" w:hAnsi="Times New Roman"/>
          <w:sz w:val="18"/>
          <w:szCs w:val="18"/>
          <w:color w:val="auto"/>
        </w:rPr>
        <w:t>The term “principal property” means any real property, manufacturing plant, warehouse, office building, or other physical facility or any item of transportation or construction equipment or other like depreciable assets of Weatherford Ireland or of any restricted subsidiary, that in the opinion of the Board of Directors of Weatherford Ireland is of material importance to the total business conducted by Weatherford Ireland and its restricted subsidiaries as a whole.</w:t>
      </w:r>
    </w:p>
    <w:p>
      <w:pPr>
        <w:spacing w:after="0" w:line="63" w:lineRule="exact"/>
        <w:rPr>
          <w:sz w:val="20"/>
          <w:szCs w:val="20"/>
          <w:color w:val="auto"/>
        </w:rPr>
      </w:pPr>
    </w:p>
    <w:p>
      <w:pPr>
        <w:ind w:right="20" w:firstLine="360"/>
        <w:spacing w:after="0" w:line="313" w:lineRule="auto"/>
        <w:rPr>
          <w:sz w:val="20"/>
          <w:szCs w:val="20"/>
          <w:color w:val="auto"/>
        </w:rPr>
      </w:pPr>
      <w:r>
        <w:rPr>
          <w:rFonts w:ascii="Times New Roman" w:cs="Times New Roman" w:eastAsia="Times New Roman" w:hAnsi="Times New Roman"/>
          <w:sz w:val="18"/>
          <w:szCs w:val="18"/>
          <w:color w:val="auto"/>
        </w:rPr>
        <w:t>The term “restricted subsidiary” means any subsidiary which owns a principal property excluding, however, any entity the greater part of the operating assets of which are located, or the principal business of which is carried on, outside the United States.</w:t>
      </w:r>
    </w:p>
    <w:p>
      <w:pPr>
        <w:spacing w:after="0" w:line="54" w:lineRule="exact"/>
        <w:rPr>
          <w:sz w:val="20"/>
          <w:szCs w:val="20"/>
          <w:color w:val="auto"/>
        </w:rPr>
      </w:pPr>
    </w:p>
    <w:p>
      <w:pPr>
        <w:ind w:right="20" w:firstLine="360"/>
        <w:spacing w:after="0" w:line="287" w:lineRule="auto"/>
        <w:rPr>
          <w:sz w:val="20"/>
          <w:szCs w:val="20"/>
          <w:color w:val="auto"/>
        </w:rPr>
      </w:pPr>
      <w:r>
        <w:rPr>
          <w:rFonts w:ascii="Times New Roman" w:cs="Times New Roman" w:eastAsia="Times New Roman" w:hAnsi="Times New Roman"/>
          <w:sz w:val="18"/>
          <w:szCs w:val="18"/>
          <w:color w:val="auto"/>
        </w:rPr>
        <w:t>The term “subsidiary” means any corporation, partnership, limited liability company, joint venture, association, joint-stock company, trust or any other entity of which at least a majority of the outstanding stock or equity interests having voting power under ordinary circumstances to elect a majority of the board of directors or similar body of said entity shall at the time be owned by Weatherford Ireland or by Weatherford Ireland and one or more subsidiaries or by one or more subsidiaries of Weatherford Ireland.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35" w:lineRule="exact"/>
        <w:rPr>
          <w:sz w:val="20"/>
          <w:szCs w:val="20"/>
          <w:color w:val="auto"/>
        </w:rPr>
      </w:pPr>
    </w:p>
    <w:p>
      <w:pPr>
        <w:ind w:right="20" w:firstLine="360"/>
        <w:spacing w:after="0" w:line="313" w:lineRule="auto"/>
        <w:rPr>
          <w:sz w:val="20"/>
          <w:szCs w:val="20"/>
          <w:color w:val="auto"/>
        </w:rPr>
      </w:pPr>
      <w:r>
        <w:rPr>
          <w:rFonts w:ascii="Times New Roman" w:cs="Times New Roman" w:eastAsia="Times New Roman" w:hAnsi="Times New Roman"/>
          <w:sz w:val="18"/>
          <w:szCs w:val="18"/>
          <w:color w:val="auto"/>
        </w:rPr>
        <w:t>As to each series of debt securities, unless otherwise indicated in the prospectus supplement relating to a series of debt securities, an event of default is defined as being a:</w:t>
      </w:r>
    </w:p>
    <w:p>
      <w:pPr>
        <w:spacing w:after="0" w:line="54" w:lineRule="exact"/>
        <w:rPr>
          <w:sz w:val="20"/>
          <w:szCs w:val="20"/>
          <w:color w:val="auto"/>
        </w:rPr>
      </w:pPr>
    </w:p>
    <w:p>
      <w:pPr>
        <w:ind w:left="660" w:right="40" w:hanging="328"/>
        <w:spacing w:after="0" w:line="31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interest on any debt security of such series when it becomes due and payable which continues for 30 days (subject to the deferral of any interest payment in the case of an extension period);</w:t>
      </w:r>
    </w:p>
    <w:p>
      <w:pPr>
        <w:spacing w:after="0" w:line="40" w:lineRule="exact"/>
        <w:rPr>
          <w:rFonts w:ascii="Times New Roman" w:cs="Times New Roman" w:eastAsia="Times New Roman" w:hAnsi="Times New Roman"/>
          <w:sz w:val="18"/>
          <w:szCs w:val="18"/>
          <w:color w:val="auto"/>
        </w:rPr>
      </w:pPr>
    </w:p>
    <w:p>
      <w:pPr>
        <w:ind w:left="660" w:right="300" w:hanging="328"/>
        <w:spacing w:after="0" w:line="31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principal of (or premium, if any, on) any debt security of such series when due either at its stated maturity date, upon redemption, upon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right="260" w:hanging="328"/>
        <w:spacing w:after="0" w:line="31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sinking fund installment, when and as due by the terms of a note of such series, and continuance of such default for a period of 30 days;</w:t>
      </w:r>
    </w:p>
    <w:p>
      <w:pPr>
        <w:spacing w:after="0" w:line="40" w:lineRule="exact"/>
        <w:rPr>
          <w:rFonts w:ascii="Times New Roman" w:cs="Times New Roman" w:eastAsia="Times New Roman" w:hAnsi="Times New Roman"/>
          <w:sz w:val="18"/>
          <w:szCs w:val="18"/>
          <w:color w:val="auto"/>
        </w:rPr>
      </w:pPr>
    </w:p>
    <w:p>
      <w:pPr>
        <w:ind w:left="660" w:right="120" w:hanging="328"/>
        <w:spacing w:after="0" w:line="31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performance of any other covenant of the Issuer or any Guarantor of such series in the Indenture (other than a covenant included solely for the benefit of debt securities of another series) which continues for 90 days after receipt of written notice;</w:t>
      </w:r>
    </w:p>
    <w:p>
      <w:pPr>
        <w:spacing w:after="0" w:line="54" w:lineRule="exact"/>
        <w:rPr>
          <w:rFonts w:ascii="Times New Roman" w:cs="Times New Roman" w:eastAsia="Times New Roman" w:hAnsi="Times New Roman"/>
          <w:sz w:val="18"/>
          <w:szCs w:val="18"/>
          <w:color w:val="auto"/>
        </w:rPr>
      </w:pPr>
    </w:p>
    <w:p>
      <w:pPr>
        <w:ind w:left="660" w:right="780" w:hanging="328"/>
        <w:spacing w:after="0" w:line="31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relating to the Issuer of such series and, if the debt securities of that series are guaranteed by one or more Guarantors, certain events of bankruptcy, insolvency or reorganization relating to any such Guarantors;</w:t>
      </w:r>
    </w:p>
    <w:p>
      <w:pPr>
        <w:spacing w:after="0" w:line="40" w:lineRule="exact"/>
        <w:rPr>
          <w:rFonts w:ascii="Times New Roman" w:cs="Times New Roman" w:eastAsia="Times New Roman" w:hAnsi="Times New Roman"/>
          <w:sz w:val="18"/>
          <w:szCs w:val="18"/>
          <w:color w:val="auto"/>
        </w:rPr>
      </w:pPr>
    </w:p>
    <w:p>
      <w:pPr>
        <w:ind w:left="660" w:right="140" w:hanging="328"/>
        <w:spacing w:after="0" w:line="29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that series are guaranteed by one or more Guarantors, a guarantee of the debt securities of such series shall for any reason cease to be, or shall for any reason be asserted in writing by the Issuer or the Guarantors not to be, in full force and effect and enforceable in accordance with its terms except to the extent contemplated by the Indenture and such guarantee; or</w:t>
      </w:r>
    </w:p>
    <w:p>
      <w:pPr>
        <w:spacing w:after="0" w:line="5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of default specified in or pursuant to a board resolution or officer’s certificate or in a supplemental Indenture.</w:t>
      </w:r>
    </w:p>
    <w:p>
      <w:pPr>
        <w:spacing w:after="0" w:line="144" w:lineRule="exact"/>
        <w:rPr>
          <w:sz w:val="20"/>
          <w:szCs w:val="20"/>
          <w:color w:val="auto"/>
        </w:rPr>
      </w:pPr>
    </w:p>
    <w:p>
      <w:pPr>
        <w:ind w:right="60" w:firstLine="360"/>
        <w:spacing w:after="0" w:line="297" w:lineRule="auto"/>
        <w:rPr>
          <w:sz w:val="20"/>
          <w:szCs w:val="20"/>
          <w:color w:val="auto"/>
        </w:rPr>
      </w:pPr>
      <w:r>
        <w:rPr>
          <w:rFonts w:ascii="Times New Roman" w:cs="Times New Roman" w:eastAsia="Times New Roman" w:hAnsi="Times New Roman"/>
          <w:sz w:val="18"/>
          <w:szCs w:val="18"/>
          <w:color w:val="auto"/>
        </w:rPr>
        <w:t>The Indenture provides that the trustee may withhold notice to the holders of debt securities of such series of any default (except in payment of principal, premium, if any, or interest, if any, on such series or in payment of any sinking fund installment on such series) if the trustee considers it is in the interest of such holders to do so.</w:t>
      </w:r>
    </w:p>
    <w:p>
      <w:pPr>
        <w:spacing w:after="0" w:line="55"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18"/>
          <w:szCs w:val="18"/>
          <w:color w:val="auto"/>
        </w:rPr>
        <w:t>Holders of the debt securities of any series may not enforce the Indenture or the debt securities of such series except as provided in the Indenture. In case an event of default (other than a default resulting from bankruptcy, insolvency or reorganization) shall occur and be continuing with respect to the debt securities of any series, the trustee or the holders of not less than 25% in aggregate principal amount of the debt securities then outstanding of such series may declare the principal amount on all the debt securities of such series (or, if the debt securities of that series were issued at a discount, such portion of the principal as may be specified in the terms of that series) to be due and payable. If an event of default results from bankruptcy, insolvency or reorganization, the principal amount of all the debt securities of that series (or, if the debt securities of that series were issued at a discount, such portion of the principal as may be specified in the terms of that series) will automatically become due and payable. Any event of default with respect to the debt securities of any series (except defaults in payment of principal of (or premium, if any, on) or interest, if any, on the debt securities of such series or a default in respect of a covenant or provision that cannot be modified without the consent of the holder of each outstanding security of such series) may be waived by the holders of at least a majority in aggregate principal amount of the debt securities of that series then outstanding.</w:t>
      </w:r>
    </w:p>
    <w:p>
      <w:pPr>
        <w:spacing w:after="0" w:line="88"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in case an event of default shall occur and be continuing, the trustee is under no obligation to exercise any of the rights or powers under such Indenture at the request, order or direction of any of the holders of debt securities, unless such holders shall have offered to the trustee security or indemnity reasonably satisfactory to it. Subject to such provisions for the indemnification of the trustee and certain limitations contained in the Indenture, the holders of a majority in principal amount of the debt securities of any series then outstanding shall have the right to direct the time, method and place of conducting any proceeding for any remedy available to the trustee, or exercising any trust or power conferred on the trustee, with respect to the debt securities of such series. In respect of each series of debt securities outstanding, Weatherford Ireland is required annually to deliver to the trustee an officer’s certificate stating whether or not the signers have knowledge of any default in the performance by each of the Issuer and any Guarantors of the covenants of the Indenture. In addition, promptly (and in any event within five business days) upon Weatherford Ireland becoming aware of the occurrence of any default or event of default in respect of any series of debt securities, Weatherford Ireland is required to deliver to the trustee an officer’s certificate setting forth the details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8"/>
          <w:szCs w:val="18"/>
          <w:color w:val="auto"/>
        </w:rPr>
        <w:t>such default or event of default and the actions which the Issuer and Guarantors, as applicable, propose to take with respect to such default or event of default.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48" w:lineRule="exact"/>
        <w:rPr>
          <w:sz w:val="20"/>
          <w:szCs w:val="20"/>
          <w:color w:val="auto"/>
        </w:rPr>
      </w:pPr>
    </w:p>
    <w:p>
      <w:pPr>
        <w:ind w:firstLine="360"/>
        <w:spacing w:after="0" w:line="297" w:lineRule="auto"/>
        <w:rPr>
          <w:sz w:val="20"/>
          <w:szCs w:val="20"/>
          <w:color w:val="auto"/>
        </w:rPr>
      </w:pPr>
      <w:r>
        <w:rPr>
          <w:rFonts w:ascii="Times New Roman" w:cs="Times New Roman" w:eastAsia="Times New Roman" w:hAnsi="Times New Roman"/>
          <w:sz w:val="18"/>
          <w:szCs w:val="18"/>
          <w:color w:val="auto"/>
        </w:rPr>
        <w:t>The Indenture with respect to the debt securities of any series may be discharged (with the exception of specified provisions as provided in the Indenture) when the Issuer requests such discharge in writing accompanied by an officer’s certificate and an opinion of counsel, in each case stating that all conditions precedent to discharge under the Indenture have been satisfied and either:</w:t>
      </w:r>
    </w:p>
    <w:p>
      <w:pPr>
        <w:spacing w:after="0" w:line="55"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with the exceptions provided for in the Indenture, of that series have been delivered to the trustee for cancellation; or</w:t>
      </w:r>
    </w:p>
    <w:p>
      <w:pPr>
        <w:spacing w:after="0" w:line="144" w:lineRule="exact"/>
        <w:rPr>
          <w:rFonts w:ascii="Times New Roman" w:cs="Times New Roman" w:eastAsia="Times New Roman" w:hAnsi="Times New Roman"/>
          <w:sz w:val="18"/>
          <w:szCs w:val="18"/>
          <w:color w:val="auto"/>
        </w:rPr>
      </w:pPr>
    </w:p>
    <w:p>
      <w:pPr>
        <w:ind w:left="660" w:right="20" w:hanging="328"/>
        <w:spacing w:after="0" w:line="289" w:lineRule="auto"/>
        <w:tabs>
          <w:tab w:leader="none" w:pos="7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that series not theretofore delivered to the trustee for cancellation (1) have become due and payable; (2) will become due and payable at their stated maturity within one year; (3) are to be called for redemption within one year; or (4) been deemed paid and discharged pursuant to the terms of the Indenture;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Issuer in the case of clauses (B)(1), (B)(2) and (B)(3), has deposited or caused to be deposited with the trustee in trust an amount of (a) money, or</w:t>
      </w:r>
    </w:p>
    <w:p>
      <w:pPr>
        <w:spacing w:after="0" w:line="36" w:lineRule="exact"/>
        <w:rPr>
          <w:sz w:val="20"/>
          <w:szCs w:val="20"/>
          <w:color w:val="auto"/>
        </w:rPr>
      </w:pPr>
    </w:p>
    <w:p>
      <w:pPr>
        <w:ind w:firstLine="8"/>
        <w:spacing w:after="0" w:line="284"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clauses (B)(2) and (B)(3), (I) United States government obligations which through the payment of interest and principal in respect thereof in accordance with their terms will provide not later than one day before the stated maturity or redemption date, as the case may be, money in an amount or (II) a combination of money or U.S. government obligations as provided in (I) above, in each case sufficient (if U.S. government obligations, as certified in the opinion of a nationally recognized firm of independent certified public accountants) to pay and discharge the entire indebtedness on such debt securities not theretofore delivered to the trustee for cancellation, for principal, premium, if any, and interest, if any, to the date of such deposit in the case of debt securities which have become due and payable or to the stated maturity or redemption date, as the case may be.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48" w:lineRule="exact"/>
        <w:rPr>
          <w:sz w:val="20"/>
          <w:szCs w:val="20"/>
          <w:color w:val="auto"/>
        </w:rPr>
      </w:pPr>
    </w:p>
    <w:p>
      <w:pPr>
        <w:ind w:right="20" w:firstLine="360"/>
        <w:spacing w:after="0" w:line="293" w:lineRule="auto"/>
        <w:rPr>
          <w:sz w:val="20"/>
          <w:szCs w:val="20"/>
          <w:color w:val="auto"/>
        </w:rPr>
      </w:pPr>
      <w:r>
        <w:rPr>
          <w:rFonts w:ascii="Times New Roman" w:cs="Times New Roman" w:eastAsia="Times New Roman" w:hAnsi="Times New Roman"/>
          <w:sz w:val="17"/>
          <w:szCs w:val="17"/>
          <w:color w:val="auto"/>
        </w:rPr>
        <w:t>The Indenture provides that the Issuer may discharge the entire indebtedness of all outstanding debt securities of a series, and the provisions of the Indenture as they relate to such debt securities, will no longer be in effect in respect of the Issuer and the Guarantors (with the exception of specified provisions as provided in the Indenture) if the Issuer deposits or causes to be deposited with the trustee, in trust, money, or U.S. government obligations, or a combination thereof, which, through the payment of interest thereon and principal thereof in accordance with their terms, will provide 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 payments are due in accordance with the terms of such debt securities to their stated maturities or to, but excluding, a redemption date which has been irrevocably designated by the Issuer for redemption of such debt securities. To exercise any such option, the Issuer is required to meet specified conditions, including delivering to the trustee an opinion of counsel to the effect that (a) the Issuer has received from, or there has been published by, the Internal Revenue Service a ruling, or</w:t>
      </w:r>
    </w:p>
    <w:p>
      <w:pPr>
        <w:spacing w:after="0" w:line="3" w:lineRule="exact"/>
        <w:rPr>
          <w:sz w:val="20"/>
          <w:szCs w:val="20"/>
          <w:color w:val="auto"/>
        </w:rPr>
      </w:pPr>
    </w:p>
    <w:p>
      <w:pPr>
        <w:ind w:right="40" w:firstLine="8"/>
        <w:spacing w:after="0" w:line="284"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an offering, there has been a change in the applicable federal income tax law, in either case to the effect that, and based thereon such opinion of counsel shall confirm that, holders of the debt securities of such series will not recognize income, gain or loss for U.S. federal income tax purposes as a result of such deposit, defeasance and discharge and will be subject to U.S. federal income tax on the same amounts, in the same manner and at the same times as would have been the case if such deposit, defeasance and discharge had not occurred and that no event of default or default shall have occurred and be continuing.</w:t>
      </w:r>
    </w:p>
    <w:p>
      <w:pPr>
        <w:spacing w:after="0" w:line="80" w:lineRule="exact"/>
        <w:rPr>
          <w:sz w:val="20"/>
          <w:szCs w:val="20"/>
          <w:color w:val="auto"/>
        </w:rPr>
      </w:pPr>
    </w:p>
    <w:p>
      <w:pPr>
        <w:ind w:right="480" w:firstLine="360"/>
        <w:spacing w:after="0" w:line="289" w:lineRule="auto"/>
        <w:rPr>
          <w:sz w:val="20"/>
          <w:szCs w:val="20"/>
          <w:color w:val="auto"/>
        </w:rPr>
      </w:pPr>
      <w:r>
        <w:rPr>
          <w:rFonts w:ascii="Times New Roman" w:cs="Times New Roman" w:eastAsia="Times New Roman" w:hAnsi="Times New Roman"/>
          <w:sz w:val="18"/>
          <w:szCs w:val="18"/>
          <w:color w:val="auto"/>
        </w:rPr>
        <w:t>The Indenture provides that, at the election of the Issuer, the Issuer and the Guarantors need not comply with certain restrictive covenants of the Indenture as to any series of debt securities (in the case of debt securities as described above under “—Certain Covenants of the Debt Securities— Limitation on Liens,” and “—Limitation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Sale and Leaseback Transactions”), upon the deposit by the Issuer with the trustee, in trust, of money, or U.S. government obligations, or a combination thereof, which, through the payment of interest thereon and principal thereof in accordance with their terms, will provide 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 payments are due in accordance with the terms of such debt securities to their stated maturities or to, but excluding, a redemption date which has been irrevocably designated by us for redemption of such debt securities. To exercise any such option, the Issuer may be required to meet specified conditions, including delivering to the trustee an opinion of counsel to the effect that the deposit and related defeasance would not cause the holders of the debt securities to recognize income, gain or loss for federal income tax purposes.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35" w:lineRule="exact"/>
        <w:rPr>
          <w:sz w:val="20"/>
          <w:szCs w:val="20"/>
          <w:color w:val="auto"/>
        </w:rPr>
      </w:pPr>
    </w:p>
    <w:p>
      <w:pPr>
        <w:jc w:val="both"/>
        <w:ind w:right="160" w:firstLine="360"/>
        <w:spacing w:after="0" w:line="297" w:lineRule="auto"/>
        <w:rPr>
          <w:sz w:val="20"/>
          <w:szCs w:val="20"/>
          <w:color w:val="auto"/>
        </w:rPr>
      </w:pPr>
      <w:r>
        <w:rPr>
          <w:rFonts w:ascii="Times New Roman" w:cs="Times New Roman" w:eastAsia="Times New Roman" w:hAnsi="Times New Roman"/>
          <w:sz w:val="18"/>
          <w:szCs w:val="18"/>
          <w:color w:val="auto"/>
        </w:rPr>
        <w:t>The Indenture contains provisions permitting the Issuer, the Guarantors and the trustee, with the consent of the holders of not less than a majority in principal amount of the outstanding debt securities of all series affected by such modification (voting as one class), to modify such Indenture or the rights of the holders of the debt securities, except that no such modification shall, without the consent of the holder of each debt security so affected:</w:t>
      </w:r>
    </w:p>
    <w:p>
      <w:pPr>
        <w:spacing w:after="0" w:line="69" w:lineRule="exact"/>
        <w:rPr>
          <w:sz w:val="20"/>
          <w:szCs w:val="20"/>
          <w:color w:val="auto"/>
        </w:rPr>
      </w:pPr>
    </w:p>
    <w:p>
      <w:pPr>
        <w:ind w:left="660" w:right="20" w:hanging="328"/>
        <w:spacing w:after="0" w:line="308"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maturity of any debt security, or reduce the rate or extend the time of payment of interest thereon, or reduce the principal amount thereof (including, in the case of a discounted debt security, the amount payable thereon in the event of acceleration) or any redemption premium thereon, or change the place or medium or currency of payment of such debt security, or impair the right of any holder to institute suit for payment thereof, or release any Guarantor from any of its obligations under its guarantee otherwise than in accordance with the terms of the Indenture;</w:t>
      </w:r>
    </w:p>
    <w:p>
      <w:pPr>
        <w:spacing w:after="0" w:line="63" w:lineRule="exact"/>
        <w:rPr>
          <w:rFonts w:ascii="Times New Roman" w:cs="Times New Roman" w:eastAsia="Times New Roman" w:hAnsi="Times New Roman"/>
          <w:sz w:val="17"/>
          <w:szCs w:val="17"/>
          <w:color w:val="auto"/>
        </w:rPr>
      </w:pPr>
    </w:p>
    <w:p>
      <w:pPr>
        <w:ind w:left="660" w:right="200" w:hanging="328"/>
        <w:spacing w:after="0" w:line="29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debt securities, the consent of the holders of which is required for any such modification or for certain waivers or other modifications under such Indenture; or</w:t>
      </w:r>
    </w:p>
    <w:p>
      <w:pPr>
        <w:spacing w:after="0" w:line="68" w:lineRule="exact"/>
        <w:rPr>
          <w:rFonts w:ascii="Times New Roman" w:cs="Times New Roman" w:eastAsia="Times New Roman" w:hAnsi="Times New Roman"/>
          <w:sz w:val="18"/>
          <w:szCs w:val="18"/>
          <w:color w:val="auto"/>
        </w:rPr>
      </w:pPr>
    </w:p>
    <w:p>
      <w:pPr>
        <w:ind w:left="660" w:right="440" w:hanging="328"/>
        <w:spacing w:after="0" w:line="31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provisions of the Indenture related to entry into a supplemental Indenture with consent of holders, waiver of past defaults and waiver of certain covenants, except under certain circumstances specified in the Indenture.</w:t>
      </w:r>
    </w:p>
    <w:p>
      <w:pPr>
        <w:spacing w:after="0" w:line="41" w:lineRule="exact"/>
        <w:rPr>
          <w:sz w:val="20"/>
          <w:szCs w:val="20"/>
          <w:color w:val="auto"/>
        </w:rPr>
      </w:pPr>
    </w:p>
    <w:p>
      <w:pPr>
        <w:ind w:firstLine="360"/>
        <w:spacing w:after="0" w:line="313" w:lineRule="auto"/>
        <w:rPr>
          <w:sz w:val="20"/>
          <w:szCs w:val="20"/>
          <w:color w:val="auto"/>
        </w:rPr>
      </w:pPr>
      <w:r>
        <w:rPr>
          <w:rFonts w:ascii="Times New Roman" w:cs="Times New Roman" w:eastAsia="Times New Roman" w:hAnsi="Times New Roman"/>
          <w:sz w:val="18"/>
          <w:szCs w:val="18"/>
          <w:color w:val="auto"/>
        </w:rPr>
        <w:t>The Indenture contains provisions permitting the Issuer, the Guarantors and the trustee, without the consent of any holders, to modify the Indenture for any of the following purposes:</w:t>
      </w:r>
    </w:p>
    <w:p>
      <w:pPr>
        <w:spacing w:after="0" w:line="54" w:lineRule="exact"/>
        <w:rPr>
          <w:sz w:val="20"/>
          <w:szCs w:val="20"/>
          <w:color w:val="auto"/>
        </w:rPr>
      </w:pPr>
    </w:p>
    <w:p>
      <w:pPr>
        <w:jc w:val="both"/>
        <w:ind w:left="660" w:right="200" w:hanging="328"/>
        <w:spacing w:after="0" w:line="28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partnership, limited liability company, trust or any other entity to the Issuer or any Guarantor and the assumption by any such successor of the Issuer’s covenants in the Indenture and the debt securities or such Guarantor’s covenants in the Indenture and the guarantee, as the case may be;</w:t>
      </w:r>
    </w:p>
    <w:p>
      <w:pPr>
        <w:spacing w:after="0" w:line="75" w:lineRule="exact"/>
        <w:rPr>
          <w:rFonts w:ascii="Times New Roman" w:cs="Times New Roman" w:eastAsia="Times New Roman" w:hAnsi="Times New Roman"/>
          <w:sz w:val="18"/>
          <w:szCs w:val="18"/>
          <w:color w:val="auto"/>
        </w:rPr>
      </w:pPr>
    </w:p>
    <w:p>
      <w:pPr>
        <w:ind w:left="660" w:right="180" w:hanging="328"/>
        <w:spacing w:after="0" w:line="31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Issuer’s or any Guarantor’s covenants for the benefit of the holders of all or any series of debt securities or to surrender any right or power conferred upon the Issuer or such Guarantor, as the case may be, in the Indenture;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defaults;</w:t>
      </w:r>
    </w:p>
    <w:p>
      <w:pPr>
        <w:spacing w:after="0" w:line="144" w:lineRule="exact"/>
        <w:rPr>
          <w:rFonts w:ascii="Times New Roman" w:cs="Times New Roman" w:eastAsia="Times New Roman" w:hAnsi="Times New Roman"/>
          <w:sz w:val="18"/>
          <w:szCs w:val="18"/>
          <w:color w:val="auto"/>
        </w:rPr>
      </w:pPr>
    </w:p>
    <w:p>
      <w:pPr>
        <w:ind w:left="660" w:right="80" w:hanging="328"/>
        <w:spacing w:after="0" w:line="31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the Indenture to such extent as may be necessary to permit or facilitate the issuance of debt securities in bearer form registrable or not registrable as to principal, and with or without interest or coupons;</w:t>
      </w:r>
    </w:p>
    <w:p>
      <w:pPr>
        <w:spacing w:after="0" w:line="54" w:lineRule="exact"/>
        <w:rPr>
          <w:rFonts w:ascii="Times New Roman" w:cs="Times New Roman" w:eastAsia="Times New Roman" w:hAnsi="Times New Roman"/>
          <w:sz w:val="18"/>
          <w:szCs w:val="18"/>
          <w:color w:val="auto"/>
        </w:rPr>
      </w:pPr>
    </w:p>
    <w:p>
      <w:pPr>
        <w:ind w:left="660" w:right="140" w:hanging="328"/>
        <w:spacing w:after="0" w:line="29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 of the Indenture, provided that any such change or elimination shall become effective only when there is no debt security outstanding of any series created prior to such modification which is entitled to the benefit of such provision;</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debt securities of any series as permitted by the Indenture;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 related guarantee of any debt securities as permitted by the Indenture;</w:t>
      </w:r>
    </w:p>
    <w:p>
      <w:pPr>
        <w:spacing w:after="0" w:line="130" w:lineRule="exact"/>
        <w:rPr>
          <w:rFonts w:ascii="Times New Roman" w:cs="Times New Roman" w:eastAsia="Times New Roman" w:hAnsi="Times New Roman"/>
          <w:sz w:val="18"/>
          <w:szCs w:val="18"/>
          <w:color w:val="auto"/>
        </w:rPr>
      </w:pPr>
    </w:p>
    <w:p>
      <w:pPr>
        <w:jc w:val="both"/>
        <w:ind w:left="660" w:right="160" w:hanging="328"/>
        <w:spacing w:after="0" w:line="29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or change any of the provisions of the Indenture as shall be necessary to provide for or facilitate the administration of the trusts under the Indenture by more than one trustee;</w:t>
      </w:r>
    </w:p>
    <w:p>
      <w:pPr>
        <w:spacing w:after="0" w:line="68" w:lineRule="exact"/>
        <w:rPr>
          <w:rFonts w:ascii="Times New Roman" w:cs="Times New Roman" w:eastAsia="Times New Roman" w:hAnsi="Times New Roman"/>
          <w:sz w:val="18"/>
          <w:szCs w:val="18"/>
          <w:color w:val="auto"/>
        </w:rPr>
      </w:pPr>
    </w:p>
    <w:p>
      <w:pPr>
        <w:jc w:val="both"/>
        <w:ind w:left="660" w:right="80" w:hanging="328"/>
        <w:spacing w:after="0" w:line="28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of a trustee other than Deutsche Bank Trust Company Americas, as trustee for a series of debt securities and to add or change any of the provisions of the Indenture as shall be necessary to provide for or facilitate the administration of the trusts under the Indenture by more than one trustee;</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any rights of the holder of debt securities of any series to require the repurchase of debt securities of such series from the Issuer;</w:t>
      </w:r>
    </w:p>
    <w:p>
      <w:pPr>
        <w:spacing w:after="0" w:line="130" w:lineRule="exact"/>
        <w:rPr>
          <w:rFonts w:ascii="Times New Roman" w:cs="Times New Roman" w:eastAsia="Times New Roman" w:hAnsi="Times New Roman"/>
          <w:sz w:val="18"/>
          <w:szCs w:val="18"/>
          <w:color w:val="auto"/>
        </w:rPr>
      </w:pPr>
    </w:p>
    <w:p>
      <w:pPr>
        <w:jc w:val="both"/>
        <w:ind w:left="660" w:right="240" w:hanging="328"/>
        <w:spacing w:after="0" w:line="29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or defect, to correct or supplement any provision of the Indenture which may be inconsistent with any other provision of the Indenture, or to make any other provisions with respect to matters or questions arising under the Indenture, provided such action shall not adversely affect the interests of the holders of debt securities of any series in any material respect;</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debt securities of any series in accordance with the Indenture;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debt securities;</w:t>
      </w:r>
    </w:p>
    <w:p>
      <w:pPr>
        <w:spacing w:after="0" w:line="144"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provisions of the Indenture relating to the transfer and legending of the debt securities of any series, including, without limitation, to facilitate the issuance and administration of the debt securities of any series; provided that compliance with the Indenture as so amended would not result in the debt securities of such series being transferred in violation of the Securities Act or any applicable securities law;</w:t>
      </w:r>
    </w:p>
    <w:p>
      <w:pPr>
        <w:spacing w:after="0" w:line="55" w:lineRule="exact"/>
        <w:rPr>
          <w:rFonts w:ascii="Times New Roman" w:cs="Times New Roman" w:eastAsia="Times New Roman" w:hAnsi="Times New Roman"/>
          <w:sz w:val="18"/>
          <w:szCs w:val="18"/>
          <w:color w:val="auto"/>
        </w:rPr>
      </w:pPr>
    </w:p>
    <w:p>
      <w:pPr>
        <w:ind w:left="660" w:right="260" w:hanging="328"/>
        <w:spacing w:after="0" w:line="29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guarantee or debt securities of any series to any provision of the description thereof set forth in this prospectus or any prospectus supplement to the extent that such provision in this prospectus or any prospectus supplement was intended to be a verbatim recitation of a provision in the Indenture, guarantee or debt securities of any series;</w:t>
      </w:r>
    </w:p>
    <w:p>
      <w:pPr>
        <w:spacing w:after="0" w:line="95" w:lineRule="exact"/>
        <w:rPr>
          <w:rFonts w:ascii="Times New Roman" w:cs="Times New Roman" w:eastAsia="Times New Roman" w:hAnsi="Times New Roman"/>
          <w:sz w:val="18"/>
          <w:szCs w:val="18"/>
          <w:color w:val="auto"/>
        </w:rPr>
      </w:pPr>
    </w:p>
    <w:p>
      <w:pPr>
        <w:ind w:left="660" w:right="620" w:hanging="328"/>
        <w:spacing w:after="0" w:line="275"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to add a co-issuer or co-obligor with respect to the debt securities (and, to the extent such co-issuer or co-obligor is a guarantor, release the guarantee of such guarantor);</w:t>
      </w:r>
    </w:p>
    <w:p>
      <w:pPr>
        <w:spacing w:after="0" w:line="66" w:lineRule="exact"/>
        <w:rPr>
          <w:rFonts w:ascii="Arial" w:cs="Arial" w:eastAsia="Arial" w:hAnsi="Arial"/>
          <w:sz w:val="22"/>
          <w:szCs w:val="22"/>
          <w:color w:val="auto"/>
        </w:rPr>
      </w:pPr>
    </w:p>
    <w:p>
      <w:pPr>
        <w:ind w:left="660" w:right="40" w:hanging="328"/>
        <w:spacing w:after="0" w:line="31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permitted under the Indenture specified in the board resolution, officer’s certificate or supplemental Indenture establishing the applicable series of debt securities;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its qualification under the TIA as may be necessary or desirable in accordance with amendments to that TIA; or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specified in the applicable prospectus supplement.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from time to time maintain lines of credit and have other customary banking relationships with the trustee and its affiliated banks.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the debt securities and the guarantees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p>
      <w:pPr>
        <w:spacing w:after="0" w:line="148" w:lineRule="exact"/>
        <w:rPr>
          <w:sz w:val="20"/>
          <w:szCs w:val="20"/>
          <w:color w:val="auto"/>
        </w:rPr>
      </w:pPr>
    </w:p>
    <w:p>
      <w:pPr>
        <w:ind w:right="180" w:firstLine="360"/>
        <w:spacing w:after="0" w:line="281" w:lineRule="auto"/>
        <w:rPr>
          <w:sz w:val="20"/>
          <w:szCs w:val="20"/>
          <w:color w:val="auto"/>
        </w:rPr>
      </w:pPr>
      <w:r>
        <w:rPr>
          <w:rFonts w:ascii="Times New Roman" w:cs="Times New Roman" w:eastAsia="Times New Roman" w:hAnsi="Times New Roman"/>
          <w:sz w:val="18"/>
          <w:szCs w:val="18"/>
          <w:color w:val="auto"/>
        </w:rPr>
        <w:t>The following description of share purchase contracts and share purchase units sets forth certain general terms and provisions of share purchase contracts and share purchase units. This summary does not contain all of the information that you may find useful. The particular terms of the share purchase contracts, the share purchase units and, if applicable, the prepaid securities will be described in the prospectus supplement relating to those securities. For more information, you should review the share purchase contracts, the collateral arrangements and any depositary arrangements relating to such share purchase contracts or share purchase units and, if applicable, the prepaid securities and the document pursuant to which the prepaid securities will be issued, each of which will be filed with the SEC promptly after the offering of the securities. As used in this section only, “we”, “our” and “us” refers to only Weatherford Ireland.</w:t>
      </w:r>
    </w:p>
    <w:p>
      <w:pPr>
        <w:spacing w:after="0" w:line="86" w:lineRule="exact"/>
        <w:rPr>
          <w:sz w:val="20"/>
          <w:szCs w:val="20"/>
          <w:color w:val="auto"/>
        </w:rPr>
      </w:pPr>
    </w:p>
    <w:p>
      <w:pPr>
        <w:ind w:firstLine="360"/>
        <w:spacing w:after="0" w:line="289" w:lineRule="auto"/>
        <w:rPr>
          <w:sz w:val="20"/>
          <w:szCs w:val="20"/>
          <w:color w:val="auto"/>
        </w:rPr>
      </w:pPr>
      <w:r>
        <w:rPr>
          <w:rFonts w:ascii="Times New Roman" w:cs="Times New Roman" w:eastAsia="Times New Roman" w:hAnsi="Times New Roman"/>
          <w:sz w:val="18"/>
          <w:szCs w:val="18"/>
          <w:color w:val="auto"/>
        </w:rPr>
        <w:t>We may issue share purchase contracts representing contracts obligating holders to purchase from us and us to sell to the holders a specified number of ordinary shares at a future date or dates. The price per share of ordinary share may be fixed at the time the share purchase contracts are issued or may be determined by reference to a specific formula set forth in the share purchase contracts.</w:t>
      </w:r>
    </w:p>
    <w:p>
      <w:pPr>
        <w:spacing w:after="0" w:line="76" w:lineRule="exact"/>
        <w:rPr>
          <w:sz w:val="20"/>
          <w:szCs w:val="20"/>
          <w:color w:val="auto"/>
        </w:rPr>
      </w:pPr>
    </w:p>
    <w:p>
      <w:pPr>
        <w:ind w:right="580" w:firstLine="360"/>
        <w:spacing w:after="0" w:line="313" w:lineRule="auto"/>
        <w:rPr>
          <w:sz w:val="20"/>
          <w:szCs w:val="20"/>
          <w:color w:val="auto"/>
        </w:rPr>
      </w:pPr>
      <w:r>
        <w:rPr>
          <w:rFonts w:ascii="Times New Roman" w:cs="Times New Roman" w:eastAsia="Times New Roman" w:hAnsi="Times New Roman"/>
          <w:sz w:val="18"/>
          <w:szCs w:val="18"/>
          <w:color w:val="auto"/>
        </w:rPr>
        <w:t>The share purchase contracts may be issued separately or as a part of units, often known as share purchase units, consisting of a share purchase contract and either:</w:t>
      </w:r>
    </w:p>
    <w:p>
      <w:pPr>
        <w:spacing w:after="0" w:line="4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or</w:t>
      </w:r>
    </w:p>
    <w:p>
      <w:pPr>
        <w:spacing w:after="0" w:line="144" w:lineRule="exact"/>
        <w:rPr>
          <w:rFonts w:ascii="Times New Roman" w:cs="Times New Roman" w:eastAsia="Times New Roman" w:hAnsi="Times New Roman"/>
          <w:sz w:val="18"/>
          <w:szCs w:val="18"/>
          <w:color w:val="auto"/>
        </w:rPr>
      </w:pPr>
    </w:p>
    <w:p>
      <w:pPr>
        <w:ind w:left="660" w:right="20" w:hanging="328"/>
        <w:spacing w:after="0" w:line="28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of third parties, including U.S. Treasury securities, securing the holder’s obligations to purchase the ordinary shares under the share purchase contracts. The share purchase contracts may require us to make periodic payments to the holders of the share purchase units or vice versa, and such payments may be unsecured or prefunded on some basis. The share purchase contracts may require holders to secure their obligations in a specified manner and in certain circumstances we may deliver newly issued prepaid share purchase contracts, often known as prepaid securities, upon release to a holder of any collateral securing each holder’s obligations under the original share purchase contract.</w:t>
      </w:r>
    </w:p>
    <w:p>
      <w:pPr>
        <w:spacing w:after="0" w:line="81" w:lineRule="exact"/>
        <w:rPr>
          <w:sz w:val="20"/>
          <w:szCs w:val="20"/>
          <w:color w:val="auto"/>
        </w:rPr>
      </w:pPr>
    </w:p>
    <w:p>
      <w:pPr>
        <w:ind w:right="140" w:firstLine="360"/>
        <w:spacing w:after="0" w:line="287" w:lineRule="auto"/>
        <w:rPr>
          <w:sz w:val="20"/>
          <w:szCs w:val="20"/>
          <w:color w:val="auto"/>
        </w:rPr>
      </w:pPr>
      <w:r>
        <w:rPr>
          <w:rFonts w:ascii="Times New Roman" w:cs="Times New Roman" w:eastAsia="Times New Roman" w:hAnsi="Times New Roman"/>
          <w:sz w:val="18"/>
          <w:szCs w:val="18"/>
          <w:color w:val="auto"/>
        </w:rPr>
        <w:t>U.S. federal income tax consequences and special considerations, if any, applicable to any such offering will be described in an accompanying prospectus supplement. Unless otherwise specified in the applicable prospectus supplement, the share purchase contracts, the share purchase units and the unit agreements pursuant to which the share purchase units will be issued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right="80" w:firstLine="360"/>
        <w:spacing w:after="0" w:line="289"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at:</w:t>
      </w:r>
    </w:p>
    <w:p>
      <w:pPr>
        <w:spacing w:after="0" w:line="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44" w:lineRule="exact"/>
        <w:rPr>
          <w:sz w:val="20"/>
          <w:szCs w:val="20"/>
          <w:color w:val="auto"/>
        </w:rPr>
      </w:pPr>
    </w:p>
    <w:p>
      <w:pPr>
        <w:jc w:val="both"/>
        <w:ind w:right="80" w:firstLine="360"/>
        <w:spacing w:after="0" w:line="289"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76" w:lineRule="exact"/>
        <w:rPr>
          <w:sz w:val="20"/>
          <w:szCs w:val="20"/>
          <w:color w:val="auto"/>
        </w:rPr>
      </w:pPr>
    </w:p>
    <w:p>
      <w:pPr>
        <w:jc w:val="both"/>
        <w:ind w:firstLine="360"/>
        <w:spacing w:after="0" w:line="287"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76"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w:t>
      </w:r>
    </w:p>
    <w:p>
      <w:pPr>
        <w:spacing w:after="0" w:line="86" w:lineRule="exact"/>
        <w:rPr>
          <w:sz w:val="20"/>
          <w:szCs w:val="20"/>
          <w:color w:val="auto"/>
        </w:rPr>
      </w:pPr>
    </w:p>
    <w:p>
      <w:pPr>
        <w:ind w:right="180" w:firstLine="360"/>
        <w:spacing w:after="0" w:line="281"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85"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18"/>
          <w:szCs w:val="18"/>
          <w:color w:val="auto"/>
        </w:rPr>
        <w:t>Any ordinary shares will be listed on the Nasdaq,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8"/>
          <w:szCs w:val="18"/>
          <w:color w:val="auto"/>
        </w:rPr>
        <w:t>of these transactions may be to stabilize or maintain the market price of the securities at a level above that which might otherwise prevail in the open market. These transactions may be discontinued at any time.</w:t>
      </w:r>
    </w:p>
    <w:p>
      <w:pPr>
        <w:spacing w:after="0" w:line="41" w:lineRule="exact"/>
        <w:rPr>
          <w:sz w:val="20"/>
          <w:szCs w:val="20"/>
          <w:color w:val="auto"/>
        </w:rPr>
      </w:pPr>
    </w:p>
    <w:p>
      <w:pPr>
        <w:ind w:right="140" w:firstLine="360"/>
        <w:spacing w:after="0" w:line="284"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6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ordinary shares, and may use securities received from us in settlement of those derivatives to close out any related open borrowings of ordinary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31" w:lineRule="exact"/>
        <w:rPr>
          <w:sz w:val="20"/>
          <w:szCs w:val="20"/>
          <w:color w:val="auto"/>
        </w:rPr>
      </w:pPr>
    </w:p>
    <w:p>
      <w:pPr>
        <w:ind w:right="80" w:firstLine="360"/>
        <w:spacing w:after="0" w:line="313"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54" w:lineRule="exact"/>
        <w:rPr>
          <w:sz w:val="20"/>
          <w:szCs w:val="20"/>
          <w:color w:val="auto"/>
        </w:rPr>
      </w:pPr>
    </w:p>
    <w:p>
      <w:pPr>
        <w:ind w:right="60" w:firstLine="360"/>
        <w:spacing w:after="0" w:line="313" w:lineRule="auto"/>
        <w:rPr>
          <w:sz w:val="20"/>
          <w:szCs w:val="20"/>
          <w:color w:val="auto"/>
        </w:rPr>
      </w:pPr>
      <w:r>
        <w:rPr>
          <w:rFonts w:ascii="Times New Roman" w:cs="Times New Roman" w:eastAsia="Times New Roman" w:hAnsi="Times New Roman"/>
          <w:sz w:val="18"/>
          <w:szCs w:val="18"/>
          <w:color w:val="auto"/>
        </w:rPr>
        <w:t>Our securities may not be offered, sold, placed or underwritten and nothing may be done in Ireland in respect of any such securities, otherwise than in conformity, where relevant, with the provisions of:</w:t>
      </w:r>
    </w:p>
    <w:p>
      <w:pPr>
        <w:spacing w:after="0" w:line="41" w:lineRule="exact"/>
        <w:rPr>
          <w:sz w:val="20"/>
          <w:szCs w:val="20"/>
          <w:color w:val="auto"/>
        </w:rPr>
      </w:pPr>
    </w:p>
    <w:p>
      <w:pPr>
        <w:jc w:val="both"/>
        <w:ind w:left="660" w:right="120" w:hanging="328"/>
        <w:spacing w:after="0" w:line="29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Regulation, Commission Delegated Regulation (EU) 2019/980, Commission Delegated Regulation (EU) 2019/979, the European Union (Prospectus) Regulations 2019 of Ireland and any Central Bank of Ireland rules issued and/or in force pursuant to section 1363 of the Irish Companies Act;</w:t>
      </w:r>
    </w:p>
    <w:p>
      <w:pPr>
        <w:spacing w:after="0" w:line="5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Companies Act;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(Markets in Financial Instruments) Regulations 2017 of Ireland, as amended;</w:t>
      </w:r>
    </w:p>
    <w:p>
      <w:pPr>
        <w:spacing w:after="0" w:line="144" w:lineRule="exact"/>
        <w:rPr>
          <w:rFonts w:ascii="Times New Roman" w:cs="Times New Roman" w:eastAsia="Times New Roman" w:hAnsi="Times New Roman"/>
          <w:sz w:val="18"/>
          <w:szCs w:val="18"/>
          <w:color w:val="auto"/>
        </w:rPr>
      </w:pPr>
    </w:p>
    <w:p>
      <w:pPr>
        <w:ind w:left="660" w:right="140" w:hanging="328"/>
        <w:spacing w:after="0" w:line="28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596/2014 of the European Parliament and of the Council of 16 April 2014 on market abuse, the European Union (Market Abuse) Regulations 2016 of Ireland and any Central Bank of Ireland rules issued and/or in force pursuant to section 1370 of the Irish Companies Act;</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PRIIPs Regulation; and</w:t>
      </w:r>
    </w:p>
    <w:p>
      <w:pPr>
        <w:spacing w:after="0" w:line="144" w:lineRule="exact"/>
        <w:rPr>
          <w:rFonts w:ascii="Times New Roman" w:cs="Times New Roman" w:eastAsia="Times New Roman" w:hAnsi="Times New Roman"/>
          <w:sz w:val="18"/>
          <w:szCs w:val="18"/>
          <w:color w:val="auto"/>
        </w:rPr>
      </w:pPr>
    </w:p>
    <w:p>
      <w:pPr>
        <w:ind w:left="660" w:right="300" w:hanging="328"/>
        <w:spacing w:after="0" w:line="29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Acts 1942 to 2018 of Ireland, as amended and any codes of conduct rules made under section 117(1) of the Central Bank Act 1989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firstLine="360"/>
        <w:spacing w:after="0" w:line="289" w:lineRule="auto"/>
        <w:rPr>
          <w:sz w:val="20"/>
          <w:szCs w:val="20"/>
          <w:color w:val="auto"/>
        </w:rPr>
      </w:pPr>
      <w:r>
        <w:rPr>
          <w:rFonts w:ascii="Times New Roman" w:cs="Times New Roman" w:eastAsia="Times New Roman" w:hAnsi="Times New Roman"/>
          <w:sz w:val="18"/>
          <w:szCs w:val="18"/>
          <w:color w:val="auto"/>
        </w:rPr>
        <w:t>Certain U.S. legal matters in connection with the securities will be passed upon for us by King &amp; Spalding LLP. Certain Irish legal matters in connection with the securities will be passed upon for us by our special Irish counsel, Matheson LLP. Certain Bermuda legal matters in connection with the securities will be passed upon for us by our special Bermuda counsel, Conyers Dill &amp; Pearman Limited.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ind w:right="120" w:firstLine="360"/>
        <w:spacing w:after="0" w:line="287" w:lineRule="auto"/>
        <w:rPr>
          <w:sz w:val="20"/>
          <w:szCs w:val="20"/>
          <w:color w:val="auto"/>
        </w:rPr>
      </w:pPr>
      <w:r>
        <w:rPr>
          <w:rFonts w:ascii="Times New Roman" w:cs="Times New Roman" w:eastAsia="Times New Roman" w:hAnsi="Times New Roman"/>
          <w:sz w:val="18"/>
          <w:szCs w:val="18"/>
          <w:color w:val="auto"/>
        </w:rPr>
        <w:t>The consolidated financial statements of Weatherford International plc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reports of KPMG LLP, independent registered public accounting firm, incorporated by reference herein, and upon the authority of said firm as experts in accounting and auditing.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p>
      <w:pPr>
        <w:spacing w:after="0" w:line="148" w:lineRule="exact"/>
        <w:rPr>
          <w:sz w:val="20"/>
          <w:szCs w:val="20"/>
          <w:color w:val="auto"/>
        </w:rPr>
      </w:pPr>
    </w:p>
    <w:p>
      <w:pPr>
        <w:ind w:right="340" w:firstLine="360"/>
        <w:spacing w:after="0" w:line="297" w:lineRule="auto"/>
        <w:rPr>
          <w:sz w:val="20"/>
          <w:szCs w:val="20"/>
          <w:color w:val="auto"/>
        </w:rPr>
      </w:pPr>
      <w:r>
        <w:rPr>
          <w:rFonts w:ascii="Times New Roman" w:cs="Times New Roman" w:eastAsia="Times New Roman" w:hAnsi="Times New Roman"/>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Conyers Dill &amp; Pearman Limited’s affiliated company, Conyers Corporate Services (Bermuda) Limited, is Weatherford Bermuda’s Secretary.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148" w:lineRule="exact"/>
        <w:rPr>
          <w:sz w:val="20"/>
          <w:szCs w:val="20"/>
          <w:color w:val="auto"/>
        </w:rPr>
      </w:pPr>
    </w:p>
    <w:p>
      <w:pPr>
        <w:ind w:right="60" w:firstLine="360"/>
        <w:spacing w:after="0" w:line="285" w:lineRule="auto"/>
        <w:rPr>
          <w:sz w:val="20"/>
          <w:szCs w:val="20"/>
          <w:color w:val="auto"/>
        </w:rPr>
      </w:pPr>
      <w:r>
        <w:rPr>
          <w:rFonts w:ascii="Times New Roman" w:cs="Times New Roman" w:eastAsia="Times New Roman" w:hAnsi="Times New Roman"/>
          <w:sz w:val="18"/>
          <w:szCs w:val="18"/>
          <w:color w:val="auto"/>
        </w:rPr>
        <w:t>Weatherford Ireland has been advised by its Irish counsel, Matheson LLP, that there is some uncertainty as to whether the courts of Ireland would recognize or enforce judgments obtained against Weatherford Ireland or its directors or officers in a U.S. court based on the civil liabilities provisions of U.S. federal or state laws. The United States and Ireland do not currently have a treaty providing for recognition and enforcement of judgments (other than arbitration awards) in civil and commercial matters, and accordingly, common law rules apply in order to determine whether a judgment of a U.S. federal or state court is enforceable in Ireland.</w:t>
      </w:r>
    </w:p>
    <w:p>
      <w:pPr>
        <w:spacing w:after="0" w:line="81" w:lineRule="exact"/>
        <w:rPr>
          <w:sz w:val="20"/>
          <w:szCs w:val="20"/>
          <w:color w:val="auto"/>
        </w:rPr>
      </w:pPr>
    </w:p>
    <w:p>
      <w:pPr>
        <w:ind w:right="520" w:firstLine="360"/>
        <w:spacing w:after="0" w:line="297" w:lineRule="auto"/>
        <w:rPr>
          <w:sz w:val="20"/>
          <w:szCs w:val="20"/>
          <w:color w:val="auto"/>
        </w:rPr>
      </w:pPr>
      <w:r>
        <w:rPr>
          <w:rFonts w:ascii="Times New Roman" w:cs="Times New Roman" w:eastAsia="Times New Roman" w:hAnsi="Times New Roman"/>
          <w:sz w:val="18"/>
          <w:szCs w:val="18"/>
          <w:color w:val="auto"/>
        </w:rPr>
        <w:t>A judgment of a U.S. federal or state courts obtained against Weatherford Ireland will be enforced by the courts of Ireland only if the following general requirements are met:</w:t>
      </w:r>
    </w:p>
    <w:p>
      <w:pPr>
        <w:spacing w:after="0" w:line="68" w:lineRule="exact"/>
        <w:rPr>
          <w:sz w:val="20"/>
          <w:szCs w:val="20"/>
          <w:color w:val="auto"/>
        </w:rPr>
      </w:pPr>
    </w:p>
    <w:p>
      <w:pPr>
        <w:ind w:left="660" w:right="580" w:hanging="328"/>
        <w:spacing w:after="0" w:line="313"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or state courts must have had jurisdiction in relation to the particular defendant according to Irish conflict of law rules (the voluntary submission to jurisdiction by the defendant would satisfy this rule);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must be final and conclusive and the decree must be final and unalterable in the court which pronounces it.</w:t>
      </w:r>
    </w:p>
    <w:p>
      <w:pPr>
        <w:spacing w:after="0" w:line="131" w:lineRule="exact"/>
        <w:rPr>
          <w:sz w:val="20"/>
          <w:szCs w:val="20"/>
          <w:color w:val="auto"/>
        </w:rPr>
      </w:pPr>
    </w:p>
    <w:p>
      <w:pPr>
        <w:ind w:right="40" w:firstLine="360"/>
        <w:spacing w:after="0" w:line="287" w:lineRule="auto"/>
        <w:rPr>
          <w:sz w:val="20"/>
          <w:szCs w:val="20"/>
          <w:color w:val="auto"/>
        </w:rPr>
      </w:pPr>
      <w:r>
        <w:rPr>
          <w:rFonts w:ascii="Times New Roman" w:cs="Times New Roman" w:eastAsia="Times New Roman" w:hAnsi="Times New Roman"/>
          <w:sz w:val="18"/>
          <w:szCs w:val="18"/>
          <w:color w:val="auto"/>
        </w:rPr>
        <w:t>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the U.S. federal or state courts which meets the above requirements for one of the following reasons:</w:t>
      </w:r>
    </w:p>
    <w:p>
      <w:pPr>
        <w:spacing w:after="0" w:line="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for a definite sum of money;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in Ireland would be contrary to natural or constitutional justice;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contrary to Irish public policy or involves certain U.S. laws which will not be enforced in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360" w:hanging="328"/>
        <w:spacing w:after="0" w:line="31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cannot be obtained by the Irish courts over the judgment debtors in the enforcement proceedings by personal service in Ireland or outside Ireland under Order 11 of the Rules of the Irish Superior Courts;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irreconcilable with an earlier judgment of the courts of Ireland in relation to the same matter; or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proceedings are not instituted in Ireland within six years of the date of the judgment of the U.S. federal and state courts.</w:t>
      </w:r>
    </w:p>
    <w:p>
      <w:pPr>
        <w:spacing w:after="0" w:line="144"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18"/>
          <w:szCs w:val="18"/>
          <w:color w:val="auto"/>
        </w:rPr>
        <w:t>Weatherford Bermuda has been advised by its Bermuda counsel, Conyers Dill &amp; Pearman Limited, that a judgment for the payment of money rendered by a court in the United States based on civil liability, including the civil liability provisions of the U.S. federal securities laws, would not be automatically enforceable in Bermuda. Weatherford Bermuda has also been advised by Conyers Dill &amp; Pearman Limited that a Bermuda court would be likely to enforce a final and conclusive judgment in personam, which means a judgment against a specific person rather than against specific property, obtained in a court in the United States under which a sum of money is payable, other than a sum of money payable in respect of multiple damages, taxes or other charges of a similar nature or in respect of a fine or other penalty, provided that:</w:t>
      </w:r>
    </w:p>
    <w:p>
      <w:pPr>
        <w:spacing w:after="0" w:line="8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had proper jurisdiction over the parties subject to such judgment;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did not contravene the rules of natural justice of Bermuda;</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U.S. court was not obtained by fraud;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would not be contrary to the public policy of Bermuda;</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admissible evidence relevant to the action is submitted prior to the rendering of the judgment by the courts of Bermuda;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due compliance with the correct procedures under the laws of Bermuda.</w:t>
      </w:r>
    </w:p>
    <w:p>
      <w:pPr>
        <w:spacing w:after="0" w:line="144"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18"/>
          <w:szCs w:val="18"/>
          <w:color w:val="auto"/>
        </w:rPr>
        <w:t>Further, Weatherford Bermuda has been advised by Conyers Dill &amp; Pearman Limited that a U.S. investor cannot bring an original action before a Bermuda court against Weatherford Bermuda, affiliates of Weatherford Bermuda, any underwriters or experts named in this prospectus based on U.S. legislation, including the U.S. federal securities laws, because U.S. legislation has no extraterritorial jurisdiction under Bermuda law and does not have force of law in Bermuda. However, we have also been advised by Conyers Dill &amp; Pearman Limited that a Bermuda court may impose civil liability, including the possibility of monetary damages, on Weatherford Bermuda or its directors or officers if the facts alleged in a complaint constitute or give rise to a cause of action under Bermuda law. Some remedies available under the laws of U.S. jurisdictions, including some remedies available under the U.S. federal securities laws, may not be allowed in Bermuda courts as contrary to Bermuda public policy.</w:t>
      </w:r>
    </w:p>
    <w:p>
      <w:pPr>
        <w:spacing w:after="0" w:line="86"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8"/>
          <w:szCs w:val="18"/>
          <w:color w:val="auto"/>
        </w:rPr>
        <w:t>It may be difficult for a securityholder to effect service of process within the United States or to enforce judgments obtained against any of Weatherford Ireland or Weatherford Bermuda in U.S. courts. Each of Weatherford Ireland and Weatherford Bermuda has agreed that it may be served with process with respect to actions based on offers and sales of securities made in the United States and other violations of U.S. securities laws by having Weatherford Delaware, a Delaware limited liability company and wholly owned subsidiary of Weatherford Ireland, be its United States agent appointed for that purpose. Weatherford Delaware is located at 2000 St. James Place, Houston, Texas 77056. A judgment obtained against any of Weatherford Ireland or Weatherford Bermuda in a U.S. court would be enforceable in the United States but could be executed upon only to the extent such company has assets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80"/>
          </w:cols>
          <w:pgMar w:left="320" w:top="118" w:right="399" w:bottom="1440" w:gutter="0" w:footer="0" w:header="0"/>
        </w:sectPr>
      </w:pPr>
    </w:p>
    <w:bookmarkStart w:id="35" w:name="page36"/>
    <w:bookmarkEnd w:id="35"/>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48" w:lineRule="exact"/>
        <w:rPr>
          <w:sz w:val="20"/>
          <w:szCs w:val="20"/>
          <w:color w:val="auto"/>
        </w:rPr>
      </w:pPr>
    </w:p>
    <w:p>
      <w:pPr>
        <w:ind w:right="540" w:firstLine="324"/>
        <w:spacing w:after="0" w:line="313" w:lineRule="auto"/>
        <w:rPr>
          <w:sz w:val="20"/>
          <w:szCs w:val="20"/>
          <w:color w:val="auto"/>
        </w:rPr>
      </w:pPr>
      <w:r>
        <w:rPr>
          <w:rFonts w:ascii="Times New Roman" w:cs="Times New Roman" w:eastAsia="Times New Roman" w:hAnsi="Times New Roman"/>
          <w:sz w:val="18"/>
          <w:szCs w:val="18"/>
          <w:color w:val="auto"/>
        </w:rPr>
        <w:t>The following table sets forth the best estimate of the registrants as to the anticipated expenses and costs (other than underwriting discounts and commissions) expected to be incurred in connection with the issuance and distribution of securities registered hereby:</w:t>
      </w:r>
    </w:p>
    <w:p>
      <w:pPr>
        <w:spacing w:after="0" w:line="66" w:lineRule="exact"/>
        <w:rPr>
          <w:sz w:val="20"/>
          <w:szCs w:val="20"/>
          <w:color w:val="auto"/>
        </w:rPr>
      </w:pPr>
    </w:p>
    <w:tbl>
      <w:tblPr>
        <w:tblLayout w:type="fixed"/>
        <w:tblInd w:w="2490" w:type="dxa"/>
        <w:tblCellMar>
          <w:top w:w="0" w:type="dxa"/>
          <w:left w:w="0" w:type="dxa"/>
          <w:bottom w:w="0" w:type="dxa"/>
          <w:right w:w="0" w:type="dxa"/>
        </w:tblCellMar>
      </w:tblPr>
      <w:tr>
        <w:trPr>
          <w:trHeight w:val="264"/>
        </w:trPr>
        <w:tc>
          <w:tcPr>
            <w:tcW w:w="5320" w:type="dxa"/>
            <w:vAlign w:val="bottom"/>
            <w:tcBorders>
              <w:top w:val="single" w:sz="8" w:color="auto"/>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SEC registration fee</w:t>
            </w:r>
          </w:p>
        </w:tc>
        <w:tc>
          <w:tcPr>
            <w:tcW w:w="980" w:type="dxa"/>
            <w:vAlign w:val="bottom"/>
            <w:tcBorders>
              <w:top w:val="single" w:sz="8" w:color="auto"/>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Legal fees and expenses</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2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9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Rating agency fees</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2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Transfer agent, registrar and trustee fees and expenses</w:t>
            </w:r>
          </w:p>
        </w:tc>
        <w:tc>
          <w:tcPr>
            <w:tcW w:w="9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Printing expenses</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2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Miscellaneous</w:t>
            </w:r>
          </w:p>
        </w:tc>
        <w:tc>
          <w:tcPr>
            <w:tcW w:w="9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84" w:lineRule="exact"/>
        <w:rPr>
          <w:sz w:val="20"/>
          <w:szCs w:val="20"/>
          <w:color w:val="auto"/>
        </w:rPr>
      </w:pPr>
    </w:p>
    <w:p>
      <w:pPr>
        <w:ind w:left="340" w:right="80" w:hanging="8"/>
        <w:spacing w:after="0" w:line="313" w:lineRule="auto"/>
        <w:tabs>
          <w:tab w:leader="none" w:pos="4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SEC registration fees have been deferred in accordance with Rules 456(b) and 457(r) of the Securities Act and will be paid at the time of any particular offering under this registration statement and are therefore not estimable at this time.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These fees are calculated based upon the number of issuances and amount of securities offered, and accordingly, cannot be estimated at this time.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Ireland</w:t>
      </w:r>
    </w:p>
    <w:p>
      <w:pPr>
        <w:spacing w:after="0" w:line="148"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18"/>
          <w:szCs w:val="18"/>
          <w:color w:val="auto"/>
        </w:rPr>
        <w:t>Subject to exceptions, the Irish Companies Act contains limitations that do not permit a company to exempt a director or certain officers from, or indemnify a director against, liability in connection with any negligence, default, breach of duty or breach of trust by a director in relation to Weatherford Ireland.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86"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8"/>
          <w:szCs w:val="18"/>
          <w:color w:val="auto"/>
        </w:rPr>
        <w:t>Weatherford Ireland’s Articles include a provision which, subject to the provisions of the Irish Companies Act as aforesaid, entitles every present and former director and other officer of Weatherford Ireland and each other person who is or was serving at the request of Weatherford Ireland as a director, officer, employee or agent of another company, or of a partnership, joint venture, trust or other enterprise or non-profit entity, including service with respect to employee benefit plans maintained or sponsored by Weatherford Ireland (including the heirs, executors, administrators and estates of such persons) to be indemnified and held harmless by Weatherford Ireland to the fullest extent permitted by law against all costs, charges, losses, expenses and liabilities incurred by him or her in the execution and discharge of his or her duties in relation thereto.</w:t>
      </w:r>
    </w:p>
    <w:p>
      <w:pPr>
        <w:spacing w:after="0" w:line="85" w:lineRule="exact"/>
        <w:rPr>
          <w:sz w:val="20"/>
          <w:szCs w:val="20"/>
          <w:color w:val="auto"/>
        </w:rPr>
      </w:pPr>
    </w:p>
    <w:p>
      <w:pPr>
        <w:ind w:right="160" w:firstLine="360"/>
        <w:spacing w:after="0" w:line="297" w:lineRule="auto"/>
        <w:rPr>
          <w:sz w:val="20"/>
          <w:szCs w:val="20"/>
          <w:color w:val="auto"/>
        </w:rPr>
      </w:pPr>
      <w:r>
        <w:rPr>
          <w:rFonts w:ascii="Times New Roman" w:cs="Times New Roman" w:eastAsia="Times New Roman" w:hAnsi="Times New Roman"/>
          <w:sz w:val="18"/>
          <w:szCs w:val="18"/>
          <w:color w:val="auto"/>
        </w:rPr>
        <w:t>In addition, Weatherford Ireland and Weatherford Bermuda have entered (and/or, if required, any other subsidiary of Weatherford Ireland may enter) into indemnification agreements (or deed poll indemnities) with or as to each of Weatherford Ireland’s directors and certain officers as well as with individuals serving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20"/>
          </w:cols>
          <w:pgMar w:left="320" w:top="1427" w:right="359" w:bottom="1440" w:gutter="0" w:footer="0" w:header="0"/>
        </w:sectPr>
      </w:pPr>
    </w:p>
    <w:bookmarkStart w:id="36" w:name="page37"/>
    <w:bookmarkEnd w:id="36"/>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permitted by Irish law, Weatherford Ireland has also taken out directors’ and officers’ liability insurance.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Bermuda</w:t>
      </w:r>
    </w:p>
    <w:p>
      <w:pPr>
        <w:spacing w:after="0" w:line="148"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18"/>
          <w:szCs w:val="18"/>
          <w:color w:val="auto"/>
        </w:rPr>
        <w:t>Section 98 of the Companies Act 1981 of Bermuda, as amended (the “Companies Act”), provides generally that a Bermuda company may indemnify its directors, officers and auditors against any liability which by virtue of any rule of law otherwise would be imposed on them in respect to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A company may advance monies to a director, officer or auditor for the costs, charges and expenses incurred by them in defending any civil or criminal proceedings against them, on condition that the director, officer or auditor shall repay the advance if any allegation of fraud or dishonesty is proved against them.</w:t>
      </w:r>
    </w:p>
    <w:p>
      <w:pPr>
        <w:spacing w:after="0" w:line="73" w:lineRule="exact"/>
        <w:rPr>
          <w:sz w:val="20"/>
          <w:szCs w:val="20"/>
          <w:color w:val="auto"/>
        </w:rPr>
      </w:pPr>
    </w:p>
    <w:p>
      <w:pPr>
        <w:ind w:right="140" w:firstLine="360"/>
        <w:spacing w:after="0" w:line="292" w:lineRule="auto"/>
        <w:rPr>
          <w:sz w:val="20"/>
          <w:szCs w:val="20"/>
          <w:color w:val="auto"/>
        </w:rPr>
      </w:pPr>
      <w:r>
        <w:rPr>
          <w:rFonts w:ascii="Times New Roman" w:cs="Times New Roman" w:eastAsia="Times New Roman" w:hAnsi="Times New Roman"/>
          <w:sz w:val="18"/>
          <w:szCs w:val="18"/>
          <w:color w:val="auto"/>
        </w:rPr>
        <w:t>Weatherford Bermuda has adopted provisions in its bye-laws that provide that Weatherford Bermuda shall indemnify its officers and directors in respect of their actions and omissions, except in respect of their fraud or dishonesty. Weatherford Bermuda’s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59" w:lineRule="exact"/>
        <w:rPr>
          <w:sz w:val="20"/>
          <w:szCs w:val="20"/>
          <w:color w:val="auto"/>
        </w:rPr>
      </w:pPr>
    </w:p>
    <w:p>
      <w:pPr>
        <w:ind w:right="20" w:firstLine="360"/>
        <w:spacing w:after="0" w:line="284" w:lineRule="auto"/>
        <w:rPr>
          <w:sz w:val="20"/>
          <w:szCs w:val="20"/>
          <w:color w:val="auto"/>
        </w:rPr>
      </w:pPr>
      <w:r>
        <w:rPr>
          <w:rFonts w:ascii="Times New Roman" w:cs="Times New Roman" w:eastAsia="Times New Roman" w:hAnsi="Times New Roman"/>
          <w:sz w:val="18"/>
          <w:szCs w:val="18"/>
          <w:color w:val="auto"/>
        </w:rPr>
        <w:t>Furthermore, Weatherford Bermuda has entered into indemnification agreements with certain of its directors and executive officers. The indemnification agreements require Weatherford Bermuda to indemnify its officers and directors, except for liability in respect of their fraud or dishonesty, against expenses (including attorneys’ fees and disbursements), judgments, penalties, fines and amounts paid in settlement actually and reasonably incurred in connection with any action, suit, arbitration, alternate dispute resolution mechanism, investigation, administrative hearing or any other proceeding whether civil, criminal, administrative or investigative and whether formal or informal. The indemnification agreements also provide that Weatherford Bermuda must pay all reasonable expenses incurred in advance of a final disposition.</w:t>
      </w:r>
    </w:p>
    <w:p>
      <w:pPr>
        <w:spacing w:after="0" w:line="83" w:lineRule="exact"/>
        <w:rPr>
          <w:sz w:val="20"/>
          <w:szCs w:val="20"/>
          <w:color w:val="auto"/>
        </w:rPr>
      </w:pPr>
    </w:p>
    <w:p>
      <w:pPr>
        <w:ind w:firstLine="360"/>
        <w:spacing w:after="0" w:line="287" w:lineRule="auto"/>
        <w:rPr>
          <w:sz w:val="20"/>
          <w:szCs w:val="20"/>
          <w:color w:val="auto"/>
        </w:rPr>
      </w:pPr>
      <w:r>
        <w:rPr>
          <w:rFonts w:ascii="Times New Roman" w:cs="Times New Roman" w:eastAsia="Times New Roman" w:hAnsi="Times New Roman"/>
          <w:sz w:val="18"/>
          <w:szCs w:val="18"/>
          <w:color w:val="auto"/>
        </w:rPr>
        <w:t>Section 98A of the Companies Act permits Weatherford Bermuda to purchase and maintain insurance for the benefit of any of its office or directors in respect of any loss or liability attaching to him in respect of any negligence, default, breach of duty, or breach of trust, whether or not Weatherford Bermuda may otherwise indemnify such officer or director. Weatherford Ireland’s directors’ and officers’ liability insurance covers the directors and officers of Weatherford Bermuda for such purposes.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Delaware</w:t>
      </w:r>
    </w:p>
    <w:p>
      <w:pPr>
        <w:spacing w:after="0" w:line="148" w:lineRule="exact"/>
        <w:rPr>
          <w:sz w:val="20"/>
          <w:szCs w:val="20"/>
          <w:color w:val="auto"/>
        </w:rPr>
      </w:pPr>
    </w:p>
    <w:p>
      <w:pPr>
        <w:ind w:right="120" w:firstLine="360"/>
        <w:spacing w:after="0" w:line="285" w:lineRule="auto"/>
        <w:rPr>
          <w:sz w:val="20"/>
          <w:szCs w:val="20"/>
          <w:color w:val="auto"/>
        </w:rPr>
      </w:pPr>
      <w:r>
        <w:rPr>
          <w:rFonts w:ascii="Times New Roman" w:cs="Times New Roman" w:eastAsia="Times New Roman" w:hAnsi="Times New Roman"/>
          <w:sz w:val="18"/>
          <w:szCs w:val="18"/>
          <w:color w:val="auto"/>
        </w:rPr>
        <w:t>Section 18-108 of the Delaware Limited Liability Company Act provides that, subject to such standards and restrictions, if any, as are set forth in its limited liability company agreement, a Delaware limited liability company may, and shall have the power to, indemnify and hold harmless any member or manager or other person from and against any and all claims and demands whatsoever. Weatherford Delaware’s limited liability company agreement provides for indemnification of the member, managers (if any), officers and directors (if any) of Weatherford Delaware, as well as, upon approval of the member, other employees or an affiliate of Weatherford Delaware,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31" w:right="339" w:bottom="1440" w:gutter="0" w:footer="0" w:header="0"/>
        </w:sectPr>
      </w:pPr>
    </w:p>
    <w:bookmarkStart w:id="37" w:name="page38"/>
    <w:bookmarkEnd w:id="37"/>
    <w:p>
      <w:pPr>
        <w:ind w:firstLine="360"/>
        <w:spacing w:after="0" w:line="281" w:lineRule="auto"/>
        <w:rPr>
          <w:sz w:val="20"/>
          <w:szCs w:val="20"/>
          <w:color w:val="auto"/>
        </w:rPr>
      </w:pPr>
      <w:r>
        <w:rPr>
          <w:rFonts w:ascii="Times New Roman" w:cs="Times New Roman" w:eastAsia="Times New Roman" w:hAnsi="Times New Roman"/>
          <w:sz w:val="18"/>
          <w:szCs w:val="18"/>
          <w:color w:val="auto"/>
        </w:rPr>
        <w:t>Furthermore, Weatherford Delaware has entered into indemnification agreements with certain of its officers. The indemnification agreements require Weatherford Delaware to indemnify its officers to the fullest extent permitted by applicable law against expenses (including attorneys’ fees and disbursements), judgments, penalties, fines and amounts paid in settlement actually and reasonably incurred in connection with any action, suit or proceeding, whether civil, criminal, administrative or investigative in nature if they acted in good faith or in a manner they reasonably believed to be in or not opposed to the best interests of Weatherford Delaware and, with respect to any criminal action or proceeding, had no reasonable cause to believe his or her conduct was unlawful. In an action brought by or in the right of Weatherford Delaware, as opposed to an action brought by a third party, no such indemnification shall be made in respect of any claim, issue or matter as to which applicable law expressly prohibits such indemnification by reason of an adjudication of liability of indemnitee to Weatherford Delaware (unless a court of competent jurisdiction determines otherwise). The indemnification agreements also provide that Weatherford Delaware must pay all reasonable expenses incurred in advance of a final disposition.</w:t>
      </w:r>
    </w:p>
    <w:p>
      <w:pPr>
        <w:spacing w:after="0" w:line="73" w:lineRule="exact"/>
        <w:rPr>
          <w:sz w:val="20"/>
          <w:szCs w:val="20"/>
          <w:color w:val="auto"/>
        </w:rPr>
      </w:pPr>
    </w:p>
    <w:p>
      <w:pPr>
        <w:ind w:right="60" w:firstLine="360"/>
        <w:spacing w:after="0" w:line="292" w:lineRule="auto"/>
        <w:rPr>
          <w:sz w:val="20"/>
          <w:szCs w:val="20"/>
          <w:color w:val="auto"/>
        </w:rPr>
      </w:pPr>
      <w:r>
        <w:rPr>
          <w:rFonts w:ascii="Times New Roman" w:cs="Times New Roman" w:eastAsia="Times New Roman" w:hAnsi="Times New Roman"/>
          <w:sz w:val="18"/>
          <w:szCs w:val="18"/>
          <w:color w:val="auto"/>
        </w:rPr>
        <w:t>In addition, Weatherford Ireland’s directors’ and officers’ liability insurance, subject to the terms and conditions of the policies, covers those persons who are or were an officer of Weatherford Delaware against liability asserted against or incurred by them in their capacity as such, whether or not Weatherford Delaware would have the power to indemnify such persons against such liability under the provisions of Weatherford Delaware’s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1431"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Item 16.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p>
      <w:pPr>
        <w:spacing w:after="0" w:line="1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484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41910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4940" w:space="720"/>
            <w:col w:w="5540"/>
          </w:cols>
          <w:pgMar w:left="320" w:top="1427" w:right="379" w:bottom="1440" w:gutter="0" w:footer="0" w:header="0"/>
          <w:type w:val="continuous"/>
        </w:sectPr>
      </w:pPr>
    </w:p>
    <w:p>
      <w:pPr>
        <w:ind w:left="280"/>
        <w:spacing w:after="0"/>
        <w:tabs>
          <w:tab w:leader="none" w:pos="7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Form of Underwriting Agreement*</w:t>
      </w:r>
    </w:p>
    <w:p>
      <w:pPr>
        <w:spacing w:after="0" w:line="36" w:lineRule="exact"/>
        <w:rPr>
          <w:sz w:val="20"/>
          <w:szCs w:val="20"/>
          <w:color w:val="auto"/>
        </w:rPr>
      </w:pPr>
    </w:p>
    <w:p>
      <w:pPr>
        <w:ind w:left="800" w:right="80" w:hanging="514"/>
        <w:spacing w:after="0" w:line="237" w:lineRule="auto"/>
        <w:tabs>
          <w:tab w:leader="none" w:pos="7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sz w:val="20"/>
          <w:szCs w:val="20"/>
          <w:color w:val="auto"/>
        </w:rPr>
        <w:tab/>
      </w:r>
      <w:hyperlink r:id="rId20">
        <w:r>
          <w:rPr>
            <w:rFonts w:ascii="Times New Roman" w:cs="Times New Roman" w:eastAsia="Times New Roman" w:hAnsi="Times New Roman"/>
            <w:sz w:val="18"/>
            <w:szCs w:val="18"/>
            <w:color w:val="auto"/>
          </w:rPr>
          <w:t>Amended and Restated Memorandum and Articles of Association of Weatherford International plc, (incorporated by reference to Exhibit 3.1 to</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color w:val="auto"/>
          </w:rPr>
          <w:t>Weatherford International plc’s Current Report on Form 8-K (File No. 1-36504) filed December 18,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jc w:val="both"/>
        <w:ind w:left="800" w:right="260" w:hanging="514"/>
        <w:spacing w:after="0" w:line="226" w:lineRule="auto"/>
        <w:tabs>
          <w:tab w:leader="none" w:pos="7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sz w:val="20"/>
          <w:szCs w:val="20"/>
          <w:color w:val="auto"/>
        </w:rPr>
        <w:tab/>
      </w:r>
      <w:hyperlink r:id="rId22">
        <w:r>
          <w:rPr>
            <w:rFonts w:ascii="Times New Roman" w:cs="Times New Roman" w:eastAsia="Times New Roman" w:hAnsi="Times New Roman"/>
            <w:sz w:val="18"/>
            <w:szCs w:val="18"/>
            <w:color w:val="auto"/>
          </w:rPr>
          <w:t>Memorandum of Association of Weatherford International Ltd., a Bermuda exempted company (incorporated by reference to Annex II to the</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color w:val="auto"/>
          </w:rPr>
          <w:t>proxy statement/prospectus included in Amendment No. 1 to the Registration Statement on Form S-4 of Weatherford International Ltd. (File</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color w:val="auto"/>
          </w:rPr>
          <w:t>No. 333-85644) filed May 22, 2002)</w:t>
        </w:r>
      </w:hyperlink>
    </w:p>
    <w:p>
      <w:pPr>
        <w:spacing w:after="0" w:line="9" w:lineRule="exact"/>
        <w:rPr>
          <w:rFonts w:ascii="Times New Roman" w:cs="Times New Roman" w:eastAsia="Times New Roman" w:hAnsi="Times New Roman"/>
          <w:sz w:val="18"/>
          <w:szCs w:val="18"/>
          <w:color w:val="auto"/>
        </w:rPr>
      </w:pPr>
    </w:p>
    <w:p>
      <w:pPr>
        <w:ind w:left="800" w:right="120" w:hanging="514"/>
        <w:spacing w:after="0" w:line="226" w:lineRule="auto"/>
        <w:tabs>
          <w:tab w:leader="none" w:pos="7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r>
        <w:rPr>
          <w:sz w:val="20"/>
          <w:szCs w:val="20"/>
          <w:color w:val="auto"/>
        </w:rPr>
        <w:tab/>
      </w:r>
      <w:hyperlink r:id="rId22">
        <w:r>
          <w:rPr>
            <w:rFonts w:ascii="Times New Roman" w:cs="Times New Roman" w:eastAsia="Times New Roman" w:hAnsi="Times New Roman"/>
            <w:sz w:val="18"/>
            <w:szCs w:val="18"/>
            <w:color w:val="auto"/>
          </w:rPr>
          <w:t>Certificate of Deposit of Memorandum of Increase of Share Capital of Weatherford International Ltd., a Bermuda exempted company</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color w:val="auto"/>
          </w:rPr>
          <w:t>(incorporated by reference to Annex II to the proxy statement/prospectus included in Amendment No. 1 to the Registration Statement on Form</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color w:val="auto"/>
          </w:rPr>
          <w:t>S-4 of Weatherford International Ltd. (File No. 333-85644), filed May 22, 2002)</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80"/>
        <w:spacing w:after="0"/>
        <w:tabs>
          <w:tab w:leader="none" w:pos="78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4.4</w:t>
      </w:r>
      <w:r>
        <w:rPr>
          <w:sz w:val="20"/>
          <w:szCs w:val="20"/>
          <w:color w:val="auto"/>
        </w:rPr>
        <w:tab/>
      </w:r>
      <w:hyperlink r:id="rId24">
        <w:r>
          <w:rPr>
            <w:rFonts w:ascii="Times New Roman" w:cs="Times New Roman" w:eastAsia="Times New Roman" w:hAnsi="Times New Roman"/>
            <w:sz w:val="17"/>
            <w:szCs w:val="17"/>
            <w:color w:val="auto"/>
          </w:rPr>
          <w:t>Bye-Laws of Weatherford International Ltd., a Bermuda exempted company, as amended on May 10, 2016 (incorporated by reference to Exhibit</w:t>
        </w:r>
      </w:hyperlink>
    </w:p>
    <w:p>
      <w:pPr>
        <w:ind w:left="800"/>
        <w:spacing w:after="0"/>
        <w:rPr>
          <w:rFonts w:ascii="Times New Roman" w:cs="Times New Roman" w:eastAsia="Times New Roman" w:hAnsi="Times New Roman"/>
          <w:sz w:val="18"/>
          <w:szCs w:val="18"/>
          <w:color w:val="auto"/>
        </w:rPr>
      </w:pPr>
      <w:hyperlink r:id="rId24">
        <w:r>
          <w:rPr>
            <w:rFonts w:ascii="Times New Roman" w:cs="Times New Roman" w:eastAsia="Times New Roman" w:hAnsi="Times New Roman"/>
            <w:sz w:val="18"/>
            <w:szCs w:val="18"/>
            <w:color w:val="auto"/>
          </w:rPr>
          <w:t>3.4 to the Registration Statement on Form S-3 of Weatherford International plc (File No. 333-216034), filed February 13, 2017)</w:t>
        </w:r>
      </w:hyperlink>
    </w:p>
    <w:p>
      <w:pPr>
        <w:spacing w:after="0" w:line="16" w:lineRule="exact"/>
        <w:rPr>
          <w:rFonts w:ascii="Times New Roman" w:cs="Times New Roman" w:eastAsia="Times New Roman" w:hAnsi="Times New Roman"/>
          <w:sz w:val="18"/>
          <w:szCs w:val="18"/>
          <w:color w:val="auto"/>
        </w:rPr>
      </w:pPr>
    </w:p>
    <w:p>
      <w:pPr>
        <w:jc w:val="both"/>
        <w:ind w:left="800" w:right="20" w:hanging="514"/>
        <w:spacing w:after="0" w:line="226" w:lineRule="auto"/>
        <w:tabs>
          <w:tab w:leader="none" w:pos="7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r>
        <w:rPr>
          <w:sz w:val="20"/>
          <w:szCs w:val="20"/>
          <w:color w:val="auto"/>
        </w:rPr>
        <w:tab/>
      </w:r>
      <w:hyperlink r:id="rId25">
        <w:r>
          <w:rPr>
            <w:rFonts w:ascii="Times New Roman" w:cs="Times New Roman" w:eastAsia="Times New Roman" w:hAnsi="Times New Roman"/>
            <w:sz w:val="18"/>
            <w:szCs w:val="18"/>
            <w:color w:val="auto"/>
          </w:rPr>
          <w:t>Certificate of Assistant Secretary of Weatherford International Ltd., a Bermuda exempted company, as to the adoption of a resolution increasing</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color w:val="auto"/>
          </w:rPr>
          <w:t>authorized share capital (incorporated by reference to Exhibit 4.1 to the Current Report on Form 8-K of Weatherford International Ltd. (File No.</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color w:val="auto"/>
          </w:rPr>
          <w:t>1-31339), filed May 15, 2006)</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800" w:right="200" w:hanging="514"/>
        <w:spacing w:after="0" w:line="237" w:lineRule="auto"/>
        <w:tabs>
          <w:tab w:leader="none" w:pos="7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r>
        <w:rPr>
          <w:sz w:val="20"/>
          <w:szCs w:val="20"/>
          <w:color w:val="auto"/>
        </w:rPr>
        <w:tab/>
      </w:r>
      <w:hyperlink r:id="rId27">
        <w:r>
          <w:rPr>
            <w:rFonts w:ascii="Times New Roman" w:cs="Times New Roman" w:eastAsia="Times New Roman" w:hAnsi="Times New Roman"/>
            <w:sz w:val="18"/>
            <w:szCs w:val="18"/>
            <w:color w:val="auto"/>
          </w:rPr>
          <w:t>Certificate of Formation of Weatherford International, LLC, a Delaware limited liability company (incorporated by reference to Exhibit 4.7 to</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color w:val="auto"/>
          </w:rPr>
          <w:t>the Registration Statement on Form S-3 of Weatherford International Ltd. (File No. 333-194431), filed March 7, 2014)</w:t>
        </w:r>
      </w:hyperlink>
    </w:p>
    <w:p>
      <w:pPr>
        <w:spacing w:after="0" w:line="10" w:lineRule="exact"/>
        <w:rPr>
          <w:sz w:val="20"/>
          <w:szCs w:val="20"/>
          <w:color w:val="auto"/>
        </w:rPr>
      </w:pPr>
    </w:p>
    <w:p>
      <w:pPr>
        <w:ind w:left="280"/>
        <w:spacing w:after="0"/>
        <w:tabs>
          <w:tab w:leader="none" w:pos="7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First Amended and Restated Limited Liability Company Agreement of Weatherford International,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800" w:right="220" w:hanging="514"/>
        <w:spacing w:after="0" w:line="234" w:lineRule="auto"/>
        <w:tabs>
          <w:tab w:leader="none" w:pos="7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Form of Indenture among Weatherford International plc, Weatherford International Ltd., Weatherford International, LLC, and Deutsche Bank Trust Company Americas,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 w:lineRule="exact"/>
        <w:rPr>
          <w:sz w:val="20"/>
          <w:szCs w:val="20"/>
          <w:color w:val="auto"/>
        </w:rPr>
      </w:pPr>
    </w:p>
    <w:p>
      <w:pPr>
        <w:ind w:left="280"/>
        <w:spacing w:after="0"/>
        <w:tabs>
          <w:tab w:leader="none" w:pos="78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Form of Debt Security (included as part of Exhibit 4.8)</w:t>
      </w:r>
    </w:p>
    <w:p>
      <w:pPr>
        <w:spacing w:after="0" w:line="50"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color w:val="auto"/>
        </w:rPr>
        <w:t>Form of Guarantee (included as part of Exhibit 4.8)</w:t>
      </w:r>
    </w:p>
    <w:p>
      <w:pPr>
        <w:spacing w:after="0" w:line="36"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Form of Purchase Contract Agreement relating to Share Purchase Contracts and Share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Form of Pledge Agreement for Share Purchase Contracts and Share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color w:val="auto"/>
        </w:rPr>
        <w:t>Form of Option Agreement*</w:t>
      </w:r>
    </w:p>
    <w:p>
      <w:pPr>
        <w:spacing w:after="0" w:line="50"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color w:val="auto"/>
        </w:rPr>
        <w:t>Form of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80"/>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Opinion of King &amp; Spalding LLP</w:t>
      </w:r>
    </w:p>
    <w:p>
      <w:pPr>
        <w:spacing w:after="0" w:line="50" w:lineRule="exact"/>
        <w:rPr>
          <w:sz w:val="20"/>
          <w:szCs w:val="20"/>
          <w:color w:val="auto"/>
        </w:rPr>
      </w:pPr>
    </w:p>
    <w:p>
      <w:pPr>
        <w:ind w:left="280"/>
        <w:spacing w:after="0"/>
        <w:tabs>
          <w:tab w:leader="none" w:pos="7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Opinion of Matheson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80"/>
        <w:spacing w:after="0"/>
        <w:tabs>
          <w:tab w:leader="none" w:pos="7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Opinion of Conyers Dill &amp; Pearman Limited</w:t>
      </w:r>
    </w:p>
    <w:p>
      <w:pPr>
        <w:spacing w:after="0" w:line="50"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King &amp; Spalding LLP (included in its opinion filed as Exhibit 5.1)</w:t>
      </w:r>
    </w:p>
    <w:p>
      <w:pPr>
        <w:spacing w:after="0" w:line="36"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Consent of Matheson LLP (included in its opinion filed as Exhibit 5.2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Consent of Conyers Dill &amp; Pearman Limited (included in its opinion filed as Exhibit 5.3)</w:t>
      </w:r>
    </w:p>
    <w:p>
      <w:pPr>
        <w:spacing w:after="0" w:line="36"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color w:val="auto"/>
        </w:rPr>
        <w:t>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Power of Attorney for officers and directors of Weatherford International plc (included as part of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Power of Attorney for officers and directors of Weatherford International Ltd. (included as part of signature page)</w:t>
      </w:r>
    </w:p>
    <w:p>
      <w:pPr>
        <w:spacing w:after="0" w:line="23"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7"/>
          <w:szCs w:val="17"/>
          <w:color w:val="auto"/>
        </w:rPr>
        <w:t>Power of Attorney for officers and directors of Weatherford International, LLC (included as part of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800" w:right="180" w:hanging="559"/>
        <w:spacing w:after="0" w:line="234" w:lineRule="auto"/>
        <w:tabs>
          <w:tab w:leader="none" w:pos="780" w:val="left"/>
        </w:tabs>
        <w:rPr>
          <w:sz w:val="20"/>
          <w:szCs w:val="20"/>
          <w:color w:val="auto"/>
        </w:rPr>
      </w:pPr>
      <w:r>
        <w:rPr>
          <w:rFonts w:ascii="Times New Roman" w:cs="Times New Roman" w:eastAsia="Times New Roman" w:hAnsi="Times New Roman"/>
          <w:sz w:val="18"/>
          <w:szCs w:val="18"/>
          <w:color w:val="auto"/>
        </w:rPr>
        <w:t>25.1</w:t>
        <w:tab/>
        <w:t>Form T-1 Statement of Eligibility under the Trust Indenture Act of 1939, as amended, of Deutsche Bank Trust Company Americas, as Trustee under the Indenture</w:t>
      </w:r>
    </w:p>
    <w:p>
      <w:pPr>
        <w:spacing w:after="0" w:line="10" w:lineRule="exact"/>
        <w:rPr>
          <w:sz w:val="20"/>
          <w:szCs w:val="20"/>
          <w:color w:val="auto"/>
        </w:rPr>
      </w:pPr>
    </w:p>
    <w:p>
      <w:pPr>
        <w:ind w:left="800" w:hanging="542"/>
        <w:spacing w:after="0"/>
        <w:tabs>
          <w:tab w:leader="none" w:pos="8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Filing Fee Table</w:t>
      </w:r>
    </w:p>
    <w:p>
      <w:pPr>
        <w:spacing w:after="0" w:line="90" w:lineRule="exact"/>
        <w:rPr>
          <w:rFonts w:ascii="Times New Roman" w:cs="Times New Roman" w:eastAsia="Times New Roman" w:hAnsi="Times New Roman"/>
          <w:sz w:val="18"/>
          <w:szCs w:val="18"/>
          <w:color w:val="auto"/>
        </w:rPr>
      </w:pPr>
    </w:p>
    <w:p>
      <w:pPr>
        <w:ind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by amendment or pursuant to a report filed pursuant to Section 13 or 15(d) of the Securities Exchange Act of 1934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00"/>
          </w:cols>
          <w:pgMar w:left="320" w:top="1427"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registrants hereby undertake:</w:t>
      </w:r>
    </w:p>
    <w:p>
      <w:pPr>
        <w:spacing w:after="0" w:line="131"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4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ind w:right="40" w:firstLine="656"/>
        <w:spacing w:after="0" w:line="281" w:lineRule="auto"/>
        <w:tabs>
          <w:tab w:leader="none" w:pos="91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price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4" w:lineRule="exact"/>
        <w:rPr>
          <w:rFonts w:ascii="Times New Roman" w:cs="Times New Roman" w:eastAsia="Times New Roman" w:hAnsi="Times New Roman"/>
          <w:sz w:val="18"/>
          <w:szCs w:val="18"/>
          <w:color w:val="auto"/>
        </w:rPr>
      </w:pPr>
    </w:p>
    <w:p>
      <w:pPr>
        <w:ind w:right="540" w:firstLine="656"/>
        <w:spacing w:after="0" w:line="313" w:lineRule="auto"/>
        <w:tabs>
          <w:tab w:leader="none" w:pos="96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(1)(i), (1)(ii) and (1)(iii) do not apply if the registration statement is on Form S-3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registrants pursuant to Section 13 or Section 15(d) of the Exchange Act that are incorporated by reference in the registration statement, or is contained in a form of prospectus filed pursuant to Rule 424(b) that is part of the registration statement.</w:t>
      </w:r>
    </w:p>
    <w:p>
      <w:pPr>
        <w:spacing w:after="0" w:line="78" w:lineRule="exact"/>
        <w:rPr>
          <w:sz w:val="20"/>
          <w:szCs w:val="20"/>
          <w:color w:val="auto"/>
        </w:rPr>
      </w:pPr>
    </w:p>
    <w:p>
      <w:pPr>
        <w:ind w:right="320" w:firstLine="8"/>
        <w:spacing w:after="0" w:line="289"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8"/>
          <w:szCs w:val="18"/>
          <w:color w:val="auto"/>
        </w:rPr>
      </w:pPr>
    </w:p>
    <w:p>
      <w:pPr>
        <w:ind w:right="200" w:firstLine="8"/>
        <w:spacing w:after="0" w:line="297"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44" w:lineRule="exact"/>
        <w:rPr>
          <w:rFonts w:ascii="Times New Roman" w:cs="Times New Roman" w:eastAsia="Times New Roman" w:hAnsi="Times New Roman"/>
          <w:sz w:val="18"/>
          <w:szCs w:val="18"/>
          <w:color w:val="auto"/>
        </w:rPr>
      </w:pPr>
    </w:p>
    <w:p>
      <w:pPr>
        <w:ind w:right="280" w:firstLine="656"/>
        <w:spacing w:after="0" w:line="313" w:lineRule="auto"/>
        <w:tabs>
          <w:tab w:leader="none" w:pos="8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40" w:lineRule="exact"/>
        <w:rPr>
          <w:rFonts w:ascii="Times New Roman" w:cs="Times New Roman" w:eastAsia="Times New Roman" w:hAnsi="Times New Roman"/>
          <w:sz w:val="18"/>
          <w:szCs w:val="18"/>
          <w:color w:val="auto"/>
        </w:rPr>
      </w:pPr>
    </w:p>
    <w:p>
      <w:pPr>
        <w:ind w:firstLine="656"/>
        <w:spacing w:after="0" w:line="299" w:lineRule="auto"/>
        <w:tabs>
          <w:tab w:leader="none" w:pos="913"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00"/>
          </w:cols>
          <w:pgMar w:left="320" w:top="1427" w:right="379" w:bottom="1440" w:gutter="0" w:footer="0" w:header="0"/>
        </w:sectPr>
      </w:pPr>
    </w:p>
    <w:bookmarkStart w:id="40" w:name="page41"/>
    <w:bookmarkEnd w:id="40"/>
    <w:p>
      <w:pPr>
        <w:ind w:right="60" w:firstLine="8"/>
        <w:spacing w:after="0" w:line="285"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registrants under the Securities Act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each of the undersigned registrants offering securities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registrants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right="580" w:firstLine="656"/>
        <w:spacing w:after="0" w:line="313" w:lineRule="auto"/>
        <w:tabs>
          <w:tab w:leader="none" w:pos="91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registrants or used or referred to by the undersigned registrants;</w:t>
      </w:r>
    </w:p>
    <w:p>
      <w:pPr>
        <w:spacing w:after="0" w:line="54" w:lineRule="exact"/>
        <w:rPr>
          <w:rFonts w:ascii="Times New Roman" w:cs="Times New Roman" w:eastAsia="Times New Roman" w:hAnsi="Times New Roman"/>
          <w:sz w:val="18"/>
          <w:szCs w:val="18"/>
          <w:color w:val="auto"/>
        </w:rPr>
      </w:pPr>
    </w:p>
    <w:p>
      <w:pPr>
        <w:ind w:right="160" w:firstLine="656"/>
        <w:spacing w:after="0" w:line="297" w:lineRule="auto"/>
        <w:tabs>
          <w:tab w:leader="none" w:pos="96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6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registrants to the purchaser.</w:t>
      </w:r>
    </w:p>
    <w:p>
      <w:pPr>
        <w:spacing w:after="0" w:line="144" w:lineRule="exact"/>
        <w:rPr>
          <w:sz w:val="20"/>
          <w:szCs w:val="20"/>
          <w:color w:val="auto"/>
        </w:rPr>
      </w:pPr>
    </w:p>
    <w:p>
      <w:pPr>
        <w:ind w:firstLine="648"/>
        <w:spacing w:after="0" w:line="285" w:lineRule="auto"/>
        <w:rPr>
          <w:sz w:val="20"/>
          <w:szCs w:val="20"/>
          <w:color w:val="auto"/>
        </w:rPr>
      </w:pPr>
      <w:r>
        <w:rPr>
          <w:rFonts w:ascii="Times New Roman" w:cs="Times New Roman" w:eastAsia="Times New Roman" w:hAnsi="Times New Roman"/>
          <w:sz w:val="18"/>
          <w:szCs w:val="18"/>
          <w:color w:val="auto"/>
        </w:rPr>
        <w:t>The undersigned registrants hereby undertake that, for purposes of determining any liability under the Securities Act, each filing of Weatherford International plc’s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1" w:lineRule="exact"/>
        <w:rPr>
          <w:sz w:val="20"/>
          <w:szCs w:val="20"/>
          <w:color w:val="auto"/>
        </w:rPr>
      </w:pPr>
    </w:p>
    <w:p>
      <w:pPr>
        <w:ind w:right="180" w:firstLine="648"/>
        <w:spacing w:after="0" w:line="290" w:lineRule="auto"/>
        <w:rPr>
          <w:sz w:val="20"/>
          <w:szCs w:val="20"/>
          <w:color w:val="auto"/>
        </w:rPr>
      </w:pPr>
      <w:r>
        <w:rPr>
          <w:rFonts w:ascii="Times New Roman" w:cs="Times New Roman" w:eastAsia="Times New Roman" w:hAnsi="Times New Roman"/>
          <w:sz w:val="17"/>
          <w:szCs w:val="17"/>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Commission under Section 305(b)</w:t>
      </w:r>
    </w:p>
    <w:p>
      <w:pPr>
        <w:spacing w:after="0"/>
        <w:rPr>
          <w:sz w:val="20"/>
          <w:szCs w:val="20"/>
          <w:color w:val="auto"/>
        </w:rPr>
      </w:pPr>
      <w:r>
        <w:rPr>
          <w:rFonts w:ascii="Times New Roman" w:cs="Times New Roman" w:eastAsia="Times New Roman" w:hAnsi="Times New Roman"/>
          <w:sz w:val="18"/>
          <w:szCs w:val="18"/>
          <w:color w:val="auto"/>
        </w:rPr>
        <w:t>(2) of the Trust Indenture Act.</w:t>
      </w:r>
    </w:p>
    <w:p>
      <w:pPr>
        <w:spacing w:after="0" w:line="144"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appropriate registrants will, unless in the opinion of counsel the matter has been settled by controlling precedent, submit to a court of appropriate jurisdiction the question as to whether such indemnification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20"/>
          </w:cols>
          <w:pgMar w:left="320" w:top="1431" w:right="35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(an Irish public limited company)</w:t>
      </w:r>
    </w:p>
    <w:p>
      <w:pPr>
        <w:spacing w:after="0" w:line="139" w:lineRule="exact"/>
        <w:rPr>
          <w:sz w:val="20"/>
          <w:szCs w:val="20"/>
          <w:color w:val="auto"/>
        </w:rPr>
      </w:pPr>
    </w:p>
    <w:p>
      <w:pPr>
        <w:ind w:firstLine="36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Texas on the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June,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Girishchandra K. Saligram</w:t>
            </w:r>
          </w:p>
        </w:tc>
      </w:tr>
      <w:tr>
        <w:trPr>
          <w:trHeight w:val="184"/>
        </w:trPr>
        <w:tc>
          <w:tcPr>
            <w:tcW w:w="600" w:type="dxa"/>
            <w:vAlign w:val="bottom"/>
          </w:tcPr>
          <w:p>
            <w:pPr>
              <w:spacing w:after="0"/>
              <w:rPr>
                <w:sz w:val="16"/>
                <w:szCs w:val="16"/>
                <w:color w:val="auto"/>
              </w:rPr>
            </w:pPr>
          </w:p>
        </w:tc>
        <w:tc>
          <w:tcPr>
            <w:tcW w:w="5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Girishchandra K. Saligram</w:t>
            </w:r>
          </w:p>
        </w:tc>
      </w:tr>
      <w:tr>
        <w:trPr>
          <w:trHeight w:val="234"/>
        </w:trPr>
        <w:tc>
          <w:tcPr>
            <w:tcW w:w="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right="20" w:firstLine="360"/>
        <w:spacing w:after="0" w:line="279" w:lineRule="auto"/>
        <w:rPr>
          <w:sz w:val="20"/>
          <w:szCs w:val="20"/>
          <w:color w:val="auto"/>
        </w:rPr>
      </w:pPr>
      <w:r>
        <w:rPr>
          <w:rFonts w:ascii="Times New Roman" w:cs="Times New Roman" w:eastAsia="Times New Roman" w:hAnsi="Times New Roman"/>
          <w:sz w:val="18"/>
          <w:szCs w:val="18"/>
          <w:color w:val="auto"/>
        </w:rPr>
        <w:t>Each person whose signature appears below in their capacity as director or officer hereby appoints Girishchandra K. Saligram, Scott C. Weatherholt and Beth Ann Dranguet,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right="600" w:firstLine="360"/>
        <w:spacing w:after="0" w:line="30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and power of attorney have been signed by the following persons in the capacities listed on the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June,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00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527"/>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Girishchandra K. Saligram</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54"/>
        </w:trPr>
        <w:tc>
          <w:tcPr>
            <w:tcW w:w="3900" w:type="dxa"/>
            <w:vAlign w:val="bottom"/>
            <w:tcBorders>
              <w:bottom w:val="single" w:sz="8" w:color="auto"/>
            </w:tcBorders>
          </w:tcPr>
          <w:p>
            <w:pPr>
              <w:spacing w:after="0"/>
              <w:rPr>
                <w:sz w:val="4"/>
                <w:szCs w:val="4"/>
                <w:color w:val="auto"/>
              </w:rPr>
            </w:pPr>
          </w:p>
        </w:tc>
        <w:tc>
          <w:tcPr>
            <w:tcW w:w="4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Girishchandra K. Saligram</w:t>
            </w:r>
          </w:p>
        </w:tc>
        <w:tc>
          <w:tcPr>
            <w:tcW w:w="4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Anuj Dhruv</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c>
          <w:tcPr>
            <w:tcW w:w="0" w:type="dxa"/>
            <w:vAlign w:val="bottom"/>
          </w:tcPr>
          <w:p>
            <w:pPr>
              <w:spacing w:after="0"/>
              <w:rPr>
                <w:sz w:val="1"/>
                <w:szCs w:val="1"/>
                <w:color w:val="auto"/>
              </w:rPr>
            </w:pPr>
          </w:p>
        </w:tc>
      </w:tr>
      <w:tr>
        <w:trPr>
          <w:trHeight w:val="54"/>
        </w:trPr>
        <w:tc>
          <w:tcPr>
            <w:tcW w:w="3900" w:type="dxa"/>
            <w:vAlign w:val="bottom"/>
            <w:tcBorders>
              <w:bottom w:val="single" w:sz="8" w:color="auto"/>
            </w:tcBorders>
          </w:tcPr>
          <w:p>
            <w:pPr>
              <w:spacing w:after="0"/>
              <w:rPr>
                <w:sz w:val="4"/>
                <w:szCs w:val="4"/>
                <w:color w:val="auto"/>
              </w:rPr>
            </w:pPr>
          </w:p>
        </w:tc>
        <w:tc>
          <w:tcPr>
            <w:tcW w:w="4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Anuj Dhruv</w:t>
            </w:r>
          </w:p>
        </w:tc>
        <w:tc>
          <w:tcPr>
            <w:tcW w:w="4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Desmond J. Mills</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0" w:type="dxa"/>
            <w:vAlign w:val="bottom"/>
          </w:tcPr>
          <w:p>
            <w:pPr>
              <w:spacing w:after="0"/>
              <w:rPr>
                <w:sz w:val="1"/>
                <w:szCs w:val="1"/>
                <w:color w:val="auto"/>
              </w:rPr>
            </w:pPr>
          </w:p>
        </w:tc>
      </w:tr>
      <w:tr>
        <w:trPr>
          <w:trHeight w:val="54"/>
        </w:trPr>
        <w:tc>
          <w:tcPr>
            <w:tcW w:w="3900" w:type="dxa"/>
            <w:vAlign w:val="bottom"/>
            <w:tcBorders>
              <w:bottom w:val="single" w:sz="8" w:color="auto"/>
            </w:tcBorders>
          </w:tcPr>
          <w:p>
            <w:pPr>
              <w:spacing w:after="0"/>
              <w:rPr>
                <w:sz w:val="4"/>
                <w:szCs w:val="4"/>
                <w:color w:val="auto"/>
              </w:rPr>
            </w:pPr>
          </w:p>
        </w:tc>
        <w:tc>
          <w:tcPr>
            <w:tcW w:w="4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Desmond J. Mills</w:t>
            </w:r>
          </w:p>
        </w:tc>
        <w:tc>
          <w:tcPr>
            <w:tcW w:w="4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Charles M. Sledge</w:t>
            </w:r>
          </w:p>
        </w:tc>
        <w:tc>
          <w:tcPr>
            <w:tcW w:w="4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0" w:type="dxa"/>
            <w:vAlign w:val="bottom"/>
          </w:tcPr>
          <w:p>
            <w:pPr>
              <w:spacing w:after="0"/>
              <w:rPr>
                <w:sz w:val="1"/>
                <w:szCs w:val="1"/>
                <w:color w:val="auto"/>
              </w:rPr>
            </w:pPr>
          </w:p>
        </w:tc>
      </w:tr>
      <w:tr>
        <w:trPr>
          <w:trHeight w:val="54"/>
        </w:trPr>
        <w:tc>
          <w:tcPr>
            <w:tcW w:w="3900" w:type="dxa"/>
            <w:vAlign w:val="bottom"/>
            <w:tcBorders>
              <w:bottom w:val="single" w:sz="8" w:color="auto"/>
            </w:tcBorders>
          </w:tcPr>
          <w:p>
            <w:pPr>
              <w:spacing w:after="0"/>
              <w:rPr>
                <w:sz w:val="4"/>
                <w:szCs w:val="4"/>
                <w:color w:val="auto"/>
              </w:rPr>
            </w:pPr>
          </w:p>
        </w:tc>
        <w:tc>
          <w:tcPr>
            <w:tcW w:w="4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Charles M. Sledge</w:t>
            </w:r>
          </w:p>
        </w:tc>
        <w:tc>
          <w:tcPr>
            <w:tcW w:w="4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900" w:type="dxa"/>
            <w:vAlign w:val="bottom"/>
            <w:vMerge w:val="continue"/>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27" w:right="339" w:bottom="1440" w:gutter="0" w:footer="0" w:header="0"/>
        </w:sectPr>
      </w:pPr>
    </w:p>
    <w:bookmarkStart w:id="42" w:name="page43"/>
    <w:bookmarkEnd w:id="42"/>
    <w:p>
      <w:pPr>
        <w:spacing w:after="0" w:line="4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Steven Beringhause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4771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7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Steven Beringhause</w:t>
      </w:r>
    </w:p>
    <w:p>
      <w:pPr>
        <w:spacing w:after="0" w:line="32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Benjamin C. Duster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4771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Benjamin C. Duster IV</w:t>
      </w:r>
    </w:p>
    <w:p>
      <w:pPr>
        <w:spacing w:after="0" w:line="32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Neal P.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4771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Neal P. Goldman</w:t>
      </w:r>
    </w:p>
    <w:p>
      <w:pPr>
        <w:spacing w:after="0" w:line="32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color w:val="auto"/>
        </w:rPr>
        <w:t>/s/ Jacqueline C.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24771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8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Jacqueline C. Mutschler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1" w:lineRule="exact"/>
        <w:rPr>
          <w:sz w:val="20"/>
          <w:szCs w:val="20"/>
          <w:color w:val="auto"/>
        </w:rPr>
      </w:pPr>
    </w:p>
    <w:p>
      <w:pPr>
        <w:sectPr>
          <w:pgSz w:w="11900" w:h="16838" w:orient="portrait"/>
          <w:cols w:equalWidth="0" w:num="2">
            <w:col w:w="3360" w:space="720"/>
            <w:col w:w="714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135" w:lineRule="exact"/>
        <w:rPr>
          <w:sz w:val="20"/>
          <w:szCs w:val="20"/>
          <w:color w:val="auto"/>
        </w:rPr>
      </w:pPr>
    </w:p>
    <w:p>
      <w:pPr>
        <w:ind w:firstLine="36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of 1933, this registration statement has been signed by the following person solely in the capacity of the duly authorized representative of Weatherford International plc in the United States on the date indicated.</w:t>
      </w:r>
    </w:p>
    <w:p>
      <w:pPr>
        <w:spacing w:after="0" w:line="324" w:lineRule="exact"/>
        <w:rPr>
          <w:sz w:val="20"/>
          <w:szCs w:val="20"/>
          <w:color w:val="auto"/>
        </w:rPr>
      </w:pPr>
    </w:p>
    <w:p>
      <w:pPr>
        <w:ind w:left="2100"/>
        <w:spacing w:after="0"/>
        <w:tabs>
          <w:tab w:leader="none" w:pos="4880" w:val="left"/>
          <w:tab w:leader="none" w:pos="8320" w:val="left"/>
        </w:tabs>
        <w:rPr>
          <w:sz w:val="20"/>
          <w:szCs w:val="20"/>
          <w:color w:val="auto"/>
        </w:rPr>
      </w:pPr>
      <w:r>
        <w:rPr>
          <w:rFonts w:ascii="Times New Roman" w:cs="Times New Roman" w:eastAsia="Times New Roman" w:hAnsi="Times New Roman"/>
          <w:sz w:val="18"/>
          <w:szCs w:val="18"/>
          <w:color w:val="auto"/>
        </w:rPr>
        <w:t>/s/ Scott C. Weatherholt</w:t>
      </w:r>
      <w:r>
        <w:rPr>
          <w:sz w:val="20"/>
          <w:szCs w:val="20"/>
          <w:color w:val="auto"/>
        </w:rPr>
        <w:tab/>
      </w:r>
      <w:r>
        <w:rPr>
          <w:rFonts w:ascii="Times New Roman" w:cs="Times New Roman" w:eastAsia="Times New Roman" w:hAnsi="Times New Roman"/>
          <w:sz w:val="18"/>
          <w:szCs w:val="18"/>
          <w:color w:val="auto"/>
        </w:rPr>
        <w:t>Authorized U.S. Representative</w:t>
      </w:r>
      <w:r>
        <w:rPr>
          <w:sz w:val="20"/>
          <w:szCs w:val="20"/>
          <w:color w:val="auto"/>
        </w:rPr>
        <w:tab/>
      </w:r>
      <w:r>
        <w:rPr>
          <w:rFonts w:ascii="Times New Roman" w:cs="Times New Roman" w:eastAsia="Times New Roman" w:hAnsi="Times New Roman"/>
          <w:sz w:val="17"/>
          <w:szCs w:val="17"/>
          <w:color w:val="auto"/>
        </w:rPr>
        <w:t>June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51435</wp:posOffset>
            </wp:positionV>
            <wp:extent cx="24345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8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Scott C. Weatherholt</w:t>
      </w:r>
    </w:p>
    <w:p>
      <w:pPr>
        <w:sectPr>
          <w:pgSz w:w="11900" w:h="16838" w:orient="portrait"/>
          <w:cols w:equalWidth="0" w:num="1">
            <w:col w:w="11220"/>
          </w:cols>
          <w:pgMar w:left="320" w:top="1440" w:right="359" w:bottom="1440" w:gutter="0" w:footer="0" w:header="0"/>
          <w:type w:val="continuous"/>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WEATHERFORD INTERNATIONAL LTD.</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Bermuda exempted company)</w:t>
      </w:r>
    </w:p>
    <w:p>
      <w:pPr>
        <w:spacing w:after="0" w:line="54" w:lineRule="exact"/>
        <w:rPr>
          <w:sz w:val="20"/>
          <w:szCs w:val="20"/>
          <w:color w:val="auto"/>
        </w:rPr>
      </w:pPr>
    </w:p>
    <w:p>
      <w:pPr>
        <w:ind w:firstLine="360"/>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the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June, 2025.</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WEATHERFORD INTERNATIONAL LTD.</w:t>
      </w:r>
    </w:p>
    <w:p>
      <w:pPr>
        <w:spacing w:after="0" w:line="200" w:lineRule="exact"/>
        <w:rPr>
          <w:sz w:val="20"/>
          <w:szCs w:val="20"/>
          <w:color w:val="auto"/>
        </w:rPr>
      </w:pP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C. Weatherholt</w:t>
            </w:r>
          </w:p>
        </w:tc>
      </w:tr>
      <w:tr>
        <w:trPr>
          <w:trHeight w:val="228"/>
        </w:trPr>
        <w:tc>
          <w:tcPr>
            <w:tcW w:w="8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C. Weatherholt, President</w:t>
            </w:r>
          </w:p>
        </w:tc>
      </w:tr>
    </w:tbl>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right="20" w:firstLine="360"/>
        <w:spacing w:after="0" w:line="279" w:lineRule="auto"/>
        <w:rPr>
          <w:sz w:val="20"/>
          <w:szCs w:val="20"/>
          <w:color w:val="auto"/>
        </w:rPr>
      </w:pPr>
      <w:r>
        <w:rPr>
          <w:rFonts w:ascii="Times New Roman" w:cs="Times New Roman" w:eastAsia="Times New Roman" w:hAnsi="Times New Roman"/>
          <w:sz w:val="18"/>
          <w:szCs w:val="18"/>
          <w:color w:val="auto"/>
        </w:rPr>
        <w:t>Each person whose signature appears below in their capacity as director or officer hereby appoints Girishchandra K. Saligram, Scott C. Weatherholt and Beth Ann Dranguet,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right="180"/>
        <w:spacing w:after="0" w:line="30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and power of attorney have been signed by the following persons in the capacities indicated below on the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June,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08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526"/>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Scott C. Weatherholt</w:t>
            </w:r>
          </w:p>
        </w:tc>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Authorized U.S. Representative</w:t>
            </w:r>
          </w:p>
        </w:tc>
        <w:tc>
          <w:tcPr>
            <w:tcW w:w="0" w:type="dxa"/>
            <w:vAlign w:val="bottom"/>
          </w:tcPr>
          <w:p>
            <w:pPr>
              <w:spacing w:after="0"/>
              <w:rPr>
                <w:sz w:val="1"/>
                <w:szCs w:val="1"/>
                <w:color w:val="auto"/>
              </w:rPr>
            </w:pPr>
          </w:p>
        </w:tc>
      </w:tr>
      <w:tr>
        <w:trPr>
          <w:trHeight w:val="54"/>
        </w:trPr>
        <w:tc>
          <w:tcPr>
            <w:tcW w:w="3760" w:type="dxa"/>
            <w:vAlign w:val="bottom"/>
            <w:tcBorders>
              <w:bottom w:val="single" w:sz="8" w:color="auto"/>
            </w:tcBorders>
          </w:tcPr>
          <w:p>
            <w:pPr>
              <w:spacing w:after="0"/>
              <w:rPr>
                <w:sz w:val="4"/>
                <w:szCs w:val="4"/>
                <w:color w:val="auto"/>
              </w:rPr>
            </w:pPr>
          </w:p>
        </w:tc>
        <w:tc>
          <w:tcPr>
            <w:tcW w:w="4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C. Weatherholt</w:t>
            </w:r>
          </w:p>
        </w:tc>
        <w:tc>
          <w:tcPr>
            <w:tcW w:w="4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Anuj Dhruv</w:t>
            </w:r>
          </w:p>
        </w:tc>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54"/>
        </w:trPr>
        <w:tc>
          <w:tcPr>
            <w:tcW w:w="3760" w:type="dxa"/>
            <w:vAlign w:val="bottom"/>
            <w:tcBorders>
              <w:bottom w:val="single" w:sz="8" w:color="auto"/>
            </w:tcBorders>
          </w:tcPr>
          <w:p>
            <w:pPr>
              <w:spacing w:after="0"/>
              <w:rPr>
                <w:sz w:val="4"/>
                <w:szCs w:val="4"/>
                <w:color w:val="auto"/>
              </w:rPr>
            </w:pPr>
          </w:p>
        </w:tc>
        <w:tc>
          <w:tcPr>
            <w:tcW w:w="4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Anuj Dhruv</w:t>
            </w:r>
          </w:p>
        </w:tc>
        <w:tc>
          <w:tcPr>
            <w:tcW w:w="4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Desmond J. Mills</w:t>
            </w:r>
          </w:p>
        </w:tc>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0" w:type="dxa"/>
            <w:vAlign w:val="bottom"/>
          </w:tcPr>
          <w:p>
            <w:pPr>
              <w:spacing w:after="0"/>
              <w:rPr>
                <w:sz w:val="1"/>
                <w:szCs w:val="1"/>
                <w:color w:val="auto"/>
              </w:rPr>
            </w:pPr>
          </w:p>
        </w:tc>
      </w:tr>
      <w:tr>
        <w:trPr>
          <w:trHeight w:val="54"/>
        </w:trPr>
        <w:tc>
          <w:tcPr>
            <w:tcW w:w="3760" w:type="dxa"/>
            <w:vAlign w:val="bottom"/>
            <w:tcBorders>
              <w:bottom w:val="single" w:sz="8" w:color="auto"/>
            </w:tcBorders>
          </w:tcPr>
          <w:p>
            <w:pPr>
              <w:spacing w:after="0"/>
              <w:rPr>
                <w:sz w:val="4"/>
                <w:szCs w:val="4"/>
                <w:color w:val="auto"/>
              </w:rPr>
            </w:pPr>
          </w:p>
        </w:tc>
        <w:tc>
          <w:tcPr>
            <w:tcW w:w="4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228"/>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Desmond J. Mills</w:t>
            </w:r>
          </w:p>
        </w:tc>
        <w:tc>
          <w:tcPr>
            <w:tcW w:w="4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David W. Morris</w:t>
            </w:r>
          </w:p>
        </w:tc>
        <w:tc>
          <w:tcPr>
            <w:tcW w:w="4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
        </w:trPr>
        <w:tc>
          <w:tcPr>
            <w:tcW w:w="3760" w:type="dxa"/>
            <w:vAlign w:val="bottom"/>
            <w:tcBorders>
              <w:bottom w:val="single" w:sz="8" w:color="auto"/>
            </w:tcBorders>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David W. Morris</w:t>
            </w: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760" w:type="dxa"/>
            <w:vAlign w:val="bottom"/>
            <w:vMerge w:val="continue"/>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27" w:right="339" w:bottom="1440" w:gutter="0" w:footer="0" w:header="0"/>
        </w:sectPr>
      </w:pPr>
    </w:p>
    <w:bookmarkStart w:id="44" w:name="page45"/>
    <w:bookmarkEnd w:id="44"/>
    <w:p>
      <w:pPr>
        <w:spacing w:after="0" w:line="4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/s/ Javier B.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59055</wp:posOffset>
            </wp:positionV>
            <wp:extent cx="23831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Javier B. Garcia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1" w:lineRule="exact"/>
        <w:rPr>
          <w:sz w:val="20"/>
          <w:szCs w:val="20"/>
          <w:color w:val="auto"/>
        </w:rPr>
      </w:pPr>
    </w:p>
    <w:p>
      <w:pPr>
        <w:sectPr>
          <w:pgSz w:w="11900" w:h="16838" w:orient="portrait"/>
          <w:cols w:equalWidth="0" w:num="2">
            <w:col w:w="2200" w:space="720"/>
            <w:col w:w="6139"/>
          </w:cols>
          <w:pgMar w:left="1400" w:top="1440" w:right="1440" w:bottom="1440" w:gutter="0" w:footer="0" w:header="0"/>
        </w:sectPr>
      </w:pPr>
    </w:p>
    <w:p>
      <w:pPr>
        <w:spacing w:after="0" w:line="12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 Leslie P. Dziwenka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59055</wp:posOffset>
            </wp:positionV>
            <wp:extent cx="2383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Leslie P. Dziwenka</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2200" w:space="720"/>
            <w:col w:w="6139"/>
          </w:cols>
          <w:pgMar w:left="1400" w:top="1440" w:right="1440" w:bottom="1440" w:gutter="0" w:footer="0" w:header="0"/>
          <w:type w:val="continuous"/>
        </w:sectPr>
      </w:pPr>
    </w:p>
    <w:bookmarkStart w:id="45" w:name="page46"/>
    <w:bookmarkEnd w:id="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WEATHERFORD INTERNATIONAL, LLC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139" w:lineRule="exact"/>
        <w:rPr>
          <w:sz w:val="20"/>
          <w:szCs w:val="20"/>
          <w:color w:val="auto"/>
        </w:rPr>
      </w:pPr>
    </w:p>
    <w:p>
      <w:pPr>
        <w:ind w:firstLine="36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the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June, 2025.</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WEATHERFORD INTERNATIONAL, LLC</w:t>
      </w:r>
    </w:p>
    <w:p>
      <w:pPr>
        <w:spacing w:after="0" w:line="200" w:lineRule="exact"/>
        <w:rPr>
          <w:sz w:val="20"/>
          <w:szCs w:val="20"/>
          <w:color w:val="auto"/>
        </w:rPr>
      </w:pPr>
    </w:p>
    <w:p>
      <w:pPr>
        <w:spacing w:after="0" w:line="27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Bryan J. Tindall</w:t>
            </w:r>
          </w:p>
        </w:tc>
      </w:tr>
      <w:tr>
        <w:trPr>
          <w:trHeight w:val="228"/>
        </w:trPr>
        <w:tc>
          <w:tcPr>
            <w:tcW w:w="78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Bryan J. Tindall, President</w:t>
            </w:r>
          </w:p>
        </w:tc>
      </w:tr>
    </w:tbl>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right="20" w:firstLine="360"/>
        <w:spacing w:after="0" w:line="279" w:lineRule="auto"/>
        <w:rPr>
          <w:sz w:val="20"/>
          <w:szCs w:val="20"/>
          <w:color w:val="auto"/>
        </w:rPr>
      </w:pPr>
      <w:r>
        <w:rPr>
          <w:rFonts w:ascii="Times New Roman" w:cs="Times New Roman" w:eastAsia="Times New Roman" w:hAnsi="Times New Roman"/>
          <w:sz w:val="18"/>
          <w:szCs w:val="18"/>
          <w:color w:val="auto"/>
        </w:rPr>
        <w:t>Each person whose signature appears below in their capacity as director or officer hereby appoints Girishchandra K. Saligram, Scott C. Weatherholt and Beth Ann Dranguet,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right="600" w:firstLine="360"/>
        <w:spacing w:after="0" w:line="30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and power of attorney have been signed by the following persons in the capacities indicated below on the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June, 2025</w:t>
      </w:r>
    </w:p>
    <w:p>
      <w:pPr>
        <w:spacing w:after="0" w:line="14" w:lineRule="exact"/>
        <w:rPr>
          <w:sz w:val="20"/>
          <w:szCs w:val="20"/>
          <w:color w:val="auto"/>
        </w:rPr>
      </w:pPr>
    </w:p>
    <w:p>
      <w:pPr>
        <w:ind w:left="1800"/>
        <w:spacing w:after="0"/>
        <w:tabs>
          <w:tab w:leader="none" w:pos="766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p>
    <w:p>
      <w:pPr>
        <w:sectPr>
          <w:pgSz w:w="11900" w:h="16838" w:orient="portrait"/>
          <w:cols w:equalWidth="0" w:num="1">
            <w:col w:w="11240"/>
          </w:cols>
          <w:pgMar w:left="320" w:top="1427" w:right="339" w:bottom="1440" w:gutter="0" w:footer="0" w:header="0"/>
        </w:sectPr>
      </w:pPr>
    </w:p>
    <w:p>
      <w:pPr>
        <w:spacing w:after="0" w:line="33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Bryan J. Tindall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7514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Bryan J. Tindall</w:t>
      </w:r>
    </w:p>
    <w:p>
      <w:pPr>
        <w:spacing w:after="0" w:line="3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7514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Anuj Dhruv</w:t>
      </w:r>
    </w:p>
    <w:p>
      <w:pPr>
        <w:spacing w:after="0" w:line="3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Desmond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7514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Desmond J. Mills</w:t>
      </w:r>
    </w:p>
    <w:p>
      <w:pPr>
        <w:spacing w:after="0" w:line="3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27514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8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Mathias Neuenschwander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33" w:lineRule="exact"/>
        <w:rPr>
          <w:sz w:val="20"/>
          <w:szCs w:val="20"/>
          <w:color w:val="auto"/>
        </w:rPr>
      </w:pPr>
    </w:p>
    <w:p>
      <w:pPr>
        <w:ind w:right="720"/>
        <w:spacing w:after="0" w:line="250" w:lineRule="auto"/>
        <w:rPr>
          <w:sz w:val="20"/>
          <w:szCs w:val="20"/>
          <w:color w:val="auto"/>
        </w:rPr>
      </w:pPr>
      <w:r>
        <w:rPr>
          <w:rFonts w:ascii="Times New Roman" w:cs="Times New Roman" w:eastAsia="Times New Roman" w:hAnsi="Times New Roman"/>
          <w:sz w:val="18"/>
          <w:szCs w:val="18"/>
          <w:color w:val="auto"/>
        </w:rPr>
        <w:t>Managing Officer of Weatherford Worldwide Holdings GmbH, the sole member of Weatherford International, LLC</w:t>
      </w:r>
    </w:p>
    <w:p>
      <w:pPr>
        <w:sectPr>
          <w:pgSz w:w="11900" w:h="16838" w:orient="portrait"/>
          <w:cols w:equalWidth="0" w:num="2">
            <w:col w:w="3820" w:space="720"/>
            <w:col w:w="6700"/>
          </w:cols>
          <w:pgMar w:left="320" w:top="1427" w:right="339" w:bottom="1440" w:gutter="0" w:footer="0" w:header="0"/>
          <w:type w:val="continuous"/>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jc w:val="right"/>
        <w:spacing w:after="0" w:line="219" w:lineRule="auto"/>
        <w:rPr>
          <w:sz w:val="20"/>
          <w:szCs w:val="20"/>
          <w:color w:val="auto"/>
        </w:rPr>
      </w:pPr>
      <w:r>
        <w:rPr>
          <w:rFonts w:ascii="Times New Roman" w:cs="Times New Roman" w:eastAsia="Times New Roman" w:hAnsi="Times New Roman"/>
          <w:sz w:val="18"/>
          <w:szCs w:val="18"/>
          <w:b w:val="1"/>
          <w:bCs w:val="1"/>
          <w:color w:val="auto"/>
        </w:rPr>
        <w:t>EX-FILING FEES</w:t>
      </w: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S-3ASR</w:t>
      </w: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Weatherford International, LLC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Weatherford International Ltd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 w:type="dxa"/>
            <w:vAlign w:val="bottom"/>
          </w:tcPr>
          <w:p>
            <w:pPr>
              <w:spacing w:after="0"/>
              <w:rPr>
                <w:sz w:val="12"/>
                <w:szCs w:val="12"/>
                <w:color w:val="auto"/>
              </w:rPr>
            </w:pP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2"/>
                <w:szCs w:val="12"/>
                <w:color w:val="auto"/>
              </w:rPr>
            </w:pPr>
          </w:p>
        </w:tc>
        <w:tc>
          <w:tcPr>
            <w:tcW w:w="1000" w:type="dxa"/>
            <w:vAlign w:val="bottom"/>
          </w:tcPr>
          <w:p>
            <w:pPr>
              <w:jc w:val="center"/>
              <w:ind w:right="228"/>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2"/>
                <w:szCs w:val="12"/>
                <w:color w:val="auto"/>
              </w:rPr>
            </w:pP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center"/>
              <w:ind w:right="228"/>
              <w:spacing w:after="0" w:line="13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34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3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3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6"/>
                <w:szCs w:val="16"/>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320" w:type="dxa"/>
            <w:vAlign w:val="bottom"/>
          </w:tcPr>
          <w:p>
            <w:pPr>
              <w:spacing w:after="0"/>
              <w:rPr>
                <w:sz w:val="16"/>
                <w:szCs w:val="16"/>
                <w:color w:val="auto"/>
              </w:rPr>
            </w:pPr>
          </w:p>
        </w:tc>
        <w:tc>
          <w:tcPr>
            <w:tcW w:w="10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Unit (1)</w:t>
            </w:r>
          </w:p>
        </w:tc>
        <w:tc>
          <w:tcPr>
            <w:tcW w:w="340" w:type="dxa"/>
            <w:vAlign w:val="bottom"/>
          </w:tcPr>
          <w:p>
            <w:pPr>
              <w:spacing w:after="0"/>
              <w:rPr>
                <w:sz w:val="16"/>
                <w:szCs w:val="16"/>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Offering Price (1)</w:t>
            </w:r>
          </w:p>
        </w:tc>
        <w:tc>
          <w:tcPr>
            <w:tcW w:w="1320" w:type="dxa"/>
            <w:vAlign w:val="bottom"/>
            <w:vMerge w:val="continue"/>
          </w:tcPr>
          <w:p>
            <w:pPr>
              <w:spacing w:after="0"/>
              <w:rPr>
                <w:sz w:val="16"/>
                <w:szCs w:val="16"/>
                <w:color w:val="auto"/>
              </w:rPr>
            </w:pPr>
          </w:p>
        </w:tc>
        <w:tc>
          <w:tcPr>
            <w:tcW w:w="17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Registration Fee (1)</w:t>
            </w: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Fees to</w:t>
            </w:r>
          </w:p>
        </w:tc>
        <w:tc>
          <w:tcPr>
            <w:tcW w:w="7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Equity</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Ordinary shares,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 Paid</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nominal value of</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$0.001 per share of</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Weatherford</w:t>
            </w: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International plc</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456(b)</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("Weatherford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and</w:t>
            </w:r>
          </w:p>
        </w:tc>
        <w:tc>
          <w:tcPr>
            <w:tcW w:w="12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0.00015310</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457(r)</w:t>
            </w:r>
          </w:p>
        </w:tc>
        <w:tc>
          <w:tcPr>
            <w:tcW w:w="12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Fees to</w:t>
            </w:r>
          </w:p>
        </w:tc>
        <w:tc>
          <w:tcPr>
            <w:tcW w:w="7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Equity</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Options of</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Rule</w:t>
            </w: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 Paid</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Weatherford Ireland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456(b)</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and</w:t>
            </w:r>
          </w:p>
        </w:tc>
        <w:tc>
          <w:tcPr>
            <w:tcW w:w="12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0.00015310</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457(r)</w:t>
            </w:r>
          </w:p>
        </w:tc>
        <w:tc>
          <w:tcPr>
            <w:tcW w:w="12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Fees to</w:t>
            </w:r>
          </w:p>
        </w:tc>
        <w:tc>
          <w:tcPr>
            <w:tcW w:w="7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Warrants of</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Rule</w:t>
            </w: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 Paid</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Weatherford Ireland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456(b)</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and</w:t>
            </w:r>
          </w:p>
        </w:tc>
        <w:tc>
          <w:tcPr>
            <w:tcW w:w="12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0.00015310</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457(r)</w:t>
            </w:r>
          </w:p>
        </w:tc>
        <w:tc>
          <w:tcPr>
            <w:tcW w:w="12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Fees to</w:t>
            </w:r>
          </w:p>
        </w:tc>
        <w:tc>
          <w:tcPr>
            <w:tcW w:w="7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Share Purchase</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Rule</w:t>
            </w: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 Paid</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Contracts of</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456(b)</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Weatherford Ireland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and</w:t>
            </w:r>
          </w:p>
        </w:tc>
        <w:tc>
          <w:tcPr>
            <w:tcW w:w="12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0.00015310</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457(r)</w:t>
            </w:r>
          </w:p>
        </w:tc>
        <w:tc>
          <w:tcPr>
            <w:tcW w:w="12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Fees to</w:t>
            </w:r>
          </w:p>
        </w:tc>
        <w:tc>
          <w:tcPr>
            <w:tcW w:w="7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Share Purchase</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Rule</w:t>
            </w: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 Paid</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Units of</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456(b)</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Weatherford Ireland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and</w:t>
            </w:r>
          </w:p>
        </w:tc>
        <w:tc>
          <w:tcPr>
            <w:tcW w:w="12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0.00015310</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457(r)</w:t>
            </w:r>
          </w:p>
        </w:tc>
        <w:tc>
          <w:tcPr>
            <w:tcW w:w="12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Fees to</w:t>
            </w:r>
          </w:p>
        </w:tc>
        <w:tc>
          <w:tcPr>
            <w:tcW w:w="7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Debt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Debt Securities of</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 Paid</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Weatherford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International Ltd.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("Weatherford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Bermuda") and</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Weatherford</w:t>
            </w: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International, LLC</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456(b)</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("Weatherford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and</w:t>
            </w:r>
          </w:p>
        </w:tc>
        <w:tc>
          <w:tcPr>
            <w:tcW w:w="12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0.00015310</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457(r)</w:t>
            </w:r>
          </w:p>
        </w:tc>
        <w:tc>
          <w:tcPr>
            <w:tcW w:w="12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Fees to</w:t>
            </w:r>
          </w:p>
        </w:tc>
        <w:tc>
          <w:tcPr>
            <w:tcW w:w="7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Debt</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Guarantees (2)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Rule</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 Paid</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456(b)</w:t>
            </w:r>
          </w:p>
        </w:tc>
        <w:tc>
          <w:tcPr>
            <w:tcW w:w="1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and</w:t>
            </w:r>
          </w:p>
        </w:tc>
        <w:tc>
          <w:tcPr>
            <w:tcW w:w="12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0.00015310</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457(r)</w:t>
            </w:r>
          </w:p>
        </w:tc>
        <w:tc>
          <w:tcPr>
            <w:tcW w:w="12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60" w:type="dxa"/>
            <w:vAlign w:val="bottom"/>
          </w:tcPr>
          <w:p>
            <w:pPr>
              <w:jc w:val="center"/>
              <w:ind w:right="1568"/>
              <w:spacing w:after="0"/>
              <w:rPr>
                <w:sz w:val="20"/>
                <w:szCs w:val="20"/>
                <w:color w:val="auto"/>
              </w:rPr>
            </w:pPr>
            <w:r>
              <w:rPr>
                <w:rFonts w:ascii="Times New Roman" w:cs="Times New Roman" w:eastAsia="Times New Roman" w:hAnsi="Times New Roman"/>
                <w:sz w:val="14"/>
                <w:szCs w:val="14"/>
                <w:color w:val="auto"/>
              </w:rPr>
              <w:t>Total Offering Amount</w:t>
            </w:r>
          </w:p>
        </w:tc>
        <w:tc>
          <w:tcPr>
            <w:tcW w:w="74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spacing w:after="0"/>
              <w:rPr>
                <w:sz w:val="15"/>
                <w:szCs w:val="15"/>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160" w:type="dxa"/>
            <w:vAlign w:val="bottom"/>
            <w:shd w:val="clear" w:color="auto" w:fill="CCEEFF"/>
          </w:tcPr>
          <w:p>
            <w:pPr>
              <w:jc w:val="center"/>
              <w:ind w:right="1588"/>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160" w:type="dxa"/>
            <w:vAlign w:val="bottom"/>
          </w:tcPr>
          <w:p>
            <w:pPr>
              <w:jc w:val="center"/>
              <w:ind w:right="1588"/>
              <w:spacing w:after="0"/>
              <w:rPr>
                <w:sz w:val="20"/>
                <w:szCs w:val="20"/>
                <w:color w:val="auto"/>
              </w:rPr>
            </w:pPr>
            <w:r>
              <w:rPr>
                <w:rFonts w:ascii="Times New Roman" w:cs="Times New Roman" w:eastAsia="Times New Roman" w:hAnsi="Times New Roman"/>
                <w:sz w:val="14"/>
                <w:szCs w:val="14"/>
                <w:color w:val="auto"/>
              </w:rPr>
              <w:t>Total Fee Offsets</w:t>
            </w: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160" w:type="dxa"/>
            <w:vAlign w:val="bottom"/>
            <w:shd w:val="clear" w:color="auto" w:fill="CCEEFF"/>
          </w:tcPr>
          <w:p>
            <w:pPr>
              <w:jc w:val="center"/>
              <w:ind w:right="1568"/>
              <w:spacing w:after="0"/>
              <w:rPr>
                <w:sz w:val="20"/>
                <w:szCs w:val="20"/>
                <w:color w:val="auto"/>
              </w:rPr>
            </w:pPr>
            <w:r>
              <w:rPr>
                <w:rFonts w:ascii="Times New Roman" w:cs="Times New Roman" w:eastAsia="Times New Roman" w:hAnsi="Times New Roman"/>
                <w:sz w:val="14"/>
                <w:szCs w:val="14"/>
                <w:color w:val="auto"/>
              </w:rPr>
              <w:t>Net Fee Due</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r>
    </w:tbl>
    <w:p>
      <w:pPr>
        <w:spacing w:after="0" w:line="355" w:lineRule="exact"/>
        <w:rPr>
          <w:sz w:val="20"/>
          <w:szCs w:val="20"/>
          <w:color w:val="auto"/>
        </w:rPr>
      </w:pPr>
    </w:p>
    <w:p>
      <w:pPr>
        <w:ind w:left="520" w:right="140" w:hanging="413"/>
        <w:spacing w:after="0" w:line="234"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indeterminate amount of securities to be offered at indeterminate prices and as may be issuable upon conversion, redemption, exchange, exercise or settlement of any securities registered hereunder, including under any applicable anti-dilution provisions, is being registered pursuant to this registration statement. In reliance on Rules 456(b) and 457(r) under the Securities Act of 1933, as amended (the "Securities Act"), the registrant is deferring payment of the registration fee required in connection with this registration statement.</w:t>
      </w:r>
    </w:p>
    <w:p>
      <w:pPr>
        <w:spacing w:after="0" w:line="15" w:lineRule="exact"/>
        <w:rPr>
          <w:rFonts w:ascii="Times New Roman" w:cs="Times New Roman" w:eastAsia="Times New Roman" w:hAnsi="Times New Roman"/>
          <w:sz w:val="14"/>
          <w:szCs w:val="14"/>
          <w:color w:val="auto"/>
        </w:rPr>
      </w:pPr>
    </w:p>
    <w:p>
      <w:pPr>
        <w:ind w:left="520" w:right="400" w:hanging="413"/>
        <w:spacing w:after="0" w:line="261"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separate consideration will be received for any guarantee of debt securities. Pursuant to Rule 457(n) under the Securities Act, no registration fee is required with respect to such guarantees.</w:t>
      </w:r>
    </w:p>
    <w:p>
      <w:pPr>
        <w:sectPr>
          <w:pgSz w:w="11900" w:h="16838" w:orient="portrait"/>
          <w:cols w:equalWidth="0" w:num="1">
            <w:col w:w="11240"/>
          </w:cols>
          <w:pgMar w:left="320" w:top="139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1"/>
          <w:szCs w:val="21"/>
          <w:b w:val="1"/>
          <w:bCs w:val="1"/>
          <w:color w:val="0E0E0E"/>
        </w:rPr>
        <w:t>FIRST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E0E0E"/>
        </w:rPr>
        <w:t>LIMITED LIABILITY COMPANY AGREEMENT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E0E0E"/>
        </w:rPr>
        <w:t>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E0E0E"/>
        </w:rPr>
        <w:t>WEATHERFORD INTERNATIONAL, LLC</w:t>
      </w:r>
    </w:p>
    <w:p>
      <w:pPr>
        <w:spacing w:after="0" w:line="226" w:lineRule="exact"/>
        <w:rPr>
          <w:sz w:val="20"/>
          <w:szCs w:val="20"/>
          <w:color w:val="auto"/>
        </w:rPr>
      </w:pPr>
    </w:p>
    <w:p>
      <w:pPr>
        <w:jc w:val="both"/>
        <w:ind w:firstLine="650"/>
        <w:spacing w:after="0" w:line="247" w:lineRule="auto"/>
        <w:rPr>
          <w:sz w:val="20"/>
          <w:szCs w:val="20"/>
          <w:color w:val="auto"/>
        </w:rPr>
      </w:pPr>
      <w:r>
        <w:rPr>
          <w:rFonts w:ascii="Times New Roman" w:cs="Times New Roman" w:eastAsia="Times New Roman" w:hAnsi="Times New Roman"/>
          <w:sz w:val="19"/>
          <w:szCs w:val="19"/>
          <w:color w:val="0E0E0E"/>
        </w:rPr>
        <w:t xml:space="preserve">This First Amended and Restated Limited Liability Company Agreement (this </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u w:val="single" w:color="auto"/>
          <w:color w:val="212121"/>
        </w:rPr>
        <w:t>Agreement</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color w:val="0E0E0E"/>
        </w:rPr>
        <w:t xml:space="preserve"> of Weatherford International</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LLC</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a Delaware limited liability company (the </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u w:val="single" w:color="auto"/>
          <w:color w:val="0E0E0E"/>
        </w:rPr>
        <w:t>Company</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is adopted and entered into by </w:t>
      </w:r>
      <w:r>
        <w:rPr>
          <w:rFonts w:ascii="Times New Roman" w:cs="Times New Roman" w:eastAsia="Times New Roman" w:hAnsi="Times New Roman"/>
          <w:sz w:val="19"/>
          <w:szCs w:val="19"/>
          <w:color w:val="383838"/>
        </w:rPr>
        <w:t>Weatherford Worldwide Holdings GmbH, a Swiss limited</w:t>
      </w:r>
      <w:r>
        <w:rPr>
          <w:rFonts w:ascii="Times New Roman" w:cs="Times New Roman" w:eastAsia="Times New Roman" w:hAnsi="Times New Roman"/>
          <w:sz w:val="19"/>
          <w:szCs w:val="19"/>
          <w:color w:val="0E0E0E"/>
        </w:rPr>
        <w:t xml:space="preserve"> </w:t>
      </w:r>
      <w:r>
        <w:rPr>
          <w:rFonts w:ascii="Times New Roman" w:cs="Times New Roman" w:eastAsia="Times New Roman" w:hAnsi="Times New Roman"/>
          <w:sz w:val="19"/>
          <w:szCs w:val="19"/>
          <w:color w:val="383838"/>
        </w:rPr>
        <w:t xml:space="preserve">liability company, </w:t>
      </w:r>
      <w:r>
        <w:rPr>
          <w:rFonts w:ascii="Times New Roman" w:cs="Times New Roman" w:eastAsia="Times New Roman" w:hAnsi="Times New Roman"/>
          <w:sz w:val="19"/>
          <w:szCs w:val="19"/>
          <w:color w:val="0E0E0E"/>
        </w:rPr>
        <w:t>as the sole member of the Company (the</w:t>
      </w:r>
      <w:r>
        <w:rPr>
          <w:rFonts w:ascii="Times New Roman" w:cs="Times New Roman" w:eastAsia="Times New Roman" w:hAnsi="Times New Roman"/>
          <w:sz w:val="19"/>
          <w:szCs w:val="19"/>
          <w:color w:val="383838"/>
        </w:rPr>
        <w:t xml:space="preserve"> </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u w:val="single" w:color="auto"/>
          <w:color w:val="212121"/>
        </w:rPr>
        <w:t>Sole</w:t>
      </w:r>
      <w:r>
        <w:rPr>
          <w:rFonts w:ascii="Times New Roman" w:cs="Times New Roman" w:eastAsia="Times New Roman" w:hAnsi="Times New Roman"/>
          <w:sz w:val="19"/>
          <w:szCs w:val="19"/>
          <w:color w:val="383838"/>
        </w:rPr>
        <w:t xml:space="preserve"> </w:t>
      </w:r>
      <w:r>
        <w:rPr>
          <w:rFonts w:ascii="Times New Roman" w:cs="Times New Roman" w:eastAsia="Times New Roman" w:hAnsi="Times New Roman"/>
          <w:sz w:val="19"/>
          <w:szCs w:val="19"/>
          <w:u w:val="single" w:color="auto"/>
          <w:color w:val="0E0E0E"/>
        </w:rPr>
        <w:t>Member</w:t>
      </w:r>
      <w:r>
        <w:rPr>
          <w:rFonts w:ascii="Times New Roman" w:cs="Times New Roman" w:eastAsia="Times New Roman" w:hAnsi="Times New Roman"/>
          <w:sz w:val="19"/>
          <w:szCs w:val="19"/>
          <w:color w:val="0E0E0E"/>
        </w:rPr>
        <w:t>")</w:t>
      </w:r>
      <w:r>
        <w:rPr>
          <w:rFonts w:ascii="Times New Roman" w:cs="Times New Roman" w:eastAsia="Times New Roman" w:hAnsi="Times New Roman"/>
          <w:sz w:val="19"/>
          <w:szCs w:val="19"/>
          <w:color w:val="383838"/>
        </w:rPr>
        <w:t xml:space="preserve">, </w:t>
      </w:r>
      <w:r>
        <w:rPr>
          <w:rFonts w:ascii="Times New Roman" w:cs="Times New Roman" w:eastAsia="Times New Roman" w:hAnsi="Times New Roman"/>
          <w:sz w:val="19"/>
          <w:szCs w:val="19"/>
          <w:color w:val="0E0E0E"/>
        </w:rPr>
        <w:t>together with any person (including</w:t>
      </w:r>
      <w:r>
        <w:rPr>
          <w:rFonts w:ascii="Times New Roman" w:cs="Times New Roman" w:eastAsia="Times New Roman" w:hAnsi="Times New Roman"/>
          <w:sz w:val="19"/>
          <w:szCs w:val="19"/>
          <w:color w:val="383838"/>
        </w:rPr>
        <w:t xml:space="preserve"> </w:t>
      </w:r>
      <w:r>
        <w:rPr>
          <w:rFonts w:ascii="Times New Roman" w:cs="Times New Roman" w:eastAsia="Times New Roman" w:hAnsi="Times New Roman"/>
          <w:sz w:val="19"/>
          <w:szCs w:val="19"/>
          <w:color w:val="212121"/>
        </w:rPr>
        <w:t>an</w:t>
      </w:r>
      <w:r>
        <w:rPr>
          <w:rFonts w:ascii="Times New Roman" w:cs="Times New Roman" w:eastAsia="Times New Roman" w:hAnsi="Times New Roman"/>
          <w:sz w:val="19"/>
          <w:szCs w:val="19"/>
          <w:color w:val="383838"/>
        </w:rPr>
        <w:t xml:space="preserve"> </w:t>
      </w:r>
      <w:r>
        <w:rPr>
          <w:rFonts w:ascii="Times New Roman" w:cs="Times New Roman" w:eastAsia="Times New Roman" w:hAnsi="Times New Roman"/>
          <w:sz w:val="19"/>
          <w:szCs w:val="19"/>
          <w:color w:val="0E0E0E"/>
        </w:rPr>
        <w:t>entity)</w:t>
      </w:r>
      <w:r>
        <w:rPr>
          <w:rFonts w:ascii="Times New Roman" w:cs="Times New Roman" w:eastAsia="Times New Roman" w:hAnsi="Times New Roman"/>
          <w:sz w:val="19"/>
          <w:szCs w:val="19"/>
          <w:color w:val="383838"/>
        </w:rPr>
        <w:t xml:space="preserve">, </w:t>
      </w:r>
      <w:r>
        <w:rPr>
          <w:rFonts w:ascii="Times New Roman" w:cs="Times New Roman" w:eastAsia="Times New Roman" w:hAnsi="Times New Roman"/>
          <w:sz w:val="19"/>
          <w:szCs w:val="19"/>
          <w:color w:val="0E0E0E"/>
        </w:rPr>
        <w:t>admitted to the</w:t>
      </w:r>
      <w:r>
        <w:rPr>
          <w:rFonts w:ascii="Times New Roman" w:cs="Times New Roman" w:eastAsia="Times New Roman" w:hAnsi="Times New Roman"/>
          <w:sz w:val="19"/>
          <w:szCs w:val="19"/>
          <w:color w:val="383838"/>
        </w:rPr>
        <w:t xml:space="preserve"> </w:t>
      </w:r>
      <w:r>
        <w:rPr>
          <w:rFonts w:ascii="Times New Roman" w:cs="Times New Roman" w:eastAsia="Times New Roman" w:hAnsi="Times New Roman"/>
          <w:sz w:val="19"/>
          <w:szCs w:val="19"/>
          <w:color w:val="0E0E0E"/>
        </w:rPr>
        <w:t>Company as a member of the Company pursuant to this Agreement</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any such person</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a </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u w:val="single" w:color="auto"/>
          <w:color w:val="212121"/>
        </w:rPr>
        <w:t>Member</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color w:val="0E0E0E"/>
        </w:rPr>
        <w:t xml:space="preserve"> effective as of the 10</w:t>
      </w:r>
      <w:r>
        <w:rPr>
          <w:rFonts w:ascii="Times New Roman" w:cs="Times New Roman" w:eastAsia="Times New Roman" w:hAnsi="Times New Roman"/>
          <w:sz w:val="24"/>
          <w:szCs w:val="24"/>
          <w:color w:val="0E0E0E"/>
          <w:vertAlign w:val="superscript"/>
        </w:rPr>
        <w:t>th</w:t>
      </w:r>
      <w:r>
        <w:rPr>
          <w:rFonts w:ascii="Times New Roman" w:cs="Times New Roman" w:eastAsia="Times New Roman" w:hAnsi="Times New Roman"/>
          <w:sz w:val="19"/>
          <w:szCs w:val="19"/>
          <w:color w:val="0E0E0E"/>
        </w:rPr>
        <w:t xml:space="preserve"> day of May 2023 (the </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u w:val="single" w:color="auto"/>
          <w:color w:val="383838"/>
        </w:rPr>
        <w:t>E</w:t>
      </w:r>
      <w:r>
        <w:rPr>
          <w:rFonts w:ascii="Times New Roman" w:cs="Times New Roman" w:eastAsia="Times New Roman" w:hAnsi="Times New Roman"/>
          <w:sz w:val="19"/>
          <w:szCs w:val="19"/>
          <w:u w:val="single" w:color="auto"/>
          <w:color w:val="0E0E0E"/>
        </w:rPr>
        <w:t>ffective Date</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w:t>
      </w:r>
    </w:p>
    <w:p>
      <w:pPr>
        <w:spacing w:after="0" w:line="20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9"/>
          <w:szCs w:val="19"/>
          <w:color w:val="0E0E0E"/>
        </w:rPr>
        <w:t xml:space="preserve">The Company was formerly incorporated in the State of Delaware as a corporation under the name Weatherford International, Inc. (the </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u w:val="single" w:color="auto"/>
          <w:color w:val="0E0E0E"/>
        </w:rPr>
        <w:t>Corporation</w:t>
      </w:r>
      <w:r>
        <w:rPr>
          <w:rFonts w:ascii="Times New Roman" w:cs="Times New Roman" w:eastAsia="Times New Roman" w:hAnsi="Times New Roman"/>
          <w:sz w:val="19"/>
          <w:szCs w:val="19"/>
          <w:color w:val="0E0E0E"/>
        </w:rPr>
        <w:t>"). The Certificate of lncorporation was filed on July 17, 1980</w:t>
      </w:r>
      <w:r>
        <w:rPr>
          <w:rFonts w:ascii="Times New Roman" w:cs="Times New Roman" w:eastAsia="Times New Roman" w:hAnsi="Times New Roman"/>
          <w:sz w:val="19"/>
          <w:szCs w:val="19"/>
          <w:color w:val="383838"/>
        </w:rPr>
        <w:t xml:space="preserve">, </w:t>
      </w:r>
      <w:r>
        <w:rPr>
          <w:rFonts w:ascii="Times New Roman" w:cs="Times New Roman" w:eastAsia="Times New Roman" w:hAnsi="Times New Roman"/>
          <w:sz w:val="19"/>
          <w:szCs w:val="19"/>
          <w:color w:val="0E0E0E"/>
        </w:rPr>
        <w:t>with the Secretary of State of the State of Delaware</w:t>
      </w:r>
      <w:r>
        <w:rPr>
          <w:rFonts w:ascii="Times New Roman" w:cs="Times New Roman" w:eastAsia="Times New Roman" w:hAnsi="Times New Roman"/>
          <w:sz w:val="19"/>
          <w:szCs w:val="19"/>
          <w:color w:val="383838"/>
        </w:rPr>
        <w:t>.</w:t>
      </w:r>
    </w:p>
    <w:p>
      <w:pPr>
        <w:spacing w:after="0" w:line="206" w:lineRule="exact"/>
        <w:rPr>
          <w:sz w:val="20"/>
          <w:szCs w:val="20"/>
          <w:color w:val="auto"/>
        </w:rPr>
      </w:pPr>
    </w:p>
    <w:p>
      <w:pPr>
        <w:jc w:val="both"/>
        <w:ind w:firstLine="652"/>
        <w:spacing w:after="0" w:line="266" w:lineRule="auto"/>
        <w:rPr>
          <w:sz w:val="20"/>
          <w:szCs w:val="20"/>
          <w:color w:val="auto"/>
        </w:rPr>
      </w:pPr>
      <w:r>
        <w:rPr>
          <w:rFonts w:ascii="Times New Roman" w:cs="Times New Roman" w:eastAsia="Times New Roman" w:hAnsi="Times New Roman"/>
          <w:sz w:val="19"/>
          <w:szCs w:val="19"/>
          <w:color w:val="0E0E0E"/>
        </w:rPr>
        <w:t>On March 28</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2013</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the board of directors and the sole </w:t>
      </w:r>
      <w:r>
        <w:rPr>
          <w:rFonts w:ascii="Times New Roman" w:cs="Times New Roman" w:eastAsia="Times New Roman" w:hAnsi="Times New Roman"/>
          <w:sz w:val="19"/>
          <w:szCs w:val="19"/>
          <w:color w:val="212121"/>
        </w:rPr>
        <w:t>stockholder</w:t>
      </w:r>
      <w:r>
        <w:rPr>
          <w:rFonts w:ascii="Times New Roman" w:cs="Times New Roman" w:eastAsia="Times New Roman" w:hAnsi="Times New Roman"/>
          <w:sz w:val="19"/>
          <w:szCs w:val="19"/>
          <w:color w:val="0E0E0E"/>
        </w:rPr>
        <w:t xml:space="preserve"> of the Corporation adopted a resolution and written consent, respectively, adopting and approving the conversion of the Corporation to a limited liability company (the </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u w:val="single" w:color="auto"/>
          <w:color w:val="212121"/>
        </w:rPr>
        <w:t>Conversion</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color w:val="0E0E0E"/>
        </w:rPr>
        <w:t xml:space="preserve"> organized under the provisions of the Delaware Limited Liability Company Act, as amended from time to time (the </w:t>
      </w:r>
      <w:r>
        <w:rPr>
          <w:rFonts w:ascii="Times New Roman" w:cs="Times New Roman" w:eastAsia="Times New Roman" w:hAnsi="Times New Roman"/>
          <w:sz w:val="19"/>
          <w:szCs w:val="19"/>
          <w:u w:val="single" w:color="auto"/>
          <w:color w:val="383838"/>
        </w:rPr>
        <w:t>"</w:t>
      </w:r>
      <w:r>
        <w:rPr>
          <w:rFonts w:ascii="Times New Roman" w:cs="Times New Roman" w:eastAsia="Times New Roman" w:hAnsi="Times New Roman"/>
          <w:sz w:val="19"/>
          <w:szCs w:val="19"/>
          <w:u w:val="single" w:color="auto"/>
          <w:color w:val="0E0E0E"/>
        </w:rPr>
        <w:t>Act")</w:t>
      </w:r>
      <w:r>
        <w:rPr>
          <w:rFonts w:ascii="Times New Roman" w:cs="Times New Roman" w:eastAsia="Times New Roman" w:hAnsi="Times New Roman"/>
          <w:sz w:val="19"/>
          <w:szCs w:val="19"/>
          <w:color w:val="0E0E0E"/>
        </w:rPr>
        <w:t>.</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0E0E0E"/>
        </w:rPr>
        <w:t>In consideration of the covenants, conditions and agreements contained herein, the Member</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w:t>
      </w:r>
      <w:r>
        <w:rPr>
          <w:rFonts w:ascii="Times New Roman" w:cs="Times New Roman" w:eastAsia="Times New Roman" w:hAnsi="Times New Roman"/>
          <w:sz w:val="19"/>
          <w:szCs w:val="19"/>
          <w:color w:val="212121"/>
        </w:rPr>
        <w:t>who</w:t>
      </w:r>
      <w:r>
        <w:rPr>
          <w:rFonts w:ascii="Times New Roman" w:cs="Times New Roman" w:eastAsia="Times New Roman" w:hAnsi="Times New Roman"/>
          <w:sz w:val="19"/>
          <w:szCs w:val="19"/>
          <w:color w:val="0E0E0E"/>
        </w:rPr>
        <w:t xml:space="preserve"> upon the effective date hereof is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E0E0E"/>
        </w:rPr>
        <w:t>Sole Member</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hereby determines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E0E0E"/>
        </w:rPr>
        <w:t xml:space="preserve">ARTICLE </w:t>
      </w:r>
      <w:r>
        <w:rPr>
          <w:rFonts w:ascii="Times New Roman" w:cs="Times New Roman" w:eastAsia="Times New Roman" w:hAnsi="Times New Roman"/>
          <w:sz w:val="20"/>
          <w:szCs w:val="20"/>
          <w:color w:val="0E0E0E"/>
        </w:rPr>
        <w:t>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E0E0E"/>
        </w:rPr>
        <w:t>ORGANIZATION OF THE COMPANY</w:t>
      </w:r>
    </w:p>
    <w:p>
      <w:pPr>
        <w:spacing w:after="0" w:line="217" w:lineRule="exact"/>
        <w:rPr>
          <w:sz w:val="20"/>
          <w:szCs w:val="20"/>
          <w:color w:val="auto"/>
        </w:rPr>
      </w:pPr>
    </w:p>
    <w:p>
      <w:pPr>
        <w:ind w:left="1340" w:hanging="693"/>
        <w:spacing w:after="0"/>
        <w:tabs>
          <w:tab w:leader="none" w:pos="1340" w:val="left"/>
        </w:tabs>
        <w:numPr>
          <w:ilvl w:val="0"/>
          <w:numId w:val="34"/>
        </w:numPr>
        <w:rPr>
          <w:rFonts w:ascii="Times New Roman" w:cs="Times New Roman" w:eastAsia="Times New Roman" w:hAnsi="Times New Roman"/>
          <w:sz w:val="20"/>
          <w:szCs w:val="20"/>
          <w:b w:val="1"/>
          <w:bCs w:val="1"/>
          <w:color w:val="0E0E0E"/>
        </w:rPr>
      </w:pPr>
      <w:r>
        <w:rPr>
          <w:rFonts w:ascii="Times New Roman" w:cs="Times New Roman" w:eastAsia="Times New Roman" w:hAnsi="Times New Roman"/>
          <w:sz w:val="20"/>
          <w:szCs w:val="20"/>
          <w:b w:val="1"/>
          <w:bCs w:val="1"/>
          <w:color w:val="0E0E0E"/>
        </w:rPr>
        <w:t>Formation.</w:t>
      </w:r>
    </w:p>
    <w:p>
      <w:pPr>
        <w:spacing w:after="0" w:line="256" w:lineRule="exact"/>
        <w:rPr>
          <w:sz w:val="20"/>
          <w:szCs w:val="20"/>
          <w:color w:val="auto"/>
        </w:rPr>
      </w:pPr>
    </w:p>
    <w:p>
      <w:pPr>
        <w:ind w:right="20" w:firstLine="652"/>
        <w:spacing w:after="0" w:line="280" w:lineRule="auto"/>
        <w:rPr>
          <w:sz w:val="20"/>
          <w:szCs w:val="20"/>
          <w:color w:val="auto"/>
        </w:rPr>
      </w:pPr>
      <w:r>
        <w:rPr>
          <w:rFonts w:ascii="Times New Roman" w:cs="Times New Roman" w:eastAsia="Times New Roman" w:hAnsi="Times New Roman"/>
          <w:sz w:val="19"/>
          <w:szCs w:val="19"/>
          <w:color w:val="0E0E0E"/>
        </w:rPr>
        <w:t>Weatherford International, LLC is a limited liability company organized under the Act</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as amended and restated from time to time. The Certificate of Conversion and the Certificate of Formation were filed on March 28</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2013 and effective </w:t>
      </w:r>
      <w:r>
        <w:rPr>
          <w:rFonts w:ascii="Times New Roman" w:cs="Times New Roman" w:eastAsia="Times New Roman" w:hAnsi="Times New Roman"/>
          <w:sz w:val="19"/>
          <w:szCs w:val="19"/>
          <w:color w:val="212121"/>
        </w:rPr>
        <w:t>as</w:t>
      </w:r>
      <w:r>
        <w:rPr>
          <w:rFonts w:ascii="Times New Roman" w:cs="Times New Roman" w:eastAsia="Times New Roman" w:hAnsi="Times New Roman"/>
          <w:sz w:val="19"/>
          <w:szCs w:val="19"/>
          <w:color w:val="0E0E0E"/>
        </w:rPr>
        <w:t xml:space="preserve"> of March 31</w:t>
      </w:r>
      <w:r>
        <w:rPr>
          <w:rFonts w:ascii="Times New Roman" w:cs="Times New Roman" w:eastAsia="Times New Roman" w:hAnsi="Times New Roman"/>
          <w:sz w:val="19"/>
          <w:szCs w:val="19"/>
          <w:color w:val="4D4D4D"/>
        </w:rPr>
        <w:t>,</w:t>
      </w:r>
      <w:r>
        <w:rPr>
          <w:rFonts w:ascii="Times New Roman" w:cs="Times New Roman" w:eastAsia="Times New Roman" w:hAnsi="Times New Roman"/>
          <w:sz w:val="19"/>
          <w:szCs w:val="19"/>
          <w:color w:val="0E0E0E"/>
        </w:rPr>
        <w:t xml:space="preserve"> 2013 (the </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u w:val="single" w:color="auto"/>
          <w:color w:val="212121"/>
        </w:rPr>
        <w:t>Certificate</w:t>
      </w:r>
      <w:r>
        <w:rPr>
          <w:rFonts w:ascii="Times New Roman" w:cs="Times New Roman" w:eastAsia="Times New Roman" w:hAnsi="Times New Roman"/>
          <w:sz w:val="19"/>
          <w:szCs w:val="19"/>
          <w:color w:val="212121"/>
        </w:rPr>
        <w:t>").</w:t>
      </w:r>
    </w:p>
    <w:p>
      <w:pPr>
        <w:spacing w:after="0" w:line="192" w:lineRule="exact"/>
        <w:rPr>
          <w:sz w:val="20"/>
          <w:szCs w:val="20"/>
          <w:color w:val="auto"/>
        </w:rPr>
      </w:pPr>
    </w:p>
    <w:p>
      <w:pPr>
        <w:ind w:left="1340" w:hanging="694"/>
        <w:spacing w:after="0"/>
        <w:tabs>
          <w:tab w:leader="none" w:pos="1340" w:val="left"/>
        </w:tabs>
        <w:numPr>
          <w:ilvl w:val="0"/>
          <w:numId w:val="35"/>
        </w:numPr>
        <w:rPr>
          <w:rFonts w:ascii="Times New Roman" w:cs="Times New Roman" w:eastAsia="Times New Roman" w:hAnsi="Times New Roman"/>
          <w:sz w:val="20"/>
          <w:szCs w:val="20"/>
          <w:b w:val="1"/>
          <w:bCs w:val="1"/>
          <w:color w:val="0E0E0E"/>
        </w:rPr>
      </w:pPr>
      <w:r>
        <w:rPr>
          <w:rFonts w:ascii="Times New Roman" w:cs="Times New Roman" w:eastAsia="Times New Roman" w:hAnsi="Times New Roman"/>
          <w:sz w:val="20"/>
          <w:szCs w:val="20"/>
          <w:b w:val="1"/>
          <w:bCs w:val="1"/>
          <w:color w:val="0E0E0E"/>
        </w:rPr>
        <w:t>Name.</w:t>
      </w:r>
    </w:p>
    <w:p>
      <w:pPr>
        <w:spacing w:after="0" w:line="283" w:lineRule="exact"/>
        <w:rPr>
          <w:sz w:val="20"/>
          <w:szCs w:val="20"/>
          <w:color w:val="auto"/>
        </w:rPr>
      </w:pPr>
    </w:p>
    <w:p>
      <w:pPr>
        <w:jc w:val="both"/>
        <w:ind w:firstLine="650"/>
        <w:spacing w:after="0" w:line="266" w:lineRule="auto"/>
        <w:rPr>
          <w:sz w:val="20"/>
          <w:szCs w:val="20"/>
          <w:color w:val="auto"/>
        </w:rPr>
      </w:pPr>
      <w:r>
        <w:rPr>
          <w:rFonts w:ascii="Times New Roman" w:cs="Times New Roman" w:eastAsia="Times New Roman" w:hAnsi="Times New Roman"/>
          <w:sz w:val="19"/>
          <w:szCs w:val="19"/>
          <w:color w:val="0E0E0E"/>
        </w:rPr>
        <w:t>The name of the Company is Weatherford International</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LLC. All business of the Company shall be conducted under the name and title to all property</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real</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personal or mixed</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owned by or leased to the Company shall continue to be held in such name. Notwithstanding the preceding sentence</w:t>
      </w:r>
      <w:r>
        <w:rPr>
          <w:rFonts w:ascii="Times New Roman" w:cs="Times New Roman" w:eastAsia="Times New Roman" w:hAnsi="Times New Roman"/>
          <w:sz w:val="19"/>
          <w:szCs w:val="19"/>
          <w:color w:val="383838"/>
        </w:rPr>
        <w:t>,</w:t>
      </w:r>
      <w:r>
        <w:rPr>
          <w:rFonts w:ascii="Times New Roman" w:cs="Times New Roman" w:eastAsia="Times New Roman" w:hAnsi="Times New Roman"/>
          <w:sz w:val="19"/>
          <w:szCs w:val="19"/>
          <w:color w:val="0E0E0E"/>
        </w:rPr>
        <w:t xml:space="preserve"> the Member(s) may change the name of the Company or adopt such trade or fictitious names as it may determine.</w:t>
      </w:r>
    </w:p>
    <w:p>
      <w:pPr>
        <w:spacing w:after="0" w:line="191" w:lineRule="exact"/>
        <w:rPr>
          <w:sz w:val="20"/>
          <w:szCs w:val="20"/>
          <w:color w:val="auto"/>
        </w:rPr>
      </w:pPr>
    </w:p>
    <w:p>
      <w:pPr>
        <w:ind w:left="1280" w:hanging="632"/>
        <w:spacing w:after="0"/>
        <w:tabs>
          <w:tab w:leader="none" w:pos="1280" w:val="left"/>
        </w:tabs>
        <w:numPr>
          <w:ilvl w:val="0"/>
          <w:numId w:val="36"/>
        </w:numPr>
        <w:rPr>
          <w:rFonts w:ascii="Times New Roman" w:cs="Times New Roman" w:eastAsia="Times New Roman" w:hAnsi="Times New Roman"/>
          <w:sz w:val="20"/>
          <w:szCs w:val="20"/>
          <w:b w:val="1"/>
          <w:bCs w:val="1"/>
          <w:color w:val="0E0E0E"/>
        </w:rPr>
      </w:pPr>
      <w:r>
        <w:rPr>
          <w:rFonts w:ascii="Times New Roman" w:cs="Times New Roman" w:eastAsia="Times New Roman" w:hAnsi="Times New Roman"/>
          <w:sz w:val="20"/>
          <w:szCs w:val="20"/>
          <w:b w:val="1"/>
          <w:bCs w:val="1"/>
          <w:color w:val="0E0E0E"/>
        </w:rPr>
        <w:t>Purposes and Permitted Activities.</w:t>
      </w:r>
    </w:p>
    <w:p>
      <w:pPr>
        <w:spacing w:after="0" w:line="270" w:lineRule="exact"/>
        <w:rPr>
          <w:sz w:val="20"/>
          <w:szCs w:val="20"/>
          <w:color w:val="auto"/>
        </w:rPr>
      </w:pPr>
    </w:p>
    <w:p>
      <w:pPr>
        <w:ind w:right="20" w:firstLine="644"/>
        <w:spacing w:after="0" w:line="280" w:lineRule="auto"/>
        <w:rPr>
          <w:sz w:val="20"/>
          <w:szCs w:val="20"/>
          <w:color w:val="auto"/>
        </w:rPr>
      </w:pPr>
      <w:r>
        <w:rPr>
          <w:rFonts w:ascii="Times New Roman" w:cs="Times New Roman" w:eastAsia="Times New Roman" w:hAnsi="Times New Roman"/>
          <w:sz w:val="19"/>
          <w:szCs w:val="19"/>
          <w:color w:val="0E0E0E"/>
        </w:rPr>
        <w:t>The purposes of the Company are to engage in any business or activity that is not forbidden by the law of the jurisdiction in which the Company engages in that business or activity.</w:t>
      </w:r>
    </w:p>
    <w:p>
      <w:pPr>
        <w:spacing w:after="0" w:line="178" w:lineRule="exact"/>
        <w:rPr>
          <w:sz w:val="20"/>
          <w:szCs w:val="20"/>
          <w:color w:val="auto"/>
        </w:rPr>
      </w:pPr>
    </w:p>
    <w:p>
      <w:pPr>
        <w:ind w:left="1300" w:hanging="654"/>
        <w:spacing w:after="0"/>
        <w:tabs>
          <w:tab w:leader="none" w:pos="1300" w:val="left"/>
        </w:tabs>
        <w:numPr>
          <w:ilvl w:val="0"/>
          <w:numId w:val="37"/>
        </w:numPr>
        <w:rPr>
          <w:rFonts w:ascii="Times New Roman" w:cs="Times New Roman" w:eastAsia="Times New Roman" w:hAnsi="Times New Roman"/>
          <w:sz w:val="20"/>
          <w:szCs w:val="20"/>
          <w:b w:val="1"/>
          <w:bCs w:val="1"/>
          <w:color w:val="0E0E0E"/>
        </w:rPr>
      </w:pPr>
      <w:r>
        <w:rPr>
          <w:rFonts w:ascii="Times New Roman" w:cs="Times New Roman" w:eastAsia="Times New Roman" w:hAnsi="Times New Roman"/>
          <w:sz w:val="20"/>
          <w:szCs w:val="20"/>
          <w:b w:val="1"/>
          <w:bCs w:val="1"/>
          <w:color w:val="0E0E0E"/>
        </w:rPr>
        <w:t>Powers.</w:t>
      </w:r>
    </w:p>
    <w:p>
      <w:pPr>
        <w:sectPr>
          <w:pgSz w:w="11900" w:h="16838" w:orient="portrait"/>
          <w:cols w:equalWidth="0" w:num="1">
            <w:col w:w="11020"/>
          </w:cols>
          <w:pgMar w:left="440" w:top="1360" w:right="439" w:bottom="1440" w:gutter="0" w:footer="0" w:header="0"/>
        </w:sectPr>
      </w:pPr>
    </w:p>
    <w:bookmarkStart w:id="48" w:name="page49"/>
    <w:bookmarkEnd w:id="48"/>
    <w:p>
      <w:pPr>
        <w:ind w:firstLine="652"/>
        <w:spacing w:after="0" w:line="280" w:lineRule="auto"/>
        <w:rPr>
          <w:sz w:val="20"/>
          <w:szCs w:val="20"/>
          <w:color w:val="auto"/>
        </w:rPr>
      </w:pPr>
      <w:r>
        <w:rPr>
          <w:rFonts w:ascii="Times New Roman" w:cs="Times New Roman" w:eastAsia="Times New Roman" w:hAnsi="Times New Roman"/>
          <w:sz w:val="19"/>
          <w:szCs w:val="19"/>
          <w:color w:val="0F0F0F"/>
        </w:rPr>
        <w:t>Subject to all of the provisions of this Agreement, the Company shall have all powers necessary, appropriate or incidental to the accomplishment of its purposes and all other powers conferred upon a limited liability company pursuant to the Act.</w:t>
      </w:r>
    </w:p>
    <w:p>
      <w:pPr>
        <w:spacing w:after="0" w:line="205" w:lineRule="exact"/>
        <w:rPr>
          <w:sz w:val="20"/>
          <w:szCs w:val="20"/>
          <w:color w:val="auto"/>
        </w:rPr>
      </w:pPr>
    </w:p>
    <w:p>
      <w:pPr>
        <w:ind w:left="1300" w:hanging="656"/>
        <w:spacing w:after="0"/>
        <w:tabs>
          <w:tab w:leader="none" w:pos="1300" w:val="left"/>
        </w:tabs>
        <w:numPr>
          <w:ilvl w:val="0"/>
          <w:numId w:val="38"/>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Term.</w:t>
      </w:r>
    </w:p>
    <w:p>
      <w:pPr>
        <w:spacing w:after="0" w:line="270" w:lineRule="exact"/>
        <w:rPr>
          <w:sz w:val="20"/>
          <w:szCs w:val="20"/>
          <w:color w:val="auto"/>
        </w:rPr>
      </w:pPr>
    </w:p>
    <w:p>
      <w:pPr>
        <w:jc w:val="both"/>
        <w:ind w:firstLine="650"/>
        <w:spacing w:after="0" w:line="259" w:lineRule="auto"/>
        <w:rPr>
          <w:sz w:val="20"/>
          <w:szCs w:val="20"/>
          <w:color w:val="auto"/>
        </w:rPr>
      </w:pPr>
      <w:r>
        <w:rPr>
          <w:rFonts w:ascii="Times New Roman" w:cs="Times New Roman" w:eastAsia="Times New Roman" w:hAnsi="Times New Roman"/>
          <w:sz w:val="19"/>
          <w:szCs w:val="19"/>
          <w:color w:val="0F0F0F"/>
        </w:rPr>
        <w:t>The term of the Company (in the form of a corporation) commenced on July 17, 1980 when the original Certificate of Incorporation of the Corporation was filed with the Delaware Secretary of State and such term was not interrupted by the Conversion. The Company continues in existence from such date as the same entity and the term of the Company shall be perpetual, unless it is dissolved sooner in accordance with Section 26(a). Notwithstanding the dissolution of the Company, the existence of the Company as a separate legal entity shall continue until cancellation of the Certificate of Formation in accordance with the Act.</w:t>
      </w:r>
    </w:p>
    <w:p>
      <w:pPr>
        <w:spacing w:after="0" w:line="198" w:lineRule="exact"/>
        <w:rPr>
          <w:sz w:val="20"/>
          <w:szCs w:val="20"/>
          <w:color w:val="auto"/>
        </w:rPr>
      </w:pPr>
    </w:p>
    <w:p>
      <w:pPr>
        <w:ind w:left="1300" w:hanging="656"/>
        <w:spacing w:after="0"/>
        <w:tabs>
          <w:tab w:leader="none" w:pos="1300" w:val="left"/>
        </w:tabs>
        <w:numPr>
          <w:ilvl w:val="0"/>
          <w:numId w:val="39"/>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Fiscal Year.</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0F0F0F"/>
        </w:rPr>
        <w:t>The fiscal year of the Company shall begin on January 1 and end on December 31 of each year.</w:t>
      </w:r>
    </w:p>
    <w:p>
      <w:pPr>
        <w:spacing w:after="0" w:line="267" w:lineRule="exact"/>
        <w:rPr>
          <w:sz w:val="20"/>
          <w:szCs w:val="20"/>
          <w:color w:val="auto"/>
        </w:rPr>
      </w:pPr>
    </w:p>
    <w:p>
      <w:pPr>
        <w:ind w:left="1280" w:hanging="632"/>
        <w:spacing w:after="0"/>
        <w:tabs>
          <w:tab w:leader="none" w:pos="1280" w:val="left"/>
        </w:tabs>
        <w:numPr>
          <w:ilvl w:val="0"/>
          <w:numId w:val="40"/>
        </w:numPr>
        <w:rPr>
          <w:rFonts w:ascii="Times New Roman" w:cs="Times New Roman" w:eastAsia="Times New Roman" w:hAnsi="Times New Roman"/>
          <w:sz w:val="19"/>
          <w:szCs w:val="19"/>
          <w:color w:val="0F0F0F"/>
        </w:rPr>
      </w:pPr>
      <w:r>
        <w:rPr>
          <w:rFonts w:ascii="Times New Roman" w:cs="Times New Roman" w:eastAsia="Times New Roman" w:hAnsi="Times New Roman"/>
          <w:sz w:val="20"/>
          <w:szCs w:val="20"/>
          <w:b w:val="1"/>
          <w:bCs w:val="1"/>
          <w:color w:val="0F0F0F"/>
        </w:rPr>
        <w:t>Principal Office.</w:t>
      </w: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0F0F0F"/>
        </w:rPr>
        <w:t>The principal business office of the Company shall be located at such location as may be determined from time to time by the Member.</w:t>
      </w:r>
    </w:p>
    <w:p>
      <w:pPr>
        <w:spacing w:after="0" w:line="240" w:lineRule="exact"/>
        <w:rPr>
          <w:sz w:val="20"/>
          <w:szCs w:val="20"/>
          <w:color w:val="auto"/>
        </w:rPr>
      </w:pPr>
    </w:p>
    <w:p>
      <w:pPr>
        <w:ind w:left="1300" w:hanging="656"/>
        <w:spacing w:after="0"/>
        <w:tabs>
          <w:tab w:leader="none" w:pos="1300" w:val="left"/>
        </w:tabs>
        <w:numPr>
          <w:ilvl w:val="0"/>
          <w:numId w:val="41"/>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Registered Office.</w:t>
      </w:r>
    </w:p>
    <w:p>
      <w:pPr>
        <w:spacing w:after="0" w:line="270" w:lineRule="exact"/>
        <w:rPr>
          <w:sz w:val="20"/>
          <w:szCs w:val="20"/>
          <w:color w:val="auto"/>
        </w:rPr>
      </w:pPr>
    </w:p>
    <w:p>
      <w:pPr>
        <w:jc w:val="both"/>
        <w:ind w:firstLine="701"/>
        <w:spacing w:after="0" w:line="261" w:lineRule="auto"/>
        <w:rPr>
          <w:sz w:val="20"/>
          <w:szCs w:val="20"/>
          <w:color w:val="auto"/>
        </w:rPr>
      </w:pPr>
      <w:r>
        <w:rPr>
          <w:rFonts w:ascii="Times New Roman" w:cs="Times New Roman" w:eastAsia="Times New Roman" w:hAnsi="Times New Roman"/>
          <w:sz w:val="19"/>
          <w:szCs w:val="19"/>
          <w:color w:val="0F0F0F"/>
        </w:rPr>
        <w:t>The registered office of the Company required by the Act to be maintained in the State of Delaware shall be the office of the initial registered agent named in the Certificate, or such other place as the Member may designate in the manner provided by law. The registered agent for service of process at such address shall be the initial registered agent named in the Certificate, or such other person as the Member may designate in the manner provided by law.</w:t>
      </w:r>
    </w:p>
    <w:p>
      <w:pPr>
        <w:spacing w:after="0" w:line="210" w:lineRule="exact"/>
        <w:rPr>
          <w:sz w:val="20"/>
          <w:szCs w:val="20"/>
          <w:color w:val="auto"/>
        </w:rPr>
      </w:pPr>
    </w:p>
    <w:p>
      <w:pPr>
        <w:ind w:left="1300" w:hanging="655"/>
        <w:spacing w:after="0"/>
        <w:tabs>
          <w:tab w:leader="none" w:pos="1300" w:val="left"/>
        </w:tabs>
        <w:numPr>
          <w:ilvl w:val="0"/>
          <w:numId w:val="42"/>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Member.</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0F0F0F"/>
        </w:rPr>
        <w:t xml:space="preserve">The name and business or mailing address of the Member of the Company is </w:t>
      </w:r>
      <w:r>
        <w:rPr>
          <w:rFonts w:ascii="Times New Roman" w:cs="Times New Roman" w:eastAsia="Times New Roman" w:hAnsi="Times New Roman"/>
          <w:sz w:val="19"/>
          <w:szCs w:val="19"/>
          <w:color w:val="363636"/>
        </w:rPr>
        <w:t>as follows:</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040" w:type="dxa"/>
            <w:vAlign w:val="bottom"/>
            <w:tcBorders>
              <w:top w:val="single" w:sz="8" w:color="auto"/>
              <w:left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100" w:type="dxa"/>
            <w:vAlign w:val="bottom"/>
            <w:tcBorders>
              <w:top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20"/>
                <w:szCs w:val="20"/>
                <w:b w:val="1"/>
                <w:bCs w:val="1"/>
                <w:color w:val="0F0F0F"/>
                <w:w w:val="98"/>
              </w:rPr>
              <w:t>Units of</w:t>
            </w:r>
          </w:p>
        </w:tc>
        <w:tc>
          <w:tcPr>
            <w:tcW w:w="880" w:type="dxa"/>
            <w:vAlign w:val="bottom"/>
            <w:tcBorders>
              <w:top w:val="single" w:sz="8" w:color="auto"/>
            </w:tcBorders>
          </w:tcPr>
          <w:p>
            <w:pPr>
              <w:spacing w:after="0"/>
              <w:rPr>
                <w:sz w:val="21"/>
                <w:szCs w:val="21"/>
                <w:color w:val="auto"/>
              </w:rPr>
            </w:pPr>
          </w:p>
        </w:tc>
        <w:tc>
          <w:tcPr>
            <w:tcW w:w="2580" w:type="dxa"/>
            <w:vAlign w:val="bottom"/>
            <w:tcBorders>
              <w:top w:val="single" w:sz="8" w:color="auto"/>
              <w:right w:val="single" w:sz="8" w:color="auto"/>
            </w:tcBorders>
            <w:gridSpan w:val="2"/>
          </w:tcPr>
          <w:p>
            <w:pPr>
              <w:jc w:val="center"/>
              <w:ind w:right="920"/>
              <w:spacing w:after="0"/>
              <w:rPr>
                <w:sz w:val="20"/>
                <w:szCs w:val="20"/>
                <w:color w:val="auto"/>
              </w:rPr>
            </w:pPr>
            <w:r>
              <w:rPr>
                <w:rFonts w:ascii="Times New Roman" w:cs="Times New Roman" w:eastAsia="Times New Roman" w:hAnsi="Times New Roman"/>
                <w:sz w:val="20"/>
                <w:szCs w:val="20"/>
                <w:b w:val="1"/>
                <w:bCs w:val="1"/>
                <w:color w:val="0F0F0F"/>
                <w:w w:val="98"/>
              </w:rPr>
              <w:t>Percentage of</w:t>
            </w:r>
          </w:p>
        </w:tc>
        <w:tc>
          <w:tcPr>
            <w:tcW w:w="0" w:type="dxa"/>
            <w:vAlign w:val="bottom"/>
          </w:tcPr>
          <w:p>
            <w:pPr>
              <w:spacing w:after="0"/>
              <w:rPr>
                <w:sz w:val="1"/>
                <w:szCs w:val="1"/>
                <w:color w:val="auto"/>
              </w:rPr>
            </w:pPr>
          </w:p>
        </w:tc>
      </w:tr>
      <w:tr>
        <w:trPr>
          <w:trHeight w:val="257"/>
        </w:trPr>
        <w:tc>
          <w:tcPr>
            <w:tcW w:w="2040" w:type="dxa"/>
            <w:vAlign w:val="bottom"/>
            <w:tcBorders>
              <w:left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2100" w:type="dxa"/>
            <w:vAlign w:val="bottom"/>
            <w:tcBorders>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20"/>
                <w:szCs w:val="20"/>
                <w:b w:val="1"/>
                <w:bCs w:val="1"/>
                <w:color w:val="0F0F0F"/>
                <w:w w:val="99"/>
              </w:rPr>
              <w:t>Limited Liability</w:t>
            </w:r>
          </w:p>
        </w:tc>
        <w:tc>
          <w:tcPr>
            <w:tcW w:w="880" w:type="dxa"/>
            <w:vAlign w:val="bottom"/>
          </w:tcPr>
          <w:p>
            <w:pPr>
              <w:spacing w:after="0"/>
              <w:rPr>
                <w:sz w:val="22"/>
                <w:szCs w:val="22"/>
                <w:color w:val="auto"/>
              </w:rPr>
            </w:pPr>
          </w:p>
        </w:tc>
        <w:tc>
          <w:tcPr>
            <w:tcW w:w="2580" w:type="dxa"/>
            <w:vAlign w:val="bottom"/>
            <w:tcBorders>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20"/>
                <w:szCs w:val="20"/>
                <w:b w:val="1"/>
                <w:bCs w:val="1"/>
                <w:color w:val="0F0F0F"/>
                <w:w w:val="98"/>
              </w:rPr>
              <w:t>Limited Liability</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gridSpan w:val="3"/>
            <w:vMerge w:val="restart"/>
          </w:tcPr>
          <w:p>
            <w:pPr>
              <w:ind w:left="2040"/>
              <w:spacing w:after="0" w:line="223" w:lineRule="exact"/>
              <w:rPr>
                <w:sz w:val="20"/>
                <w:szCs w:val="20"/>
                <w:color w:val="auto"/>
              </w:rPr>
            </w:pPr>
            <w:r>
              <w:rPr>
                <w:rFonts w:ascii="Times New Roman" w:cs="Times New Roman" w:eastAsia="Times New Roman" w:hAnsi="Times New Roman"/>
                <w:sz w:val="20"/>
                <w:szCs w:val="20"/>
                <w:b w:val="1"/>
                <w:bCs w:val="1"/>
                <w:color w:val="0F0F0F"/>
              </w:rPr>
              <w:t>Member</w:t>
            </w:r>
          </w:p>
        </w:tc>
        <w:tc>
          <w:tcPr>
            <w:tcW w:w="540" w:type="dxa"/>
            <w:vAlign w:val="bottom"/>
          </w:tcPr>
          <w:p>
            <w:pPr>
              <w:spacing w:after="0"/>
              <w:rPr>
                <w:sz w:val="18"/>
                <w:szCs w:val="18"/>
                <w:color w:val="auto"/>
              </w:rPr>
            </w:pPr>
          </w:p>
        </w:tc>
        <w:tc>
          <w:tcPr>
            <w:tcW w:w="2100" w:type="dxa"/>
            <w:vAlign w:val="bottom"/>
            <w:tcBorders>
              <w:right w:val="single" w:sz="8" w:color="auto"/>
            </w:tcBorders>
            <w:gridSpan w:val="2"/>
            <w:vMerge w:val="restart"/>
          </w:tcPr>
          <w:p>
            <w:pPr>
              <w:jc w:val="center"/>
              <w:ind w:right="560"/>
              <w:spacing w:after="0" w:line="223" w:lineRule="exact"/>
              <w:rPr>
                <w:sz w:val="20"/>
                <w:szCs w:val="20"/>
                <w:color w:val="auto"/>
              </w:rPr>
            </w:pPr>
            <w:r>
              <w:rPr>
                <w:rFonts w:ascii="Times New Roman" w:cs="Times New Roman" w:eastAsia="Times New Roman" w:hAnsi="Times New Roman"/>
                <w:sz w:val="20"/>
                <w:szCs w:val="20"/>
                <w:b w:val="1"/>
                <w:bCs w:val="1"/>
                <w:color w:val="0F0F0F"/>
                <w:w w:val="99"/>
              </w:rPr>
              <w:t>Company Interest</w:t>
            </w:r>
          </w:p>
        </w:tc>
        <w:tc>
          <w:tcPr>
            <w:tcW w:w="880" w:type="dxa"/>
            <w:vAlign w:val="bottom"/>
          </w:tcPr>
          <w:p>
            <w:pPr>
              <w:spacing w:after="0"/>
              <w:rPr>
                <w:sz w:val="18"/>
                <w:szCs w:val="18"/>
                <w:color w:val="auto"/>
              </w:rPr>
            </w:pPr>
          </w:p>
        </w:tc>
        <w:tc>
          <w:tcPr>
            <w:tcW w:w="1660" w:type="dxa"/>
            <w:vAlign w:val="bottom"/>
            <w:tcBorders>
              <w:bottom w:val="single" w:sz="8" w:color="0F0F0F"/>
            </w:tcBorders>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0F0F0F"/>
                <w:w w:val="98"/>
              </w:rPr>
              <w:t>Company Interests</w:t>
            </w:r>
          </w:p>
        </w:tc>
        <w:tc>
          <w:tcPr>
            <w:tcW w:w="92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Borders>
              <w:right w:val="single" w:sz="8" w:color="auto"/>
            </w:tcBorders>
            <w:gridSpan w:val="2"/>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40" w:type="dxa"/>
            <w:vAlign w:val="bottom"/>
            <w:tcBorders>
              <w:left w:val="single" w:sz="8" w:color="auto"/>
              <w:bottom w:val="single" w:sz="8" w:color="auto"/>
            </w:tcBorders>
          </w:tcPr>
          <w:p>
            <w:pPr>
              <w:spacing w:after="0"/>
              <w:rPr>
                <w:sz w:val="6"/>
                <w:szCs w:val="6"/>
                <w:color w:val="auto"/>
              </w:rPr>
            </w:pPr>
          </w:p>
        </w:tc>
        <w:tc>
          <w:tcPr>
            <w:tcW w:w="720" w:type="dxa"/>
            <w:vAlign w:val="bottom"/>
            <w:tcBorders>
              <w:top w:val="single" w:sz="8" w:color="0F0F0F"/>
              <w:bottom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540" w:type="dxa"/>
            <w:vAlign w:val="bottom"/>
            <w:tcBorders>
              <w:top w:val="single" w:sz="8" w:color="0F0F0F"/>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8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0F0F0F"/>
              </w:rPr>
              <w:t>Weatherford Worldwide Holdings GmbH Weststrasse 1</w:t>
            </w:r>
          </w:p>
        </w:tc>
        <w:tc>
          <w:tcPr>
            <w:tcW w:w="2080" w:type="dxa"/>
            <w:vAlign w:val="bottom"/>
            <w:gridSpan w:val="2"/>
          </w:tcPr>
          <w:p>
            <w:pPr>
              <w:jc w:val="center"/>
              <w:ind w:left="446"/>
              <w:spacing w:after="0"/>
              <w:rPr>
                <w:sz w:val="20"/>
                <w:szCs w:val="20"/>
                <w:color w:val="auto"/>
              </w:rPr>
            </w:pPr>
            <w:r>
              <w:rPr>
                <w:rFonts w:ascii="Times New Roman" w:cs="Times New Roman" w:eastAsia="Times New Roman" w:hAnsi="Times New Roman"/>
                <w:sz w:val="19"/>
                <w:szCs w:val="19"/>
                <w:color w:val="0F0F0F"/>
              </w:rPr>
              <w:t>100</w:t>
            </w:r>
          </w:p>
        </w:tc>
        <w:tc>
          <w:tcPr>
            <w:tcW w:w="560" w:type="dxa"/>
            <w:vAlign w:val="bottom"/>
            <w:tcBorders>
              <w:right w:val="single" w:sz="8" w:color="auto"/>
            </w:tcBorders>
          </w:tcPr>
          <w:p>
            <w:pPr>
              <w:spacing w:after="0"/>
              <w:rPr>
                <w:sz w:val="19"/>
                <w:szCs w:val="19"/>
                <w:color w:val="auto"/>
              </w:rPr>
            </w:pPr>
          </w:p>
        </w:tc>
        <w:tc>
          <w:tcPr>
            <w:tcW w:w="2540" w:type="dxa"/>
            <w:vAlign w:val="bottom"/>
            <w:gridSpan w:val="2"/>
          </w:tcPr>
          <w:p>
            <w:pPr>
              <w:jc w:val="center"/>
              <w:ind w:left="806"/>
              <w:spacing w:after="0"/>
              <w:rPr>
                <w:sz w:val="20"/>
                <w:szCs w:val="20"/>
                <w:color w:val="auto"/>
              </w:rPr>
            </w:pPr>
            <w:r>
              <w:rPr>
                <w:rFonts w:ascii="Times New Roman" w:cs="Times New Roman" w:eastAsia="Times New Roman" w:hAnsi="Times New Roman"/>
                <w:sz w:val="19"/>
                <w:szCs w:val="19"/>
                <w:color w:val="0F0F0F"/>
                <w:w w:val="99"/>
              </w:rPr>
              <w:t>100%</w:t>
            </w: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0F0F0F"/>
              </w:rPr>
              <w:t>Baar 6340, Switzerland</w:t>
            </w:r>
          </w:p>
        </w:tc>
        <w:tc>
          <w:tcPr>
            <w:tcW w:w="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4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300" w:hanging="649"/>
        <w:spacing w:after="0"/>
        <w:tabs>
          <w:tab w:leader="none" w:pos="1300" w:val="left"/>
        </w:tabs>
        <w:numPr>
          <w:ilvl w:val="1"/>
          <w:numId w:val="43"/>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Membership Interests.</w:t>
      </w:r>
    </w:p>
    <w:p>
      <w:pPr>
        <w:spacing w:after="0" w:line="296" w:lineRule="exact"/>
        <w:rPr>
          <w:rFonts w:ascii="Times New Roman" w:cs="Times New Roman" w:eastAsia="Times New Roman" w:hAnsi="Times New Roman"/>
          <w:sz w:val="20"/>
          <w:szCs w:val="20"/>
          <w:b w:val="1"/>
          <w:bCs w:val="1"/>
          <w:color w:val="0F0F0F"/>
        </w:rPr>
      </w:pPr>
    </w:p>
    <w:p>
      <w:pPr>
        <w:jc w:val="both"/>
        <w:ind w:firstLine="643"/>
        <w:spacing w:after="0" w:line="259" w:lineRule="auto"/>
        <w:tabs>
          <w:tab w:leader="none" w:pos="1182" w:val="left"/>
        </w:tabs>
        <w:numPr>
          <w:ilvl w:val="0"/>
          <w:numId w:val="4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 xml:space="preserve">A "Membership Interest" in the Company shall mean a limited liability company interest and all rights, powers, and obligations possessed by a member of a limited liability company under the Act. Any person to whom all or part of a Membership Interest is transferred shall become a member of the Company within the meaning of the Act (a </w:t>
      </w:r>
      <w:r>
        <w:rPr>
          <w:rFonts w:ascii="Times New Roman" w:cs="Times New Roman" w:eastAsia="Times New Roman" w:hAnsi="Times New Roman"/>
          <w:sz w:val="19"/>
          <w:szCs w:val="19"/>
          <w:color w:val="363636"/>
        </w:rPr>
        <w:t>"</w:t>
      </w:r>
      <w:r>
        <w:rPr>
          <w:rFonts w:ascii="Times New Roman" w:cs="Times New Roman" w:eastAsia="Times New Roman" w:hAnsi="Times New Roman"/>
          <w:sz w:val="19"/>
          <w:szCs w:val="19"/>
          <w:u w:val="single" w:color="auto"/>
          <w:color w:val="363636"/>
        </w:rPr>
        <w:t>Member</w:t>
      </w:r>
      <w:r>
        <w:rPr>
          <w:rFonts w:ascii="Times New Roman" w:cs="Times New Roman" w:eastAsia="Times New Roman" w:hAnsi="Times New Roman"/>
          <w:sz w:val="19"/>
          <w:szCs w:val="19"/>
          <w:color w:val="363636"/>
        </w:rPr>
        <w:t>")</w:t>
      </w:r>
      <w:r>
        <w:rPr>
          <w:rFonts w:ascii="Times New Roman" w:cs="Times New Roman" w:eastAsia="Times New Roman" w:hAnsi="Times New Roman"/>
          <w:sz w:val="19"/>
          <w:szCs w:val="19"/>
          <w:color w:val="0F0F0F"/>
        </w:rPr>
        <w:t xml:space="preserve"> upon such a transfer. Alternatively, a person or entity may become a Member upon the approval of all of the Members of the Company. A person shall cease to be a Member when all of such person's Membership Interest has been conveyed to another person.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1382" w:right="439" w:bottom="1440" w:gutter="0" w:footer="0" w:header="0"/>
        </w:sectPr>
      </w:pPr>
    </w:p>
    <w:bookmarkStart w:id="49" w:name="page50"/>
    <w:bookmarkEnd w:id="49"/>
    <w:p>
      <w:pPr>
        <w:spacing w:after="0" w:line="199" w:lineRule="exact"/>
        <w:rPr>
          <w:sz w:val="20"/>
          <w:szCs w:val="20"/>
          <w:color w:val="auto"/>
        </w:rPr>
      </w:pPr>
    </w:p>
    <w:p>
      <w:pPr>
        <w:ind w:firstLine="647"/>
        <w:spacing w:after="0" w:line="280" w:lineRule="auto"/>
        <w:tabs>
          <w:tab w:leader="none" w:pos="1173" w:val="left"/>
        </w:tabs>
        <w:numPr>
          <w:ilvl w:val="0"/>
          <w:numId w:val="4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 xml:space="preserve">The membership interests of the Company shall be represented by and issued in, unit increments (each, a </w:t>
      </w:r>
      <w:r>
        <w:rPr>
          <w:rFonts w:ascii="Times New Roman" w:cs="Times New Roman" w:eastAsia="Times New Roman" w:hAnsi="Times New Roman"/>
          <w:sz w:val="19"/>
          <w:szCs w:val="19"/>
          <w:u w:val="single" w:color="auto"/>
          <w:color w:val="242424"/>
        </w:rPr>
        <w:t>"Unit"</w:t>
      </w:r>
      <w:r>
        <w:rPr>
          <w:rFonts w:ascii="Times New Roman" w:cs="Times New Roman" w:eastAsia="Times New Roman" w:hAnsi="Times New Roman"/>
          <w:sz w:val="19"/>
          <w:szCs w:val="19"/>
          <w:color w:val="0F0F0F"/>
        </w:rPr>
        <w:t xml:space="preserve"> and collectively, the </w:t>
      </w:r>
      <w:r>
        <w:rPr>
          <w:rFonts w:ascii="Times New Roman" w:cs="Times New Roman" w:eastAsia="Times New Roman" w:hAnsi="Times New Roman"/>
          <w:sz w:val="19"/>
          <w:szCs w:val="19"/>
          <w:u w:val="single" w:color="auto"/>
          <w:color w:val="242424"/>
        </w:rPr>
        <w:t>"Units")</w:t>
      </w:r>
      <w:r>
        <w:rPr>
          <w:rFonts w:ascii="Times New Roman" w:cs="Times New Roman" w:eastAsia="Times New Roman" w:hAnsi="Times New Roman"/>
          <w:sz w:val="19"/>
          <w:szCs w:val="19"/>
          <w:color w:val="242424"/>
        </w:rPr>
        <w:t>.</w:t>
      </w:r>
      <w:r>
        <w:rPr>
          <w:rFonts w:ascii="Times New Roman" w:cs="Times New Roman" w:eastAsia="Times New Roman" w:hAnsi="Times New Roman"/>
          <w:sz w:val="19"/>
          <w:szCs w:val="19"/>
          <w:color w:val="0F0F0F"/>
        </w:rPr>
        <w:t xml:space="preserve"> The Company is hereby authorized to issue an unlimited number of units to its Members.</w:t>
      </w:r>
    </w:p>
    <w:p>
      <w:pPr>
        <w:spacing w:after="0" w:line="219" w:lineRule="exact"/>
        <w:rPr>
          <w:rFonts w:ascii="Times New Roman" w:cs="Times New Roman" w:eastAsia="Times New Roman" w:hAnsi="Times New Roman"/>
          <w:sz w:val="19"/>
          <w:szCs w:val="19"/>
          <w:color w:val="0F0F0F"/>
        </w:rPr>
      </w:pPr>
    </w:p>
    <w:p>
      <w:pPr>
        <w:ind w:left="1180" w:hanging="538"/>
        <w:spacing w:after="0"/>
        <w:tabs>
          <w:tab w:leader="none" w:pos="1180" w:val="left"/>
        </w:tabs>
        <w:numPr>
          <w:ilvl w:val="0"/>
          <w:numId w:val="4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Any membership interest m, or Units of, the Company shall not be represented by certificates.</w:t>
      </w:r>
    </w:p>
    <w:p>
      <w:pPr>
        <w:spacing w:after="0" w:line="281" w:lineRule="exact"/>
        <w:rPr>
          <w:rFonts w:ascii="Times New Roman" w:cs="Times New Roman" w:eastAsia="Times New Roman" w:hAnsi="Times New Roman"/>
          <w:sz w:val="19"/>
          <w:szCs w:val="19"/>
          <w:color w:val="0F0F0F"/>
        </w:rPr>
      </w:pPr>
    </w:p>
    <w:p>
      <w:pPr>
        <w:ind w:left="1180" w:hanging="537"/>
        <w:spacing w:after="0"/>
        <w:tabs>
          <w:tab w:leader="none" w:pos="1180" w:val="left"/>
        </w:tabs>
        <w:numPr>
          <w:ilvl w:val="0"/>
          <w:numId w:val="4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Company shall maintain books for the purpose of registering the transfer of membership interests or Units of, the Company.</w:t>
      </w:r>
    </w:p>
    <w:p>
      <w:pPr>
        <w:spacing w:after="0" w:line="250" w:lineRule="exact"/>
        <w:rPr>
          <w:rFonts w:ascii="Times New Roman" w:cs="Times New Roman" w:eastAsia="Times New Roman" w:hAnsi="Times New Roman"/>
          <w:sz w:val="19"/>
          <w:szCs w:val="19"/>
          <w:color w:val="0F0F0F"/>
        </w:rPr>
      </w:pPr>
    </w:p>
    <w:p>
      <w:pPr>
        <w:ind w:left="1280" w:hanging="629"/>
        <w:spacing w:after="0"/>
        <w:tabs>
          <w:tab w:leader="none" w:pos="1280" w:val="left"/>
        </w:tabs>
        <w:numPr>
          <w:ilvl w:val="2"/>
          <w:numId w:val="45"/>
        </w:numPr>
        <w:rPr>
          <w:rFonts w:ascii="Times New Roman" w:cs="Times New Roman" w:eastAsia="Times New Roman" w:hAnsi="Times New Roman"/>
          <w:sz w:val="19"/>
          <w:szCs w:val="19"/>
          <w:b w:val="1"/>
          <w:bCs w:val="1"/>
          <w:color w:val="0F0F0F"/>
        </w:rPr>
      </w:pPr>
      <w:r>
        <w:rPr>
          <w:rFonts w:ascii="Times New Roman" w:cs="Times New Roman" w:eastAsia="Times New Roman" w:hAnsi="Times New Roman"/>
          <w:sz w:val="19"/>
          <w:szCs w:val="19"/>
          <w:b w:val="1"/>
          <w:bCs w:val="1"/>
          <w:color w:val="0F0F0F"/>
        </w:rPr>
        <w:t>Pledgee's Rights; Membership Interests to be General Intangibles.</w:t>
      </w:r>
    </w:p>
    <w:p>
      <w:pPr>
        <w:spacing w:after="0" w:line="271" w:lineRule="exact"/>
        <w:rPr>
          <w:rFonts w:ascii="Times New Roman" w:cs="Times New Roman" w:eastAsia="Times New Roman" w:hAnsi="Times New Roman"/>
          <w:sz w:val="19"/>
          <w:szCs w:val="19"/>
          <w:b w:val="1"/>
          <w:bCs w:val="1"/>
          <w:color w:val="0F0F0F"/>
        </w:rPr>
      </w:pPr>
    </w:p>
    <w:p>
      <w:pPr>
        <w:jc w:val="both"/>
        <w:ind w:firstLine="643"/>
        <w:spacing w:after="0" w:line="255" w:lineRule="auto"/>
        <w:tabs>
          <w:tab w:leader="none" w:pos="1182" w:val="left"/>
        </w:tabs>
        <w:numPr>
          <w:ilvl w:val="1"/>
          <w:numId w:val="4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 xml:space="preserve">Notwithstanding anything contained herein to the contrary, each Member shall be permitted to pledge or hypothecate any or all of its membership interests of the Company, including all economic rights, control rights and status rights of such Member, to any lender to the Company or any affiliate of the Company or to any agent acting on such lender's behalf, and any transfer of such membership interests pursuant to any such lender's (or agent's) exercise of remedies in connection with any such pledge or hypothecation shall be permitted under this Agreement with no further action or approval required hereunder. Notwithstanding anything contained herein to the contrary, subject to the terms of the financing giving rise to any pledge or hypothecation of a Member's membership interests, the lender (or agent) shall have the right, to the extent set forth in the applicable pledge or hypothecation agreement, and without further approval of any Member and without becoming a member or replacing such Member (unless such lender (or agent) elects to become a member or replace such Member), to exercise the membership voting rights of such Member granting such pledge or hypothecation. Notwithstanding anything contained herein to the contrary, and without complying with any other procedures set forth in this Agreement, upon the exercise of remedies in connection with a pledge or hypothecation, to the extent set forth in the applicable pledge or hypothecation agreement, (a) the lender (or agent) or transferee of such lender (or agent), as the case may be, shall, if it so elects, become a Member under this Agreement and shall succeed to all of the rights and powers, including the right to participate in the management and/or conduct of the business and affairs of the Company, require access to information concerning the Company's transactions, and copy any of the Company's records, and shall be bound by all of the obligations, of such Member under this Agreement without taking any further action on the part of such lender (or agent) or transferee, as the case may be, and (b) following such exercise ofremedies, such Member shall cease to be a member and shall have no further rights or powers under this Agreement. The execution and delivery of this Agreement by the Member shall constitute any necessary approval of the Member under the Act to the foregoing provisions of this </w:t>
      </w:r>
      <w:r>
        <w:rPr>
          <w:rFonts w:ascii="Times New Roman" w:cs="Times New Roman" w:eastAsia="Times New Roman" w:hAnsi="Times New Roman"/>
          <w:sz w:val="19"/>
          <w:szCs w:val="19"/>
          <w:u w:val="single" w:color="auto"/>
          <w:color w:val="0F0F0F"/>
        </w:rPr>
        <w:t>Section 11</w:t>
      </w:r>
      <w:r>
        <w:rPr>
          <w:rFonts w:ascii="Times New Roman" w:cs="Times New Roman" w:eastAsia="Times New Roman" w:hAnsi="Times New Roman"/>
          <w:sz w:val="19"/>
          <w:szCs w:val="19"/>
          <w:color w:val="0F0F0F"/>
        </w:rPr>
        <w:t>.</w:t>
      </w:r>
    </w:p>
    <w:p>
      <w:pPr>
        <w:spacing w:after="0" w:line="168" w:lineRule="exact"/>
        <w:rPr>
          <w:rFonts w:ascii="Times New Roman" w:cs="Times New Roman" w:eastAsia="Times New Roman" w:hAnsi="Times New Roman"/>
          <w:sz w:val="19"/>
          <w:szCs w:val="19"/>
          <w:color w:val="0F0F0F"/>
        </w:rPr>
      </w:pPr>
    </w:p>
    <w:p>
      <w:pPr>
        <w:jc w:val="both"/>
        <w:ind w:firstLine="642"/>
        <w:spacing w:after="0" w:line="261" w:lineRule="auto"/>
        <w:tabs>
          <w:tab w:leader="none" w:pos="1178" w:val="left"/>
        </w:tabs>
        <w:numPr>
          <w:ilvl w:val="1"/>
          <w:numId w:val="4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So long as any pledge or hypothecation of any Unit is in effect, the Company shall not elect that its membership interests becomes governed by Article 8 of the Uniform Commercial Code as in effect in any relevant jurisdiction without the consent of all piedgees of such membership interests or the delivery of any applicable limited liability company certificate or control agreement necessary to perfect each such pledgee's interests in the applicable membership interests.</w:t>
      </w:r>
    </w:p>
    <w:p>
      <w:pPr>
        <w:spacing w:after="0" w:line="237" w:lineRule="exact"/>
        <w:rPr>
          <w:rFonts w:ascii="Times New Roman" w:cs="Times New Roman" w:eastAsia="Times New Roman" w:hAnsi="Times New Roman"/>
          <w:sz w:val="19"/>
          <w:szCs w:val="19"/>
          <w:color w:val="0F0F0F"/>
        </w:rPr>
      </w:pPr>
    </w:p>
    <w:p>
      <w:pPr>
        <w:jc w:val="both"/>
        <w:ind w:firstLine="642"/>
        <w:spacing w:after="0" w:line="266" w:lineRule="auto"/>
        <w:tabs>
          <w:tab w:leader="none" w:pos="1181" w:val="left"/>
        </w:tabs>
        <w:numPr>
          <w:ilvl w:val="1"/>
          <w:numId w:val="4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 xml:space="preserve">This </w:t>
      </w:r>
      <w:r>
        <w:rPr>
          <w:rFonts w:ascii="Times New Roman" w:cs="Times New Roman" w:eastAsia="Times New Roman" w:hAnsi="Times New Roman"/>
          <w:sz w:val="19"/>
          <w:szCs w:val="19"/>
          <w:u w:val="single" w:color="auto"/>
          <w:color w:val="0F0F0F"/>
        </w:rPr>
        <w:t>Section 11</w:t>
      </w:r>
      <w:r>
        <w:rPr>
          <w:rFonts w:ascii="Times New Roman" w:cs="Times New Roman" w:eastAsia="Times New Roman" w:hAnsi="Times New Roman"/>
          <w:sz w:val="19"/>
          <w:szCs w:val="19"/>
          <w:color w:val="0F0F0F"/>
        </w:rPr>
        <w:t xml:space="preserve"> may not be amended or modified so long as any Unit is subject to a pledge or hypothecation without the pledgee's (or the transferee of such pledgee's) prior written consent. Each recipient of a pledge or hypothecation of any Membership Interest shall be a third-party beneficiary of the provisions of this </w:t>
      </w:r>
      <w:r>
        <w:rPr>
          <w:rFonts w:ascii="Times New Roman" w:cs="Times New Roman" w:eastAsia="Times New Roman" w:hAnsi="Times New Roman"/>
          <w:sz w:val="19"/>
          <w:szCs w:val="19"/>
          <w:u w:val="single" w:color="auto"/>
          <w:color w:val="0F0F0F"/>
        </w:rPr>
        <w:t>Section 11</w:t>
      </w:r>
      <w:r>
        <w:rPr>
          <w:rFonts w:ascii="Times New Roman" w:cs="Times New Roman" w:eastAsia="Times New Roman" w:hAnsi="Times New Roman"/>
          <w:sz w:val="19"/>
          <w:szCs w:val="19"/>
          <w:color w:val="0F0F0F"/>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1440" w:right="439" w:bottom="1440" w:gutter="0" w:footer="0" w:header="0"/>
        </w:sectPr>
      </w:pPr>
    </w:p>
    <w:bookmarkStart w:id="50" w:name="page51"/>
    <w:bookmarkEnd w:id="50"/>
    <w:p>
      <w:pPr>
        <w:ind w:left="1280" w:hanging="636"/>
        <w:spacing w:after="0"/>
        <w:tabs>
          <w:tab w:leader="none" w:pos="128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Withdrawal by Member.</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 Member of the Company may withdraw or resign as a member of the Company at any time.</w:t>
      </w:r>
    </w:p>
    <w:p>
      <w:pPr>
        <w:spacing w:after="0" w:line="252" w:lineRule="exact"/>
        <w:rPr>
          <w:sz w:val="20"/>
          <w:szCs w:val="20"/>
          <w:color w:val="auto"/>
        </w:rPr>
      </w:pPr>
    </w:p>
    <w:p>
      <w:pPr>
        <w:ind w:left="1280" w:hanging="636"/>
        <w:spacing w:after="0"/>
        <w:tabs>
          <w:tab w:leader="none" w:pos="128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 Contribution.</w:t>
      </w:r>
    </w:p>
    <w:p>
      <w:pPr>
        <w:spacing w:after="0" w:line="23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Member’s capital in the Company existing at the effective date of the Conversion shall continue to be the Member’s capital in the Company.</w:t>
      </w:r>
    </w:p>
    <w:p>
      <w:pPr>
        <w:spacing w:after="0" w:line="169" w:lineRule="exact"/>
        <w:rPr>
          <w:sz w:val="20"/>
          <w:szCs w:val="20"/>
          <w:color w:val="auto"/>
        </w:rPr>
      </w:pPr>
    </w:p>
    <w:p>
      <w:pPr>
        <w:ind w:left="1280" w:hanging="636"/>
        <w:spacing w:after="0"/>
        <w:tabs>
          <w:tab w:leader="none" w:pos="128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Contributions.</w:t>
      </w:r>
    </w:p>
    <w:p>
      <w:pPr>
        <w:spacing w:after="0" w:line="24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 Member is required to make any capital contribution to the Company. However, a Member may make additional capital contributions to the Company at any time upon the written consent of such Member.</w:t>
      </w:r>
    </w:p>
    <w:p>
      <w:pPr>
        <w:spacing w:after="0" w:line="196" w:lineRule="exact"/>
        <w:rPr>
          <w:sz w:val="20"/>
          <w:szCs w:val="20"/>
          <w:color w:val="auto"/>
        </w:rPr>
      </w:pPr>
    </w:p>
    <w:p>
      <w:pPr>
        <w:ind w:left="1280" w:hanging="636"/>
        <w:spacing w:after="0"/>
        <w:tabs>
          <w:tab w:leader="none" w:pos="128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Distributions.</w:t>
      </w:r>
    </w:p>
    <w:p>
      <w:pPr>
        <w:spacing w:after="0" w:line="2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Company shall make cash distributions to the Member at the times and in the aggregate amounts determined by the Member. Notwithstanding any provision to the contrary contained in this Agreement, the Company shall not make a distribution to the Member on account of its interest in the Company if such distribution would violate the Act or other applicable law.</w:t>
      </w:r>
    </w:p>
    <w:p>
      <w:pPr>
        <w:spacing w:after="0" w:line="184" w:lineRule="exact"/>
        <w:rPr>
          <w:sz w:val="20"/>
          <w:szCs w:val="20"/>
          <w:color w:val="auto"/>
        </w:rPr>
      </w:pPr>
    </w:p>
    <w:p>
      <w:pPr>
        <w:ind w:left="1280" w:hanging="636"/>
        <w:spacing w:after="0"/>
        <w:tabs>
          <w:tab w:leader="none" w:pos="12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Allocation of Profits and Losses.</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Company’s profits and losses shall be allocated to the Member.</w:t>
      </w:r>
    </w:p>
    <w:p>
      <w:pPr>
        <w:spacing w:after="0" w:line="239" w:lineRule="exact"/>
        <w:rPr>
          <w:sz w:val="20"/>
          <w:szCs w:val="20"/>
          <w:color w:val="auto"/>
        </w:rPr>
      </w:pPr>
    </w:p>
    <w:p>
      <w:pPr>
        <w:ind w:left="1280" w:hanging="636"/>
        <w:spacing w:after="0"/>
        <w:tabs>
          <w:tab w:leader="none" w:pos="128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Company Books and Records.</w:t>
      </w:r>
    </w:p>
    <w:p>
      <w:pPr>
        <w:spacing w:after="0" w:line="24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Secretary (or such other officer of the Company as determined herein or as the Member may from time to time determine) will maintain and preserve during the term of the Company all books, certificates, records and relevant Company documents.</w:t>
      </w:r>
    </w:p>
    <w:p>
      <w:pPr>
        <w:spacing w:after="0" w:line="196" w:lineRule="exact"/>
        <w:rPr>
          <w:sz w:val="20"/>
          <w:szCs w:val="20"/>
          <w:color w:val="auto"/>
        </w:rPr>
      </w:pPr>
    </w:p>
    <w:p>
      <w:pPr>
        <w:ind w:left="1280" w:hanging="636"/>
        <w:spacing w:after="0"/>
        <w:tabs>
          <w:tab w:leader="none" w:pos="128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Member Management.</w:t>
      </w:r>
    </w:p>
    <w:p>
      <w:pPr>
        <w:spacing w:after="0" w:line="2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accordance with Section 18-402 of the Act, management of the Company shall be vested in the Member. The Member shall have the power to do any and all acts necessary, convenient or incidental to the furtherance of the purposes described herein, including all powers, statutory or otherwise, possessed by members of a limited liability company under the law of the State of Delaware. The Member has the authority to bind the Company. The Member may appoint or otherwise contract with any persons or entities for the transaction of the business of the Company or the performance of services for or on behalf of the Company, and the Member may delegate to any such person (who may be designated an officer or authorized person of the Company) or entity such authority to act on behalf of the Company as the Member may from time to time deem appropriate. Notwithstanding any provision of this Agreement, the Member is authorized to execute and deliver any document on behalf of the Company without the consent of any other person or entity.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1395" w:right="459" w:bottom="1440" w:gutter="0" w:footer="0" w:header="0"/>
        </w:sectPr>
      </w:pPr>
    </w:p>
    <w:bookmarkStart w:id="51" w:name="page52"/>
    <w:bookmarkEnd w:id="51"/>
    <w:p>
      <w:pPr>
        <w:spacing w:after="0" w:line="168" w:lineRule="exact"/>
        <w:rPr>
          <w:sz w:val="20"/>
          <w:szCs w:val="20"/>
          <w:color w:val="auto"/>
        </w:rPr>
      </w:pPr>
    </w:p>
    <w:p>
      <w:pPr>
        <w:ind w:left="1300" w:hanging="649"/>
        <w:spacing w:after="0"/>
        <w:tabs>
          <w:tab w:leader="none" w:pos="1300" w:val="left"/>
        </w:tabs>
        <w:numPr>
          <w:ilvl w:val="1"/>
          <w:numId w:val="53"/>
        </w:numPr>
        <w:rPr>
          <w:rFonts w:ascii="Times New Roman" w:cs="Times New Roman" w:eastAsia="Times New Roman" w:hAnsi="Times New Roman"/>
          <w:sz w:val="19"/>
          <w:szCs w:val="19"/>
          <w:b w:val="1"/>
          <w:bCs w:val="1"/>
          <w:color w:val="0F0F0F"/>
        </w:rPr>
      </w:pPr>
      <w:r>
        <w:rPr>
          <w:rFonts w:ascii="Times New Roman" w:cs="Times New Roman" w:eastAsia="Times New Roman" w:hAnsi="Times New Roman"/>
          <w:sz w:val="19"/>
          <w:szCs w:val="19"/>
          <w:b w:val="1"/>
          <w:bCs w:val="1"/>
          <w:color w:val="0F0F0F"/>
        </w:rPr>
        <w:t>Officers.</w:t>
      </w:r>
    </w:p>
    <w:p>
      <w:pPr>
        <w:spacing w:after="0" w:line="285" w:lineRule="exact"/>
        <w:rPr>
          <w:rFonts w:ascii="Times New Roman" w:cs="Times New Roman" w:eastAsia="Times New Roman" w:hAnsi="Times New Roman"/>
          <w:sz w:val="19"/>
          <w:szCs w:val="19"/>
          <w:b w:val="1"/>
          <w:bCs w:val="1"/>
          <w:color w:val="0F0F0F"/>
        </w:rPr>
      </w:pPr>
    </w:p>
    <w:p>
      <w:pPr>
        <w:ind w:left="1280" w:hanging="632"/>
        <w:spacing w:after="0"/>
        <w:tabs>
          <w:tab w:leader="none" w:pos="1280" w:val="left"/>
        </w:tabs>
        <w:numPr>
          <w:ilvl w:val="0"/>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u w:val="single" w:color="auto"/>
          <w:color w:val="0F0F0F"/>
        </w:rPr>
        <w:t>Appointment and Tenure</w:t>
      </w:r>
      <w:r>
        <w:rPr>
          <w:rFonts w:ascii="Times New Roman" w:cs="Times New Roman" w:eastAsia="Times New Roman" w:hAnsi="Times New Roman"/>
          <w:sz w:val="19"/>
          <w:szCs w:val="19"/>
          <w:color w:val="0F0F0F"/>
        </w:rPr>
        <w:t>.</w:t>
      </w:r>
    </w:p>
    <w:p>
      <w:pPr>
        <w:spacing w:after="0" w:line="281" w:lineRule="exact"/>
        <w:rPr>
          <w:rFonts w:ascii="Times New Roman" w:cs="Times New Roman" w:eastAsia="Times New Roman" w:hAnsi="Times New Roman"/>
          <w:sz w:val="19"/>
          <w:szCs w:val="19"/>
          <w:color w:val="0F0F0F"/>
        </w:rPr>
      </w:pPr>
    </w:p>
    <w:p>
      <w:pPr>
        <w:jc w:val="both"/>
        <w:ind w:left="640" w:firstLine="651"/>
        <w:spacing w:after="0" w:line="266" w:lineRule="auto"/>
        <w:tabs>
          <w:tab w:leader="none" w:pos="1816" w:val="left"/>
        </w:tabs>
        <w:numPr>
          <w:ilvl w:val="2"/>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Member may, from time to time, designate officers of the Company to carry out the day-to-day business of the Company and may delegate to any officer any of the Member's powers under this Agreement, including, without limitation, the power to bind the Company.</w:t>
      </w:r>
    </w:p>
    <w:p>
      <w:pPr>
        <w:spacing w:after="0" w:line="218" w:lineRule="exact"/>
        <w:rPr>
          <w:rFonts w:ascii="Times New Roman" w:cs="Times New Roman" w:eastAsia="Times New Roman" w:hAnsi="Times New Roman"/>
          <w:sz w:val="19"/>
          <w:szCs w:val="19"/>
          <w:color w:val="0F0F0F"/>
        </w:rPr>
      </w:pPr>
    </w:p>
    <w:p>
      <w:pPr>
        <w:jc w:val="both"/>
        <w:ind w:left="640" w:firstLine="651"/>
        <w:spacing w:after="0" w:line="262" w:lineRule="auto"/>
        <w:tabs>
          <w:tab w:leader="none" w:pos="1828" w:val="left"/>
        </w:tabs>
        <w:numPr>
          <w:ilvl w:val="2"/>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officers of the Company shall be comprised of one or more individuals designated from time to time by the Member. No officer need be a resident of the State of Delaware. Each officer shall hold his or her offices for such terms and shall have such authority and exercise such powers and perform such duties as shall be determined from time to time by the Member. Any number of offices may be held by the same individual. The salaries or compensation, if any, of the officers and agents of the Company shall be fixed from time to time by the Member.</w:t>
      </w:r>
    </w:p>
    <w:p>
      <w:pPr>
        <w:spacing w:after="0" w:line="211" w:lineRule="exact"/>
        <w:rPr>
          <w:rFonts w:ascii="Times New Roman" w:cs="Times New Roman" w:eastAsia="Times New Roman" w:hAnsi="Times New Roman"/>
          <w:sz w:val="19"/>
          <w:szCs w:val="19"/>
          <w:color w:val="0F0F0F"/>
        </w:rPr>
      </w:pPr>
    </w:p>
    <w:p>
      <w:pPr>
        <w:jc w:val="both"/>
        <w:ind w:left="640" w:firstLine="652"/>
        <w:spacing w:after="0" w:line="266" w:lineRule="auto"/>
        <w:tabs>
          <w:tab w:leader="none" w:pos="1827" w:val="left"/>
        </w:tabs>
        <w:numPr>
          <w:ilvl w:val="2"/>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officers of the Company may consist of a president</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0F0F0F"/>
        </w:rPr>
        <w:t xml:space="preserve"> a secretary and a treasurer. The Member may also designate one or more vice presidents, assistant secretaries, and assistant treasurers. The Member may designate such other officers and assistant officers with any titles as the Member shall deem necessary.</w:t>
      </w:r>
    </w:p>
    <w:p>
      <w:pPr>
        <w:spacing w:after="0" w:line="205" w:lineRule="exact"/>
        <w:rPr>
          <w:rFonts w:ascii="Times New Roman" w:cs="Times New Roman" w:eastAsia="Times New Roman" w:hAnsi="Times New Roman"/>
          <w:sz w:val="19"/>
          <w:szCs w:val="19"/>
          <w:color w:val="0F0F0F"/>
        </w:rPr>
      </w:pPr>
    </w:p>
    <w:p>
      <w:pPr>
        <w:ind w:left="1180" w:hanging="533"/>
        <w:spacing w:after="0"/>
        <w:tabs>
          <w:tab w:leader="none" w:pos="1180" w:val="left"/>
        </w:tabs>
        <w:numPr>
          <w:ilvl w:val="0"/>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u w:val="single" w:color="auto"/>
          <w:color w:val="0F0F0F"/>
        </w:rPr>
        <w:t>Removal</w:t>
      </w:r>
      <w:r>
        <w:rPr>
          <w:rFonts w:ascii="Times New Roman" w:cs="Times New Roman" w:eastAsia="Times New Roman" w:hAnsi="Times New Roman"/>
          <w:sz w:val="19"/>
          <w:szCs w:val="19"/>
          <w:color w:val="0F0F0F"/>
        </w:rPr>
        <w:t>. Any officer may be removed as such at any time by the Member, either with or without cause, in the sole discretion of</w:t>
      </w:r>
    </w:p>
    <w:p>
      <w:pPr>
        <w:spacing w:after="0" w:line="25" w:lineRule="exact"/>
        <w:rPr>
          <w:rFonts w:ascii="Times New Roman" w:cs="Times New Roman" w:eastAsia="Times New Roman" w:hAnsi="Times New Roman"/>
          <w:sz w:val="19"/>
          <w:szCs w:val="19"/>
          <w:color w:val="0F0F0F"/>
        </w:rPr>
      </w:pPr>
    </w:p>
    <w:p>
      <w:pPr>
        <w:spacing w:after="0"/>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Member.</w:t>
      </w:r>
    </w:p>
    <w:p>
      <w:pPr>
        <w:spacing w:after="0" w:line="266" w:lineRule="exact"/>
        <w:rPr>
          <w:rFonts w:ascii="Times New Roman" w:cs="Times New Roman" w:eastAsia="Times New Roman" w:hAnsi="Times New Roman"/>
          <w:sz w:val="19"/>
          <w:szCs w:val="19"/>
          <w:color w:val="0F0F0F"/>
        </w:rPr>
      </w:pPr>
    </w:p>
    <w:p>
      <w:pPr>
        <w:jc w:val="both"/>
        <w:ind w:firstLine="643"/>
        <w:spacing w:after="0" w:line="266" w:lineRule="auto"/>
        <w:tabs>
          <w:tab w:leader="none" w:pos="1182" w:val="left"/>
        </w:tabs>
        <w:numPr>
          <w:ilvl w:val="0"/>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u w:val="single" w:color="auto"/>
          <w:color w:val="0F0F0F"/>
        </w:rPr>
        <w:t>President</w:t>
      </w:r>
      <w:r>
        <w:rPr>
          <w:rFonts w:ascii="Times New Roman" w:cs="Times New Roman" w:eastAsia="Times New Roman" w:hAnsi="Times New Roman"/>
          <w:sz w:val="19"/>
          <w:szCs w:val="19"/>
          <w:color w:val="0F0F0F"/>
        </w:rPr>
        <w:t>. The president, if one is designated, shall be the chief executive officer of the Company, shall have general and active management of the day-to-day business and affairs of the Company as authorized from time to time by the Members and shall be authorized and directed to implement all orders, resolutions and business plans adopted by the Member.</w:t>
      </w:r>
    </w:p>
    <w:p>
      <w:pPr>
        <w:spacing w:after="0" w:line="218" w:lineRule="exact"/>
        <w:rPr>
          <w:rFonts w:ascii="Times New Roman" w:cs="Times New Roman" w:eastAsia="Times New Roman" w:hAnsi="Times New Roman"/>
          <w:sz w:val="19"/>
          <w:szCs w:val="19"/>
          <w:color w:val="0F0F0F"/>
        </w:rPr>
      </w:pPr>
    </w:p>
    <w:p>
      <w:pPr>
        <w:jc w:val="both"/>
        <w:ind w:firstLine="642"/>
        <w:spacing w:after="0" w:line="266" w:lineRule="auto"/>
        <w:tabs>
          <w:tab w:leader="none" w:pos="1238" w:val="left"/>
        </w:tabs>
        <w:numPr>
          <w:ilvl w:val="0"/>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Vice Presidents. The vice presidents, if any are designated, in the order of their seniority, unless otherwise determined by the Member, shall, in the absence or disability of the president, perform the duties and have the authority and exercise the powers of the president. They shall perform such other duties and have such other authority and powers as the Member may from time to time prescribe</w:t>
      </w:r>
      <w:r>
        <w:rPr>
          <w:rFonts w:ascii="Times New Roman" w:cs="Times New Roman" w:eastAsia="Times New Roman" w:hAnsi="Times New Roman"/>
          <w:sz w:val="19"/>
          <w:szCs w:val="19"/>
          <w:color w:val="3F3F3F"/>
        </w:rPr>
        <w:t>.</w:t>
      </w:r>
    </w:p>
    <w:p>
      <w:pPr>
        <w:spacing w:after="0" w:line="205" w:lineRule="exact"/>
        <w:rPr>
          <w:rFonts w:ascii="Times New Roman" w:cs="Times New Roman" w:eastAsia="Times New Roman" w:hAnsi="Times New Roman"/>
          <w:sz w:val="19"/>
          <w:szCs w:val="19"/>
          <w:color w:val="0F0F0F"/>
        </w:rPr>
      </w:pPr>
    </w:p>
    <w:p>
      <w:pPr>
        <w:jc w:val="both"/>
        <w:ind w:firstLine="642"/>
        <w:spacing w:after="0" w:line="261" w:lineRule="auto"/>
        <w:tabs>
          <w:tab w:leader="none" w:pos="1181" w:val="left"/>
        </w:tabs>
        <w:numPr>
          <w:ilvl w:val="0"/>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u w:val="single" w:color="auto"/>
          <w:color w:val="0F0F0F"/>
        </w:rPr>
        <w:t>Secretary; Assistant Secretaries</w:t>
      </w:r>
      <w:r>
        <w:rPr>
          <w:rFonts w:ascii="Times New Roman" w:cs="Times New Roman" w:eastAsia="Times New Roman" w:hAnsi="Times New Roman"/>
          <w:sz w:val="19"/>
          <w:szCs w:val="19"/>
          <w:color w:val="0F0F0F"/>
        </w:rPr>
        <w:t>. The secretary, if one is designated, shall perform such duties and have such powers as the Member may from time to time prescribe. The assistant secretaries</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0F0F0F"/>
        </w:rPr>
        <w:t xml:space="preserve"> if any are designated, </w:t>
      </w:r>
      <w:r>
        <w:rPr>
          <w:rFonts w:ascii="Times New Roman" w:cs="Times New Roman" w:eastAsia="Times New Roman" w:hAnsi="Times New Roman"/>
          <w:sz w:val="19"/>
          <w:szCs w:val="19"/>
          <w:b w:val="1"/>
          <w:bCs w:val="1"/>
          <w:color w:val="0F0F0F"/>
        </w:rPr>
        <w:t>in</w:t>
      </w:r>
      <w:r>
        <w:rPr>
          <w:rFonts w:ascii="Times New Roman" w:cs="Times New Roman" w:eastAsia="Times New Roman" w:hAnsi="Times New Roman"/>
          <w:sz w:val="19"/>
          <w:szCs w:val="19"/>
          <w:color w:val="0F0F0F"/>
        </w:rPr>
        <w:t xml:space="preserve"> the order of their seniority, unless otherwise determined by the Member, shall, in the absence or disability of the secretary, perform the duties and exercise the powers of the Secretary. They shall perform such other duties and have such other powers as the Member may from time to time be prescribed.</w:t>
      </w:r>
    </w:p>
    <w:p>
      <w:pPr>
        <w:spacing w:after="0" w:line="224" w:lineRule="exact"/>
        <w:rPr>
          <w:rFonts w:ascii="Times New Roman" w:cs="Times New Roman" w:eastAsia="Times New Roman" w:hAnsi="Times New Roman"/>
          <w:sz w:val="19"/>
          <w:szCs w:val="19"/>
          <w:color w:val="0F0F0F"/>
        </w:rPr>
      </w:pPr>
    </w:p>
    <w:p>
      <w:pPr>
        <w:jc w:val="both"/>
        <w:ind w:firstLine="643"/>
        <w:spacing w:after="0" w:line="256" w:lineRule="auto"/>
        <w:tabs>
          <w:tab w:leader="none" w:pos="1188" w:val="left"/>
        </w:tabs>
        <w:numPr>
          <w:ilvl w:val="0"/>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u w:val="single" w:color="auto"/>
          <w:color w:val="0F0F0F"/>
        </w:rPr>
        <w:t>Treasurer; Assistant Treasurers</w:t>
      </w:r>
      <w:r>
        <w:rPr>
          <w:rFonts w:ascii="Times New Roman" w:cs="Times New Roman" w:eastAsia="Times New Roman" w:hAnsi="Times New Roman"/>
          <w:sz w:val="19"/>
          <w:szCs w:val="19"/>
          <w:color w:val="0F0F0F"/>
        </w:rPr>
        <w:t>. The treasurer, if one is designated, shall have custody of the Company's funds and securities and shall keep full and accurate accounts and records of receipts, disbursements and other transactions in books belonging to the Company</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0F0F0F"/>
        </w:rPr>
        <w:t xml:space="preserve"> and shall deposit all moneys and other valuable effects in the name and to the credit of the Company in such depositories as may be designated from time to time by the Member. The treasurer shall disburse the funds of the Company as may be ordered by the Member, taking proper vouchers for such disbursements, and shall render the president and the Member, when so directed, an account of all his or her transactions as treasurer and of the financial condition of the Company. The treasurer shall perform such other duties and have such other powers as the Member may from time to time prescribe. If required by the Member, the treasurer shall give the Company a bond of such type, character and amount as the Member may require. The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-2392045</wp:posOffset>
            </wp:positionV>
            <wp:extent cx="789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8994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1440" w:right="439" w:bottom="1440" w:gutter="0" w:footer="0" w:header="0"/>
        </w:sectPr>
      </w:pPr>
    </w:p>
    <w:bookmarkStart w:id="52" w:name="page53"/>
    <w:bookmarkEnd w:id="52"/>
    <w:p>
      <w:pPr>
        <w:jc w:val="both"/>
        <w:ind w:firstLine="4"/>
        <w:spacing w:after="0" w:line="273" w:lineRule="auto"/>
        <w:rPr>
          <w:sz w:val="20"/>
          <w:szCs w:val="20"/>
          <w:color w:val="auto"/>
        </w:rPr>
      </w:pPr>
      <w:r>
        <w:rPr>
          <w:rFonts w:ascii="Times New Roman" w:cs="Times New Roman" w:eastAsia="Times New Roman" w:hAnsi="Times New Roman"/>
          <w:sz w:val="19"/>
          <w:szCs w:val="19"/>
          <w:color w:val="0F0F0F"/>
        </w:rPr>
        <w:t>treasurers, if any are designated, in the order of seniority, unless otherwise determined by the Member, shall, in the absence or disability of the treasurer, perform the duties and exercise the powers of the treasurer. They shall perform such other duties and have such other powers as the Member may be from time to time prescribed.</w:t>
      </w:r>
    </w:p>
    <w:p>
      <w:pPr>
        <w:spacing w:after="0" w:line="182" w:lineRule="exact"/>
        <w:rPr>
          <w:sz w:val="20"/>
          <w:szCs w:val="20"/>
          <w:color w:val="auto"/>
        </w:rPr>
      </w:pPr>
    </w:p>
    <w:p>
      <w:pPr>
        <w:ind w:left="1280" w:hanging="633"/>
        <w:spacing w:after="0"/>
        <w:tabs>
          <w:tab w:leader="none" w:pos="1280" w:val="left"/>
        </w:tabs>
        <w:numPr>
          <w:ilvl w:val="0"/>
          <w:numId w:val="55"/>
        </w:numPr>
        <w:rPr>
          <w:rFonts w:ascii="Times New Roman" w:cs="Times New Roman" w:eastAsia="Times New Roman" w:hAnsi="Times New Roman"/>
          <w:sz w:val="19"/>
          <w:szCs w:val="19"/>
          <w:b w:val="1"/>
          <w:bCs w:val="1"/>
          <w:color w:val="0F0F0F"/>
        </w:rPr>
      </w:pPr>
      <w:r>
        <w:rPr>
          <w:rFonts w:ascii="Times New Roman" w:cs="Times New Roman" w:eastAsia="Times New Roman" w:hAnsi="Times New Roman"/>
          <w:sz w:val="19"/>
          <w:szCs w:val="19"/>
          <w:b w:val="1"/>
          <w:bCs w:val="1"/>
          <w:color w:val="0F0F0F"/>
        </w:rPr>
        <w:t>Other Business.</w:t>
      </w:r>
    </w:p>
    <w:p>
      <w:pPr>
        <w:spacing w:after="0" w:line="285" w:lineRule="exact"/>
        <w:rPr>
          <w:sz w:val="20"/>
          <w:szCs w:val="20"/>
          <w:color w:val="auto"/>
        </w:rPr>
      </w:pPr>
    </w:p>
    <w:p>
      <w:pPr>
        <w:ind w:firstLine="649"/>
        <w:spacing w:after="0" w:line="252" w:lineRule="auto"/>
        <w:rPr>
          <w:sz w:val="20"/>
          <w:szCs w:val="20"/>
          <w:color w:val="auto"/>
        </w:rPr>
      </w:pPr>
      <w:r>
        <w:rPr>
          <w:rFonts w:ascii="Times New Roman" w:cs="Times New Roman" w:eastAsia="Times New Roman" w:hAnsi="Times New Roman"/>
          <w:sz w:val="19"/>
          <w:szCs w:val="19"/>
          <w:color w:val="0F0F0F"/>
        </w:rPr>
        <w:t>Notwithstanding any duty (including fiduciary duty) otherwise existing at law or in equity, the Member may engage in or possess an interest in other business ventures (unconnected with the Company) of every kind and description, independently or with others,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F0F0F"/>
        </w:rPr>
        <w:t xml:space="preserve">Company shall not have any rights </w:t>
      </w:r>
      <w:r>
        <w:rPr>
          <w:rFonts w:ascii="Times New Roman" w:cs="Times New Roman" w:eastAsia="Times New Roman" w:hAnsi="Times New Roman"/>
          <w:sz w:val="19"/>
          <w:szCs w:val="19"/>
          <w:b w:val="1"/>
          <w:bCs w:val="1"/>
          <w:color w:val="0F0F0F"/>
        </w:rPr>
        <w:t>in</w:t>
      </w:r>
      <w:r>
        <w:rPr>
          <w:rFonts w:ascii="Times New Roman" w:cs="Times New Roman" w:eastAsia="Times New Roman" w:hAnsi="Times New Roman"/>
          <w:sz w:val="19"/>
          <w:szCs w:val="19"/>
          <w:color w:val="0F0F0F"/>
        </w:rPr>
        <w:t xml:space="preserve"> or to such independent ventures or the income or profits therefrom by virtue of this Agreement.</w:t>
      </w:r>
    </w:p>
    <w:p>
      <w:pPr>
        <w:spacing w:after="0" w:line="262" w:lineRule="exact"/>
        <w:rPr>
          <w:sz w:val="20"/>
          <w:szCs w:val="20"/>
          <w:color w:val="auto"/>
        </w:rPr>
      </w:pPr>
    </w:p>
    <w:p>
      <w:pPr>
        <w:ind w:left="1280" w:hanging="633"/>
        <w:spacing w:after="0"/>
        <w:tabs>
          <w:tab w:leader="none" w:pos="1280" w:val="left"/>
        </w:tabs>
        <w:numPr>
          <w:ilvl w:val="1"/>
          <w:numId w:val="56"/>
        </w:numPr>
        <w:rPr>
          <w:rFonts w:ascii="Times New Roman" w:cs="Times New Roman" w:eastAsia="Times New Roman" w:hAnsi="Times New Roman"/>
          <w:sz w:val="19"/>
          <w:szCs w:val="19"/>
          <w:b w:val="1"/>
          <w:bCs w:val="1"/>
          <w:color w:val="0F0F0F"/>
        </w:rPr>
      </w:pPr>
      <w:r>
        <w:rPr>
          <w:rFonts w:ascii="Times New Roman" w:cs="Times New Roman" w:eastAsia="Times New Roman" w:hAnsi="Times New Roman"/>
          <w:sz w:val="19"/>
          <w:szCs w:val="19"/>
          <w:b w:val="1"/>
          <w:bCs w:val="1"/>
          <w:color w:val="0F0F0F"/>
        </w:rPr>
        <w:t>Exculpation, Indemnification and Advancement</w:t>
      </w:r>
    </w:p>
    <w:p>
      <w:pPr>
        <w:spacing w:after="0" w:line="285" w:lineRule="exact"/>
        <w:rPr>
          <w:rFonts w:ascii="Times New Roman" w:cs="Times New Roman" w:eastAsia="Times New Roman" w:hAnsi="Times New Roman"/>
          <w:sz w:val="19"/>
          <w:szCs w:val="19"/>
          <w:b w:val="1"/>
          <w:bCs w:val="1"/>
          <w:color w:val="0F0F0F"/>
        </w:rPr>
      </w:pPr>
    </w:p>
    <w:p>
      <w:pPr>
        <w:jc w:val="both"/>
        <w:ind w:firstLine="647"/>
        <w:spacing w:after="0" w:line="266" w:lineRule="auto"/>
        <w:tabs>
          <w:tab w:leader="none" w:pos="1185" w:val="left"/>
        </w:tabs>
        <w:numPr>
          <w:ilvl w:val="0"/>
          <w:numId w:val="57"/>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To the fullest extent permitted by applicable law, no Indemnitee (as defined below) shall be liable to the Company or any other person or entity who is bound by this Agreement for any loss, damage or claim incurred by reason of any act or omission performed or omitted by such Indemnitee in good faith on behalf of the Company and in a manner reasonably believed to be within the scope of the authority conferred on such Indemnitee (as defined below) by this Agreement. To the fullest extent permitted by law:</w:t>
      </w:r>
    </w:p>
    <w:p>
      <w:pPr>
        <w:spacing w:after="0" w:line="192" w:lineRule="exact"/>
        <w:rPr>
          <w:rFonts w:ascii="Times New Roman" w:cs="Times New Roman" w:eastAsia="Times New Roman" w:hAnsi="Times New Roman"/>
          <w:sz w:val="19"/>
          <w:szCs w:val="19"/>
          <w:color w:val="0F0F0F"/>
        </w:rPr>
      </w:pPr>
    </w:p>
    <w:p>
      <w:pPr>
        <w:ind w:left="1840" w:hanging="551"/>
        <w:spacing w:after="0"/>
        <w:tabs>
          <w:tab w:leader="none" w:pos="1840" w:val="left"/>
        </w:tabs>
        <w:numPr>
          <w:ilvl w:val="2"/>
          <w:numId w:val="57"/>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Member and the officers, directors (if any) and managers (if any) of the Company shall, and</w:t>
      </w:r>
    </w:p>
    <w:p>
      <w:pPr>
        <w:spacing w:after="0" w:line="267" w:lineRule="exact"/>
        <w:rPr>
          <w:rFonts w:ascii="Times New Roman" w:cs="Times New Roman" w:eastAsia="Times New Roman" w:hAnsi="Times New Roman"/>
          <w:sz w:val="19"/>
          <w:szCs w:val="19"/>
          <w:color w:val="0F0F0F"/>
        </w:rPr>
      </w:pPr>
    </w:p>
    <w:p>
      <w:pPr>
        <w:ind w:left="640" w:right="60" w:firstLine="652"/>
        <w:spacing w:after="0" w:line="280" w:lineRule="auto"/>
        <w:tabs>
          <w:tab w:leader="none" w:pos="1811" w:val="left"/>
        </w:tabs>
        <w:numPr>
          <w:ilvl w:val="2"/>
          <w:numId w:val="57"/>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employees of the Company or an affiliate of the Company may, upon approval of the Member (each of the persons listed in clause (i) and clause (ii), an "</w:t>
      </w:r>
      <w:r>
        <w:rPr>
          <w:rFonts w:ascii="Times New Roman" w:cs="Times New Roman" w:eastAsia="Times New Roman" w:hAnsi="Times New Roman"/>
          <w:sz w:val="19"/>
          <w:szCs w:val="19"/>
          <w:u w:val="single" w:color="auto"/>
          <w:color w:val="0F0F0F"/>
        </w:rPr>
        <w:t>Indemnitee</w:t>
      </w:r>
      <w:r>
        <w:rPr>
          <w:rFonts w:ascii="Times New Roman" w:cs="Times New Roman" w:eastAsia="Times New Roman" w:hAnsi="Times New Roman"/>
          <w:sz w:val="19"/>
          <w:szCs w:val="19"/>
          <w:color w:val="0F0F0F"/>
        </w:rPr>
        <w:t>"),</w:t>
      </w:r>
    </w:p>
    <w:p>
      <w:pPr>
        <w:spacing w:after="0" w:line="219" w:lineRule="exact"/>
        <w:rPr>
          <w:sz w:val="20"/>
          <w:szCs w:val="20"/>
          <w:color w:val="auto"/>
        </w:rPr>
      </w:pPr>
    </w:p>
    <w:p>
      <w:pPr>
        <w:jc w:val="both"/>
        <w:ind w:firstLine="12"/>
        <w:spacing w:after="0" w:line="256" w:lineRule="auto"/>
        <w:rPr>
          <w:sz w:val="20"/>
          <w:szCs w:val="20"/>
          <w:color w:val="auto"/>
        </w:rPr>
      </w:pPr>
      <w:r>
        <w:rPr>
          <w:rFonts w:ascii="Times New Roman" w:cs="Times New Roman" w:eastAsia="Times New Roman" w:hAnsi="Times New Roman"/>
          <w:sz w:val="19"/>
          <w:szCs w:val="19"/>
          <w:color w:val="0F0F0F"/>
        </w:rPr>
        <w:t>be indemnified and held harmless by the Company from and against any and all losses, claims, damages, judgments, liabilities, obligations, penalties, settlements and reasonable expenses (including legal fees) arising from any and all claims, demands, actions, suits or proceedings, civil, criminal, administrative or investigative, in which the Indemnitee may be involved, or threatened to be involved, as a party or otherwise, by reason, as applicable, of its status as a Member of the Company or an officer, director, manager or employee of the Company or an affiliate thereof, regardless of whether the Indemnitee continues to be a Member of the Company or an officer, director, manager or employee or an affiliate thereof at the time any such liability or expense is paid or incurred, unless such indemnification would not be permitted under Delaware law.</w:t>
      </w:r>
    </w:p>
    <w:p>
      <w:pPr>
        <w:spacing w:after="0" w:line="245" w:lineRule="exact"/>
        <w:rPr>
          <w:sz w:val="20"/>
          <w:szCs w:val="20"/>
          <w:color w:val="auto"/>
        </w:rPr>
      </w:pPr>
    </w:p>
    <w:p>
      <w:pPr>
        <w:jc w:val="both"/>
        <w:ind w:firstLine="642"/>
        <w:spacing w:after="0" w:line="273" w:lineRule="auto"/>
        <w:tabs>
          <w:tab w:leader="none" w:pos="1174" w:val="left"/>
        </w:tabs>
        <w:numPr>
          <w:ilvl w:val="0"/>
          <w:numId w:val="58"/>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Company may purchase and maintain insurance on behalf of such persons as the Members shall determine against any liability that may be asserted against or expense that may be incurred by such person in connection with the Company's activities, regardless of whether the Company would have the power to indemnify such person against such liability under the provisions of this Agreement.</w:t>
      </w:r>
    </w:p>
    <w:p>
      <w:pPr>
        <w:spacing w:after="0" w:line="199" w:lineRule="exact"/>
        <w:rPr>
          <w:rFonts w:ascii="Times New Roman" w:cs="Times New Roman" w:eastAsia="Times New Roman" w:hAnsi="Times New Roman"/>
          <w:sz w:val="19"/>
          <w:szCs w:val="19"/>
          <w:color w:val="0F0F0F"/>
        </w:rPr>
      </w:pPr>
    </w:p>
    <w:p>
      <w:pPr>
        <w:jc w:val="both"/>
        <w:ind w:firstLine="643"/>
        <w:spacing w:after="0" w:line="259" w:lineRule="auto"/>
        <w:tabs>
          <w:tab w:leader="none" w:pos="1181" w:val="left"/>
        </w:tabs>
        <w:numPr>
          <w:ilvl w:val="0"/>
          <w:numId w:val="58"/>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 xml:space="preserve">Expenses incurred by any Indemnitee in defending any claim with respect to which such Indemnitee may be entitled to indemnification by the Company hereunder (including without limitation reasonable attorneys' fees and disbursements) shall to the maximum extent that would be permitted under Delaware law, be advanced by the Company prior to the final disposition of such claim, upon receipt by the Company of a written undertaking by or on behalf of such Indemnitee to repay the advanced amount of such expenses if it shall ultimately be determined that the Indemnitee is not entitled to indemnification by the Company under </w:t>
      </w:r>
      <w:r>
        <w:rPr>
          <w:rFonts w:ascii="Times New Roman" w:cs="Times New Roman" w:eastAsia="Times New Roman" w:hAnsi="Times New Roman"/>
          <w:sz w:val="19"/>
          <w:szCs w:val="19"/>
          <w:u w:val="single" w:color="auto"/>
          <w:color w:val="0F0F0F"/>
        </w:rPr>
        <w:t>Section 21(a)</w:t>
      </w:r>
      <w:r>
        <w:rPr>
          <w:rFonts w:ascii="Times New Roman" w:cs="Times New Roman" w:eastAsia="Times New Roman" w:hAnsi="Times New Roman"/>
          <w:sz w:val="19"/>
          <w:szCs w:val="19"/>
          <w:color w:val="0F0F0F"/>
        </w:rPr>
        <w: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1396" w:right="439" w:bottom="1440" w:gutter="0" w:footer="0" w:header="0"/>
        </w:sectPr>
      </w:pPr>
    </w:p>
    <w:bookmarkStart w:id="53" w:name="page54"/>
    <w:bookmarkEnd w:id="53"/>
    <w:p>
      <w:pPr>
        <w:ind w:firstLine="642"/>
        <w:spacing w:after="0" w:line="325" w:lineRule="auto"/>
        <w:tabs>
          <w:tab w:leader="none" w:pos="1178" w:val="left"/>
        </w:tabs>
        <w:numPr>
          <w:ilvl w:val="0"/>
          <w:numId w:val="59"/>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indemnification</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F0F0F"/>
        </w:rPr>
        <w:t xml:space="preserve"> advancement and exculpation provided </w:t>
      </w:r>
      <w:r>
        <w:rPr>
          <w:rFonts w:ascii="Times New Roman" w:cs="Times New Roman" w:eastAsia="Times New Roman" w:hAnsi="Times New Roman"/>
          <w:sz w:val="19"/>
          <w:szCs w:val="19"/>
          <w:b w:val="1"/>
          <w:bCs w:val="1"/>
          <w:color w:val="0F0F0F"/>
        </w:rPr>
        <w:t>in</w:t>
      </w:r>
      <w:r>
        <w:rPr>
          <w:rFonts w:ascii="Times New Roman" w:cs="Times New Roman" w:eastAsia="Times New Roman" w:hAnsi="Times New Roman"/>
          <w:sz w:val="19"/>
          <w:szCs w:val="19"/>
          <w:color w:val="0F0F0F"/>
        </w:rPr>
        <w:t xml:space="preserve"> this </w:t>
      </w:r>
      <w:r>
        <w:rPr>
          <w:rFonts w:ascii="Times New Roman" w:cs="Times New Roman" w:eastAsia="Times New Roman" w:hAnsi="Times New Roman"/>
          <w:sz w:val="19"/>
          <w:szCs w:val="19"/>
          <w:u w:val="single" w:color="auto"/>
          <w:color w:val="0F0F0F"/>
        </w:rPr>
        <w:t>Section 21</w:t>
      </w:r>
      <w:r>
        <w:rPr>
          <w:rFonts w:ascii="Times New Roman" w:cs="Times New Roman" w:eastAsia="Times New Roman" w:hAnsi="Times New Roman"/>
          <w:sz w:val="19"/>
          <w:szCs w:val="19"/>
          <w:color w:val="0F0F0F"/>
        </w:rPr>
        <w:t xml:space="preserve"> is the for the benefit of the Indemnitees and shall not be deemed to create any right to indemnification, advancement or exculpation for any other persons or entities.</w:t>
      </w:r>
    </w:p>
    <w:p>
      <w:pPr>
        <w:spacing w:after="0" w:line="123" w:lineRule="exact"/>
        <w:rPr>
          <w:rFonts w:ascii="Times New Roman" w:cs="Times New Roman" w:eastAsia="Times New Roman" w:hAnsi="Times New Roman"/>
          <w:sz w:val="19"/>
          <w:szCs w:val="19"/>
          <w:color w:val="0F0F0F"/>
        </w:rPr>
      </w:pPr>
    </w:p>
    <w:p>
      <w:pPr>
        <w:ind w:left="1280" w:hanging="634"/>
        <w:spacing w:after="0"/>
        <w:tabs>
          <w:tab w:leader="none" w:pos="1280" w:val="left"/>
        </w:tabs>
        <w:numPr>
          <w:ilvl w:val="1"/>
          <w:numId w:val="59"/>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Limitation of Liability.</w:t>
      </w:r>
    </w:p>
    <w:p>
      <w:pPr>
        <w:spacing w:after="0" w:line="297" w:lineRule="exact"/>
        <w:rPr>
          <w:sz w:val="20"/>
          <w:szCs w:val="20"/>
          <w:color w:val="auto"/>
        </w:rPr>
      </w:pPr>
    </w:p>
    <w:p>
      <w:pPr>
        <w:jc w:val="both"/>
        <w:ind w:firstLine="652"/>
        <w:spacing w:after="0" w:line="261" w:lineRule="auto"/>
        <w:rPr>
          <w:sz w:val="20"/>
          <w:szCs w:val="20"/>
          <w:color w:val="auto"/>
        </w:rPr>
      </w:pPr>
      <w:r>
        <w:rPr>
          <w:rFonts w:ascii="Times New Roman" w:cs="Times New Roman" w:eastAsia="Times New Roman" w:hAnsi="Times New Roman"/>
          <w:sz w:val="19"/>
          <w:szCs w:val="19"/>
          <w:color w:val="0F0F0F"/>
        </w:rPr>
        <w:t>Except as otherwise expressly provided by the Act, the debts, obligations and liabilities of the Company</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F0F0F"/>
        </w:rPr>
        <w:t xml:space="preserve"> whether arising </w:t>
      </w:r>
      <w:r>
        <w:rPr>
          <w:rFonts w:ascii="Times New Roman" w:cs="Times New Roman" w:eastAsia="Times New Roman" w:hAnsi="Times New Roman"/>
          <w:sz w:val="19"/>
          <w:szCs w:val="19"/>
          <w:b w:val="1"/>
          <w:bCs w:val="1"/>
          <w:color w:val="0F0F0F"/>
        </w:rPr>
        <w:t>in</w:t>
      </w:r>
      <w:r>
        <w:rPr>
          <w:rFonts w:ascii="Times New Roman" w:cs="Times New Roman" w:eastAsia="Times New Roman" w:hAnsi="Times New Roman"/>
          <w:sz w:val="19"/>
          <w:szCs w:val="19"/>
          <w:color w:val="0F0F0F"/>
        </w:rPr>
        <w:t xml:space="preserve"> contract, tort or otherwise</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F0F0F"/>
        </w:rPr>
        <w:t xml:space="preserve"> shall be solely the debts</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F0F0F"/>
        </w:rPr>
        <w:t xml:space="preserve"> obligations and liabilities of the Company, and neither the Member nor any director (if any) or manager (if any) of the Company shall be obligated personally for any such debt</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F0F0F"/>
        </w:rPr>
        <w:t xml:space="preserve"> obligation or liability of the Company solely by reason of being a Member or director or manager of the Company.</w:t>
      </w:r>
    </w:p>
    <w:p>
      <w:pPr>
        <w:spacing w:after="0" w:line="211" w:lineRule="exact"/>
        <w:rPr>
          <w:sz w:val="20"/>
          <w:szCs w:val="20"/>
          <w:color w:val="auto"/>
        </w:rPr>
      </w:pPr>
    </w:p>
    <w:p>
      <w:pPr>
        <w:ind w:left="1280" w:hanging="634"/>
        <w:spacing w:after="0"/>
        <w:tabs>
          <w:tab w:leader="none" w:pos="1280" w:val="left"/>
        </w:tabs>
        <w:numPr>
          <w:ilvl w:val="0"/>
          <w:numId w:val="60"/>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Assignments.</w:t>
      </w:r>
    </w:p>
    <w:p>
      <w:pPr>
        <w:spacing w:after="0" w:line="297" w:lineRule="exact"/>
        <w:rPr>
          <w:sz w:val="20"/>
          <w:szCs w:val="20"/>
          <w:color w:val="auto"/>
        </w:rPr>
      </w:pPr>
    </w:p>
    <w:p>
      <w:pPr>
        <w:jc w:val="both"/>
        <w:ind w:firstLine="650"/>
        <w:spacing w:after="0" w:line="278" w:lineRule="auto"/>
        <w:rPr>
          <w:sz w:val="20"/>
          <w:szCs w:val="20"/>
          <w:color w:val="auto"/>
        </w:rPr>
      </w:pPr>
      <w:r>
        <w:rPr>
          <w:rFonts w:ascii="Times New Roman" w:cs="Times New Roman" w:eastAsia="Times New Roman" w:hAnsi="Times New Roman"/>
          <w:sz w:val="19"/>
          <w:szCs w:val="19"/>
          <w:color w:val="0F0F0F"/>
        </w:rPr>
        <w:t xml:space="preserve">The Member may assign </w:t>
      </w:r>
      <w:r>
        <w:rPr>
          <w:rFonts w:ascii="Times New Roman" w:cs="Times New Roman" w:eastAsia="Times New Roman" w:hAnsi="Times New Roman"/>
          <w:sz w:val="19"/>
          <w:szCs w:val="19"/>
          <w:b w:val="1"/>
          <w:bCs w:val="1"/>
          <w:color w:val="0F0F0F"/>
        </w:rPr>
        <w:t>in</w:t>
      </w:r>
      <w:r>
        <w:rPr>
          <w:rFonts w:ascii="Times New Roman" w:cs="Times New Roman" w:eastAsia="Times New Roman" w:hAnsi="Times New Roman"/>
          <w:sz w:val="19"/>
          <w:szCs w:val="19"/>
          <w:color w:val="0F0F0F"/>
        </w:rPr>
        <w:t xml:space="preserve"> whole or in part its limited liability company interest(s) in the Company with written notice to the Company. The transferee of a limited liability company interest in the Company shall be admitted to the Company as a Member of the Company upon its execution of an instrument signifying its agreement to be bound by the terms and conditions of this Agreement</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F0F0F"/>
        </w:rPr>
        <w:t xml:space="preserve"> which instrument may be a counterpart to this Agreement. If the Member transfers all of its limited liability company interests in the Company pursuant to this </w:t>
      </w:r>
      <w:r>
        <w:rPr>
          <w:rFonts w:ascii="Times New Roman" w:cs="Times New Roman" w:eastAsia="Times New Roman" w:hAnsi="Times New Roman"/>
          <w:sz w:val="19"/>
          <w:szCs w:val="19"/>
          <w:u w:val="single" w:color="auto"/>
          <w:color w:val="0F0F0F"/>
        </w:rPr>
        <w:t>Section 23</w:t>
      </w:r>
      <w:r>
        <w:rPr>
          <w:rFonts w:ascii="Times New Roman" w:cs="Times New Roman" w:eastAsia="Times New Roman" w:hAnsi="Times New Roman"/>
          <w:sz w:val="19"/>
          <w:szCs w:val="19"/>
          <w:color w:val="0F0F0F"/>
        </w:rPr>
        <w:t>, such admission shall be deemed effective immediately prior to the transfer, and, immediately following such admission, the transferor Member shall cease to be a Member of the Company</w:t>
      </w:r>
      <w:r>
        <w:rPr>
          <w:rFonts w:ascii="Times New Roman" w:cs="Times New Roman" w:eastAsia="Times New Roman" w:hAnsi="Times New Roman"/>
          <w:sz w:val="19"/>
          <w:szCs w:val="19"/>
          <w:color w:val="3D3D3D"/>
        </w:rPr>
        <w:t>.</w:t>
      </w:r>
    </w:p>
    <w:p>
      <w:pPr>
        <w:spacing w:after="0" w:line="223" w:lineRule="exact"/>
        <w:rPr>
          <w:sz w:val="20"/>
          <w:szCs w:val="20"/>
          <w:color w:val="auto"/>
        </w:rPr>
      </w:pPr>
    </w:p>
    <w:p>
      <w:pPr>
        <w:ind w:left="1280" w:hanging="634"/>
        <w:spacing w:after="0"/>
        <w:tabs>
          <w:tab w:leader="none" w:pos="1280" w:val="left"/>
        </w:tabs>
        <w:numPr>
          <w:ilvl w:val="0"/>
          <w:numId w:val="61"/>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Resignation.</w:t>
      </w:r>
    </w:p>
    <w:p>
      <w:pPr>
        <w:spacing w:after="0" w:line="310" w:lineRule="exact"/>
        <w:rPr>
          <w:sz w:val="20"/>
          <w:szCs w:val="20"/>
          <w:color w:val="auto"/>
        </w:rPr>
      </w:pPr>
    </w:p>
    <w:p>
      <w:pPr>
        <w:jc w:val="both"/>
        <w:ind w:firstLine="650"/>
        <w:spacing w:after="0" w:line="257" w:lineRule="auto"/>
        <w:rPr>
          <w:sz w:val="20"/>
          <w:szCs w:val="20"/>
          <w:color w:val="auto"/>
        </w:rPr>
      </w:pPr>
      <w:r>
        <w:rPr>
          <w:rFonts w:ascii="Times New Roman" w:cs="Times New Roman" w:eastAsia="Times New Roman" w:hAnsi="Times New Roman"/>
          <w:sz w:val="19"/>
          <w:szCs w:val="19"/>
          <w:color w:val="0F0F0F"/>
        </w:rPr>
        <w:t xml:space="preserve">The Member may resign from the Company at any time with written notice to the Company. If the Member resigns pursuant to this </w:t>
      </w:r>
      <w:r>
        <w:rPr>
          <w:rFonts w:ascii="Times New Roman" w:cs="Times New Roman" w:eastAsia="Times New Roman" w:hAnsi="Times New Roman"/>
          <w:sz w:val="19"/>
          <w:szCs w:val="19"/>
          <w:u w:val="single" w:color="auto"/>
          <w:color w:val="0F0F0F"/>
        </w:rPr>
        <w:t>Section 24</w:t>
      </w:r>
      <w:r>
        <w:rPr>
          <w:rFonts w:ascii="Times New Roman" w:cs="Times New Roman" w:eastAsia="Times New Roman" w:hAnsi="Times New Roman"/>
          <w:sz w:val="19"/>
          <w:szCs w:val="19"/>
          <w:color w:val="0F0F0F"/>
        </w:rPr>
        <w:t xml:space="preserve">, a person may be admitted to the Company as an additional Member of the Company upon the written consent of the resigning Member and such person's execution of an instrument signifying its agreement to be bound by the terms and conditions of this Agreement, which instrument may be a counterpart signature page to this Agreement. If a person is admitted to the Company as an additional Member of the Company in connection with the resignation of the Member pursuant to this </w:t>
      </w:r>
      <w:r>
        <w:rPr>
          <w:rFonts w:ascii="Times New Roman" w:cs="Times New Roman" w:eastAsia="Times New Roman" w:hAnsi="Times New Roman"/>
          <w:sz w:val="19"/>
          <w:szCs w:val="19"/>
          <w:u w:val="single" w:color="auto"/>
          <w:color w:val="0F0F0F"/>
        </w:rPr>
        <w:t>Section 24</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F0F0F"/>
        </w:rPr>
        <w:t xml:space="preserve"> such admission shall be deemed effective immediately prior to the resignation, and, immediately following such admission, the resigning Member shall cease to be a Member of the Company.</w:t>
      </w:r>
    </w:p>
    <w:p>
      <w:pPr>
        <w:spacing w:after="0" w:line="229" w:lineRule="exact"/>
        <w:rPr>
          <w:sz w:val="20"/>
          <w:szCs w:val="20"/>
          <w:color w:val="auto"/>
        </w:rPr>
      </w:pPr>
    </w:p>
    <w:p>
      <w:pPr>
        <w:ind w:left="1280" w:hanging="634"/>
        <w:spacing w:after="0"/>
        <w:tabs>
          <w:tab w:leader="none" w:pos="1280" w:val="left"/>
        </w:tabs>
        <w:numPr>
          <w:ilvl w:val="0"/>
          <w:numId w:val="62"/>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Admission of Additional Members.</w:t>
      </w:r>
    </w:p>
    <w:p>
      <w:pPr>
        <w:spacing w:after="0" w:line="297" w:lineRule="exact"/>
        <w:rPr>
          <w:sz w:val="20"/>
          <w:szCs w:val="20"/>
          <w:color w:val="auto"/>
        </w:rPr>
      </w:pPr>
    </w:p>
    <w:p>
      <w:pPr>
        <w:jc w:val="both"/>
        <w:ind w:firstLine="652"/>
        <w:spacing w:after="0" w:line="280" w:lineRule="auto"/>
        <w:rPr>
          <w:sz w:val="20"/>
          <w:szCs w:val="20"/>
          <w:color w:val="auto"/>
        </w:rPr>
      </w:pPr>
      <w:r>
        <w:rPr>
          <w:rFonts w:ascii="Times New Roman" w:cs="Times New Roman" w:eastAsia="Times New Roman" w:hAnsi="Times New Roman"/>
          <w:sz w:val="18"/>
          <w:szCs w:val="18"/>
          <w:color w:val="0F0F0F"/>
        </w:rPr>
        <w:t xml:space="preserve">Except as otherwise provided in </w:t>
      </w:r>
      <w:r>
        <w:rPr>
          <w:rFonts w:ascii="Times New Roman" w:cs="Times New Roman" w:eastAsia="Times New Roman" w:hAnsi="Times New Roman"/>
          <w:sz w:val="18"/>
          <w:szCs w:val="18"/>
          <w:u w:val="single" w:color="auto"/>
          <w:color w:val="0F0F0F"/>
        </w:rPr>
        <w:t>Section 23</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0F0F0F"/>
        </w:rPr>
        <w:t xml:space="preserve"> one or more additional Members of the Company may be admitted to the Company with the written consent of the Member. A person shall be admitted to the Company as an additional Member of the Company upon the written consent of the Member and such person's execution of an instrument signifying its agreement to be bound by the terms and conditions of this Agreement, which instrument may be a counterpart signature page to this Agreement. If additional Members are admitted to the Company as prescribed, all references to a </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0F0F0F"/>
        </w:rPr>
        <w:t>Member</w:t>
      </w:r>
      <w:r>
        <w:rPr>
          <w:rFonts w:ascii="Times New Roman" w:cs="Times New Roman" w:eastAsia="Times New Roman" w:hAnsi="Times New Roman"/>
          <w:sz w:val="18"/>
          <w:szCs w:val="18"/>
          <w:color w:val="2D2D2D"/>
        </w:rPr>
        <w:t>"</w:t>
      </w:r>
      <w:r>
        <w:rPr>
          <w:rFonts w:ascii="Times New Roman" w:cs="Times New Roman" w:eastAsia="Times New Roman" w:hAnsi="Times New Roman"/>
          <w:sz w:val="18"/>
          <w:szCs w:val="18"/>
          <w:color w:val="0F0F0F"/>
        </w:rPr>
        <w:t xml:space="preserve"> herein shall be construed to refer to the </w:t>
      </w:r>
      <w:r>
        <w:rPr>
          <w:rFonts w:ascii="Times New Roman" w:cs="Times New Roman" w:eastAsia="Times New Roman" w:hAnsi="Times New Roman"/>
          <w:sz w:val="18"/>
          <w:szCs w:val="18"/>
          <w:color w:val="2D2D2D"/>
        </w:rPr>
        <w:t>"Members,"</w:t>
      </w:r>
      <w:r>
        <w:rPr>
          <w:rFonts w:ascii="Times New Roman" w:cs="Times New Roman" w:eastAsia="Times New Roman" w:hAnsi="Times New Roman"/>
          <w:sz w:val="18"/>
          <w:szCs w:val="18"/>
          <w:color w:val="0F0F0F"/>
        </w:rPr>
        <w:t xml:space="preserve"> unless the context would require a differing interpretation</w:t>
      </w:r>
      <w:r>
        <w:rPr>
          <w:rFonts w:ascii="Times New Roman" w:cs="Times New Roman" w:eastAsia="Times New Roman" w:hAnsi="Times New Roman"/>
          <w:sz w:val="18"/>
          <w:szCs w:val="18"/>
          <w:color w:val="3D3D3D"/>
        </w:rPr>
        <w: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1395" w:right="439" w:bottom="1440" w:gutter="0" w:footer="0" w:header="0"/>
        </w:sectPr>
      </w:pPr>
    </w:p>
    <w:bookmarkStart w:id="54" w:name="page55"/>
    <w:bookmarkEnd w:id="54"/>
    <w:p>
      <w:pPr>
        <w:ind w:left="1286" w:hanging="634"/>
        <w:spacing w:after="0"/>
        <w:tabs>
          <w:tab w:leader="none" w:pos="1286" w:val="left"/>
        </w:tabs>
        <w:numPr>
          <w:ilvl w:val="0"/>
          <w:numId w:val="63"/>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Dissolution.</w:t>
      </w:r>
    </w:p>
    <w:p>
      <w:pPr>
        <w:spacing w:after="0" w:line="310" w:lineRule="exact"/>
        <w:rPr>
          <w:sz w:val="20"/>
          <w:szCs w:val="20"/>
          <w:color w:val="auto"/>
        </w:rPr>
      </w:pPr>
    </w:p>
    <w:p>
      <w:pPr>
        <w:ind w:left="1186" w:hanging="534"/>
        <w:spacing w:after="0"/>
        <w:tabs>
          <w:tab w:leader="none" w:pos="1186" w:val="left"/>
        </w:tabs>
        <w:numPr>
          <w:ilvl w:val="1"/>
          <w:numId w:val="6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u w:val="single" w:color="auto"/>
          <w:color w:val="0F0F0F"/>
        </w:rPr>
        <w:t>Events Requiring Dissolution</w:t>
      </w:r>
      <w:r>
        <w:rPr>
          <w:rFonts w:ascii="Times New Roman" w:cs="Times New Roman" w:eastAsia="Times New Roman" w:hAnsi="Times New Roman"/>
          <w:sz w:val="19"/>
          <w:szCs w:val="19"/>
          <w:color w:val="0F0F0F"/>
        </w:rPr>
        <w:t>. The Company shall dissolve, and its affairs shall be wound up upon the first to occur of the</w:t>
      </w:r>
    </w:p>
    <w:p>
      <w:pPr>
        <w:spacing w:after="0" w:line="38" w:lineRule="exact"/>
        <w:rPr>
          <w:rFonts w:ascii="Times New Roman" w:cs="Times New Roman" w:eastAsia="Times New Roman" w:hAnsi="Times New Roman"/>
          <w:sz w:val="19"/>
          <w:szCs w:val="19"/>
          <w:color w:val="0F0F0F"/>
        </w:rPr>
      </w:pPr>
    </w:p>
    <w:p>
      <w:pPr>
        <w:ind w:left="6"/>
        <w:spacing w:after="0"/>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following: (i) the written consent of the Member to dissolve the Company,</w:t>
      </w:r>
    </w:p>
    <w:p>
      <w:pPr>
        <w:spacing w:after="0" w:line="25" w:lineRule="exact"/>
        <w:rPr>
          <w:rFonts w:ascii="Times New Roman" w:cs="Times New Roman" w:eastAsia="Times New Roman" w:hAnsi="Times New Roman"/>
          <w:sz w:val="19"/>
          <w:szCs w:val="19"/>
          <w:color w:val="0F0F0F"/>
        </w:rPr>
      </w:pPr>
    </w:p>
    <w:p>
      <w:pPr>
        <w:ind w:left="6" w:hanging="6"/>
        <w:spacing w:after="0" w:line="293" w:lineRule="auto"/>
        <w:tabs>
          <w:tab w:leader="none" w:pos="287" w:val="left"/>
        </w:tabs>
        <w:numPr>
          <w:ilvl w:val="0"/>
          <w:numId w:val="6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at any time there are no members of the Company unless the Company is continued in a manner permitted by the Act, or (iii) the entry of a decree of judicial dissolution of the Company under Section 18- 802 of the Act.</w:t>
      </w:r>
    </w:p>
    <w:p>
      <w:pPr>
        <w:spacing w:after="0" w:line="234" w:lineRule="exact"/>
        <w:rPr>
          <w:rFonts w:ascii="Times New Roman" w:cs="Times New Roman" w:eastAsia="Times New Roman" w:hAnsi="Times New Roman"/>
          <w:sz w:val="19"/>
          <w:szCs w:val="19"/>
          <w:color w:val="0F0F0F"/>
        </w:rPr>
      </w:pPr>
    </w:p>
    <w:p>
      <w:pPr>
        <w:ind w:left="6" w:firstLine="642"/>
        <w:spacing w:after="0" w:line="295" w:lineRule="auto"/>
        <w:tabs>
          <w:tab w:leader="none" w:pos="1183" w:val="left"/>
        </w:tabs>
        <w:numPr>
          <w:ilvl w:val="1"/>
          <w:numId w:val="6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u w:val="single" w:color="auto"/>
          <w:color w:val="0F0F0F"/>
        </w:rPr>
        <w:t>Bankruptcy</w:t>
      </w:r>
      <w:r>
        <w:rPr>
          <w:rFonts w:ascii="Times New Roman" w:cs="Times New Roman" w:eastAsia="Times New Roman" w:hAnsi="Times New Roman"/>
          <w:sz w:val="19"/>
          <w:szCs w:val="19"/>
          <w:color w:val="0F0F0F"/>
        </w:rPr>
        <w:t>. The bankruptcy (as defined in Sections 18-101(1) and18-304 of the Act) of the Member will not cause the Member to cease to be a Member of the Company and upon the occurrence of such an event, the Company shall continue without dissolution.</w:t>
      </w:r>
    </w:p>
    <w:p>
      <w:pPr>
        <w:spacing w:after="0" w:line="232" w:lineRule="exact"/>
        <w:rPr>
          <w:rFonts w:ascii="Times New Roman" w:cs="Times New Roman" w:eastAsia="Times New Roman" w:hAnsi="Times New Roman"/>
          <w:sz w:val="19"/>
          <w:szCs w:val="19"/>
          <w:color w:val="0F0F0F"/>
        </w:rPr>
      </w:pPr>
    </w:p>
    <w:p>
      <w:pPr>
        <w:jc w:val="both"/>
        <w:ind w:left="6" w:firstLine="642"/>
        <w:spacing w:after="0" w:line="281" w:lineRule="auto"/>
        <w:tabs>
          <w:tab w:leader="none" w:pos="1186" w:val="left"/>
        </w:tabs>
        <w:numPr>
          <w:ilvl w:val="1"/>
          <w:numId w:val="6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u w:val="single" w:color="auto"/>
          <w:color w:val="0F0F0F"/>
        </w:rPr>
        <w:t>Wind-Up</w:t>
      </w:r>
      <w:r>
        <w:rPr>
          <w:rFonts w:ascii="Times New Roman" w:cs="Times New Roman" w:eastAsia="Times New Roman" w:hAnsi="Times New Roman"/>
          <w:sz w:val="19"/>
          <w:szCs w:val="19"/>
          <w:color w:val="0F0F0F"/>
        </w:rPr>
        <w:t>. In the event of dissolution, the Company shall conduct only such activities as are necessary to wind up its affairs (including the sale of the assets of the Company in an orderly manner), and the assets of the Company shall be applied in the manner, and in the order of priority, set forth in Section 18-804 of the Act.</w:t>
      </w:r>
    </w:p>
    <w:p>
      <w:pPr>
        <w:spacing w:after="0" w:line="245" w:lineRule="exact"/>
        <w:rPr>
          <w:rFonts w:ascii="Times New Roman" w:cs="Times New Roman" w:eastAsia="Times New Roman" w:hAnsi="Times New Roman"/>
          <w:sz w:val="19"/>
          <w:szCs w:val="19"/>
          <w:color w:val="0F0F0F"/>
        </w:rPr>
      </w:pPr>
    </w:p>
    <w:p>
      <w:pPr>
        <w:jc w:val="both"/>
        <w:ind w:left="6" w:firstLine="642"/>
        <w:spacing w:after="0" w:line="275" w:lineRule="auto"/>
        <w:tabs>
          <w:tab w:leader="none" w:pos="1183" w:val="left"/>
        </w:tabs>
        <w:numPr>
          <w:ilvl w:val="1"/>
          <w:numId w:val="6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u w:val="single" w:color="auto"/>
          <w:color w:val="0F0F0F"/>
        </w:rPr>
        <w:t>Certificate of Cancellation</w:t>
      </w:r>
      <w:r>
        <w:rPr>
          <w:rFonts w:ascii="Times New Roman" w:cs="Times New Roman" w:eastAsia="Times New Roman" w:hAnsi="Times New Roman"/>
          <w:sz w:val="19"/>
          <w:szCs w:val="19"/>
          <w:color w:val="0F0F0F"/>
        </w:rPr>
        <w:t>. When all debts, liabilities or obligations of the Company have, in accordance with the Act, been paid and discharged, or adequate provisions have been made for their payment or discharge</w:t>
      </w:r>
      <w:r>
        <w:rPr>
          <w:rFonts w:ascii="Times New Roman" w:cs="Times New Roman" w:eastAsia="Times New Roman" w:hAnsi="Times New Roman"/>
          <w:sz w:val="19"/>
          <w:szCs w:val="19"/>
          <w:color w:val="494949"/>
        </w:rPr>
        <w:t>,</w:t>
      </w:r>
      <w:r>
        <w:rPr>
          <w:rFonts w:ascii="Times New Roman" w:cs="Times New Roman" w:eastAsia="Times New Roman" w:hAnsi="Times New Roman"/>
          <w:sz w:val="19"/>
          <w:szCs w:val="19"/>
          <w:color w:val="0F0F0F"/>
        </w:rPr>
        <w:t xml:space="preserve"> and all of the remaining property and assets of the Company have been distributed, a certificate of cancellation setting forth the information required by the Act will be executed by one or more authorized persons and filed with the Secretary of State of the State of Delaware. Upon such filing, the existence of the Company will cease. Subject to the Act, the Member will have authority to distribute any Company property discovered after dissolution, convey real estate and take such other action as may be necessary on behalf of and in the name of the Company.</w:t>
      </w:r>
    </w:p>
    <w:p>
      <w:pPr>
        <w:spacing w:after="0" w:line="226" w:lineRule="exact"/>
        <w:rPr>
          <w:sz w:val="20"/>
          <w:szCs w:val="20"/>
          <w:color w:val="auto"/>
        </w:rPr>
      </w:pPr>
    </w:p>
    <w:p>
      <w:pPr>
        <w:ind w:left="1286" w:hanging="634"/>
        <w:spacing w:after="0"/>
        <w:tabs>
          <w:tab w:leader="none" w:pos="1286" w:val="left"/>
        </w:tabs>
        <w:numPr>
          <w:ilvl w:val="0"/>
          <w:numId w:val="66"/>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Separable Provisions.</w:t>
      </w:r>
    </w:p>
    <w:p>
      <w:pPr>
        <w:spacing w:after="0" w:line="297" w:lineRule="exact"/>
        <w:rPr>
          <w:sz w:val="20"/>
          <w:szCs w:val="20"/>
          <w:color w:val="auto"/>
        </w:rPr>
      </w:pPr>
    </w:p>
    <w:p>
      <w:pPr>
        <w:jc w:val="both"/>
        <w:ind w:left="6" w:firstLine="652"/>
        <w:spacing w:after="0" w:line="288" w:lineRule="auto"/>
        <w:rPr>
          <w:sz w:val="20"/>
          <w:szCs w:val="20"/>
          <w:color w:val="auto"/>
        </w:rPr>
      </w:pPr>
      <w:r>
        <w:rPr>
          <w:rFonts w:ascii="Times New Roman" w:cs="Times New Roman" w:eastAsia="Times New Roman" w:hAnsi="Times New Roman"/>
          <w:sz w:val="19"/>
          <w:szCs w:val="19"/>
          <w:color w:val="0F0F0F"/>
        </w:rPr>
        <w:t>Each provision of this Agreement shall be considered separable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spacing w:after="0" w:line="212" w:lineRule="exact"/>
        <w:rPr>
          <w:sz w:val="20"/>
          <w:szCs w:val="20"/>
          <w:color w:val="auto"/>
        </w:rPr>
      </w:pPr>
    </w:p>
    <w:p>
      <w:pPr>
        <w:ind w:left="1286" w:hanging="634"/>
        <w:spacing w:after="0"/>
        <w:tabs>
          <w:tab w:leader="none" w:pos="1286" w:val="left"/>
        </w:tabs>
        <w:numPr>
          <w:ilvl w:val="0"/>
          <w:numId w:val="67"/>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Governing Law.</w:t>
      </w:r>
    </w:p>
    <w:p>
      <w:pPr>
        <w:spacing w:after="0" w:line="310" w:lineRule="exact"/>
        <w:rPr>
          <w:sz w:val="20"/>
          <w:szCs w:val="20"/>
          <w:color w:val="auto"/>
        </w:rPr>
      </w:pPr>
    </w:p>
    <w:p>
      <w:pPr>
        <w:ind w:left="6" w:right="20" w:firstLine="650"/>
        <w:spacing w:after="0" w:line="295" w:lineRule="auto"/>
        <w:rPr>
          <w:sz w:val="20"/>
          <w:szCs w:val="20"/>
          <w:color w:val="auto"/>
        </w:rPr>
      </w:pPr>
      <w:r>
        <w:rPr>
          <w:rFonts w:ascii="Times New Roman" w:cs="Times New Roman" w:eastAsia="Times New Roman" w:hAnsi="Times New Roman"/>
          <w:sz w:val="19"/>
          <w:szCs w:val="19"/>
          <w:color w:val="0F0F0F"/>
        </w:rPr>
        <w:t>This Agreement shall be governed by, and construed under, the laws of the State of Delaware (without regard to conflict of law principles), all rights and remedies being governed by said laws.</w:t>
      </w:r>
    </w:p>
    <w:p>
      <w:pPr>
        <w:spacing w:after="0" w:line="205" w:lineRule="exact"/>
        <w:rPr>
          <w:sz w:val="20"/>
          <w:szCs w:val="20"/>
          <w:color w:val="auto"/>
        </w:rPr>
      </w:pPr>
    </w:p>
    <w:p>
      <w:pPr>
        <w:ind w:left="1286" w:hanging="634"/>
        <w:spacing w:after="0"/>
        <w:tabs>
          <w:tab w:leader="none" w:pos="1286" w:val="left"/>
        </w:tabs>
        <w:numPr>
          <w:ilvl w:val="0"/>
          <w:numId w:val="68"/>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Subject to All Laws.</w:t>
      </w:r>
    </w:p>
    <w:p>
      <w:pPr>
        <w:spacing w:after="0" w:line="283" w:lineRule="exact"/>
        <w:rPr>
          <w:sz w:val="20"/>
          <w:szCs w:val="20"/>
          <w:color w:val="auto"/>
        </w:rPr>
      </w:pPr>
    </w:p>
    <w:p>
      <w:pPr>
        <w:jc w:val="both"/>
        <w:ind w:left="6" w:firstLine="650"/>
        <w:spacing w:after="0" w:line="261" w:lineRule="auto"/>
        <w:rPr>
          <w:sz w:val="20"/>
          <w:szCs w:val="20"/>
          <w:color w:val="auto"/>
        </w:rPr>
      </w:pPr>
      <w:r>
        <w:rPr>
          <w:rFonts w:ascii="Times New Roman" w:cs="Times New Roman" w:eastAsia="Times New Roman" w:hAnsi="Times New Roman"/>
          <w:sz w:val="19"/>
          <w:szCs w:val="19"/>
          <w:color w:val="0F0F0F"/>
        </w:rPr>
        <w:t>The provisions of this Agreement shall be subject to all valid and applicable laws, including, without limitation, the Act, as now or hereafter amended</w:t>
      </w:r>
      <w:r>
        <w:rPr>
          <w:rFonts w:ascii="Times New Roman" w:cs="Times New Roman" w:eastAsia="Times New Roman" w:hAnsi="Times New Roman"/>
          <w:sz w:val="19"/>
          <w:szCs w:val="19"/>
          <w:color w:val="494949"/>
        </w:rPr>
        <w:t>,</w:t>
      </w:r>
      <w:r>
        <w:rPr>
          <w:rFonts w:ascii="Times New Roman" w:cs="Times New Roman" w:eastAsia="Times New Roman" w:hAnsi="Times New Roman"/>
          <w:sz w:val="19"/>
          <w:szCs w:val="19"/>
          <w:color w:val="0F0F0F"/>
        </w:rPr>
        <w:t xml:space="preserve"> and in the event that any of the provisions of this Agreement are found to be inconsistent with or contrary to any such valid laws, the latter shall be deemed to control and this Agreement shall be deemed modified accordingly, and, as so modified, to continue in full force and effect.</w:t>
      </w:r>
    </w:p>
    <w:p>
      <w:pPr>
        <w:spacing w:after="0" w:line="237" w:lineRule="exact"/>
        <w:rPr>
          <w:sz w:val="20"/>
          <w:szCs w:val="20"/>
          <w:color w:val="auto"/>
        </w:rPr>
      </w:pPr>
    </w:p>
    <w:p>
      <w:pPr>
        <w:ind w:left="1286" w:hanging="637"/>
        <w:spacing w:after="0"/>
        <w:tabs>
          <w:tab w:leader="none" w:pos="1286" w:val="left"/>
        </w:tabs>
        <w:numPr>
          <w:ilvl w:val="0"/>
          <w:numId w:val="69"/>
        </w:numPr>
        <w:rPr>
          <w:rFonts w:ascii="Times New Roman" w:cs="Times New Roman" w:eastAsia="Times New Roman" w:hAnsi="Times New Roman"/>
          <w:sz w:val="20"/>
          <w:szCs w:val="20"/>
          <w:b w:val="1"/>
          <w:bCs w:val="1"/>
          <w:color w:val="0F0F0F"/>
        </w:rPr>
      </w:pPr>
      <w:r>
        <w:rPr>
          <w:rFonts w:ascii="Times New Roman" w:cs="Times New Roman" w:eastAsia="Times New Roman" w:hAnsi="Times New Roman"/>
          <w:sz w:val="20"/>
          <w:szCs w:val="20"/>
          <w:b w:val="1"/>
          <w:bCs w:val="1"/>
          <w:color w:val="0F0F0F"/>
        </w:rPr>
        <w:t>Amendments.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6"/>
          </w:cols>
          <w:pgMar w:left="434" w:top="13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E0E0E"/>
        </w:rPr>
        <w:t>This Agreement may only be modified</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0E0E0E"/>
        </w:rPr>
        <w:t xml:space="preserve"> altered</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0E0E0E"/>
        </w:rPr>
        <w:t xml:space="preserve"> supplemented or </w:t>
      </w:r>
      <w:r>
        <w:rPr>
          <w:rFonts w:ascii="Times New Roman" w:cs="Times New Roman" w:eastAsia="Times New Roman" w:hAnsi="Times New Roman"/>
          <w:sz w:val="18"/>
          <w:szCs w:val="18"/>
          <w:color w:val="1F1F1F"/>
        </w:rPr>
        <w:t>amended</w:t>
      </w:r>
      <w:r>
        <w:rPr>
          <w:rFonts w:ascii="Times New Roman" w:cs="Times New Roman" w:eastAsia="Times New Roman" w:hAnsi="Times New Roman"/>
          <w:sz w:val="18"/>
          <w:szCs w:val="18"/>
          <w:color w:val="0E0E0E"/>
        </w:rPr>
        <w:t xml:space="preserve"> by </w:t>
      </w:r>
      <w:r>
        <w:rPr>
          <w:rFonts w:ascii="Times New Roman" w:cs="Times New Roman" w:eastAsia="Times New Roman" w:hAnsi="Times New Roman"/>
          <w:sz w:val="18"/>
          <w:szCs w:val="18"/>
          <w:color w:val="1F1F1F"/>
        </w:rPr>
        <w:t>a</w:t>
      </w:r>
      <w:r>
        <w:rPr>
          <w:rFonts w:ascii="Times New Roman" w:cs="Times New Roman" w:eastAsia="Times New Roman" w:hAnsi="Times New Roman"/>
          <w:sz w:val="18"/>
          <w:szCs w:val="18"/>
          <w:color w:val="0E0E0E"/>
        </w:rPr>
        <w:t xml:space="preserve"> writing executed and delivered by the Member.</w:t>
      </w:r>
    </w:p>
    <w:p>
      <w:pPr>
        <w:sectPr>
          <w:pgSz w:w="11900" w:h="16838" w:orient="portrait"/>
          <w:cols w:equalWidth="0" w:num="1">
            <w:col w:w="9620"/>
          </w:cols>
          <w:pgMar w:left="1080" w:top="1396" w:right="1199" w:bottom="1440" w:gutter="0" w:footer="0" w:header="0"/>
        </w:sectPr>
      </w:pP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1F1F1F"/>
        </w:rPr>
        <w:t xml:space="preserve">(Remainder of </w:t>
      </w:r>
      <w:r>
        <w:rPr>
          <w:rFonts w:ascii="Times New Roman" w:cs="Times New Roman" w:eastAsia="Times New Roman" w:hAnsi="Times New Roman"/>
          <w:sz w:val="17"/>
          <w:szCs w:val="17"/>
          <w:i w:val="1"/>
          <w:iCs w:val="1"/>
          <w:color w:val="0E0E0E"/>
        </w:rPr>
        <w:t>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620"/>
          </w:cols>
          <w:pgMar w:left="1080" w:top="1396" w:right="11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F0F0F"/>
        </w:rPr>
        <w:t xml:space="preserve">IN </w:t>
      </w:r>
      <w:r>
        <w:rPr>
          <w:rFonts w:ascii="Times New Roman" w:cs="Times New Roman" w:eastAsia="Times New Roman" w:hAnsi="Times New Roman"/>
          <w:sz w:val="18"/>
          <w:szCs w:val="18"/>
          <w:b w:val="1"/>
          <w:bCs w:val="1"/>
          <w:color w:val="0F0F0F"/>
        </w:rPr>
        <w:t>WITNESS WHEREOF,</w:t>
      </w:r>
      <w:r>
        <w:rPr>
          <w:rFonts w:ascii="Times New Roman" w:cs="Times New Roman" w:eastAsia="Times New Roman" w:hAnsi="Times New Roman"/>
          <w:sz w:val="18"/>
          <w:szCs w:val="18"/>
          <w:color w:val="0F0F0F"/>
        </w:rPr>
        <w:t xml:space="preserve"> the Member has executed this Agreement effective as of the date first above written.</w:t>
      </w:r>
    </w:p>
    <w:p>
      <w:pPr>
        <w:sectPr>
          <w:pgSz w:w="11900" w:h="16838" w:orient="portrait"/>
          <w:cols w:equalWidth="0" w:num="1">
            <w:col w:w="9379"/>
          </w:cols>
          <w:pgMar w:left="1080" w:top="1392"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u w:val="single" w:color="auto"/>
          <w:color w:val="0F0F0F"/>
        </w:rPr>
        <w:t>SOLE MEMBER</w:t>
      </w:r>
      <w:r>
        <w:rPr>
          <w:rFonts w:ascii="Times New Roman" w:cs="Times New Roman" w:eastAsia="Times New Roman" w:hAnsi="Times New Roman"/>
          <w:sz w:val="19"/>
          <w:szCs w:val="19"/>
          <w:color w:val="0F0F0F"/>
        </w:rPr>
        <w:t>:</w:t>
      </w:r>
    </w:p>
    <w:p>
      <w:pPr>
        <w:spacing w:after="0" w:line="31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0F0F0F"/>
        </w:rPr>
        <w:t>WEATHERFORD WORLDWIDE HOLDINGS GMBH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60"/>
        <w:spacing w:after="0"/>
        <w:tabs>
          <w:tab w:leader="none" w:pos="3700" w:val="left"/>
        </w:tabs>
        <w:rPr>
          <w:sz w:val="20"/>
          <w:szCs w:val="20"/>
          <w:color w:val="auto"/>
        </w:rPr>
      </w:pPr>
      <w:r>
        <w:rPr>
          <w:rFonts w:ascii="Times New Roman" w:cs="Times New Roman" w:eastAsia="Times New Roman" w:hAnsi="Times New Roman"/>
          <w:sz w:val="19"/>
          <w:szCs w:val="19"/>
          <w:color w:val="0F0F0F"/>
        </w:rPr>
        <w:t>By:</w:t>
      </w:r>
      <w:r>
        <w:rPr>
          <w:sz w:val="20"/>
          <w:szCs w:val="20"/>
          <w:color w:val="auto"/>
        </w:rPr>
        <w:tab/>
      </w:r>
      <w:r>
        <w:rPr>
          <w:rFonts w:ascii="Times New Roman" w:cs="Times New Roman" w:eastAsia="Times New Roman" w:hAnsi="Times New Roman"/>
          <w:sz w:val="18"/>
          <w:szCs w:val="18"/>
          <w:color w:val="0F0F0F"/>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-10160</wp:posOffset>
            </wp:positionV>
            <wp:extent cx="15062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0F0F0F"/>
        </w:rPr>
        <w:t>Name: Mathias Neuenschwander</w:t>
      </w:r>
    </w:p>
    <w:p>
      <w:pPr>
        <w:spacing w:after="0" w:line="3" w:lineRule="exact"/>
        <w:rPr>
          <w:sz w:val="20"/>
          <w:szCs w:val="20"/>
          <w:color w:val="auto"/>
        </w:rPr>
      </w:pPr>
    </w:p>
    <w:p>
      <w:pPr>
        <w:ind w:left="3260"/>
        <w:spacing w:after="0"/>
        <w:tabs>
          <w:tab w:leader="none" w:pos="3820" w:val="left"/>
        </w:tabs>
        <w:rPr>
          <w:sz w:val="20"/>
          <w:szCs w:val="20"/>
          <w:color w:val="auto"/>
        </w:rPr>
      </w:pPr>
      <w:r>
        <w:rPr>
          <w:rFonts w:ascii="Times New Roman" w:cs="Times New Roman" w:eastAsia="Times New Roman" w:hAnsi="Times New Roman"/>
          <w:sz w:val="19"/>
          <w:szCs w:val="19"/>
          <w:color w:val="0F0F0F"/>
        </w:rPr>
        <w:t>Title:</w:t>
      </w:r>
      <w:r>
        <w:rPr>
          <w:sz w:val="20"/>
          <w:szCs w:val="20"/>
          <w:color w:val="auto"/>
        </w:rPr>
        <w:tab/>
      </w:r>
      <w:r>
        <w:rPr>
          <w:rFonts w:ascii="Times New Roman" w:cs="Times New Roman" w:eastAsia="Times New Roman" w:hAnsi="Times New Roman"/>
          <w:sz w:val="18"/>
          <w:szCs w:val="18"/>
          <w:color w:val="0F0F0F"/>
        </w:rPr>
        <w:t>Managing Officer</w:t>
      </w:r>
    </w:p>
    <w:p>
      <w:pPr>
        <w:sectPr>
          <w:pgSz w:w="11900" w:h="16838" w:orient="portrait"/>
          <w:cols w:equalWidth="0" w:num="1">
            <w:col w:w="9379"/>
          </w:cols>
          <w:pgMar w:left="1080" w:top="1392" w:right="1440" w:bottom="1440" w:gutter="0" w:footer="0" w:header="0"/>
          <w:type w:val="continuous"/>
        </w:sectPr>
      </w:pPr>
    </w:p>
    <w:bookmarkStart w:id="57" w:name="page58"/>
    <w:bookmarkEnd w:id="57"/>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color w:val="auto"/>
        </w:rPr>
        <w:t>INDENTURE</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Dated as of</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20</w:t>
            </w:r>
          </w:p>
        </w:tc>
      </w:tr>
      <w:tr>
        <w:trPr>
          <w:trHeight w:val="473"/>
        </w:trPr>
        <w:tc>
          <w:tcPr>
            <w:tcW w:w="13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Among</w:t>
            </w:r>
          </w:p>
        </w:tc>
        <w:tc>
          <w:tcPr>
            <w:tcW w:w="440" w:type="dxa"/>
            <w:vAlign w:val="bottom"/>
          </w:tcPr>
          <w:p>
            <w:pPr>
              <w:spacing w:after="0"/>
              <w:rPr>
                <w:sz w:val="24"/>
                <w:szCs w:val="24"/>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WEATHERFORD INTERNATIONAL LTD.,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WEATHERFORD INTERNATIONAL, LLC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DEUTSCHE BANK TRUST COMPANY AMERICAS,</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465455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27940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86"/>
        </w:trPr>
        <w:tc>
          <w:tcPr>
            <w:tcW w:w="8800" w:type="dxa"/>
            <w:vAlign w:val="bottom"/>
          </w:tcPr>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360" w:type="dxa"/>
            <w:vAlign w:val="bottom"/>
          </w:tcPr>
          <w:p>
            <w:pPr>
              <w:spacing w:after="0"/>
              <w:rPr>
                <w:sz w:val="24"/>
                <w:szCs w:val="24"/>
                <w:color w:val="auto"/>
              </w:rPr>
            </w:pPr>
          </w:p>
        </w:tc>
      </w:tr>
      <w:tr>
        <w:trPr>
          <w:trHeight w:val="487"/>
        </w:trPr>
        <w:tc>
          <w:tcPr>
            <w:tcW w:w="8800" w:type="dxa"/>
            <w:vAlign w:val="bottom"/>
          </w:tcPr>
          <w:p>
            <w:pPr>
              <w:spacing w:after="0"/>
              <w:rPr>
                <w:sz w:val="24"/>
                <w:szCs w:val="24"/>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Article One DEFINITIONS AND OTHER PROVISIONS OF GENERAL APPLICATION</w:t>
            </w:r>
          </w:p>
        </w:tc>
        <w:tc>
          <w:tcPr>
            <w:tcW w:w="1360" w:type="dxa"/>
            <w:vAlign w:val="bottom"/>
          </w:tcPr>
          <w:p>
            <w:pPr>
              <w:jc w:val="center"/>
              <w:ind w:left="812"/>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101. Definitions</w:t>
            </w:r>
          </w:p>
        </w:tc>
        <w:tc>
          <w:tcPr>
            <w:tcW w:w="1360" w:type="dxa"/>
            <w:vAlign w:val="bottom"/>
          </w:tcPr>
          <w:p>
            <w:pPr>
              <w:jc w:val="center"/>
              <w:ind w:left="812"/>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102. Compliance Certificates and Opinions</w:t>
            </w:r>
          </w:p>
        </w:tc>
        <w:tc>
          <w:tcPr>
            <w:tcW w:w="1360" w:type="dxa"/>
            <w:vAlign w:val="bottom"/>
          </w:tcPr>
          <w:p>
            <w:pPr>
              <w:jc w:val="center"/>
              <w:ind w:left="812"/>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103. Form of Documents Delivered to Trustee</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10</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104. Acts of Holders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10</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105. Notices, Etc., to Trustee, Issuer and Guarantors</w:t>
            </w:r>
          </w:p>
        </w:tc>
        <w:tc>
          <w:tcPr>
            <w:tcW w:w="1360" w:type="dxa"/>
            <w:vAlign w:val="bottom"/>
          </w:tcPr>
          <w:p>
            <w:pPr>
              <w:jc w:val="center"/>
              <w:ind w:left="812"/>
              <w:spacing w:after="0"/>
              <w:rPr>
                <w:sz w:val="20"/>
                <w:szCs w:val="20"/>
                <w:color w:val="auto"/>
              </w:rPr>
            </w:pPr>
            <w:r>
              <w:rPr>
                <w:rFonts w:ascii="Times New Roman" w:cs="Times New Roman" w:eastAsia="Times New Roman" w:hAnsi="Times New Roman"/>
                <w:sz w:val="22"/>
                <w:szCs w:val="22"/>
                <w:color w:val="auto"/>
                <w:w w:val="90"/>
              </w:rPr>
              <w:t>11</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106. Notice to Holders; Waiver</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12</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107. Conflict with Trust Indenture Act</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12</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108. Effect of Headings and Table of Contents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12</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109. Successors and Assigns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12</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110. Separability Clause</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13</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111. Benefits of Indenture</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13</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112. Governing Law; Submission to Jurisdiction; Jury Trial Waiver</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13</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113. Legal Holidays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14</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114. No Personal Liability of Directors, Officers, Employees and Shareholders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14</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115. Counterparts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15</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116. Currency Exchange</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15</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117. Payments in Required Currency; Judgment Currency</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15</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118. U.S.A. Patriot Act</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16</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119. Reduction in Capital</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16</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Article Two SECURITY FORMS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16</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201. Forms Generally</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16</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202. Form of Face of Security</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17</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203. Form of Reverse of Security</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19</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204. Form of Trustee's Certificate of Authentication</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24</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205. Securities in Global Form</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24</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206. Guarantee; Form of Guarantee</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25</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Article Three THE SECURITIES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26</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301. Amount Unlimited; Issuable in Series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26</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302. Denominations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29</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303. Execution, Authentication, Delivery and Dating</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29</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304. Temporary Securities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31</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305. Registration, Registration of Transfer and Exchange</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31</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306. Mutilated, Destroyed, Lost and Stolen Securities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34</w:t>
            </w:r>
          </w:p>
        </w:tc>
      </w:tr>
      <w:tr>
        <w:trPr>
          <w:trHeight w:val="270"/>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307. Payment of Interest; Interest Rights Preserved</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35</w:t>
            </w:r>
          </w:p>
        </w:tc>
      </w:tr>
      <w:tr>
        <w:trPr>
          <w:trHeight w:val="282"/>
        </w:trPr>
        <w:tc>
          <w:tcPr>
            <w:tcW w:w="8800" w:type="dxa"/>
            <w:vAlign w:val="bottom"/>
          </w:tcPr>
          <w:p>
            <w:pPr>
              <w:spacing w:after="0"/>
              <w:rPr>
                <w:sz w:val="20"/>
                <w:szCs w:val="20"/>
                <w:color w:val="auto"/>
              </w:rPr>
            </w:pPr>
            <w:r>
              <w:rPr>
                <w:rFonts w:ascii="Times New Roman" w:cs="Times New Roman" w:eastAsia="Times New Roman" w:hAnsi="Times New Roman"/>
                <w:sz w:val="22"/>
                <w:szCs w:val="22"/>
                <w:color w:val="auto"/>
              </w:rPr>
              <w:t>Section 308. Persons Deemed Owners</w:t>
            </w:r>
          </w:p>
        </w:tc>
        <w:tc>
          <w:tcPr>
            <w:tcW w:w="136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9"/>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60"/>
          </w:cols>
          <w:pgMar w:left="340" w:top="1418" w:right="1399" w:bottom="1440" w:gutter="0" w:footer="0" w:header="0"/>
        </w:sectPr>
      </w:pPr>
    </w:p>
    <w:bookmarkStart w:id="59" w:name="page60"/>
    <w:bookmarkEnd w:id="59"/>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309. Cancellation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310. Computation of Interest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311. CUSIP Numbers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Article Four SATISFACTION AND DISCHARGE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401. Satisfaction and Discharge of Indenture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402. Application of Trust Money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403. Satisfaction, Discharge and Defeasance of Securities of any Series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404. Reinstatement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Article Five REMEDIES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501. Events of Default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502. Acceleration of Maturity; Rescission and Annulment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503. Collection of Indebtedness and Suits for Enforcement by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504. Trustee May File Proofs of Claim</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505. Trustee May Enforce Claims Without Possession of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506. Application of Money Collected</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507. Limitation on Suits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508. Unconditional Right of Holders to Receive Principal, Premium and Interest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509. Restoration of Rights and Remedies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510. Rights and Remedies Cumulative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511. Delay or Omission Not Waiver</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512. Control by 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513. Waiver of Past Defaults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514. Undertaking for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515. Waiver of Stay or Extension Laws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Article Six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601. Certain Duties and Responsibilities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602. Notice of Defaults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603. Certain Rights of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604. Not Responsible for Recitals or Issuance of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605. May Hold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606. Money Held in Trust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607. Compensation and Reimbursement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608. Disqualification; Conflicting Interests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609. Corporate Trustee Required; Different Trustees for Different Series; Eligibility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610. Resignation and Removal; Appointment of Successor</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611. Acceptance of Appointment by Successor</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82"/>
        </w:trPr>
        <w:tc>
          <w:tcPr>
            <w:tcW w:w="8880" w:type="dxa"/>
            <w:vAlign w:val="bottom"/>
          </w:tcPr>
          <w:p>
            <w:pPr>
              <w:spacing w:after="0"/>
              <w:rPr>
                <w:sz w:val="20"/>
                <w:szCs w:val="20"/>
                <w:color w:val="auto"/>
              </w:rPr>
            </w:pPr>
            <w:r>
              <w:rPr>
                <w:rFonts w:ascii="Times New Roman" w:cs="Times New Roman" w:eastAsia="Times New Roman" w:hAnsi="Times New Roman"/>
                <w:sz w:val="22"/>
                <w:szCs w:val="22"/>
                <w:color w:val="auto"/>
              </w:rPr>
              <w:t>Section 612. Merger, Conversion, Consolidation or Succession to Business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19"/>
          </w:cols>
          <w:pgMar w:left="340" w:top="1440" w:right="1440" w:bottom="1440" w:gutter="0" w:footer="0" w:header="0"/>
        </w:sectPr>
      </w:pPr>
    </w:p>
    <w:bookmarkStart w:id="60" w:name="page61"/>
    <w:bookmarkEnd w:id="6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613. Preferential Collection of Claims Against the Issuer or a Guarantor</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614. Authenticating Agents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Article Seven HOLDERS' LISTS AND REPORTS BY TRUSTEE AND ISSUER</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701. Issuer to Furnish Trustee Names and Addresses of 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702. Preservation of Information; Communications to 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703. Reports by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704. Reports by Weatherford Parent.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Article Eight CONSOLIDATION, MERGER, CONVEYANCE, SALE OR LEASE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801. Issuer and Guarantors May Consolidate, Etc., on Certain Terms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802. Successor Corporation to be Substituted</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803. Opinion of Counsel and Officer’s Certificate to be Given to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Article Nine SUPPLEMENTAL INDENTURES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901. Supplemental Indentures without Consent of 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902. Supplemental Indentures with Consent of 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903. Execution of Supplemental Indentures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904. Effect of Supplemental Indentures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905. Conformity with Trust Indenture Act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906. Reference in Securities to Supplemental Indentures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Article Ten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1001. Payment of Principal, Premium and Interest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1002. Maintenance of Office or Agency</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1003. Money for Securities Payments to Be Held in Trust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1004. Limitation on Liens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1005. Limitation on Sale and Leaseback Transactions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1006. Defeasance of Certain Obligations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1007. Statement by Officer as to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1008. Waiver of Certain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1009. Calculation of Original Issue Discount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Article Eleven REDEMPTION OF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82"/>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1101. Applicability of Article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85"/>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010000"/>
              </w:rPr>
              <w:t xml:space="preserve">Section 1102. </w:t>
            </w:r>
            <w:r>
              <w:rPr>
                <w:rFonts w:ascii="Times New Roman" w:cs="Times New Roman" w:eastAsia="Times New Roman" w:hAnsi="Times New Roman"/>
                <w:sz w:val="22"/>
                <w:szCs w:val="22"/>
                <w:color w:val="000000"/>
              </w:rPr>
              <w:t>Election to Redeem; Notice to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1103. Selection of Securities to Be Redeemed</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1104. Notice of Redemption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1105. Deposit of Redemption Price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1106. Securities Payable on Redemption Date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1107. Securities Redeemed in Part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Article Twelve SINKING FUNDS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82"/>
        </w:trPr>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Section 1201. Applicability of Article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19"/>
          </w:cols>
          <w:pgMar w:left="340" w:top="1440" w:right="1440" w:bottom="1440" w:gutter="0" w:footer="0" w:header="0"/>
        </w:sectPr>
      </w:pPr>
    </w:p>
    <w:bookmarkStart w:id="61" w:name="page62"/>
    <w:bookmarkEnd w:id="61"/>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1202. Satisfaction of Sinking Fund Payments with Securities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7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1203. Redemption of Securities for Sinking Fund</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7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Thirteen GUARANTEE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7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1301. Guarantee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7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1302. Execution and Delivery of Guarantee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7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1303. Notice to Trustee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1304.</w:t>
            </w:r>
          </w:p>
        </w:tc>
        <w:tc>
          <w:tcPr>
            <w:tcW w:w="6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This Article Not to Prevent Events of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1305.</w:t>
            </w:r>
          </w:p>
        </w:tc>
        <w:tc>
          <w:tcPr>
            <w:tcW w:w="6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Amendment, Etc.</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1306.</w:t>
            </w:r>
          </w:p>
        </w:tc>
        <w:tc>
          <w:tcPr>
            <w:tcW w:w="6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Limitation on Liability</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1307.</w:t>
            </w:r>
          </w:p>
        </w:tc>
        <w:tc>
          <w:tcPr>
            <w:tcW w:w="6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Limitation on Liability - Ireland</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19"/>
          </w:cols>
          <w:pgMar w:left="340" w:top="1440"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Reconciliation and tie between Trust Indenture Act of 1939 and Indenture.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5560" w:type="dxa"/>
            <w:vAlign w:val="bottom"/>
          </w:tcPr>
          <w:p>
            <w:pPr>
              <w:jc w:val="center"/>
              <w:ind w:left="1852"/>
              <w:spacing w:after="0"/>
              <w:rPr>
                <w:sz w:val="20"/>
                <w:szCs w:val="20"/>
                <w:color w:val="auto"/>
              </w:rPr>
            </w:pPr>
            <w:r>
              <w:rPr>
                <w:rFonts w:ascii="Times New Roman" w:cs="Times New Roman" w:eastAsia="Times New Roman" w:hAnsi="Times New Roman"/>
                <w:sz w:val="22"/>
                <w:szCs w:val="22"/>
                <w:b w:val="1"/>
                <w:bCs w:val="1"/>
                <w:color w:val="auto"/>
                <w:w w:val="97"/>
              </w:rPr>
              <w:t>Indenture</w:t>
            </w:r>
          </w:p>
        </w:tc>
      </w:tr>
      <w:tr>
        <w:trPr>
          <w:trHeight w:val="301"/>
        </w:trPr>
        <w:tc>
          <w:tcPr>
            <w:tcW w:w="5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Trust Indenture Act Section</w:t>
            </w:r>
          </w:p>
        </w:tc>
        <w:tc>
          <w:tcPr>
            <w:tcW w:w="5560" w:type="dxa"/>
            <w:vAlign w:val="bottom"/>
            <w:tcBorders>
              <w:bottom w:val="single" w:sz="8" w:color="auto"/>
            </w:tcBorders>
          </w:tcPr>
          <w:p>
            <w:pPr>
              <w:jc w:val="center"/>
              <w:ind w:left="1832"/>
              <w:spacing w:after="0"/>
              <w:rPr>
                <w:sz w:val="20"/>
                <w:szCs w:val="20"/>
                <w:color w:val="auto"/>
              </w:rPr>
            </w:pPr>
            <w:r>
              <w:rPr>
                <w:rFonts w:ascii="Times New Roman" w:cs="Times New Roman" w:eastAsia="Times New Roman" w:hAnsi="Times New Roman"/>
                <w:sz w:val="22"/>
                <w:szCs w:val="22"/>
                <w:b w:val="1"/>
                <w:bCs w:val="1"/>
                <w:color w:val="auto"/>
                <w:w w:val="96"/>
              </w:rPr>
              <w:t>Section</w:t>
            </w:r>
          </w:p>
        </w:tc>
      </w:tr>
      <w:tr>
        <w:trPr>
          <w:trHeight w:val="303"/>
        </w:trPr>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310</w:t>
            </w:r>
          </w:p>
        </w:tc>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(a)(1)</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609</w:t>
            </w:r>
          </w:p>
        </w:tc>
      </w:tr>
      <w:tr>
        <w:trPr>
          <w:trHeight w:val="311"/>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(a)(2)</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609</w:t>
            </w:r>
          </w:p>
        </w:tc>
      </w:tr>
      <w:tr>
        <w:trPr>
          <w:trHeight w:val="311"/>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(a)(3)</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Not</w:t>
            </w:r>
          </w:p>
        </w:tc>
      </w:tr>
      <w:tr>
        <w:trPr>
          <w:trHeight w:val="310"/>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(a)(4)</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Applicable</w:t>
            </w:r>
          </w:p>
        </w:tc>
      </w:tr>
      <w:tr>
        <w:trPr>
          <w:trHeight w:val="298"/>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Not</w:t>
            </w:r>
          </w:p>
        </w:tc>
      </w:tr>
      <w:tr>
        <w:trPr>
          <w:trHeight w:val="270"/>
        </w:trPr>
        <w:tc>
          <w:tcPr>
            <w:tcW w:w="66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Applicable</w:t>
            </w:r>
          </w:p>
        </w:tc>
      </w:tr>
      <w:tr>
        <w:trPr>
          <w:trHeight w:val="282"/>
        </w:trPr>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6"/>
              </w:rPr>
              <w:t>608, 610</w:t>
            </w:r>
          </w:p>
        </w:tc>
      </w:tr>
      <w:tr>
        <w:trPr>
          <w:trHeight w:val="310"/>
        </w:trPr>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311</w:t>
            </w:r>
          </w:p>
        </w:tc>
        <w:tc>
          <w:tcPr>
            <w:tcW w:w="50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613</w:t>
            </w:r>
          </w:p>
        </w:tc>
      </w:tr>
      <w:tr>
        <w:trPr>
          <w:trHeight w:val="311"/>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613</w:t>
            </w:r>
          </w:p>
        </w:tc>
      </w:tr>
      <w:tr>
        <w:trPr>
          <w:trHeight w:val="310"/>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(b)(2)</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703(a)</w:t>
            </w:r>
          </w:p>
        </w:tc>
      </w:tr>
      <w:tr>
        <w:trPr>
          <w:trHeight w:val="311"/>
        </w:trPr>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312</w:t>
            </w:r>
          </w:p>
        </w:tc>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6"/>
              </w:rPr>
              <w:t>701, 702(a)</w:t>
            </w:r>
          </w:p>
        </w:tc>
      </w:tr>
      <w:tr>
        <w:trPr>
          <w:trHeight w:val="311"/>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8"/>
              </w:rPr>
              <w:t>702(b)</w:t>
            </w:r>
          </w:p>
        </w:tc>
      </w:tr>
      <w:tr>
        <w:trPr>
          <w:trHeight w:val="310"/>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702(c)</w:t>
            </w:r>
          </w:p>
        </w:tc>
      </w:tr>
      <w:tr>
        <w:trPr>
          <w:trHeight w:val="310"/>
        </w:trPr>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313</w:t>
            </w:r>
          </w:p>
        </w:tc>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703(a)</w:t>
            </w:r>
          </w:p>
        </w:tc>
      </w:tr>
      <w:tr>
        <w:trPr>
          <w:trHeight w:val="311"/>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(b)(1)</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Not</w:t>
            </w:r>
          </w:p>
        </w:tc>
      </w:tr>
      <w:tr>
        <w:trPr>
          <w:trHeight w:val="310"/>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(b)(2)</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Applicable</w:t>
            </w:r>
          </w:p>
        </w:tc>
      </w:tr>
      <w:tr>
        <w:trPr>
          <w:trHeight w:val="310"/>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703(a)</w:t>
            </w:r>
          </w:p>
        </w:tc>
      </w:tr>
      <w:tr>
        <w:trPr>
          <w:trHeight w:val="298"/>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703(a)</w:t>
            </w:r>
          </w:p>
        </w:tc>
      </w:tr>
      <w:tr>
        <w:trPr>
          <w:trHeight w:val="282"/>
        </w:trPr>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8"/>
              </w:rPr>
              <w:t>703(b)</w:t>
            </w:r>
          </w:p>
        </w:tc>
      </w:tr>
      <w:tr>
        <w:trPr>
          <w:trHeight w:val="310"/>
        </w:trPr>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314</w:t>
            </w:r>
          </w:p>
        </w:tc>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704</w:t>
            </w:r>
          </w:p>
        </w:tc>
      </w:tr>
      <w:tr>
        <w:trPr>
          <w:trHeight w:val="310"/>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Not</w:t>
            </w:r>
          </w:p>
        </w:tc>
      </w:tr>
      <w:tr>
        <w:trPr>
          <w:trHeight w:val="310"/>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(c)(1)</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Applicable</w:t>
            </w:r>
          </w:p>
        </w:tc>
      </w:tr>
      <w:tr>
        <w:trPr>
          <w:trHeight w:val="311"/>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(c)(2)</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102</w:t>
            </w:r>
          </w:p>
        </w:tc>
      </w:tr>
      <w:tr>
        <w:trPr>
          <w:trHeight w:val="310"/>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(c)(3)</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102</w:t>
            </w:r>
          </w:p>
        </w:tc>
      </w:tr>
      <w:tr>
        <w:trPr>
          <w:trHeight w:val="310"/>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Not</w:t>
            </w:r>
          </w:p>
        </w:tc>
      </w:tr>
      <w:tr>
        <w:trPr>
          <w:trHeight w:val="298"/>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Applicable</w:t>
            </w:r>
          </w:p>
        </w:tc>
      </w:tr>
      <w:tr>
        <w:trPr>
          <w:trHeight w:val="270"/>
        </w:trPr>
        <w:tc>
          <w:tcPr>
            <w:tcW w:w="66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Not</w:t>
            </w:r>
          </w:p>
        </w:tc>
      </w:tr>
      <w:tr>
        <w:trPr>
          <w:trHeight w:val="270"/>
        </w:trPr>
        <w:tc>
          <w:tcPr>
            <w:tcW w:w="66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Applicable</w:t>
            </w:r>
          </w:p>
        </w:tc>
      </w:tr>
      <w:tr>
        <w:trPr>
          <w:trHeight w:val="282"/>
        </w:trPr>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102</w:t>
            </w:r>
          </w:p>
        </w:tc>
      </w:tr>
      <w:tr>
        <w:trPr>
          <w:trHeight w:val="310"/>
        </w:trPr>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315</w:t>
            </w:r>
          </w:p>
        </w:tc>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601(a)</w:t>
            </w:r>
          </w:p>
        </w:tc>
      </w:tr>
      <w:tr>
        <w:trPr>
          <w:trHeight w:val="311"/>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602</w:t>
            </w:r>
          </w:p>
        </w:tc>
      </w:tr>
      <w:tr>
        <w:trPr>
          <w:trHeight w:val="310"/>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8"/>
              </w:rPr>
              <w:t>601(b)</w:t>
            </w:r>
          </w:p>
        </w:tc>
      </w:tr>
      <w:tr>
        <w:trPr>
          <w:trHeight w:val="311"/>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601(c)</w:t>
            </w:r>
          </w:p>
        </w:tc>
      </w:tr>
      <w:tr>
        <w:trPr>
          <w:trHeight w:val="310"/>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(d)(1)</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8"/>
              </w:rPr>
              <w:t>601(c)(1)</w:t>
            </w:r>
          </w:p>
        </w:tc>
      </w:tr>
      <w:tr>
        <w:trPr>
          <w:trHeight w:val="310"/>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(d)(2)</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8"/>
              </w:rPr>
              <w:t>601(c)(2)</w:t>
            </w:r>
          </w:p>
        </w:tc>
      </w:tr>
      <w:tr>
        <w:trPr>
          <w:trHeight w:val="311"/>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(d)(3)</w:t>
            </w: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8"/>
              </w:rPr>
              <w:t>601(c)(3)</w:t>
            </w:r>
          </w:p>
        </w:tc>
      </w:tr>
      <w:tr>
        <w:trPr>
          <w:trHeight w:val="310"/>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w:t>
            </w:r>
          </w:p>
        </w:tc>
        <w:tc>
          <w:tcPr>
            <w:tcW w:w="5020" w:type="dxa"/>
            <w:vAlign w:val="bottom"/>
          </w:tcPr>
          <w:p>
            <w:pPr>
              <w:spacing w:after="0"/>
              <w:rPr>
                <w:sz w:val="24"/>
                <w:szCs w:val="24"/>
                <w:color w:val="auto"/>
              </w:rPr>
            </w:pPr>
          </w:p>
        </w:tc>
        <w:tc>
          <w:tcPr>
            <w:tcW w:w="556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rPr>
              <w:t>514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11240"/>
          </w:cols>
          <w:pgMar w:left="320" w:top="1422" w:right="339" w:bottom="1159" w:gutter="0" w:footer="0" w:header="0"/>
        </w:sectPr>
      </w:pPr>
    </w:p>
    <w:bookmarkStart w:id="63" w:name="page64"/>
    <w:bookmarkEnd w:id="6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316</w:t>
            </w:r>
          </w:p>
        </w:tc>
        <w:tc>
          <w:tcPr>
            <w:tcW w:w="4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(a)(1)(A)</w:t>
            </w:r>
          </w:p>
        </w:tc>
        <w:tc>
          <w:tcPr>
            <w:tcW w:w="4560" w:type="dxa"/>
            <w:vAlign w:val="bottom"/>
          </w:tcPr>
          <w:p>
            <w:pPr>
              <w:jc w:val="center"/>
              <w:ind w:left="3512"/>
              <w:spacing w:after="0"/>
              <w:rPr>
                <w:sz w:val="20"/>
                <w:szCs w:val="20"/>
                <w:color w:val="auto"/>
              </w:rPr>
            </w:pPr>
            <w:r>
              <w:rPr>
                <w:rFonts w:ascii="Times New Roman" w:cs="Times New Roman" w:eastAsia="Times New Roman" w:hAnsi="Times New Roman"/>
                <w:sz w:val="22"/>
                <w:szCs w:val="22"/>
                <w:color w:val="auto"/>
                <w:w w:val="96"/>
              </w:rPr>
              <w:t>502, 512</w:t>
            </w:r>
          </w:p>
        </w:tc>
      </w:tr>
      <w:tr>
        <w:trPr>
          <w:trHeight w:val="311"/>
        </w:trPr>
        <w:tc>
          <w:tcPr>
            <w:tcW w:w="51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(a)(1)(B)</w:t>
            </w:r>
          </w:p>
        </w:tc>
        <w:tc>
          <w:tcPr>
            <w:tcW w:w="4560" w:type="dxa"/>
            <w:vAlign w:val="bottom"/>
          </w:tcPr>
          <w:p>
            <w:pPr>
              <w:jc w:val="center"/>
              <w:ind w:left="3512"/>
              <w:spacing w:after="0"/>
              <w:rPr>
                <w:sz w:val="20"/>
                <w:szCs w:val="20"/>
                <w:color w:val="auto"/>
              </w:rPr>
            </w:pPr>
            <w:r>
              <w:rPr>
                <w:rFonts w:ascii="Times New Roman" w:cs="Times New Roman" w:eastAsia="Times New Roman" w:hAnsi="Times New Roman"/>
                <w:sz w:val="22"/>
                <w:szCs w:val="22"/>
                <w:color w:val="auto"/>
              </w:rPr>
              <w:t>513</w:t>
            </w:r>
          </w:p>
        </w:tc>
      </w:tr>
      <w:tr>
        <w:trPr>
          <w:trHeight w:val="310"/>
        </w:trPr>
        <w:tc>
          <w:tcPr>
            <w:tcW w:w="51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(a)(2)</w:t>
            </w:r>
          </w:p>
        </w:tc>
        <w:tc>
          <w:tcPr>
            <w:tcW w:w="4560" w:type="dxa"/>
            <w:vAlign w:val="bottom"/>
          </w:tcPr>
          <w:p>
            <w:pPr>
              <w:jc w:val="center"/>
              <w:ind w:left="3512"/>
              <w:spacing w:after="0"/>
              <w:rPr>
                <w:sz w:val="20"/>
                <w:szCs w:val="20"/>
                <w:color w:val="auto"/>
              </w:rPr>
            </w:pPr>
            <w:r>
              <w:rPr>
                <w:rFonts w:ascii="Times New Roman" w:cs="Times New Roman" w:eastAsia="Times New Roman" w:hAnsi="Times New Roman"/>
                <w:sz w:val="22"/>
                <w:szCs w:val="22"/>
                <w:color w:val="auto"/>
              </w:rPr>
              <w:t>Not</w:t>
            </w:r>
          </w:p>
        </w:tc>
      </w:tr>
      <w:tr>
        <w:trPr>
          <w:trHeight w:val="298"/>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w:t>
            </w:r>
          </w:p>
        </w:tc>
        <w:tc>
          <w:tcPr>
            <w:tcW w:w="4520" w:type="dxa"/>
            <w:vAlign w:val="bottom"/>
          </w:tcPr>
          <w:p>
            <w:pPr>
              <w:spacing w:after="0"/>
              <w:rPr>
                <w:sz w:val="24"/>
                <w:szCs w:val="24"/>
                <w:color w:val="auto"/>
              </w:rPr>
            </w:pPr>
          </w:p>
        </w:tc>
        <w:tc>
          <w:tcPr>
            <w:tcW w:w="4560" w:type="dxa"/>
            <w:vAlign w:val="bottom"/>
          </w:tcPr>
          <w:p>
            <w:pPr>
              <w:jc w:val="center"/>
              <w:ind w:left="3512"/>
              <w:spacing w:after="0"/>
              <w:rPr>
                <w:sz w:val="20"/>
                <w:szCs w:val="20"/>
                <w:color w:val="auto"/>
              </w:rPr>
            </w:pPr>
            <w:r>
              <w:rPr>
                <w:rFonts w:ascii="Times New Roman" w:cs="Times New Roman" w:eastAsia="Times New Roman" w:hAnsi="Times New Roman"/>
                <w:sz w:val="22"/>
                <w:szCs w:val="22"/>
                <w:color w:val="auto"/>
                <w:w w:val="97"/>
              </w:rPr>
              <w:t>Applicable</w:t>
            </w:r>
          </w:p>
        </w:tc>
      </w:tr>
      <w:tr>
        <w:trPr>
          <w:trHeight w:val="282"/>
        </w:trPr>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560" w:type="dxa"/>
            <w:vAlign w:val="bottom"/>
          </w:tcPr>
          <w:p>
            <w:pPr>
              <w:jc w:val="center"/>
              <w:ind w:left="3512"/>
              <w:spacing w:after="0"/>
              <w:rPr>
                <w:sz w:val="20"/>
                <w:szCs w:val="20"/>
                <w:color w:val="auto"/>
              </w:rPr>
            </w:pPr>
            <w:r>
              <w:rPr>
                <w:rFonts w:ascii="Times New Roman" w:cs="Times New Roman" w:eastAsia="Times New Roman" w:hAnsi="Times New Roman"/>
                <w:sz w:val="22"/>
                <w:szCs w:val="22"/>
                <w:color w:val="auto"/>
              </w:rPr>
              <w:t>508</w:t>
            </w:r>
          </w:p>
        </w:tc>
      </w:tr>
      <w:tr>
        <w:trPr>
          <w:trHeight w:val="310"/>
        </w:trPr>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317</w:t>
            </w:r>
          </w:p>
        </w:tc>
        <w:tc>
          <w:tcPr>
            <w:tcW w:w="4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(a)(1)</w:t>
            </w:r>
          </w:p>
        </w:tc>
        <w:tc>
          <w:tcPr>
            <w:tcW w:w="4560" w:type="dxa"/>
            <w:vAlign w:val="bottom"/>
          </w:tcPr>
          <w:p>
            <w:pPr>
              <w:jc w:val="center"/>
              <w:ind w:left="3512"/>
              <w:spacing w:after="0"/>
              <w:rPr>
                <w:sz w:val="20"/>
                <w:szCs w:val="20"/>
                <w:color w:val="auto"/>
              </w:rPr>
            </w:pPr>
            <w:r>
              <w:rPr>
                <w:rFonts w:ascii="Times New Roman" w:cs="Times New Roman" w:eastAsia="Times New Roman" w:hAnsi="Times New Roman"/>
                <w:sz w:val="22"/>
                <w:szCs w:val="22"/>
                <w:color w:val="auto"/>
              </w:rPr>
              <w:t>503</w:t>
            </w:r>
          </w:p>
        </w:tc>
      </w:tr>
      <w:tr>
        <w:trPr>
          <w:trHeight w:val="311"/>
        </w:trPr>
        <w:tc>
          <w:tcPr>
            <w:tcW w:w="51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(a)(2)</w:t>
            </w:r>
          </w:p>
        </w:tc>
        <w:tc>
          <w:tcPr>
            <w:tcW w:w="4560" w:type="dxa"/>
            <w:vAlign w:val="bottom"/>
          </w:tcPr>
          <w:p>
            <w:pPr>
              <w:jc w:val="center"/>
              <w:ind w:left="3512"/>
              <w:spacing w:after="0"/>
              <w:rPr>
                <w:sz w:val="20"/>
                <w:szCs w:val="20"/>
                <w:color w:val="auto"/>
              </w:rPr>
            </w:pPr>
            <w:r>
              <w:rPr>
                <w:rFonts w:ascii="Times New Roman" w:cs="Times New Roman" w:eastAsia="Times New Roman" w:hAnsi="Times New Roman"/>
                <w:sz w:val="22"/>
                <w:szCs w:val="22"/>
                <w:color w:val="auto"/>
              </w:rPr>
              <w:t>504</w:t>
            </w:r>
          </w:p>
        </w:tc>
      </w:tr>
      <w:tr>
        <w:trPr>
          <w:trHeight w:val="310"/>
        </w:trPr>
        <w:tc>
          <w:tcPr>
            <w:tcW w:w="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w:t>
            </w:r>
          </w:p>
        </w:tc>
        <w:tc>
          <w:tcPr>
            <w:tcW w:w="4520" w:type="dxa"/>
            <w:vAlign w:val="bottom"/>
          </w:tcPr>
          <w:p>
            <w:pPr>
              <w:spacing w:after="0"/>
              <w:rPr>
                <w:sz w:val="24"/>
                <w:szCs w:val="24"/>
                <w:color w:val="auto"/>
              </w:rPr>
            </w:pPr>
          </w:p>
        </w:tc>
        <w:tc>
          <w:tcPr>
            <w:tcW w:w="4560" w:type="dxa"/>
            <w:vAlign w:val="bottom"/>
          </w:tcPr>
          <w:p>
            <w:pPr>
              <w:jc w:val="center"/>
              <w:ind w:left="3512"/>
              <w:spacing w:after="0"/>
              <w:rPr>
                <w:sz w:val="20"/>
                <w:szCs w:val="20"/>
                <w:color w:val="auto"/>
              </w:rPr>
            </w:pPr>
            <w:r>
              <w:rPr>
                <w:rFonts w:ascii="Times New Roman" w:cs="Times New Roman" w:eastAsia="Times New Roman" w:hAnsi="Times New Roman"/>
                <w:sz w:val="22"/>
                <w:szCs w:val="22"/>
                <w:color w:val="auto"/>
                <w:w w:val="95"/>
              </w:rPr>
              <w:t>1003</w:t>
            </w:r>
          </w:p>
        </w:tc>
      </w:tr>
      <w:tr>
        <w:trPr>
          <w:trHeight w:val="311"/>
        </w:trPr>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318</w:t>
            </w:r>
          </w:p>
        </w:tc>
        <w:tc>
          <w:tcPr>
            <w:tcW w:w="4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4560" w:type="dxa"/>
            <w:vAlign w:val="bottom"/>
          </w:tcPr>
          <w:p>
            <w:pPr>
              <w:jc w:val="center"/>
              <w:ind w:left="3512"/>
              <w:spacing w:after="0"/>
              <w:rPr>
                <w:sz w:val="20"/>
                <w:szCs w:val="20"/>
                <w:color w:val="auto"/>
              </w:rPr>
            </w:pPr>
            <w:r>
              <w:rPr>
                <w:rFonts w:ascii="Times New Roman" w:cs="Times New Roman" w:eastAsia="Times New Roman" w:hAnsi="Times New Roman"/>
                <w:sz w:val="22"/>
                <w:szCs w:val="22"/>
                <w:color w:val="auto"/>
              </w:rPr>
              <w:t>107</w:t>
            </w:r>
          </w:p>
        </w:tc>
      </w:tr>
      <w:tr>
        <w:trPr>
          <w:trHeight w:val="608"/>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Note:</w:t>
            </w:r>
          </w:p>
        </w:tc>
        <w:tc>
          <w:tcPr>
            <w:tcW w:w="9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This reconciliation and tie shall not, for any purpose, be deemed to be a part of this Indenture.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vi</w:t>
      </w:r>
    </w:p>
    <w:p>
      <w:pPr>
        <w:sectPr>
          <w:pgSz w:w="11900" w:h="16838" w:orient="portrait"/>
          <w:cols w:equalWidth="0" w:num="1">
            <w:col w:w="10139"/>
          </w:cols>
          <w:pgMar w:left="320" w:top="1440"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PARTIES</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INDENTURE, dated as of , 20 , among WEATHERFORD INTERNATIONAL PLC, a public limited company duly organized and existing under the laws of Ireland (“</w:t>
      </w:r>
      <w:r>
        <w:rPr>
          <w:rFonts w:ascii="Times New Roman" w:cs="Times New Roman" w:eastAsia="Times New Roman" w:hAnsi="Times New Roman"/>
          <w:sz w:val="22"/>
          <w:szCs w:val="22"/>
          <w:u w:val="single" w:color="auto"/>
          <w:color w:val="auto"/>
        </w:rPr>
        <w:t>Weatherford Parent</w:t>
      </w:r>
      <w:r>
        <w:rPr>
          <w:rFonts w:ascii="Times New Roman" w:cs="Times New Roman" w:eastAsia="Times New Roman" w:hAnsi="Times New Roman"/>
          <w:sz w:val="22"/>
          <w:szCs w:val="22"/>
          <w:color w:val="auto"/>
        </w:rPr>
        <w:t>”), WEATHERFORD INTERNATIONAL LTD., a Bermuda exempted company (“</w:t>
      </w:r>
      <w:r>
        <w:rPr>
          <w:rFonts w:ascii="Times New Roman" w:cs="Times New Roman" w:eastAsia="Times New Roman" w:hAnsi="Times New Roman"/>
          <w:sz w:val="22"/>
          <w:szCs w:val="22"/>
          <w:u w:val="single" w:color="auto"/>
          <w:color w:val="auto"/>
        </w:rPr>
        <w:t>Weatherford Bermuda</w:t>
      </w:r>
      <w:r>
        <w:rPr>
          <w:rFonts w:ascii="Times New Roman" w:cs="Times New Roman" w:eastAsia="Times New Roman" w:hAnsi="Times New Roman"/>
          <w:sz w:val="22"/>
          <w:szCs w:val="22"/>
          <w:color w:val="auto"/>
        </w:rPr>
        <w:t>”), WEATHERFORD INTERNATIONAL, LLC, a Delaware limited liability company (“</w:t>
      </w:r>
      <w:r>
        <w:rPr>
          <w:rFonts w:ascii="Times New Roman" w:cs="Times New Roman" w:eastAsia="Times New Roman" w:hAnsi="Times New Roman"/>
          <w:sz w:val="22"/>
          <w:szCs w:val="22"/>
          <w:u w:val="single" w:color="auto"/>
          <w:color w:val="auto"/>
        </w:rPr>
        <w:t>Weatherford Delaware</w:t>
      </w:r>
      <w:r>
        <w:rPr>
          <w:rFonts w:ascii="Times New Roman" w:cs="Times New Roman" w:eastAsia="Times New Roman" w:hAnsi="Times New Roman"/>
          <w:sz w:val="22"/>
          <w:szCs w:val="22"/>
          <w:color w:val="auto"/>
        </w:rPr>
        <w:t>”), and DEUTSCHE BANK TRUST COMPANY AMERICAS, a New York banking corporation, as Trustee (herein called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Weatherford Parent directly or indirectly beneficially owns 100% of the issued share capital of, or other ownership interests in, each of Weatherford Bermuda and Weatherford Delaware.</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of Weatherford Parent, Weatherford Bermuda and Weatherford Delaware have duly authorized the execution and delivery of this Indenture to provide for the issuance from time to time of debt securities (herein called the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of Weatherford Bermuda or Weatherford Delaware, as the case may be, to be issued in one or more series as in this Indenture provided.</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series of Securities issued by Weatherford Bermuda will be guaranteed by Weatherford Parent, and may be guaranteed by certain of its Subsidiaries (as defined herein), including Weatherford Delaware, as may be specified in a supplemental indenture hereto or a Board Resolution (as defined herein) or an Officer’s Certificate (as defined herein) of the Issuer (as defined herein) in accordance with the terms hereof. Each series of Securities issued by Weatherford Delaware will be guaranteed by Weatherford Parent, and may be guaranteed by certain of its Subsidiaries, including Weatherford Bermuda, as may be specified in a supplemental indenture hereto or a Board Resolution or an Officer’s Certificate of the Issuer in accordance with the terms hereof.</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All things necessary to make this Indenture a valid agreement of each of the Issuer and the Guarantors, in accordance with its terms, have been done.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NOW, THEREFORE, THIS INDENTURE WITNESSETH:</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For and in consideration of the premises and the purchase of the Securities by the Holders thereof, it is mutually agreed, for the equal and proportionate benefit of all Holders of the Securities or of any series thereof, as follows: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010000"/>
        </w:rPr>
        <w:t>Article 1</w:t>
      </w:r>
    </w:p>
    <w:p>
      <w:pPr>
        <w:jc w:val="center"/>
        <w:spacing w:after="0" w:line="204" w:lineRule="auto"/>
        <w:rPr>
          <w:sz w:val="20"/>
          <w:szCs w:val="20"/>
          <w:color w:val="auto"/>
        </w:rPr>
      </w:pPr>
      <w:r>
        <w:rPr>
          <w:rFonts w:ascii="Times New Roman" w:cs="Times New Roman" w:eastAsia="Times New Roman" w:hAnsi="Times New Roman"/>
          <w:sz w:val="22"/>
          <w:szCs w:val="22"/>
          <w:color w:val="auto"/>
        </w:rPr>
        <w:t>DEFINITIONS AND OTHER PROVISIONS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GENERAL APPLICATION</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101.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22"/>
          <w:szCs w:val="22"/>
          <w:color w:val="auto"/>
        </w:rPr>
        <w:t>For all purposes of this Indenture, except as otherwise expressly provided or unless the context otherwise requires:</w:t>
      </w:r>
    </w:p>
    <w:p>
      <w:pPr>
        <w:spacing w:after="0" w:line="220" w:lineRule="exact"/>
        <w:rPr>
          <w:sz w:val="20"/>
          <w:szCs w:val="20"/>
          <w:color w:val="auto"/>
        </w:rPr>
      </w:pPr>
    </w:p>
    <w:p>
      <w:pPr>
        <w:ind w:left="660" w:firstLine="644"/>
        <w:spacing w:after="0" w:line="271" w:lineRule="auto"/>
        <w:tabs>
          <w:tab w:leader="none" w:pos="179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defined in this Article One have the meanings assigned to them in this Article One and include the plural as well as the singular;</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9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terms used herein which are defined in the Trust Indenture Act, either directly or by reference therein, have the meanings assigned to them therein;</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accounting terms not otherwise defined herein have the meanings assigned to them in accordance with</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w:t>
      </w:r>
    </w:p>
    <w:p>
      <w:pPr>
        <w:spacing w:after="0" w:line="195"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83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requires, any reference to an “Article” or a “Section” refers to an Article or a Section, as the case may be, of this Indenture;</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and “hereunder” and other words of similar import refer to this Indenture as a whole and not to any particular Article, Section or other subdivision;</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1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any Security, the words “convert,” “converted” and “conversion” are intended to refer to the right of the Holder or the Issuer to convert or exchange such Security into or for securities or other property in accordance with such terms, if any, as may hereafter be specified for such Security as contemplated by Section 301, and these words are not intended to refer to any right of the Holder or the Issuer to exchange such Security for other Securities of the same series and like tenor pursuant to Section 304, 305, 306, 906 or 1107 or another similar provisions of this Indenture, unless the context otherwise requires; and references herein to the terms of any Security that may be converted mean such terms as may be specified for such Security as contemplated in Section 301; and</w:t>
      </w:r>
    </w:p>
    <w:p>
      <w:pPr>
        <w:spacing w:after="0" w:line="19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references to agreements and other instruments shall be deemed to include all amendments and other modifications to such agreements and instruments, but only to the extent such amendments and other modifications are not prohibited by the terms of this Indenture.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terms, used principally in Article Six, are defined in that Article.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when used with respect to any Holder, has the meaning specified in Section 104.</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66" w:name="page67"/>
    <w:bookmarkEnd w:id="6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any Authentication Agent, Calculation Agent, Paying Agent, Process Agent, Non-Domestic Process Agent or Quotation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Banking Laws</w:t>
      </w:r>
      <w:r>
        <w:rPr>
          <w:rFonts w:ascii="Times New Roman" w:cs="Times New Roman" w:eastAsia="Times New Roman" w:hAnsi="Times New Roman"/>
          <w:sz w:val="22"/>
          <w:szCs w:val="22"/>
          <w:color w:val="auto"/>
        </w:rPr>
        <w:t>” has the meaning specified in Section 118.</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Debt</w:t>
      </w:r>
      <w:r>
        <w:rPr>
          <w:rFonts w:ascii="Times New Roman" w:cs="Times New Roman" w:eastAsia="Times New Roman" w:hAnsi="Times New Roman"/>
          <w:sz w:val="22"/>
          <w:szCs w:val="22"/>
          <w:color w:val="auto"/>
        </w:rPr>
        <w:t>” has the meaning specified in Section 1004(c)(1).</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Authenticating Agent</w:t>
      </w:r>
      <w:r>
        <w:rPr>
          <w:rFonts w:ascii="Times New Roman" w:cs="Times New Roman" w:eastAsia="Times New Roman" w:hAnsi="Times New Roman"/>
          <w:sz w:val="22"/>
          <w:szCs w:val="22"/>
          <w:color w:val="auto"/>
        </w:rPr>
        <w:t>” means any person authorized to authenticate and deliver Securities on behalf of the Trustee for the Securities of any series pursuant to Section 614.</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as to any Person, the board of directors or managers, as applicable, of such Person (or, if such Person is a partnership, the board of directors or other governing body of the general partner of such Person), or an executive committee of such Board of Directors or any duly authorized committee of that Board of Directors or any director(s), manager(s) and/or officer(s), as the case may be, to whom that Board of Directors or committee shall have duly delegated its authority.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Resolution</w:t>
      </w:r>
      <w:r>
        <w:rPr>
          <w:rFonts w:ascii="Times New Roman" w:cs="Times New Roman" w:eastAsia="Times New Roman" w:hAnsi="Times New Roman"/>
          <w:sz w:val="22"/>
          <w:szCs w:val="22"/>
          <w:color w:val="auto"/>
        </w:rPr>
        <w:t>” means a copy of one or more resolutions adopted by the Board of Directors of a Person, certified by the Secretary or an Assistant Secretary (or Persons performing similar functions) of such Person (or if such Person does not have a Secretary or Assistant Secretary, a director or manager of such Person) to have been duly adopted by such Board of Directors and to be in full force and effect on the date of such certification and delivered to the Trustee.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each Monday, Tuesday, Wednesday, Thursday and Friday which is not a day on which banking institutions in the City and State of New York or in the Place of Payment are authorized or obligated by law, executive order or regulation to close.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Agent</w:t>
      </w:r>
      <w:r>
        <w:rPr>
          <w:rFonts w:ascii="Times New Roman" w:cs="Times New Roman" w:eastAsia="Times New Roman" w:hAnsi="Times New Roman"/>
          <w:sz w:val="22"/>
          <w:szCs w:val="22"/>
          <w:color w:val="auto"/>
        </w:rPr>
        <w:t>” means any person authorized by the Issuer to determine the floating rate interest rate of any series of Securities bearing a floating rate of interest. Initially, Deutsche Bank Trust Company Americas shall act as Calculation Agent in connection with the Securities. The Calculation Agent shall serve as the calculation agent hereunder unless and until a successor calculation agent is appointed by the Issuer of such Securities.</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Request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Company Order</w:t>
      </w:r>
      <w:r>
        <w:rPr>
          <w:rFonts w:ascii="Times New Roman" w:cs="Times New Roman" w:eastAsia="Times New Roman" w:hAnsi="Times New Roman"/>
          <w:sz w:val="22"/>
          <w:szCs w:val="22"/>
          <w:color w:val="auto"/>
        </w:rPr>
        <w:t>” means a written request or order signed in the name of the Issuer by an Officer of the Issuer and delivered to the Trustee for the Securities of any series.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Trust Office</w:t>
      </w:r>
      <w:r>
        <w:rPr>
          <w:rFonts w:ascii="Times New Roman" w:cs="Times New Roman" w:eastAsia="Times New Roman" w:hAnsi="Times New Roman"/>
          <w:sz w:val="22"/>
          <w:szCs w:val="22"/>
          <w:color w:val="auto"/>
        </w:rPr>
        <w:t>” means the office of the Trustee at which at any particular time its corporate trust business with respect to this Indenture shall be administered, which office at the date hereof is located at Deutsche Bank Trust Company Americas, Trust and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22"/>
          <w:szCs w:val="22"/>
          <w:color w:val="auto"/>
        </w:rPr>
        <w:t>Services, 1 Columbus Circle, 4th Floor, Mail Stop NYC01-0417, New York, NY 10019, USA, Attn: Corporates Team - Weatherford (AA1484), or such other address as the Trustee may designate from time to time by notice to the Holders and the Issuer, or the principal corporate trust office of any successor Trustee (or such other address as such successor Trustee may designate from time to time by notice to the Issuer and the 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Interest</w:t>
      </w:r>
      <w:r>
        <w:rPr>
          <w:rFonts w:ascii="Times New Roman" w:cs="Times New Roman" w:eastAsia="Times New Roman" w:hAnsi="Times New Roman"/>
          <w:sz w:val="22"/>
          <w:szCs w:val="22"/>
          <w:color w:val="auto"/>
        </w:rPr>
        <w:t>” has the meaning specified in Section 307.</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a dollar or other equivalent unit in such coin or currency of the United States of America as at the time shall be legal tender for the payment of public and private debts.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Process Agent</w:t>
      </w:r>
      <w:r>
        <w:rPr>
          <w:rFonts w:ascii="Times New Roman" w:cs="Times New Roman" w:eastAsia="Times New Roman" w:hAnsi="Times New Roman"/>
          <w:sz w:val="22"/>
          <w:szCs w:val="22"/>
          <w:color w:val="auto"/>
        </w:rPr>
        <w:t>” has the meaning specified in Section 112.</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unless otherwise specified in the supplemental indenture, Board Resolution or Officer’s Certificate establishing a series of Securities, has the meaning specified in Section 501.</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Funded Indebtedness</w:t>
      </w:r>
      <w:r>
        <w:rPr>
          <w:rFonts w:ascii="Times New Roman" w:cs="Times New Roman" w:eastAsia="Times New Roman" w:hAnsi="Times New Roman"/>
          <w:sz w:val="22"/>
          <w:szCs w:val="22"/>
          <w:color w:val="auto"/>
        </w:rPr>
        <w:t>” means indebtedness created, assumed or guaranteed by a Person for money borrowed which matures by its terms, or is renewable by the borrower to a date, more than one year after the date of its original creation, assumption or guarantee.</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(including, if applicable, International Financial Reporting Standards) as in effect from time to time.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Security</w:t>
      </w:r>
      <w:r>
        <w:rPr>
          <w:rFonts w:ascii="Times New Roman" w:cs="Times New Roman" w:eastAsia="Times New Roman" w:hAnsi="Times New Roman"/>
          <w:sz w:val="22"/>
          <w:szCs w:val="22"/>
          <w:color w:val="auto"/>
        </w:rPr>
        <w:t>” means a Security evidencing all or part of a series of Securities, including, without limitation, any temporary or permanent Global Securities.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means the guarantee by each Guarantor as endorsed on each Security and authenticated and delivered pursuant to this Indenture, which guarantee shall include the provisions set forth in Article Thirteen of this Indenture. “</w:t>
      </w:r>
      <w:r>
        <w:rPr>
          <w:rFonts w:ascii="Times New Roman" w:cs="Times New Roman" w:eastAsia="Times New Roman" w:hAnsi="Times New Roman"/>
          <w:sz w:val="22"/>
          <w:szCs w:val="22"/>
          <w:u w:val="single" w:color="auto"/>
          <w:color w:val="auto"/>
        </w:rPr>
        <w:t>Guaranteed</w:t>
      </w:r>
      <w:r>
        <w:rPr>
          <w:rFonts w:ascii="Times New Roman" w:cs="Times New Roman" w:eastAsia="Times New Roman" w:hAnsi="Times New Roman"/>
          <w:sz w:val="22"/>
          <w:szCs w:val="22"/>
          <w:color w:val="auto"/>
        </w:rPr>
        <w:t>” shall have a meaning correlative to the foregoing.</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means, (i) in respect of a series of Securities issued by Weatherford Bermuda, (a) Weatherford Parent and each other Person, if any, named as a “Guarantor” pursuant to a supplemental indenture hereto or a Board Resolution or an Officer’s Certificate of the Issuer in accordance with the terms of this Indenture (until such Person ceases to be a Guarantor pursuant to the terms of this Indenture) and (b) any successor company thereof that shall have become a Guarantor pursuant to the applicable provisions of this Indenture, and (ii) in respect of a series of Securities issued by Weatherford Delaware,</w:t>
      </w:r>
    </w:p>
    <w:p>
      <w:pPr>
        <w:spacing w:after="0" w:line="2" w:lineRule="exact"/>
        <w:rPr>
          <w:sz w:val="20"/>
          <w:szCs w:val="20"/>
          <w:color w:val="auto"/>
        </w:rPr>
      </w:pPr>
    </w:p>
    <w:p>
      <w:pPr>
        <w:jc w:val="both"/>
        <w:ind w:firstLine="8"/>
        <w:spacing w:after="0" w:line="245" w:lineRule="auto"/>
        <w:tabs>
          <w:tab w:leader="none" w:pos="36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Weatherford Parent and each other Person, if any, named as a “Guarantor” pursuant to a supplemental indenture hereto or a Board Resolution or an Officer’s Certificate of the Issuer in accordance with the terms of this Indenture (until such Person ceases to be a Guarantor pursuant to the terms of this Indenture)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68" w:name="page69"/>
    <w:bookmarkEnd w:id="68"/>
    <w:p>
      <w:pPr>
        <w:ind w:left="660" w:right="300" w:hanging="652"/>
        <w:spacing w:after="0" w:line="448" w:lineRule="auto"/>
        <w:tabs>
          <w:tab w:leader="none" w:pos="35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successor company thereof that shall have become a Guarantor pursuant to the applicable provisions of this Indenture.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a person in whose name a Security is registered in the Security Register.</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means this Indenture as originally executed and as it may from time to time be supplemented or amended by one or more indentures supplemental hereto entered into pursuant to the applicable provisions hereof, including, for all purposes of this Indenture and any such supplemental indenture, the provisions of the Trust Indenture Act that are deemed to be a part of and govern this Indenture and any such supplemental indenture, respectively. The term “Indenture” shall also include the terms of particular series of Securities established as contemplated by Section 301.</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when used with respect to an Original Issue Discount Security which by its terms bears interest only after Maturity, means interest payable after Maturity.</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when used with respect to any Security, means the Stated Maturity of an installment of interest on such Security.</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means, (i) Weatherford Bermuda, in the case of Securities issued by Weatherford Bermuda, and (ii) Weatherford Delaware, in the case of Securities issued by Weatherford Delaware.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has the meaning specified in Section 117.</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w:t>
      </w:r>
      <w:r>
        <w:rPr>
          <w:rFonts w:ascii="Times New Roman" w:cs="Times New Roman" w:eastAsia="Times New Roman" w:hAnsi="Times New Roman"/>
          <w:sz w:val="22"/>
          <w:szCs w:val="22"/>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has the meaning specified in Section 1004(c)(3).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Non-Domestic Process Agent</w:t>
      </w:r>
      <w:r>
        <w:rPr>
          <w:rFonts w:ascii="Times New Roman" w:cs="Times New Roman" w:eastAsia="Times New Roman" w:hAnsi="Times New Roman"/>
          <w:sz w:val="22"/>
          <w:szCs w:val="22"/>
          <w:color w:val="auto"/>
        </w:rPr>
        <w:t>” has the meaning specified in Section 112.</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the Chairman of the Board, any Vice Chairman, any other director or manager, the Chief Executive Officer, the President, any Vice President, the Chief Operating Officer, the Principal Accounting Officer, the Treasurer, any Assistant Treasurer, the Principal Financial Officer, the Controller, the General Counsel, the Secretary or any Assistant Secretary of the Issuer or any of the Guarantors, as the case may be.</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a certificate signed by an Officer of the Issuer or any of the Guarantors, as applicable, and delivered to the Trustee.</w:t>
      </w:r>
    </w:p>
    <w:p>
      <w:pPr>
        <w:spacing w:after="0" w:line="14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Opinion of Counsel</w:t>
      </w:r>
      <w:r>
        <w:rPr>
          <w:rFonts w:ascii="Times New Roman" w:cs="Times New Roman" w:eastAsia="Times New Roman" w:hAnsi="Times New Roman"/>
          <w:sz w:val="21"/>
          <w:szCs w:val="21"/>
          <w:color w:val="auto"/>
        </w:rPr>
        <w:t>” means a written opinion of counsel, who may be an employee of or regular counsel for the Issuer or a Guarantor, or for both, as the case may be, or may be other counsel reasonably satisfactory to the Trustee. Each such opinion shall include the statements provided for in Section 102 if and to the extent required by this Indenture. Opinions of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22"/>
          <w:szCs w:val="22"/>
          <w:color w:val="auto"/>
        </w:rPr>
        <w:t>required to be delivered under this Indenture may have qualifications customary for opinions of the type required and counsel delivering such Opinions of Counsel may rely as to factual matters on certificates of the Issuer, the Guarantors or governmental or other officials customary for opinions of the type required.</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Issue Discount Security</w:t>
      </w:r>
      <w:r>
        <w:rPr>
          <w:rFonts w:ascii="Times New Roman" w:cs="Times New Roman" w:eastAsia="Times New Roman" w:hAnsi="Times New Roman"/>
          <w:sz w:val="22"/>
          <w:szCs w:val="22"/>
          <w:color w:val="auto"/>
        </w:rPr>
        <w:t>” means any Security which provides for an amount less than the principal amount thereof to be due and payable upon a declaration of acceleration of the Maturity thereof pursuant to Section 502.</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w:t>
      </w:r>
      <w:r>
        <w:rPr>
          <w:rFonts w:ascii="Times New Roman" w:cs="Times New Roman" w:eastAsia="Times New Roman" w:hAnsi="Times New Roman"/>
          <w:sz w:val="22"/>
          <w:szCs w:val="22"/>
          <w:color w:val="auto"/>
        </w:rPr>
        <w:t>” when used with respect to Securities, means, as of the date of determination, all Securities theretofore authenticated and delivered under this Indenture, except:</w:t>
      </w:r>
    </w:p>
    <w:p>
      <w:pPr>
        <w:spacing w:after="0" w:line="158" w:lineRule="exact"/>
        <w:rPr>
          <w:sz w:val="20"/>
          <w:szCs w:val="20"/>
          <w:color w:val="auto"/>
        </w:rPr>
      </w:pPr>
    </w:p>
    <w:p>
      <w:pPr>
        <w:ind w:left="1960" w:hanging="656"/>
        <w:spacing w:after="0"/>
        <w:tabs>
          <w:tab w:leader="none" w:pos="19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theretofore cancelled by the Trustee for such Securities or delivered to such Trustee for</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w:t>
      </w:r>
    </w:p>
    <w:p>
      <w:pPr>
        <w:spacing w:after="0" w:line="20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Securities or portions thereof, for whose payment or redemption money in the necessary amount has been theretofore deposited with the Trustee for such Securities or any Paying Agent (other than the Issuer) in trust or set aside and segregated in trust by the Issuer (if the Issuer shall act as its own Paying Agent) for the Holders of such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Securities are to be redeemed, notice of such redemption has been duly given pursuant to this Indenture or provision therefor reasonably satisfactory to such Trustee has been made;</w:t>
      </w:r>
    </w:p>
    <w:p>
      <w:pPr>
        <w:spacing w:after="0" w:line="194"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as to which defeasance has been effected pursuant to Section 403;</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7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for such Securities proof satisfactory to it that such Securities are held by a bona fide purchaser in whose hands such Securities are valid obligations of the Issuer; and</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301;</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70" w:name="page71"/>
    <w:bookmarkEnd w:id="70"/>
    <w:p>
      <w:pPr>
        <w:jc w:val="both"/>
        <w:spacing w:after="0" w:line="248" w:lineRule="auto"/>
        <w:rPr>
          <w:sz w:val="20"/>
          <w:szCs w:val="20"/>
          <w:color w:val="auto"/>
        </w:rPr>
      </w:pPr>
      <w:r>
        <w:rPr>
          <w:rFonts w:ascii="Times New Roman" w:cs="Times New Roman" w:eastAsia="Times New Roman" w:hAnsi="Times New Roman"/>
          <w:sz w:val="22"/>
          <w:szCs w:val="22"/>
          <w:color w:val="auto"/>
        </w:rPr>
        <w:t>as specified or determined as contemplated by Section 301, (c) the principal amount of a Security denominated in one or more foreign currencies, composite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Issuer, the Guarantors or any other obligor upon the Securities or any Affiliate of the Issuer, the Guarantors or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a Guarantor or any other obligor upon the Securities or any Affiliate of the Issuer, any Guarantor or such other obligor.</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when used with respect to the Securities of any series means any person authorized by the Issuer to pay the principal of (and premium, if any, on) or interest, if any, on any Securities on behalf of the Issuer.</w:t>
      </w:r>
    </w:p>
    <w:p>
      <w:pPr>
        <w:spacing w:after="0" w:line="15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corporation, partnership, limited liability company, joint venture, association, joint-stock company, trust, unincorporated organization or government or any agency or political subdivision thereof or any other entity.</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Place of Payment</w:t>
      </w:r>
      <w:r>
        <w:rPr>
          <w:rFonts w:ascii="Times New Roman" w:cs="Times New Roman" w:eastAsia="Times New Roman" w:hAnsi="Times New Roman"/>
          <w:sz w:val="22"/>
          <w:szCs w:val="22"/>
          <w:color w:val="auto"/>
        </w:rPr>
        <w:t>” when used with respect to the Securities of any series, means the place or places where the principal of (and premium, if any, on) and interest, if any, on the Securities of that series are payable as specified in or as contemplated by Section 301.</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Predecessor Security</w:t>
      </w:r>
      <w:r>
        <w:rPr>
          <w:rFonts w:ascii="Times New Roman" w:cs="Times New Roman" w:eastAsia="Times New Roman" w:hAnsi="Times New Roman"/>
          <w:sz w:val="22"/>
          <w:szCs w:val="22"/>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Property</w:t>
      </w:r>
      <w:r>
        <w:rPr>
          <w:rFonts w:ascii="Times New Roman" w:cs="Times New Roman" w:eastAsia="Times New Roman" w:hAnsi="Times New Roman"/>
          <w:sz w:val="22"/>
          <w:szCs w:val="22"/>
          <w:color w:val="auto"/>
        </w:rPr>
        <w:t>” means any real property, manufacturing plant, warehouse, office building or other physical facility, or any item of transportation or construction equipment or other like depreciable assets of Weatherford Parent or of any Restricted Subsidiary, that in the opinion of the Board of Directors is of material importance to the total business conducted by Weatherford Parent and its Restricted Subsidiaries as a whole.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 Agent</w:t>
      </w:r>
      <w:r>
        <w:rPr>
          <w:rFonts w:ascii="Times New Roman" w:cs="Times New Roman" w:eastAsia="Times New Roman" w:hAnsi="Times New Roman"/>
          <w:sz w:val="22"/>
          <w:szCs w:val="22"/>
          <w:color w:val="auto"/>
        </w:rPr>
        <w:t>” has the meaning specified in Section 112.</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Date</w:t>
      </w:r>
      <w:r>
        <w:rPr>
          <w:rFonts w:ascii="Times New Roman" w:cs="Times New Roman" w:eastAsia="Times New Roman" w:hAnsi="Times New Roman"/>
          <w:sz w:val="22"/>
          <w:szCs w:val="22"/>
          <w:color w:val="auto"/>
        </w:rPr>
        <w:t>” when used with respect to any Security to be redeemed, means the date fixed for such redemption by or pursuant to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71" w:name="page72"/>
    <w:bookmarkEnd w:id="7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Price</w:t>
      </w:r>
      <w:r>
        <w:rPr>
          <w:rFonts w:ascii="Times New Roman" w:cs="Times New Roman" w:eastAsia="Times New Roman" w:hAnsi="Times New Roman"/>
          <w:sz w:val="22"/>
          <w:szCs w:val="22"/>
          <w:color w:val="auto"/>
        </w:rPr>
        <w:t>” when used with respect to any Security to be redeemed, means the price at which it is to be redeemed pursuant to this Indenture, exclusive of accrued and unpaid interest.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Regular Record Date</w:t>
      </w:r>
      <w:r>
        <w:rPr>
          <w:rFonts w:ascii="Times New Roman" w:cs="Times New Roman" w:eastAsia="Times New Roman" w:hAnsi="Times New Roman"/>
          <w:sz w:val="22"/>
          <w:szCs w:val="22"/>
          <w:color w:val="auto"/>
        </w:rPr>
        <w:t>” for the interest payable on any Interest Payment Date on the Securities of any series means the date specified for that purpose as contemplated by Section 301.</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Currency</w:t>
      </w:r>
      <w:r>
        <w:rPr>
          <w:rFonts w:ascii="Times New Roman" w:cs="Times New Roman" w:eastAsia="Times New Roman" w:hAnsi="Times New Roman"/>
          <w:sz w:val="22"/>
          <w:szCs w:val="22"/>
          <w:color w:val="auto"/>
        </w:rPr>
        <w:t>” has the meaning specified in Section 117.</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when used with respect to the Trustee for the Securities of any series, means any vice president, any assistant vice president, any trust officer, any assistant trust officer or any other officer of such Trustee who customarily performs functions similar to those performed by any of the above designated officers, and also means, with respect to a particular trust matter, any other officer of the Trustee to whom such matter is referred because of such person’s knowledge of and familiarity with the particular subject and in each case, who shall have direct responsibility for the administration of this Indenture.</w:t>
      </w:r>
    </w:p>
    <w:p>
      <w:pPr>
        <w:spacing w:after="0" w:line="181"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means any Subsidiary which owns a Principal Property excluding however, any entity the greater part of the operating assets of which are located, or the principal business of which is carried on, outside the United States of America.</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and Leaseback Transaction</w:t>
      </w:r>
      <w:r>
        <w:rPr>
          <w:rFonts w:ascii="Times New Roman" w:cs="Times New Roman" w:eastAsia="Times New Roman" w:hAnsi="Times New Roman"/>
          <w:sz w:val="22"/>
          <w:szCs w:val="22"/>
          <w:color w:val="auto"/>
        </w:rPr>
        <w:t>” has the meaning specified in Section 1005.</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has the meaning stated in the first recital of this Indenture and more particularly means any Securities authenticated and delivered under this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Register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Security Registrar</w:t>
      </w:r>
      <w:r>
        <w:rPr>
          <w:rFonts w:ascii="Times New Roman" w:cs="Times New Roman" w:eastAsia="Times New Roman" w:hAnsi="Times New Roman"/>
          <w:sz w:val="22"/>
          <w:szCs w:val="22"/>
          <w:color w:val="auto"/>
        </w:rPr>
        <w:t>” have the respective meanings specified in Section 305.</w:t>
      </w:r>
    </w:p>
    <w:p>
      <w:pPr>
        <w:spacing w:after="0" w:line="220"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equity in Weatherford Parent and its consolidated Subsidiaries</w:t>
      </w:r>
      <w:r>
        <w:rPr>
          <w:rFonts w:ascii="Times New Roman" w:cs="Times New Roman" w:eastAsia="Times New Roman" w:hAnsi="Times New Roman"/>
          <w:sz w:val="22"/>
          <w:szCs w:val="22"/>
          <w:color w:val="auto"/>
        </w:rPr>
        <w:t>” has the meaning specified in Section 1004(c)(2).</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Signature Law</w:t>
      </w:r>
      <w:r>
        <w:rPr>
          <w:rFonts w:ascii="Times New Roman" w:cs="Times New Roman" w:eastAsia="Times New Roman" w:hAnsi="Times New Roman"/>
          <w:sz w:val="22"/>
          <w:szCs w:val="22"/>
          <w:color w:val="auto"/>
        </w:rPr>
        <w:t>” has the meaning specified in Section 115.</w:t>
      </w:r>
    </w:p>
    <w:p>
      <w:pPr>
        <w:spacing w:after="0" w:line="220" w:lineRule="exact"/>
        <w:rPr>
          <w:sz w:val="20"/>
          <w:szCs w:val="20"/>
          <w:color w:val="auto"/>
        </w:rPr>
      </w:pPr>
    </w:p>
    <w:p>
      <w:pPr>
        <w:ind w:right="7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Record Date</w:t>
      </w:r>
      <w:r>
        <w:rPr>
          <w:rFonts w:ascii="Times New Roman" w:cs="Times New Roman" w:eastAsia="Times New Roman" w:hAnsi="Times New Roman"/>
          <w:sz w:val="22"/>
          <w:szCs w:val="22"/>
          <w:color w:val="auto"/>
        </w:rPr>
        <w:t>” for the payment of any Defaulted Interest means a date fixed by the Trustee for such series pursuant to Section 307.</w:t>
      </w:r>
    </w:p>
    <w:p>
      <w:pPr>
        <w:spacing w:after="0" w:line="158"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Maturity</w:t>
      </w:r>
      <w:r>
        <w:rPr>
          <w:rFonts w:ascii="Times New Roman" w:cs="Times New Roman" w:eastAsia="Times New Roman" w:hAnsi="Times New Roman"/>
          <w:sz w:val="22"/>
          <w:szCs w:val="22"/>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corporation, partnership, limited liability company, joint venture, association, joint-stock company, trust or any other entity of which at least a majority of the outstanding stock or equity interests having voting power under ordinary circumstances to elect a majority of the Board of Directors or similar body of said entity shall at the time be owned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1"/>
          <w:szCs w:val="21"/>
          <w:color w:val="auto"/>
        </w:rPr>
        <w:t>Weatherford Parent or by Weatherford Parent and one or more Subsidiaries or by one or more Subsidiaries of Weatherford Parent.</w:t>
      </w:r>
    </w:p>
    <w:p>
      <w:pPr>
        <w:spacing w:after="0" w:line="2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each such Trustee with respect to those series of Securities with respect to which it is serving as Trustee.</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Indenture Act</w:t>
      </w:r>
      <w:r>
        <w:rPr>
          <w:rFonts w:ascii="Times New Roman" w:cs="Times New Roman" w:eastAsia="Times New Roman" w:hAnsi="Times New Roman"/>
          <w:sz w:val="22"/>
          <w:szCs w:val="22"/>
          <w:color w:val="auto"/>
        </w:rPr>
        <w:t>” means the Trust Indenture Act of 1939 as in force at the date as of which this Indenture was executed, except as provided in Section 905.</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Depositary</w:t>
      </w:r>
      <w:r>
        <w:rPr>
          <w:rFonts w:ascii="Times New Roman" w:cs="Times New Roman" w:eastAsia="Times New Roman" w:hAnsi="Times New Roman"/>
          <w:sz w:val="21"/>
          <w:szCs w:val="21"/>
          <w:color w:val="auto"/>
        </w:rPr>
        <w:t>” means a clearing agency registered under the Exchange Act, or any successor thereto, which shall have become such pursuant to the applicable provisions of this Indenture, and thereafter “</w:t>
      </w:r>
      <w:r>
        <w:rPr>
          <w:rFonts w:ascii="Times New Roman" w:cs="Times New Roman" w:eastAsia="Times New Roman" w:hAnsi="Times New Roman"/>
          <w:sz w:val="21"/>
          <w:szCs w:val="21"/>
          <w:u w:val="single" w:color="auto"/>
          <w:color w:val="auto"/>
        </w:rPr>
        <w:t>U.S. Depositary</w:t>
      </w:r>
      <w:r>
        <w:rPr>
          <w:rFonts w:ascii="Times New Roman" w:cs="Times New Roman" w:eastAsia="Times New Roman" w:hAnsi="Times New Roman"/>
          <w:sz w:val="21"/>
          <w:szCs w:val="21"/>
          <w:color w:val="auto"/>
        </w:rPr>
        <w:t>” shall mean or include each Person who is then a U.S. Depositary hereunder, and if at any time there is more than one such Person, “</w:t>
      </w:r>
      <w:r>
        <w:rPr>
          <w:rFonts w:ascii="Times New Roman" w:cs="Times New Roman" w:eastAsia="Times New Roman" w:hAnsi="Times New Roman"/>
          <w:sz w:val="21"/>
          <w:szCs w:val="21"/>
          <w:u w:val="single" w:color="auto"/>
          <w:color w:val="auto"/>
        </w:rPr>
        <w:t>U.S. Depositary</w:t>
      </w:r>
      <w:r>
        <w:rPr>
          <w:rFonts w:ascii="Times New Roman" w:cs="Times New Roman" w:eastAsia="Times New Roman" w:hAnsi="Times New Roman"/>
          <w:sz w:val="21"/>
          <w:szCs w:val="21"/>
          <w:color w:val="auto"/>
        </w:rPr>
        <w:t>” as used with respect to the Securities of any series shall mean the U.S. Depositary with respect to the Securities of that series.</w:t>
      </w:r>
    </w:p>
    <w:p>
      <w:pPr>
        <w:spacing w:after="0" w:line="163" w:lineRule="exact"/>
        <w:rPr>
          <w:sz w:val="20"/>
          <w:szCs w:val="20"/>
          <w:color w:val="auto"/>
        </w:rPr>
      </w:pPr>
    </w:p>
    <w:p>
      <w:pPr>
        <w:jc w:val="both"/>
        <w:ind w:right="18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Obligations</w:t>
      </w:r>
      <w:r>
        <w:rPr>
          <w:rFonts w:ascii="Times New Roman" w:cs="Times New Roman" w:eastAsia="Times New Roman" w:hAnsi="Times New Roman"/>
          <w:sz w:val="22"/>
          <w:szCs w:val="22"/>
          <w:color w:val="auto"/>
        </w:rPr>
        <w:t>” means direct obligations of the United States for the payment of which its full faith and credit is pledged, or obligations of a person controlled or supervised by and acting as an agency or instrumentality of the United States and the payment of which is unconditionally guaranteed by the United States.</w:t>
      </w:r>
    </w:p>
    <w:p>
      <w:pPr>
        <w:spacing w:after="0" w:line="167"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Vice President</w:t>
      </w:r>
      <w:r>
        <w:rPr>
          <w:rFonts w:ascii="Times New Roman" w:cs="Times New Roman" w:eastAsia="Times New Roman" w:hAnsi="Times New Roman"/>
          <w:sz w:val="22"/>
          <w:szCs w:val="22"/>
          <w:color w:val="auto"/>
        </w:rPr>
        <w:t>”, when used with respect to the Issuer or the Guarantors, means any vice president, whether or not designated by a number or a word or words added before or after the title “</w:t>
      </w:r>
      <w:r>
        <w:rPr>
          <w:rFonts w:ascii="Times New Roman" w:cs="Times New Roman" w:eastAsia="Times New Roman" w:hAnsi="Times New Roman"/>
          <w:sz w:val="22"/>
          <w:szCs w:val="22"/>
          <w:u w:val="single" w:color="auto"/>
          <w:color w:val="auto"/>
        </w:rPr>
        <w:t>vice president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Weatherford Bermuda</w:t>
      </w:r>
      <w:r>
        <w:rPr>
          <w:rFonts w:ascii="Times New Roman" w:cs="Times New Roman" w:eastAsia="Times New Roman" w:hAnsi="Times New Roman"/>
          <w:sz w:val="22"/>
          <w:szCs w:val="22"/>
          <w:color w:val="auto"/>
        </w:rPr>
        <w:t>” means the Person named as “Weatherford Bermuda” in the first paragraph of this Indenture until a successor Person shall have become such pursuant to the applicable provisions of this Indenture, and thereafter “Weatherford Bermuda” shall mean such successor Person.</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Weatherford Delaware</w:t>
      </w:r>
      <w:r>
        <w:rPr>
          <w:rFonts w:ascii="Times New Roman" w:cs="Times New Roman" w:eastAsia="Times New Roman" w:hAnsi="Times New Roman"/>
          <w:sz w:val="22"/>
          <w:szCs w:val="22"/>
          <w:color w:val="auto"/>
        </w:rPr>
        <w:t>” means the Person named as “Weatherford Delaware” in the first paragraph of this Indenture until a successor Person shall have become such pursuant to the applicable provisions of this Indenture, and thereafter “Weatherford Delaware” shall mean such successor Person.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Weatherford Parent</w:t>
      </w:r>
      <w:r>
        <w:rPr>
          <w:rFonts w:ascii="Times New Roman" w:cs="Times New Roman" w:eastAsia="Times New Roman" w:hAnsi="Times New Roman"/>
          <w:sz w:val="22"/>
          <w:szCs w:val="22"/>
          <w:color w:val="auto"/>
        </w:rPr>
        <w:t>” means Weatherford International plc until a successor Person shall have become such pursuant to the applicable provisions of this Indenture, and thereafter “Weatherford Parent” shall mean such successor Person.</w:t>
      </w:r>
    </w:p>
    <w:p>
      <w:pPr>
        <w:spacing w:after="0" w:line="11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102.</w:t>
      </w:r>
      <w:r>
        <w:rPr>
          <w:sz w:val="20"/>
          <w:szCs w:val="20"/>
          <w:color w:val="auto"/>
        </w:rPr>
        <w:tab/>
      </w:r>
      <w:r>
        <w:rPr>
          <w:rFonts w:ascii="Times New Roman" w:cs="Times New Roman" w:eastAsia="Times New Roman" w:hAnsi="Times New Roman"/>
          <w:sz w:val="21"/>
          <w:szCs w:val="21"/>
          <w:u w:val="single" w:color="auto"/>
          <w:color w:val="auto"/>
        </w:rPr>
        <w:t>Compliance Certificates and Opinions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Upon any application or request by the Issuer or any Guarantor to the Trustee for any series of Securities to take any action under any provision of this Indenture, the Issuer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57" w:lineRule="auto"/>
        <w:rPr>
          <w:sz w:val="20"/>
          <w:szCs w:val="20"/>
          <w:color w:val="auto"/>
        </w:rPr>
      </w:pPr>
      <w:r>
        <w:rPr>
          <w:rFonts w:ascii="Times New Roman" w:cs="Times New Roman" w:eastAsia="Times New Roman" w:hAnsi="Times New Roman"/>
          <w:sz w:val="22"/>
          <w:szCs w:val="22"/>
          <w:color w:val="auto"/>
        </w:rPr>
        <w:t>Guarantor, as the case may be, shall furnish to such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Every certificate or opinion with respect to compliance with a condition or covenant provided for in this Indenture shall include:</w:t>
      </w:r>
    </w:p>
    <w:p>
      <w:pPr>
        <w:spacing w:after="0" w:line="131" w:lineRule="exact"/>
        <w:rPr>
          <w:sz w:val="20"/>
          <w:szCs w:val="20"/>
          <w:color w:val="auto"/>
        </w:rPr>
      </w:pPr>
    </w:p>
    <w:p>
      <w:pPr>
        <w:ind w:left="660" w:firstLine="644"/>
        <w:spacing w:after="0" w:line="236" w:lineRule="auto"/>
        <w:tabs>
          <w:tab w:leader="none" w:pos="1951"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that each individual signing such certificate or opinion has read such covenant or condition and the definitions herein relating thereto;</w:t>
      </w:r>
    </w:p>
    <w:p>
      <w:pPr>
        <w:spacing w:after="0" w:line="150"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in such certificate or opinion are based;</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as to whether, in the opinion of each such individual, such condition or covenant has been complied with.</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103.</w:t>
      </w:r>
      <w:r>
        <w:rPr>
          <w:sz w:val="20"/>
          <w:szCs w:val="20"/>
          <w:color w:val="auto"/>
        </w:rPr>
        <w:tab/>
      </w:r>
      <w:r>
        <w:rPr>
          <w:rFonts w:ascii="Times New Roman" w:cs="Times New Roman" w:eastAsia="Times New Roman" w:hAnsi="Times New Roman"/>
          <w:sz w:val="21"/>
          <w:szCs w:val="21"/>
          <w:u w:val="single" w:color="auto"/>
          <w:color w:val="auto"/>
        </w:rPr>
        <w:t>Form of Documents Delivered to Trustee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any case where several matters are required to be certified by, or covered by an opinion of, any specified person, it is not necessary that all such matters be certified by, or covered by the opinion of, only one such person, or that they may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certificate or opinion of an officer of an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such Issuer or such Guarantor, as the case may be, stating that the information with respect to such factual matters is in the possession of such Issuer or such Guarantor, as the case may be, unless such counsel knows, or in the exercise of reasonable care should know, that the certificate or opinion or representations with respect to such matters are erroneous.</w:t>
      </w:r>
    </w:p>
    <w:p>
      <w:pPr>
        <w:spacing w:after="0" w:line="182"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Where any person is required to make, give or execute two or more applications, requests, consents, certificates, statements, opinions or other instructions under this Indenture, they may, but need not, be consolidated and form one instrument.</w:t>
      </w:r>
    </w:p>
    <w:p>
      <w:pPr>
        <w:spacing w:after="0" w:line="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104.</w:t>
      </w:r>
      <w:r>
        <w:rPr>
          <w:sz w:val="20"/>
          <w:szCs w:val="20"/>
          <w:color w:val="auto"/>
        </w:rPr>
        <w:tab/>
      </w:r>
      <w:r>
        <w:rPr>
          <w:rFonts w:ascii="Times New Roman" w:cs="Times New Roman" w:eastAsia="Times New Roman" w:hAnsi="Times New Roman"/>
          <w:sz w:val="21"/>
          <w:szCs w:val="21"/>
          <w:u w:val="single" w:color="auto"/>
          <w:color w:val="auto"/>
        </w:rPr>
        <w:t>Acts of Holders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74" w:name="page75"/>
    <w:bookmarkEnd w:id="74"/>
    <w:p>
      <w:pPr>
        <w:jc w:val="both"/>
        <w:ind w:firstLine="656"/>
        <w:spacing w:after="0" w:line="211" w:lineRule="auto"/>
        <w:tabs>
          <w:tab w:leader="none" w:pos="1293"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for the appropriate series of Securities and, where it is hereby expressly required, to the Issuer or the Guarantors. Such instrument or instruments (and the action embodied therein and evidenced thereby) are herein sometimes referred to as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of the Holders signing such instrument or instruments. Proof of execution of any such instrument or of a writing appointing any such agent shall be sufficient for any purpose of this Indenture and (subject to Section 601) conclusive in favor of such Trustee, the Guarantors and the Issuer, if made in the manner provided in this Section.</w:t>
      </w:r>
    </w:p>
    <w:p>
      <w:pPr>
        <w:spacing w:after="0" w:line="158" w:lineRule="exact"/>
        <w:rPr>
          <w:rFonts w:ascii="Times New Roman" w:cs="Times New Roman" w:eastAsia="Times New Roman" w:hAnsi="Times New Roman"/>
          <w:sz w:val="22"/>
          <w:szCs w:val="22"/>
          <w:color w:val="010000"/>
        </w:rPr>
      </w:pPr>
    </w:p>
    <w:p>
      <w:pPr>
        <w:jc w:val="both"/>
        <w:ind w:firstLine="656"/>
        <w:spacing w:after="0" w:line="213" w:lineRule="auto"/>
        <w:tabs>
          <w:tab w:leader="none" w:pos="1291"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for such Securities deems sufficient.</w:t>
      </w:r>
    </w:p>
    <w:p>
      <w:pPr>
        <w:spacing w:after="0" w:line="15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ownership of Securities shall be proved by the Security Register.</w:t>
      </w:r>
    </w:p>
    <w:p>
      <w:pPr>
        <w:spacing w:after="0" w:line="179"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1"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for such Securities, the Guarantors or the Issuer in reliance thereon, whether or not notation of such action is made upon such Security.</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105.</w:t>
      </w:r>
      <w:r>
        <w:rPr>
          <w:sz w:val="20"/>
          <w:szCs w:val="20"/>
          <w:color w:val="auto"/>
        </w:rPr>
        <w:tab/>
      </w:r>
      <w:r>
        <w:rPr>
          <w:rFonts w:ascii="Times New Roman" w:cs="Times New Roman" w:eastAsia="Times New Roman" w:hAnsi="Times New Roman"/>
          <w:sz w:val="21"/>
          <w:szCs w:val="21"/>
          <w:u w:val="single" w:color="auto"/>
          <w:color w:val="auto"/>
        </w:rPr>
        <w:t>Notices, Etc., to Trustee, Issuer and Guarantors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Any request, demand, authorization, direction, notice, consent, waiver or Act of Holders or other document provided or permitted by this Indenture to be provided in English and made upon, given or furnished to, or filed with:</w:t>
      </w:r>
    </w:p>
    <w:p>
      <w:pPr>
        <w:spacing w:after="0" w:line="131" w:lineRule="exact"/>
        <w:rPr>
          <w:sz w:val="20"/>
          <w:szCs w:val="20"/>
          <w:color w:val="auto"/>
        </w:rPr>
      </w:pPr>
    </w:p>
    <w:p>
      <w:pPr>
        <w:jc w:val="both"/>
        <w:ind w:left="660" w:right="20" w:firstLine="644"/>
        <w:spacing w:after="0" w:line="255" w:lineRule="auto"/>
        <w:tabs>
          <w:tab w:leader="none" w:pos="1951" w:val="left"/>
        </w:tabs>
        <w:numPr>
          <w:ilvl w:val="0"/>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Trustee for a series of Securities by any Holder or by the Issuer or a Guarantor shall be sufficient for every purpose hereunder if made, given, furnished or filed in writing to or with such Trustee at its Corporate Trust Office,</w:t>
      </w:r>
    </w:p>
    <w:p>
      <w:pPr>
        <w:spacing w:after="0" w:line="134" w:lineRule="exact"/>
        <w:rPr>
          <w:rFonts w:ascii="Times New Roman" w:cs="Times New Roman" w:eastAsia="Times New Roman" w:hAnsi="Times New Roman"/>
          <w:sz w:val="21"/>
          <w:szCs w:val="21"/>
          <w:color w:val="010000"/>
        </w:rPr>
      </w:pPr>
    </w:p>
    <w:p>
      <w:pPr>
        <w:jc w:val="both"/>
        <w:ind w:left="660" w:firstLine="644"/>
        <w:spacing w:after="0" w:line="217" w:lineRule="auto"/>
        <w:tabs>
          <w:tab w:leader="none" w:pos="1951"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by such Trustee, or by any Holder shall be sufficient for every purpose hereunder (unless otherwise herein expressly provided) if in writing (including telecopy) and sent by registered or certified mail or overnight courier, prepaid, to the Issuer addressed to it c/o Weatherford International plc, at 2000 St. James Place, Houston, Texas 77056, Attention: Corporate Secretary, or at any other address previously furnished in writing to such Trustee by the Issuer, or</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Guarantor by such Trustee, or by any Holder shall be sufficient for every purpose hereunder (unless otherwise herein expressly provided) if in writing (including telecopy) and sent by registered or certified mail or overnight courier, prepaid, to such Guarantor addressed to it c/o Weatherford International plc, at 2000 St. James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75" w:name="page76"/>
    <w:bookmarkEnd w:id="75"/>
    <w:p>
      <w:pPr>
        <w:ind w:left="660"/>
        <w:spacing w:after="0" w:line="236" w:lineRule="auto"/>
        <w:rPr>
          <w:sz w:val="20"/>
          <w:szCs w:val="20"/>
          <w:color w:val="auto"/>
        </w:rPr>
      </w:pPr>
      <w:r>
        <w:rPr>
          <w:rFonts w:ascii="Times New Roman" w:cs="Times New Roman" w:eastAsia="Times New Roman" w:hAnsi="Times New Roman"/>
          <w:sz w:val="22"/>
          <w:szCs w:val="22"/>
          <w:color w:val="auto"/>
        </w:rPr>
        <w:t>Houston, Texas 77056, Attention: Corporate Secretary, or at any other address previously furnished in writing to such Trustee by the Guarantors.</w:t>
      </w:r>
    </w:p>
    <w:p>
      <w:pPr>
        <w:spacing w:after="0" w:line="177" w:lineRule="exact"/>
        <w:rPr>
          <w:sz w:val="20"/>
          <w:szCs w:val="20"/>
          <w:color w:val="auto"/>
        </w:rPr>
      </w:pPr>
    </w:p>
    <w:p>
      <w:pPr>
        <w:jc w:val="both"/>
        <w:ind w:firstLine="259"/>
        <w:spacing w:after="0" w:line="247" w:lineRule="auto"/>
        <w:rPr>
          <w:sz w:val="20"/>
          <w:szCs w:val="20"/>
          <w:color w:val="auto"/>
        </w:rPr>
      </w:pPr>
      <w:r>
        <w:rPr>
          <w:rFonts w:ascii="Times New Roman" w:cs="Times New Roman" w:eastAsia="Times New Roman" w:hAnsi="Times New Roman"/>
          <w:sz w:val="22"/>
          <w:szCs w:val="22"/>
          <w:color w:val="auto"/>
        </w:rPr>
        <w:t xml:space="preserve">The Trustee agrees to accept and act upon instructions or directions pursuant to this Indenture sent by unsecured e-mail, pdf, facsimile transmission or other similar unsecured electronic methods,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Issuer or Guarantors elect to give the Trustee e-mail or facsimile instructions (or instructions by a similar electronic method), the Trustee’s understanding of such instructions shall be deemed controlling. The Trustee shall not be liable for any losses, costs or expenses arising directly or indirectly from the Trustee’s taking or refraining from taking action in reliance upon and compliance with such instructions, notwithstanding that such instructions (i) may not be an authorized or authentic communication of the Issuer or Guarantor or in the form the Issuer or a Guarantor sent or intended to send (whether due to fraud, distortion or otherwise) or (ii) conflict or are inconsistent with a subsequent written instruction to the Trustee, it being understood that, in each case, the Trustee may conclusively presume that any such instructions that purports to have been sent by an designated person of the Issuer or any Guarantor has been sent by such designated person. The Issuer and the Guarantors agree to assume all risks arising out of the use of such electronic methods to submit instructions and directions to the Trustee, including without limitation the risk of the Trustee acting on unauthorized instructions, and the risk or interception and misuse by third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Trustee shall not be relieved from liability for its own negligent action, its own negligent failure to act, or its own willful misconduct.</w:t>
      </w:r>
    </w:p>
    <w:p>
      <w:pPr>
        <w:spacing w:after="0" w:line="19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106.</w:t>
      </w:r>
      <w:r>
        <w:rPr>
          <w:sz w:val="20"/>
          <w:szCs w:val="20"/>
          <w:color w:val="auto"/>
        </w:rPr>
        <w:tab/>
      </w:r>
      <w:r>
        <w:rPr>
          <w:rFonts w:ascii="Times New Roman" w:cs="Times New Roman" w:eastAsia="Times New Roman" w:hAnsi="Times New Roman"/>
          <w:sz w:val="21"/>
          <w:szCs w:val="21"/>
          <w:u w:val="single" w:color="auto"/>
          <w:color w:val="auto"/>
        </w:rPr>
        <w:t>Notice to Holders; Waiver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Where this Indenture provides for notice to Holders of any event, such notice shall be sufficiently given (unless otherwise herein expressly provided) if in writing and delivered electronically or mailed, first-class postage prepaid, to each Holder affected by such event, at his or her address as it appears in the Security Register or otherwise in accordance with the procedures of the U.S. Depositary, not later than the latest date, and not earlier than the earliest date, prescribed for the giving of such notice. In any case where notice to Holders is delivered or mailed, neither the failure to deliver or mail such notice, nor any defect in any notice so delivered or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 of notice by Holders shall be filed with the Trustee for such Securities, but such filing shall not be a condition precedent to the validity of any action taken in reliance upon such waiver.</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case by reason of the suspension of regular mail service or by reason of any other cause it shall be impracticable to give such notice by mail, then such notification shall constitute a sufficient notification for every purpose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76" w:name="page77"/>
    <w:bookmarkEnd w:id="76"/>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107.</w:t>
      </w:r>
      <w:r>
        <w:rPr>
          <w:sz w:val="20"/>
          <w:szCs w:val="20"/>
          <w:color w:val="auto"/>
        </w:rPr>
        <w:tab/>
      </w:r>
      <w:r>
        <w:rPr>
          <w:rFonts w:ascii="Times New Roman" w:cs="Times New Roman" w:eastAsia="Times New Roman" w:hAnsi="Times New Roman"/>
          <w:sz w:val="21"/>
          <w:szCs w:val="21"/>
          <w:u w:val="single" w:color="auto"/>
          <w:color w:val="auto"/>
        </w:rPr>
        <w:t>Conflict with Trust Indenture Act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any provision hereof limits, qualifies or conflicts with another provision hereof which is required to be included in this Indenture by any of the provisions of the Trust Indenture Act, such required provision shall control.</w:t>
      </w:r>
    </w:p>
    <w:p>
      <w:pPr>
        <w:spacing w:after="0" w:line="13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108.</w:t>
      </w:r>
      <w:r>
        <w:rPr>
          <w:sz w:val="20"/>
          <w:szCs w:val="20"/>
          <w:color w:val="auto"/>
        </w:rPr>
        <w:tab/>
      </w:r>
      <w:r>
        <w:rPr>
          <w:rFonts w:ascii="Times New Roman" w:cs="Times New Roman" w:eastAsia="Times New Roman" w:hAnsi="Times New Roman"/>
          <w:sz w:val="21"/>
          <w:szCs w:val="21"/>
          <w:u w:val="single" w:color="auto"/>
          <w:color w:val="auto"/>
        </w:rPr>
        <w:t>Effect of Headings and Table of Contents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Article and Section headings herein and the Table of Contents are for convenience only and shall not affect the construction hereof.</w:t>
      </w:r>
    </w:p>
    <w:p>
      <w:pPr>
        <w:spacing w:after="0" w:line="11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109.</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All covenants and agreements in this Indenture by the Issuer and the Guarantors, as the case may be, shall bind their respective successors and assigns, whether so expressed or not.</w:t>
      </w:r>
    </w:p>
    <w:p>
      <w:pPr>
        <w:spacing w:after="0" w:line="13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110.</w:t>
      </w:r>
      <w:r>
        <w:rPr>
          <w:sz w:val="20"/>
          <w:szCs w:val="20"/>
          <w:color w:val="auto"/>
        </w:rPr>
        <w:tab/>
      </w:r>
      <w:r>
        <w:rPr>
          <w:rFonts w:ascii="Times New Roman" w:cs="Times New Roman" w:eastAsia="Times New Roman" w:hAnsi="Times New Roman"/>
          <w:sz w:val="21"/>
          <w:szCs w:val="21"/>
          <w:u w:val="single" w:color="auto"/>
          <w:color w:val="auto"/>
        </w:rPr>
        <w:t>Separability Clause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case any provision in this Indenture or in the Securities or the Guarantees shall be invalid, illegal or unenforceable, the validity, legality and enforceability of the remaining provisions shall not in any way be affected or impaired thereby.</w:t>
      </w:r>
    </w:p>
    <w:p>
      <w:pPr>
        <w:spacing w:after="0" w:line="14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111.</w:t>
      </w:r>
      <w:r>
        <w:rPr>
          <w:sz w:val="20"/>
          <w:szCs w:val="20"/>
          <w:color w:val="auto"/>
        </w:rPr>
        <w:tab/>
      </w:r>
      <w:r>
        <w:rPr>
          <w:rFonts w:ascii="Times New Roman" w:cs="Times New Roman" w:eastAsia="Times New Roman" w:hAnsi="Times New Roman"/>
          <w:sz w:val="21"/>
          <w:szCs w:val="21"/>
          <w:u w:val="single" w:color="auto"/>
          <w:color w:val="auto"/>
        </w:rPr>
        <w:t>Benefits of Indenture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Nothing in this Indenture or in the Securities or the Guarantees, express or implied, shall give to any person, other than the parties hereto and their successors hereunder and the Holders, any benefit or any legal or equitable right, remedy or claim under this Indenture.</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112.</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Jury Trial Waiver</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THIS INDENTURE, THE SECURITIES AND THE GUARANTEES SHALL BE GOVERNED BY AND CONSTRUED IN ACCORDANCE WITH THE LAWS OF THE STATE OF NEW YORK, WITHOUT REFERENCE TO THE CONFLICT OF LAWS PROVISIONS THEREOF.</w:t>
      </w:r>
    </w:p>
    <w:p>
      <w:pPr>
        <w:spacing w:after="0" w:line="18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To the fullest extent permitted by applicable law, each Issuer and Guarantor hereby irrevocably submit to the non-exclusive jurisdiction of any Federal or state court located in the Borough of Manhattan in New York, New York in any suit, action or proceeding based on or arising out of or relating to this Indenture and the Securities, and irrevocably agrees that all claims in respect of such suit or proceeding may be determined in any such court. Each Issuer and Guarantor irrevocably waive, to the fullest extent permitted by law, any objection which it may have to the laying of the venue of any such suit, action or proceeding brought in an inconvenient forum. Each Issuer and Guarantor agree that final judgment in any such suit, action or proceeding brought in such a court shall be conclusive and binding and may be enforced in the courts of Bermuda or Ireland (or any other courts of any other jurisdiction to which either of them is subject) by a suit upon such judgment, provided that service of process is effected upon the Issuer. Each Guarantor that is a domestic Guarantor hereby appoints Weatherford Delaware (the “</w:t>
      </w:r>
      <w:r>
        <w:rPr>
          <w:rFonts w:ascii="Times New Roman" w:cs="Times New Roman" w:eastAsia="Times New Roman" w:hAnsi="Times New Roman"/>
          <w:sz w:val="22"/>
          <w:szCs w:val="22"/>
          <w:u w:val="single" w:color="auto"/>
          <w:color w:val="auto"/>
        </w:rPr>
        <w:t>Domestic Process Agent</w:t>
      </w:r>
      <w:r>
        <w:rPr>
          <w:rFonts w:ascii="Times New Roman" w:cs="Times New Roman" w:eastAsia="Times New Roman" w:hAnsi="Times New Roman"/>
          <w:sz w:val="22"/>
          <w:szCs w:val="22"/>
          <w:color w:val="auto"/>
        </w:rPr>
        <w:t>”) as its agent for service of process for the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77" w:name="page78"/>
    <w:bookmarkEnd w:id="77"/>
    <w:p>
      <w:pPr>
        <w:jc w:val="both"/>
        <w:spacing w:after="0" w:line="247" w:lineRule="auto"/>
        <w:rPr>
          <w:sz w:val="20"/>
          <w:szCs w:val="20"/>
          <w:color w:val="auto"/>
        </w:rPr>
      </w:pPr>
      <w:r>
        <w:rPr>
          <w:rFonts w:ascii="Times New Roman" w:cs="Times New Roman" w:eastAsia="Times New Roman" w:hAnsi="Times New Roman"/>
          <w:sz w:val="22"/>
          <w:szCs w:val="22"/>
          <w:color w:val="auto"/>
        </w:rPr>
        <w:t>Section 112. The Issuer and each Guarantor that is not a domestic Guarantor has designated CT Corporation System, 28 Liberty Street, New York, New York 10005 (the “</w:t>
      </w:r>
      <w:r>
        <w:rPr>
          <w:rFonts w:ascii="Times New Roman" w:cs="Times New Roman" w:eastAsia="Times New Roman" w:hAnsi="Times New Roman"/>
          <w:sz w:val="22"/>
          <w:szCs w:val="22"/>
          <w:u w:val="single" w:color="auto"/>
          <w:color w:val="auto"/>
        </w:rPr>
        <w:t>Non-Domestic Process Agent</w:t>
      </w:r>
      <w:r>
        <w:rPr>
          <w:rFonts w:ascii="Times New Roman" w:cs="Times New Roman" w:eastAsia="Times New Roman" w:hAnsi="Times New Roman"/>
          <w:sz w:val="22"/>
          <w:szCs w:val="22"/>
          <w:color w:val="auto"/>
        </w:rPr>
        <w:t>” and, together with the Domestic Process Agent, the “</w:t>
      </w:r>
      <w:r>
        <w:rPr>
          <w:rFonts w:ascii="Times New Roman" w:cs="Times New Roman" w:eastAsia="Times New Roman" w:hAnsi="Times New Roman"/>
          <w:sz w:val="22"/>
          <w:szCs w:val="22"/>
          <w:u w:val="single" w:color="auto"/>
          <w:color w:val="auto"/>
        </w:rPr>
        <w:t>Process Agent</w:t>
      </w:r>
      <w:r>
        <w:rPr>
          <w:rFonts w:ascii="Times New Roman" w:cs="Times New Roman" w:eastAsia="Times New Roman" w:hAnsi="Times New Roman"/>
          <w:sz w:val="22"/>
          <w:szCs w:val="22"/>
          <w:color w:val="auto"/>
        </w:rPr>
        <w:t>”), as the designee, appointee and agent of such foreign Issuer or Guarantor to receive, for and on behalf of such Issuer or Guarantor, service of process in the State of New York, for the purposes of this Section 112. Each Issuer or Guarantor further agree that, unless otherwise required by law and to the extent permitted by applicable law, service of process upon the Process Agent and written notice of said service to the Issuer or a Guarantor, as the case may be, mailed by prepaid registered first class mail or delivered to the Process Agent at its principal office, shall be deemed in every respect effective service of process upon the Issuer or such Guarantor, as the case may be, in any such suit or proceeding. Each Guarantor that is a domestic Guarantor agrees to take any and all action, including the execution and filing of any and all such documents and instruments as may be necessary, to continue the designation and appointment of the Domestic Process Agent in full force and effect for so long as such Guarantor has any outstanding obligations under the Indenture. The Issuer and each Guarantor that is not a domestic Guarantor agrees that it will at all times continually maintain an agent to receive service of process in New York or Delaware on its behalf and on behalf of its property with respect to this Indenture and the Securities to which it is a party, and if, for any reason, the Non-Domestic Process Agent named above or its successor shall no longer serve as agent of the Issuer or such Guarantor (as the case may be) to receive service of process in New York or Delaware, the Issuer or such Guarantor (as the case may be) shall promptly (but in any event within five Business Days) appoint a successor deemed reputable by the Issuer or such Guarantor with an office in New York or Delaware and concurrently notify the Trustee in writing of such appointment (which successor shall thereupon be the Non-Domestic Process Agent hereunder).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the Indenture to the extent permitted by law.</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a Guarantor incorporated under the laws of the Netherlands is represented by an attorney-in-fact in connection with the signing and/or execution of this Indenture or any other agreement, deed or document referred to in or made pursuant to this Indenture, it is hereby expressly acknowledged and accepted by the other parties to this Indenture that the existence and extent of the attorney-in-fact’s authority and the effects of the attorney-in-fact’s exercise or purported exercise of his or her authority shall be governed by the laws of the Netherlands.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EACH OF THE ISSUER, GUARANTORS AND THE TRUSTEE HEREBY IRREVOCABLY WAIVES, TO THE FULLEST EXTENT PERMITTED BY APPLICABLE LAW, ANY AND ALL RIGHT TO TRIAL BY JURY IN ANY LEGAL PROCEEDING SOLELY AMONG SUCH PARTIES ARISING OUT OF OR RELATING TO THIS INDENTURE OR THE SECURITIES.</w:t>
      </w:r>
    </w:p>
    <w:p>
      <w:pPr>
        <w:spacing w:after="0" w:line="14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113.</w:t>
      </w:r>
      <w:r>
        <w:rPr>
          <w:sz w:val="20"/>
          <w:szCs w:val="20"/>
          <w:color w:val="auto"/>
        </w:rPr>
        <w:tab/>
      </w:r>
      <w:r>
        <w:rPr>
          <w:rFonts w:ascii="Times New Roman" w:cs="Times New Roman" w:eastAsia="Times New Roman" w:hAnsi="Times New Roman"/>
          <w:sz w:val="21"/>
          <w:szCs w:val="21"/>
          <w:u w:val="single" w:color="auto"/>
          <w:color w:val="auto"/>
        </w:rPr>
        <w:t>Legal Holidays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78" w:name="page79"/>
    <w:bookmarkEnd w:id="78"/>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 any case where any Interest Payment Date, Redemption Date or Stated Maturity of any Security shall not be a Business Day at any Place of Payment, then (notwithstanding any other provision of this Indenture or of the Securities or the Guarantees) payment of principal (and premium, if any) or interest, if any, need not be made at such Place of Payment on such date, but may be made on the next succeeding Business Day at such Place of Payment with the same force and effect as if made on the Interest Payment Date or Redemption Date, or at the Stated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interest shall accrue for the period from and after such Interest Payment Date, Redemption Date or Stated Maturity, as the case may be.</w:t>
      </w:r>
    </w:p>
    <w:p>
      <w:pPr>
        <w:spacing w:after="0" w:line="15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114.</w:t>
      </w:r>
      <w:r>
        <w:rPr>
          <w:sz w:val="20"/>
          <w:szCs w:val="20"/>
          <w:color w:val="auto"/>
        </w:rPr>
        <w:tab/>
      </w:r>
      <w:r>
        <w:rPr>
          <w:rFonts w:ascii="Times New Roman" w:cs="Times New Roman" w:eastAsia="Times New Roman" w:hAnsi="Times New Roman"/>
          <w:sz w:val="21"/>
          <w:szCs w:val="21"/>
          <w:u w:val="single" w:color="auto"/>
          <w:color w:val="auto"/>
        </w:rPr>
        <w:t>No Personal Liability of Directors, Officers, Employees and Shareholders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recourse for the payment of the principal of (and premium, if any, on) or interest, if any, on any Security or any Guarantee, or for any claim based thereon or otherwise in respect thereof, and no recourse under or upon any obligation, covenant or agreement of any Issuer, any Guarantor or any Trustee in this Indenture or in any supplemental indenture, or in any Security or in any Guarantee, or because of the creation of any indebtedness represented thereby, shall be had against any incorporator, shareholder, officer or director, as such, past, present or future, of any Issuer, any Guarantor or any Trustee or of any successor corporation, either directly or through any Issuer, any Guarantor or any Trustee or any successor corporation, whether by virtue of any constitution, statute or rule of law, or by the enforcement of any assessment or penalty or otherwise; it being expressly understood that all such liability is hereby waived and released as a condition of and as a consideration for, the execution of this Indenture and the issue of the Securities and any Guarantee.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115.</w:t>
      </w:r>
      <w:r>
        <w:rPr>
          <w:sz w:val="20"/>
          <w:szCs w:val="20"/>
          <w:color w:val="auto"/>
        </w:rPr>
        <w:tab/>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This Indenture, each Global Security, and any other instrument or agreement delivered to the Trustee in connection herewith and therewith,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w:t>
      </w:r>
      <w:r>
        <w:rPr>
          <w:rFonts w:ascii="Times New Roman" w:cs="Times New Roman" w:eastAsia="Times New Roman" w:hAnsi="Times New Roman"/>
          <w:sz w:val="21"/>
          <w:szCs w:val="21"/>
          <w:u w:val="single" w:color="auto"/>
          <w:color w:val="auto"/>
        </w:rPr>
        <w:t>Signature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spacing w:after="0" w:line="15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116.</w:t>
      </w:r>
      <w:r>
        <w:rPr>
          <w:sz w:val="20"/>
          <w:szCs w:val="20"/>
          <w:color w:val="auto"/>
        </w:rPr>
        <w:tab/>
      </w:r>
      <w:r>
        <w:rPr>
          <w:rFonts w:ascii="Times New Roman" w:cs="Times New Roman" w:eastAsia="Times New Roman" w:hAnsi="Times New Roman"/>
          <w:sz w:val="21"/>
          <w:szCs w:val="21"/>
          <w:u w:val="single" w:color="auto"/>
          <w:color w:val="auto"/>
        </w:rPr>
        <w:t>Currency Exchange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79" w:name="page80"/>
    <w:bookmarkEnd w:id="79"/>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in determining whether the Holders of the requisite principal amount of Securities have given any request, demand, authorization, direction, notice, consent or waiver hereunder, it becomes necessary to determine the principal amount of Securities of any series denominated in any coin or currency other than that of the United States of America, such principal amount shall be computed by converting such coin or currency into coin or currency of the United States of America based upon the rate of exchange in effect for such Securities in New York, New York at 10:00 A.M., New York City time, or as close to such time as is reasonably practicable, on the date of initial issuance of such series of Securities.</w:t>
      </w:r>
    </w:p>
    <w:p>
      <w:pPr>
        <w:spacing w:after="0" w:line="15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117.</w:t>
      </w:r>
      <w:r>
        <w:rPr>
          <w:sz w:val="20"/>
          <w:szCs w:val="20"/>
          <w:color w:val="auto"/>
        </w:rPr>
        <w:tab/>
      </w:r>
      <w:r>
        <w:rPr>
          <w:rFonts w:ascii="Times New Roman" w:cs="Times New Roman" w:eastAsia="Times New Roman" w:hAnsi="Times New Roman"/>
          <w:sz w:val="21"/>
          <w:szCs w:val="21"/>
          <w:u w:val="single" w:color="auto"/>
          <w:color w:val="auto"/>
        </w:rPr>
        <w:t>Payment in Required Currency; Judgment Currency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Each Issuer and Guarantors agree, to the fullest extent that it may effectively do so under applicable law, that (a) if for the purpose of obtaining judgment in any court it is necessary to convert the sum due in Dollars in respect of the principal of, or premium, if any, or interest on, the Notes (the “</w:t>
      </w:r>
      <w:r>
        <w:rPr>
          <w:rFonts w:ascii="Times New Roman" w:cs="Times New Roman" w:eastAsia="Times New Roman" w:hAnsi="Times New Roman"/>
          <w:sz w:val="22"/>
          <w:szCs w:val="22"/>
          <w:u w:val="single" w:color="auto"/>
          <w:color w:val="auto"/>
        </w:rPr>
        <w:t>Required Currency</w:t>
      </w:r>
      <w:r>
        <w:rPr>
          <w:rFonts w:ascii="Times New Roman" w:cs="Times New Roman" w:eastAsia="Times New Roman" w:hAnsi="Times New Roman"/>
          <w:sz w:val="22"/>
          <w:szCs w:val="22"/>
          <w:color w:val="auto"/>
        </w:rPr>
        <w:t>”) into another currency in which a judgment will be rendered (the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the rate of exchange used shall be the rate at which in accordance with normal banking procedures the Issuer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Issuer could purchase in New York, New York the Required Currency with the Judgment Currency on the Business Day next preceding the day on which final non-appealable judgment is entered and (b) its obligations under the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the Indenture.</w:t>
      </w:r>
    </w:p>
    <w:p>
      <w:pPr>
        <w:spacing w:after="0" w:line="16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118.</w:t>
      </w:r>
      <w:r>
        <w:rPr>
          <w:sz w:val="20"/>
          <w:szCs w:val="20"/>
          <w:color w:val="auto"/>
        </w:rPr>
        <w:tab/>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w:t>
      </w:r>
      <w:r>
        <w:rPr>
          <w:rFonts w:ascii="Times New Roman" w:cs="Times New Roman" w:eastAsia="Times New Roman" w:hAnsi="Times New Roman"/>
          <w:sz w:val="22"/>
          <w:szCs w:val="22"/>
          <w:u w:val="single" w:color="auto"/>
          <w:color w:val="auto"/>
        </w:rPr>
        <w:t>Applicable Banking Laws</w:t>
      </w:r>
      <w:r>
        <w:rPr>
          <w:rFonts w:ascii="Times New Roman" w:cs="Times New Roman" w:eastAsia="Times New Roman" w:hAnsi="Times New Roman"/>
          <w:sz w:val="22"/>
          <w:szCs w:val="22"/>
          <w:color w:val="auto"/>
        </w:rPr>
        <w:t>”), the Trustee is required to obtain, verify, record and update certain information relating to individuals and entities which maintain a business relationship or opens an account with the Trustee. Accordingly, each of the parties agrees to provide to the Trustee, upon its request from time to time, such identifying information and documentation as may be available for such parties in order to enable the Trustee to comply with Applicable Banking Laws.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119.</w:t>
      </w:r>
      <w:r>
        <w:rPr>
          <w:sz w:val="20"/>
          <w:szCs w:val="20"/>
          <w:color w:val="auto"/>
        </w:rPr>
        <w:tab/>
      </w:r>
      <w:r>
        <w:rPr>
          <w:rFonts w:ascii="Times New Roman" w:cs="Times New Roman" w:eastAsia="Times New Roman" w:hAnsi="Times New Roman"/>
          <w:sz w:val="21"/>
          <w:szCs w:val="21"/>
          <w:u w:val="single" w:color="auto"/>
          <w:color w:val="auto"/>
        </w:rPr>
        <w:t>Reduction in Capital</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80" w:name="page81"/>
    <w:bookmarkEnd w:id="8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Holder hereby consents to the Issuer or any Guarantor applying to a court of competent jurisdiction for an order sanctioning, approving, consenting to or confirming a reduction in any of its share capital accounts including, without limitation, by re-characterizing any sum standing to the credit of an undenominated capital account as a distributable reserve.</w:t>
      </w:r>
    </w:p>
    <w:p>
      <w:pPr>
        <w:spacing w:after="0" w:line="14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010000"/>
        </w:rPr>
        <w:t>Article 2</w:t>
      </w:r>
    </w:p>
    <w:p>
      <w:pPr>
        <w:jc w:val="center"/>
        <w:spacing w:after="0"/>
        <w:rPr>
          <w:sz w:val="20"/>
          <w:szCs w:val="20"/>
          <w:color w:val="auto"/>
        </w:rPr>
      </w:pPr>
      <w:r>
        <w:rPr>
          <w:rFonts w:ascii="Times New Roman" w:cs="Times New Roman" w:eastAsia="Times New Roman" w:hAnsi="Times New Roman"/>
          <w:sz w:val="22"/>
          <w:szCs w:val="22"/>
          <w:color w:val="auto"/>
        </w:rPr>
        <w:t>SECURITY FORMS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201.</w:t>
      </w:r>
      <w:r>
        <w:rPr>
          <w:sz w:val="20"/>
          <w:szCs w:val="20"/>
          <w:color w:val="auto"/>
        </w:rPr>
        <w:tab/>
      </w:r>
      <w:r>
        <w:rPr>
          <w:rFonts w:ascii="Times New Roman" w:cs="Times New Roman" w:eastAsia="Times New Roman" w:hAnsi="Times New Roman"/>
          <w:sz w:val="21"/>
          <w:szCs w:val="21"/>
          <w:u w:val="single" w:color="auto"/>
          <w:color w:val="auto"/>
        </w:rPr>
        <w:t>Forms Generally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Securities of each series shall be in substantially the form set forth in this Article Two, or in such other form as shall be established by or pursuant to a Board Resolution of the Issuer, including an Officer’s Certificate of the Issuer delivered pursuant to authority granted by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 executing such Securities, as evidenced by his or her execution of such Securities.</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certificate of authentication of the Trustee for any series of Securities shall be in substantially the form set forth in this Article Two.</w:t>
      </w:r>
    </w:p>
    <w:p>
      <w:pPr>
        <w:spacing w:after="0" w:line="15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The definitive Securities shall be printed, lithographed or engraved on steel engraved borders or may be produced in any other manner, all as determined by the officer executing such Securities, as evidenced by their execution of such Securities.</w:t>
      </w:r>
    </w:p>
    <w:p>
      <w:pPr>
        <w:spacing w:after="0" w:line="14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Each definitive Guarantee shall be printed, lithographed or engraved on steel engraved borders or may be produced in any other manner, all as determined by the officers executing such Guarantee, as evidenced by their execution of such Guarantee.</w:t>
      </w:r>
    </w:p>
    <w:p>
      <w:pPr>
        <w:spacing w:after="0" w:line="10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202.</w:t>
      </w:r>
      <w:r>
        <w:rPr>
          <w:sz w:val="20"/>
          <w:szCs w:val="20"/>
          <w:color w:val="auto"/>
        </w:rPr>
        <w:tab/>
      </w:r>
      <w:r>
        <w:rPr>
          <w:rFonts w:ascii="Times New Roman" w:cs="Times New Roman" w:eastAsia="Times New Roman" w:hAnsi="Times New Roman"/>
          <w:sz w:val="21"/>
          <w:szCs w:val="21"/>
          <w:u w:val="single" w:color="auto"/>
          <w:color w:val="auto"/>
        </w:rPr>
        <w:t>Form of Face of Security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[ISSUER]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the Security]</w:t>
      </w:r>
    </w:p>
    <w:p>
      <w:pPr>
        <w:sectPr>
          <w:pgSz w:w="11900" w:h="16838" w:orient="portrait"/>
          <w:cols w:equalWidth="0" w:num="1">
            <w:col w:w="11240"/>
          </w:cols>
          <w:pgMar w:left="320" w:top="1422" w:right="339" w:bottom="1440" w:gutter="0" w:footer="0" w:header="0"/>
        </w:sectPr>
      </w:pP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1"/>
          <w:szCs w:val="21"/>
          <w:color w:val="auto"/>
        </w:rPr>
        <w:t>CUSIP No. _____</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 _____</w:t>
      </w:r>
    </w:p>
    <w:p>
      <w:pPr>
        <w:spacing w:after="0" w:line="200" w:lineRule="exact"/>
        <w:rPr>
          <w:sz w:val="20"/>
          <w:szCs w:val="20"/>
          <w:color w:val="auto"/>
        </w:rPr>
      </w:pPr>
    </w:p>
    <w:p>
      <w:pPr>
        <w:sectPr>
          <w:pgSz w:w="11900" w:h="16838" w:orient="portrait"/>
          <w:cols w:equalWidth="0" w:num="2">
            <w:col w:w="8880" w:space="720"/>
            <w:col w:w="1640"/>
          </w:cols>
          <w:pgMar w:left="320" w:top="1422" w:right="339" w:bottom="1440" w:gutter="0" w:footer="0" w:header="0"/>
          <w:type w:val="continuous"/>
        </w:sectPr>
      </w:pPr>
    </w:p>
    <w:p>
      <w:pPr>
        <w:spacing w:after="0" w:line="16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21"/>
          <w:szCs w:val="21"/>
          <w:color w:val="auto"/>
        </w:rPr>
        <w:t>[ISSUER], a company duly organized and existing under the laws of [COUNTRY] (herein called the “Issuer”, which term includes any successor company under the Indenture hereinafter referred to), for value received, hereby promises to pay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 or registered assigns, the principal sum of _______________ Dollars on _______________ [If the Security 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bear interest prior to Maturity, insert — , and to pay interest thereon from _______________ __, ___________ (the “Original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 Date”),] or from the most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Interest Payment Date to which interest has been paid or duly provided for, [semiannually on _______________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 [quarterly on _______________, _______________, _______________ and _______________] in each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 commencing _______________ __, ____, at [If the Security is to bear interest at a fixed rate insert-the rate per annum</w:t>
      </w:r>
    </w:p>
    <w:p>
      <w:pPr>
        <w:spacing w:after="0" w:line="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provided in the title hereof] [If the Security is to bear interest at a floating rate, insert— [a rate of [insert Floating Rate] per annum], until the principal hereof is paid or made available for payment. [If applicable insert — , and, subject to the terms of the Indenture, at [the rate per annum provided in the title hereof] [such rate] on any overdue principal and premium and (to the extent that the payment of such interest shall be legally enforceable) on any overdue installment of interest].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[__________ or __________] [__________,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 __________ or __________] (whether or not a Business Day), as the case may be, next preceding such Interest</w:t>
      </w:r>
    </w:p>
    <w:p>
      <w:pPr>
        <w:spacing w:after="0" w:line="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the Security is to bear interest at a fixed rate prior to Maturity, insert — Interest shall be computed on the basis of a year of twelve 30-day months.] [If the Security is to bear interest at a floating rate prior to Maturity, insert — Interest shall be computed on the basis of the actual number of days in the relevant interest period and a 360-day year.]</w:t>
      </w:r>
    </w:p>
    <w:p>
      <w:pPr>
        <w:spacing w:after="0" w:line="1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[If the Security is to bear interest at a floating rate prior to Maturity, insert — The [insert Floating Rate] will be reset [insert period time as set forth in a Board Resolution of the Issuer] on each Interest Payment Date (each an “Interest Reset Date”), beginning on __________ __, ____. The interest rate for the period from and including the Original Issue Date to and excluding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Interest Payment Date shall be _____ per annum (the “Initial Interest Rate”). The __________ Business Day preceding</w:t>
      </w:r>
    </w:p>
    <w:p>
      <w:pPr>
        <w:spacing w:after="0" w:line="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 Interest Reset Date will be the “Interest Determination Date” for that Interest Reset Date. The interest rate in effect on each day that is not an Interest Reset Date will be the interest rate determined as of the Interest Determination Date pertaining to the immediately preceding Interest Reset Date or the Initial Interest Rate, as the case may be. The interest rate in effect on any day that is an Interest Reset Date will be the interest rate determined as of the Interest Determination Date pertaining to that Interest Reset Date.</w:t>
      </w:r>
    </w:p>
    <w:p>
      <w:pPr>
        <w:spacing w:after="0" w:line="20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shall act as calculation agent (together with its successors in that capacity, the “</w:t>
      </w:r>
      <w:r>
        <w:rPr>
          <w:rFonts w:ascii="Times New Roman" w:cs="Times New Roman" w:eastAsia="Times New Roman" w:hAnsi="Times New Roman"/>
          <w:sz w:val="22"/>
          <w:szCs w:val="22"/>
          <w:u w:val="single" w:color="auto"/>
          <w:color w:val="auto"/>
        </w:rPr>
        <w:t>Calculation Agent</w:t>
      </w:r>
      <w:r>
        <w:rPr>
          <w:rFonts w:ascii="Times New Roman" w:cs="Times New Roman" w:eastAsia="Times New Roman" w:hAnsi="Times New Roman"/>
          <w:sz w:val="22"/>
          <w:szCs w:val="22"/>
          <w:color w:val="auto"/>
        </w:rPr>
        <w:t>”) in connection with the Securities. The Calculation Agent shall serve as the calculation agent hereunder unless and until a successor calculation agent is appointed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82" w:name="page83"/>
    <w:bookmarkEnd w:id="8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Issuer. The following definitions shall be used by the Calculation Agent in its determination of the interest rate: [insert definitions for floating rate determination].]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of this Security shall bear interest at the rate of [yield to maturity]%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[yield to maturity]%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Payment of the principal of (and premium, if any, on) and interest, if any, on this Security will be made at the office or agency of the Issuer maintained for that purpose in [the Borough of Manhattan, The City of New York], in [coin or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the option of the Issuer payment of interest may be made by check mailed to the address of or funds transferred to the person entitled thereto as such address shall appear in the Security Register.</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SECURITY SET FORTH ON THE REVERSE HEREOF, WHICH FURTHER PROVISIONS SHALL FOR ALL PURPOSES HAVE THE SAME EFFECT AS IF SET FORTH AT THIS PLACE.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the Trustee referred to on the reverse hereof by manual or electronic signature, this Security shall not be entitled to any benefit under the Indenture or be valid or obligatory for any purpose.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Issuer has caused this instrument to be duly executed and delivered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[ISSUER]</w:t>
      </w:r>
    </w:p>
    <w:p>
      <w:pPr>
        <w:spacing w:after="0" w:line="3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-160020</wp:posOffset>
            </wp:positionV>
            <wp:extent cx="2588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Title:</w:t>
      </w:r>
    </w:p>
    <w:p>
      <w:pPr>
        <w:spacing w:after="0" w:line="3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-160020</wp:posOffset>
            </wp:positionV>
            <wp:extent cx="2588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83" w:name="page84"/>
    <w:bookmarkEnd w:id="83"/>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Title:]</w:t>
      </w:r>
    </w:p>
    <w:p>
      <w:pPr>
        <w:spacing w:after="0" w:line="3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203.</w:t>
      </w:r>
      <w:r>
        <w:rPr>
          <w:sz w:val="20"/>
          <w:szCs w:val="20"/>
          <w:color w:val="auto"/>
        </w:rPr>
        <w:tab/>
      </w:r>
      <w:r>
        <w:rPr>
          <w:rFonts w:ascii="Times New Roman" w:cs="Times New Roman" w:eastAsia="Times New Roman" w:hAnsi="Times New Roman"/>
          <w:sz w:val="21"/>
          <w:szCs w:val="21"/>
          <w:u w:val="single" w:color="auto"/>
          <w:color w:val="auto"/>
        </w:rPr>
        <w:t>Form of Reverse of Security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[ISSUER]</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the Security]</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Security is one of a duly authorized issue of securities of the Issuer (herein called the “Securities”), issued and to be issued in one or more series under an Indenture, dated as of __________ (herein called the “Indenture”), among the Issuer,</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[GUARANTORS] (herein called the “Guarantors”, which term includes any successor guarantor under the Indenture) and Deutsche Bank Trust Company Americas,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Issuer, the Guarantors, the Trustee and the Holders of the Securities and of the terms upon which the Securities are, and are to be, authenticated and delivered. This Security is one of the series designated on the face hereof, [initially] limited in aggregate principal amount to __________.</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[If applicable, insert – The Securities of this series are subject to redemption upon not less than 10 or more than 60 days’ notice by mail to the Holders of such Securities at their addresses in the Security Register for such series, [if applicable, insert –</w:t>
      </w:r>
    </w:p>
    <w:p>
      <w:pPr>
        <w:spacing w:after="0" w:line="2" w:lineRule="exact"/>
        <w:rPr>
          <w:sz w:val="20"/>
          <w:szCs w:val="20"/>
          <w:color w:val="auto"/>
        </w:rPr>
      </w:pPr>
    </w:p>
    <w:p>
      <w:pPr>
        <w:jc w:val="both"/>
        <w:ind w:firstLine="8"/>
        <w:spacing w:after="0" w:line="245" w:lineRule="auto"/>
        <w:tabs>
          <w:tab w:leader="none" w:pos="31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__________ in any year commencing with the year ____ and ending with the year ____ through operation of the sinking fund for this series at a Redemption Price equal to 100% of the principal amount, and (2)] at any time [on or after __________, 20__], as a whole or in part, at the election of the Issuer, at the following Redemption Prices (expressed as percentages of the principal amount):</w:t>
      </w:r>
    </w:p>
    <w:p>
      <w:pPr>
        <w:spacing w:after="0" w:line="199" w:lineRule="exact"/>
        <w:rPr>
          <w:sz w:val="20"/>
          <w:szCs w:val="20"/>
          <w:color w:val="auto"/>
        </w:rPr>
      </w:pPr>
    </w:p>
    <w:p>
      <w:pPr>
        <w:ind w:left="660"/>
        <w:spacing w:after="0"/>
        <w:tabs>
          <w:tab w:leader="none" w:pos="960" w:val="left"/>
          <w:tab w:leader="none" w:pos="1960" w:val="left"/>
          <w:tab w:leader="none" w:pos="2420" w:val="left"/>
          <w:tab w:leader="none" w:pos="2760" w:val="left"/>
          <w:tab w:leader="none" w:pos="3500" w:val="left"/>
          <w:tab w:leader="none" w:pos="4800" w:val="left"/>
          <w:tab w:leader="none" w:pos="5580" w:val="left"/>
          <w:tab w:leader="none" w:pos="6060" w:val="left"/>
          <w:tab w:leader="none" w:pos="6360" w:val="left"/>
          <w:tab w:leader="none" w:pos="7440" w:val="left"/>
          <w:tab w:leader="none" w:pos="8180" w:val="left"/>
          <w:tab w:leader="none" w:pos="8620" w:val="left"/>
          <w:tab w:leader="none" w:pos="9620" w:val="left"/>
          <w:tab w:leader="none" w:pos="10340" w:val="left"/>
        </w:tabs>
        <w:rPr>
          <w:sz w:val="20"/>
          <w:szCs w:val="20"/>
          <w:color w:val="auto"/>
        </w:rPr>
      </w:pPr>
      <w:r>
        <w:rPr>
          <w:rFonts w:ascii="Times New Roman" w:cs="Times New Roman" w:eastAsia="Times New Roman" w:hAnsi="Times New Roman"/>
          <w:sz w:val="22"/>
          <w:szCs w:val="22"/>
          <w:color w:val="auto"/>
        </w:rPr>
        <w:t>If</w:t>
        <w:tab/>
        <w:t>redeemed</w:t>
        <w:tab/>
        <w:t>[on</w:t>
        <w:tab/>
        <w:t>or</w:t>
        <w:tab/>
        <w:t>before</w:t>
        <w:tab/>
        <w:t>__________,</w:t>
        <w:tab/>
        <w:t>____%</w:t>
        <w:tab/>
        <w:t>and</w:t>
        <w:tab/>
        <w:t>if</w:t>
        <w:tab/>
        <w:t>redeemed]</w:t>
        <w:tab/>
        <w:t>during</w:t>
        <w:tab/>
        <w:t>the</w:t>
        <w:tab/>
        <w:t>12-month</w:t>
        <w:tab/>
        <w:t>period</w:t>
      </w:r>
      <w:r>
        <w:rPr>
          <w:sz w:val="20"/>
          <w:szCs w:val="20"/>
          <w:color w:val="auto"/>
        </w:rPr>
        <w:tab/>
      </w:r>
      <w:r>
        <w:rPr>
          <w:rFonts w:ascii="Times New Roman" w:cs="Times New Roman" w:eastAsia="Times New Roman" w:hAnsi="Times New Roman"/>
          <w:sz w:val="21"/>
          <w:szCs w:val="21"/>
          <w:color w:val="auto"/>
        </w:rPr>
        <w:t>beginning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240"/>
          </w:cols>
          <w:pgMar w:left="320" w:top="1440" w:right="339" w:bottom="1440" w:gutter="0" w:footer="0" w:header="0"/>
        </w:sectPr>
      </w:pP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b w:val="1"/>
          <w:bCs w:val="1"/>
          <w:color w:val="auto"/>
        </w:rPr>
        <w:t>Year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1"/>
          <w:szCs w:val="21"/>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29210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color w:val="auto"/>
        </w:rPr>
        <w:t>Year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Redemption Price</w:t>
      </w:r>
    </w:p>
    <w:p>
      <w:pPr>
        <w:spacing w:after="0" w:line="200" w:lineRule="exact"/>
        <w:rPr>
          <w:sz w:val="20"/>
          <w:szCs w:val="20"/>
          <w:color w:val="auto"/>
        </w:rPr>
      </w:pPr>
    </w:p>
    <w:p>
      <w:pPr>
        <w:sectPr>
          <w:pgSz w:w="11900" w:h="16838" w:orient="portrait"/>
          <w:cols w:equalWidth="0" w:num="4">
            <w:col w:w="2500" w:space="720"/>
            <w:col w:w="2700" w:space="720"/>
            <w:col w:w="1460" w:space="720"/>
            <w:col w:w="2420"/>
          </w:cols>
          <w:pgMar w:left="320" w:top="1440" w:right="3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thereafter at a Redemption Price equal to ____% of the principal amount, together in the case of any such redemption [if</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applicable, insert – (whether through operation of the sinking fund or otherwise)] with accrued and unpaid interest to, but excluding,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applicable, insert – The Securities of this series are subject to redemption upon not less than 10 or more than 60 days’ notice by mail to the Holders of such Securities at their addresses in the Security Register for such series, (1) on __________ in any year commencing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with the year ____ and ending with the year through operation of the sinking fund for this series at the Redemption Prices for</w:t>
      </w:r>
    </w:p>
    <w:p>
      <w:pPr>
        <w:spacing w:after="0" w:line="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redemption through operation of the sinking fund (expressed as percentages of the principal amount) set forth in the table below, and (2) at any time [on or after __________], as a whole or in part, at the election of the Issuer, at the Redemption Prices for</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redemption otherwise than through operation of the sinking fund (expressed as percentages of the principal amount)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6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If redeemed during the 12-month period beginning ___________________:</w:t>
            </w:r>
          </w:p>
        </w:tc>
        <w:tc>
          <w:tcPr>
            <w:tcW w:w="3640" w:type="dxa"/>
            <w:vAlign w:val="bottom"/>
          </w:tcPr>
          <w:p>
            <w:pPr>
              <w:spacing w:after="0"/>
              <w:rPr>
                <w:sz w:val="24"/>
                <w:szCs w:val="24"/>
                <w:color w:val="auto"/>
              </w:rPr>
            </w:pPr>
          </w:p>
        </w:tc>
      </w:tr>
      <w:tr>
        <w:trPr>
          <w:trHeight w:val="497"/>
        </w:trPr>
        <w:tc>
          <w:tcPr>
            <w:tcW w:w="2900" w:type="dxa"/>
            <w:vAlign w:val="bottom"/>
          </w:tcPr>
          <w:p>
            <w:pPr>
              <w:spacing w:after="0"/>
              <w:rPr>
                <w:sz w:val="24"/>
                <w:szCs w:val="24"/>
                <w:color w:val="auto"/>
              </w:rPr>
            </w:pPr>
          </w:p>
        </w:tc>
        <w:tc>
          <w:tcPr>
            <w:tcW w:w="4700" w:type="dxa"/>
            <w:vAlign w:val="bottom"/>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8"/>
              </w:rPr>
              <w:t>Redemption Price</w:t>
            </w:r>
          </w:p>
        </w:tc>
        <w:tc>
          <w:tcPr>
            <w:tcW w:w="36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Redemption Price For</w:t>
            </w:r>
          </w:p>
        </w:tc>
      </w:tr>
      <w:tr>
        <w:trPr>
          <w:trHeight w:val="270"/>
        </w:trPr>
        <w:tc>
          <w:tcPr>
            <w:tcW w:w="2900" w:type="dxa"/>
            <w:vAlign w:val="bottom"/>
          </w:tcPr>
          <w:p>
            <w:pPr>
              <w:spacing w:after="0"/>
              <w:rPr>
                <w:sz w:val="23"/>
                <w:szCs w:val="23"/>
                <w:color w:val="auto"/>
              </w:rPr>
            </w:pPr>
          </w:p>
        </w:tc>
        <w:tc>
          <w:tcPr>
            <w:tcW w:w="4700" w:type="dxa"/>
            <w:vAlign w:val="bottom"/>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6"/>
              </w:rPr>
              <w:t>For Redemption</w:t>
            </w:r>
          </w:p>
        </w:tc>
        <w:tc>
          <w:tcPr>
            <w:tcW w:w="36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Redemption Otherwise Than</w:t>
            </w:r>
          </w:p>
        </w:tc>
      </w:tr>
      <w:tr>
        <w:trPr>
          <w:trHeight w:val="256"/>
        </w:trPr>
        <w:tc>
          <w:tcPr>
            <w:tcW w:w="2900" w:type="dxa"/>
            <w:vAlign w:val="bottom"/>
          </w:tcPr>
          <w:p>
            <w:pPr>
              <w:spacing w:after="0"/>
              <w:rPr>
                <w:sz w:val="22"/>
                <w:szCs w:val="22"/>
                <w:color w:val="auto"/>
              </w:rPr>
            </w:pPr>
          </w:p>
        </w:tc>
        <w:tc>
          <w:tcPr>
            <w:tcW w:w="4700" w:type="dxa"/>
            <w:vAlign w:val="bottom"/>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Through Operation of the Sinking</w:t>
            </w:r>
          </w:p>
        </w:tc>
        <w:tc>
          <w:tcPr>
            <w:tcW w:w="36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Through Operation</w:t>
            </w:r>
          </w:p>
        </w:tc>
      </w:tr>
      <w:tr>
        <w:trPr>
          <w:trHeight w:val="301"/>
        </w:trPr>
        <w:tc>
          <w:tcPr>
            <w:tcW w:w="29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22"/>
                <w:szCs w:val="22"/>
                <w:b w:val="1"/>
                <w:bCs w:val="1"/>
                <w:color w:val="auto"/>
              </w:rPr>
              <w:t>Year</w:t>
            </w:r>
          </w:p>
        </w:tc>
        <w:tc>
          <w:tcPr>
            <w:tcW w:w="470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9"/>
              </w:rPr>
              <w:t>Fund</w:t>
            </w:r>
          </w:p>
        </w:tc>
        <w:tc>
          <w:tcPr>
            <w:tcW w:w="36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of the Sinking Fund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thereafter at a Redemption Price equal to _____% of the principal amount, together in the case of any such redemption</w:t>
      </w:r>
    </w:p>
    <w:p>
      <w:pPr>
        <w:spacing w:after="0" w:line="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(whether through operation of the sinking fund or otherwise) with accrued and unpaid interest to, but excluding,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applicable, insert – Prior to     (     month[s] prior to their maturity date) (the “Par Call Date”), the Issuer may redeem the Securities at its option, in whole or in part, at any time and from time to time, at a Redemption Price (expressed as a percentage of principal amount and rounded to three decimal places) equal to the greater of:</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  the (a)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basis points less (b) interest accrued to the Redemption Date, and</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        % of the principal amount of the Securities to be redeemed, plus, in either case, accrued and unpaid interest thereon to, but excluding, the Redemption Date.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On or after the Par Call Date, the Issuer may redeem the Securities, in whole or in part, at any time and from time to time, at a Redemption Price equal to       % of the principal amount of the Securities being redeemed plus accrued and unpaid interest thereon to, but excluding, the Redemption Date.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the Issuer defaults in payment of the Redemption Price, interest shall cease to accrue on the Securities or portions of the Securities called for redemption on and after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85" w:name="page86"/>
    <w:bookmarkEnd w:id="85"/>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Issuer in accordance with the following two paragraphs.</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or any successor designation or publication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86" w:name="page87"/>
    <w:bookmarkEnd w:id="86"/>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Neither the Trustee nor any Agent shall be responsible for determining, verifying or calculating the Redemption Price or any premium and/or any adjustments thereto (including, any accrued and unpaid interest, if any) and the Trustee and the Agents will not be responsible to the Holders or any other Person for any loss or liability arising from any failure by them to do so.</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Issuer will send by electronic delivery or mail otherwise in accordance with the procedures of the U.S. Depositary notice of any redemption at least 10 days but not more than 60 days before the Redemption Date to each Holder of the Securities to be redeemed. Once the notice of redemption is sent, the Securities called for redemption will become due and payable on the Redemption Date and at the applicable Redemption Price, plus accrued and unpaid interest to the Redemption Date, subject to any conditions precedent specified in such notice. If such redemption is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 The Issuer shall notify Holders of any such rescission as soon as practicable after we determine that such conditions precedent will not be able to be satisfied or the Issuer is not able or willing to waive such conditions precedent. In addition, the Issuer may provide in such notice that payment of the Redemption Price and performance of the Issuer’s obligations with respect to such redemption may be performed by another Person.</w:t>
      </w:r>
    </w:p>
    <w:p>
      <w:pPr>
        <w:spacing w:after="0" w:line="20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the case of a partial redemption of the Securities, selection of the Securities for redemption will be made pro rata, by lot or by such other method as the trustee in its sole discretion deems appropriate and fair. No Securities of a principal amount of $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Securities are held by [the U.S. Depositary] (or another depositary), the redemption of the Securities shall be done in accordance with the policies and procedures of the depositary. The Securities will not be entitled to the benefit of any mandatory redemption or sinking fund.</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the Issuer defaults in payment of the Redemption Price, on and after the Redemption Date interest will cease to accrue on the Securities or portions thereof called for redemption.]</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the event of redemption of this Security in part only, a new Security or Securities of this series for the unredeemed portion hereof will be issued in the name of the Holder hereof upon the cancellation hereof.]</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Indenture contains provisions for defeasance of (a) the entire indebtedness of this Security and (b) certain restrictive covenants upon compliance by the Issuer with certain conditions set forth therein.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the Security is not an Original Issue Discount Security, insert – If an Event of Default with respect to Securities of this series shall occur and be continuing, the principal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Securities of this series may be declared due and payable in the manner and with the effect provided in the Indenture.]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the Security is an Original Issue Discount Security, insert – If an Event of Default with respect to Securities of this series shall occur and be continuing, an amount of principal of the Securities of this series (the “Acceleration Amount”) may be declared due and payable in the manner and with the effect provided in the Indenture. In case of a declaration of acceleration on or before __________, __________ or on __________ in any year, the Acceleration Amount per principal amount at Stated Maturity of the Securities shall be equal to the amount set forth in respect of such date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20" w:type="dxa"/>
            <w:vAlign w:val="bottom"/>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Date of declaration</w:t>
            </w:r>
          </w:p>
        </w:tc>
        <w:tc>
          <w:tcPr>
            <w:tcW w:w="6520" w:type="dxa"/>
            <w:vAlign w:val="bottom"/>
          </w:tcPr>
          <w:p>
            <w:pPr>
              <w:ind w:left="2880"/>
              <w:spacing w:after="0"/>
              <w:rPr>
                <w:sz w:val="20"/>
                <w:szCs w:val="20"/>
                <w:color w:val="auto"/>
              </w:rPr>
            </w:pPr>
            <w:r>
              <w:rPr>
                <w:rFonts w:ascii="Times New Roman" w:cs="Times New Roman" w:eastAsia="Times New Roman" w:hAnsi="Times New Roman"/>
                <w:sz w:val="22"/>
                <w:szCs w:val="22"/>
                <w:b w:val="1"/>
                <w:bCs w:val="1"/>
                <w:color w:val="auto"/>
              </w:rPr>
              <w:t>Acceleration Amount per principal</w:t>
            </w:r>
          </w:p>
        </w:tc>
        <w:tc>
          <w:tcPr>
            <w:tcW w:w="0" w:type="dxa"/>
            <w:vAlign w:val="bottom"/>
          </w:tcPr>
          <w:p>
            <w:pPr>
              <w:spacing w:after="0"/>
              <w:rPr>
                <w:sz w:val="1"/>
                <w:szCs w:val="1"/>
                <w:color w:val="auto"/>
              </w:rPr>
            </w:pPr>
          </w:p>
        </w:tc>
      </w:tr>
      <w:tr>
        <w:trPr>
          <w:trHeight w:val="284"/>
        </w:trPr>
        <w:tc>
          <w:tcPr>
            <w:tcW w:w="4720" w:type="dxa"/>
            <w:vAlign w:val="bottom"/>
            <w:tcBorders>
              <w:bottom w:val="single" w:sz="8" w:color="auto"/>
            </w:tcBorders>
            <w:vMerge w:val="continue"/>
          </w:tcPr>
          <w:p>
            <w:pPr>
              <w:spacing w:after="0"/>
              <w:rPr>
                <w:sz w:val="24"/>
                <w:szCs w:val="24"/>
                <w:color w:val="auto"/>
              </w:rPr>
            </w:pPr>
          </w:p>
        </w:tc>
        <w:tc>
          <w:tcPr>
            <w:tcW w:w="652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22"/>
                <w:szCs w:val="22"/>
                <w:b w:val="1"/>
                <w:bCs w:val="1"/>
                <w:color w:val="auto"/>
              </w:rPr>
              <w:t>amount at Stated Maturity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and in case of a declaration of acceleration on any other date, the Acceleration Amount shall be equal to the Acceleration Amount as of the next preceding date set forth in the table above, plus accrued original issue discount (computed in accordance with generally accepted accounting principles in effect on __________) from such next preceding date to the date of declaration at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yield to maturity. For the purpose of this computation the yield to maturity is ____%. Upon payment (i) of the Acceleration</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Amount so declared due and payable and (ii) of interest on any overdue principal and overdue interest (in each case to the extent that the payment of such interest shall be legally enforceable), all of the Issuer’s obligations in respect of the payment of the principal of and interest, if any, on the Securities of this series shall terminate.]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applicable, insert— Each Holder hereby consents to the Issuer or any Guarantor (or any additional or successor Guarantor) applying to a court of competent jurisdiction for an order sanctioning, approving, consenting to or confirming a reduction in any of its share capital accounts including, without limitation, by re-characterizing any sum standing to the credit of an undenominated capital account as a distributable reserve.]</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Indenture permits, with certain exceptions as therein provided, the amendment thereof and the modification of the rights and obligations of the Issuer and the Guarantors and the rights of the Holders of the Securities of each series to be affected under the Indenture at any time by the Issuer, the Guarantors and the Trustee with the consent of the Holders of a majority in principal amount of the Securities at the time Outstanding of all series to be affected. The Indenture also contains provisions permitting the Holders of specified percentages in principal amount of the Securities at the time Outstanding of all series to be affected, on behalf of the Holders of all Securities of such series, to waive compliance by the Issuer and/or the Guarantors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88" w:name="page89"/>
    <w:bookmarkEnd w:id="88"/>
    <w:p>
      <w:pPr>
        <w:jc w:val="both"/>
        <w:spacing w:after="0" w:line="271" w:lineRule="auto"/>
        <w:rPr>
          <w:sz w:val="20"/>
          <w:szCs w:val="20"/>
          <w:color w:val="auto"/>
        </w:rPr>
      </w:pPr>
      <w:r>
        <w:rPr>
          <w:rFonts w:ascii="Times New Roman" w:cs="Times New Roman" w:eastAsia="Times New Roman" w:hAnsi="Times New Roman"/>
          <w:sz w:val="22"/>
          <w:szCs w:val="22"/>
          <w:color w:val="auto"/>
        </w:rPr>
        <w:t>notation of such consent or waiver is made upon this Security. The Holders shall provide the Trustee with written notice of any waiver pursuant to the Indenture.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Security or of the Indenture shall alter or impair the obligation of the Issuer, which is absolute and unconditional, to pay the principal of (and premium, if any, on) and interest, if any, on this Security at the times, place and rate, and in the coin or currency, herein prescribed.</w:t>
      </w:r>
    </w:p>
    <w:p>
      <w:pPr>
        <w:spacing w:after="0" w:line="16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As provided in the Indenture and subject to certain limitations therein set forth, the transfer of this Security is registrable in the Security Register, upon surrender of this Security for registration of transfer at the office or agency of the Issuer in any place where the principal of (and premium, if any, on) and interest, if any, on this Security are payable, duly endorsed by, or accompanied by a written instrument of transfer in form satisfactory to the Issuer and the Security Registrar duly executed by, the Holder hereof or his or her attorney duly authorized in writing, and thereupon one or more new Securities of this series, of authorized denominations and for the same aggregate principal amount, will be issued to the designated transferee or transferees.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Securities of this series are issuable only in registered form without coupons in denominations of __________ and</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any integral multiple thereof. As provided in the Indenture and subject to certain limitations therein set forth, Securities of this series are exchangeable for a like aggregate principal amount of Securities of this series of a different authorized denomination, as requested by the Holder surrendering the same.</w:t>
      </w:r>
    </w:p>
    <w:p>
      <w:pPr>
        <w:spacing w:after="0" w:line="17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 service charge shall be made for any such registration of transfer or exchange, but the Issuer may require payment of a sum sufficient to cover any tax or other governmental charge payable in connection therewith.</w:t>
      </w:r>
    </w:p>
    <w:p>
      <w:pPr>
        <w:spacing w:after="0" w:line="15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Prior to due presentment of this Security for registration of transfer, the Issuer, the Guarantors, the Trustee and any agent of the Issuer, the Guarantors or the Trustee may treat the person in whose name this Security is registered as the owner hereof for all purposes, whether or not this Security be overdue, and none of the Issuer, the Guarantors, the Trustee or any such agent shall be affected by notice to the contrary.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No recourse for the payment of the principal of (and premium, if any, on) or interest, if any, on this Security or any Guarantee endorsed hereon, or for any claim based hereon or thereon or otherwise in respect hereof or thereof, and no recourse under or upon any obligation, covenant or agreement of the Issuer or any Guarantor in the Indenture or in any indenture supplemental thereto, or in any Security or in any Guarantee, or because of the creation of any indebtedness represented thereby, shall be had against any incorporator, shareholder, officer or director, as such, past, present or future, of the Issuer or any Guarantor or of any successor corporation, either directly or through the Issuer or any Guarantor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89" w:name="page90"/>
    <w:bookmarkEnd w:id="89"/>
    <w:p>
      <w:pPr>
        <w:jc w:val="both"/>
        <w:ind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THIS SECURITY SHALL BE GOVERNED BY AND CONSTRUED IN ACCORDANCE WITH THE LAWS OF THE STATE OF NEW YORK, WITHOUT REFERENCE TO THE CONFLICT OF LAWS PROVISIONS THEREOF.</w:t>
      </w:r>
    </w:p>
    <w:p>
      <w:pPr>
        <w:spacing w:after="0" w:line="13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All terms used in this Security which are defined in the Indenture shall have the meanings assigned to them in the Indenture. In the event that a provision of this Security conflicts with the Indenture, the terms of the Indenture will govern.</w:t>
      </w:r>
    </w:p>
    <w:p>
      <w:pPr>
        <w:spacing w:after="0" w:line="11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204.</w:t>
      </w:r>
      <w:r>
        <w:rPr>
          <w:sz w:val="20"/>
          <w:szCs w:val="20"/>
          <w:color w:val="auto"/>
        </w:rPr>
        <w:tab/>
      </w:r>
      <w:r>
        <w:rPr>
          <w:rFonts w:ascii="Times New Roman" w:cs="Times New Roman" w:eastAsia="Times New Roman" w:hAnsi="Times New Roman"/>
          <w:sz w:val="21"/>
          <w:szCs w:val="21"/>
          <w:u w:val="single" w:color="auto"/>
          <w:color w:val="auto"/>
        </w:rPr>
        <w:t>Form of Trustee’s Certificate of Authentication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Dated:</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DEUTSCHE BANK TRUST COMPANY AMERICAS, as Trustee</w:t>
      </w:r>
    </w:p>
    <w:p>
      <w:pPr>
        <w:spacing w:after="0" w:line="27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43205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33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205.</w:t>
      </w:r>
      <w:r>
        <w:rPr>
          <w:sz w:val="20"/>
          <w:szCs w:val="20"/>
          <w:color w:val="auto"/>
        </w:rPr>
        <w:tab/>
      </w:r>
      <w:r>
        <w:rPr>
          <w:rFonts w:ascii="Times New Roman" w:cs="Times New Roman" w:eastAsia="Times New Roman" w:hAnsi="Times New Roman"/>
          <w:sz w:val="21"/>
          <w:szCs w:val="21"/>
          <w:u w:val="single" w:color="auto"/>
          <w:color w:val="auto"/>
        </w:rPr>
        <w:t>Securities in Global Form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any Security of a series is issuable in global form, such Global Security may provide that it shall represent the aggregate amount of Outstanding Securities from time to time endorsed thereon and may also provide that the aggregate amount of Outstanding Securities represented thereby may from time to time be reduced to reflect exchanges. Any endorsement of a Global Security to reflect the amount, or any increase or decrease in the amount, of Outstanding Securities represented thereby shall be made by the Trustee of such series of Securities and in such manner as shall be specified in such Global Security. Any instructions by the Issuer with respect to a Global Security, after its initial issuance, shall be in writing but need not comply with Section 102.</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None of the Issuer, the Guarantors, the Trustee of such series of Securities,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6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206.</w:t>
      </w:r>
      <w:r>
        <w:rPr>
          <w:sz w:val="20"/>
          <w:szCs w:val="20"/>
          <w:color w:val="auto"/>
        </w:rPr>
        <w:tab/>
      </w:r>
      <w:r>
        <w:rPr>
          <w:rFonts w:ascii="Times New Roman" w:cs="Times New Roman" w:eastAsia="Times New Roman" w:hAnsi="Times New Roman"/>
          <w:sz w:val="21"/>
          <w:szCs w:val="21"/>
          <w:u w:val="single" w:color="auto"/>
          <w:color w:val="auto"/>
        </w:rPr>
        <w:t>Guarantee; Form of Guarantee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Guarantor by its execution of this Indenture hereby agrees with each Holder of a Security of each series authenticated and delivered by the Trustee of such series of Securities and with such Trustee on behalf of each such Holder, to be unconditionally bound by the terms and provisions of the Guarantee set forth below and authorizes such Trustee to confirm such Guarantee to the Holder of each such Security by its execution and delivery of each such Security, with such Guarantee endorsed thereon, authenticated and delivered by such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18" w:right="339" w:bottom="1440" w:gutter="0" w:footer="0" w:header="0"/>
        </w:sectPr>
      </w:pPr>
    </w:p>
    <w:bookmarkStart w:id="90" w:name="page91"/>
    <w:bookmarkEnd w:id="90"/>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Guarantee of each Guarantor to be endorsed on the Security shall, subject to Section 201, be in substantially the form set forth below:</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GUARANTEE</w:t>
      </w:r>
    </w:p>
    <w:p>
      <w:pPr>
        <w:spacing w:after="0" w:line="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[GUARANTOR]</w:t>
      </w:r>
    </w:p>
    <w:p>
      <w:pPr>
        <w:spacing w:after="0" w:line="19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For value received, [GUARANTOR], a company duly organized and existing under the laws of [COUNTRY] (herein called the “Guarantor”, which term includes any successor Person under the Indenture referred to in the Security upon which this Guarantee is endorsed), hereby irrevocably and unconditionally guarantees to the Holder of the Security upon which this Guarantee is endorsed and to the Trustee for itself and on behalf of each such Holder the due and punctual payment of the principal of (and premium, if any, on) and interest on such Security and the due and punctual payment of the sinking fund or analogous payments referred to therein, if any, when and as the same shall become due and payable, whether at the Stated Maturity, by declaration of acceleration, call for redemption or otherwise, according to the terms thereof and of the Indenture referred to therein, and all other amounts owed under the Indenture, all in accordance with and subject to the terms and limitations of the Security on which this Guarantee is endorsed and Article Thirteen of the Indenture. In case of the failure of [ISSUER], a company duly organized under the laws of [COUNTRY] (herein called the “Issuer”, which term includes any successor Person under such Indenture), promptly to make any such payment of principal (and premium, if any) or interest or any such sinking fund or analogous payment, the Guarantor hereby agrees to cause any such payment to be made promptly when and as the same shall become due and payable, whether at the Stated Maturity or by declaration of acceleration, call for redemption or otherwise, and as if such payment were made by the Issuer, subject to the terms and limitations of Article Thirteen of the Indenture.</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Guarantee shall not be valid or obligatory for any purpose until the certificate of authentication of such Security shall have been manually or electronically executed by or on behalf of the Trustee under such Indenture.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All terms used in this Guarantee which are defined in such Indenture shall have the meanings assigned to them in such Indenture.</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GUARANTEE SHALL BE GOVERNED BY AND CONSTRUED IN ACCORDANCE WITH THE LAWS OF THE STATE OF NEW YORK, WITHOUT REFERENCE TO THE CONFLICT OF LAWS PROVISIONS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Executed and delivered on this __________ day of _________,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91" w:name="page92"/>
    <w:bookmarkEnd w:id="91"/>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[GUARANTOR]</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3343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2"/>
          <w:szCs w:val="22"/>
          <w:color w:val="auto"/>
        </w:rPr>
        <w:t>Title:</w:t>
      </w:r>
    </w:p>
    <w:p>
      <w:pPr>
        <w:spacing w:after="0" w:line="3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33432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2"/>
          <w:szCs w:val="22"/>
          <w:color w:val="auto"/>
        </w:rPr>
        <w:t>Title:]</w:t>
      </w: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Reference is made to Article Thirteen for further provisions with respect to the Guarantees.</w:t>
      </w:r>
    </w:p>
    <w:p>
      <w:pPr>
        <w:spacing w:after="0" w:line="18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010000"/>
        </w:rPr>
        <w:t>Article 3</w:t>
      </w:r>
    </w:p>
    <w:p>
      <w:pPr>
        <w:ind w:left="4780"/>
        <w:spacing w:after="0"/>
        <w:rPr>
          <w:sz w:val="20"/>
          <w:szCs w:val="20"/>
          <w:color w:val="auto"/>
        </w:rPr>
      </w:pPr>
      <w:r>
        <w:rPr>
          <w:rFonts w:ascii="Times New Roman" w:cs="Times New Roman" w:eastAsia="Times New Roman" w:hAnsi="Times New Roman"/>
          <w:sz w:val="22"/>
          <w:szCs w:val="22"/>
          <w:color w:val="auto"/>
        </w:rPr>
        <w:t>THE SECURITIES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301.</w:t>
      </w:r>
      <w:r>
        <w:rPr>
          <w:sz w:val="20"/>
          <w:szCs w:val="20"/>
          <w:color w:val="auto"/>
        </w:rPr>
        <w:tab/>
      </w:r>
      <w:r>
        <w:rPr>
          <w:rFonts w:ascii="Times New Roman" w:cs="Times New Roman" w:eastAsia="Times New Roman" w:hAnsi="Times New Roman"/>
          <w:sz w:val="21"/>
          <w:szCs w:val="21"/>
          <w:u w:val="single" w:color="auto"/>
          <w:color w:val="auto"/>
        </w:rPr>
        <w:t>Amount Unlimited; Issuable in Series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aggregate principal amount of Securities which may be authenticated and delivered under this Indenture is unlimited.</w:t>
      </w:r>
    </w:p>
    <w:p>
      <w:pPr>
        <w:spacing w:after="0" w:line="23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Securities may be issued in one or more series. The terms of each series of Securities shall be established either by a Board Resolution of the Issuer or by an Officer’s Certificate of the Issuer delivered pursuant to authority granted by a Board Resolution or by a supplemental indenture. If any of the terms of the series, including the form of Security of such series, are established by action taken pursuant to a Board Resolution of the Issuer, a copy of an appropriate record of such action shall be certified by the Secretary or an Assistant Secretary (or Persons performing similar functions) of the Issuer (or if the Issuer does not have a Secretary or Assistant Secretary, a director or manager of the Issuer) and delivered to the Trustee for the Securities of such series at or prior to the delivery of the Company Order contemplated by Section 303 for the authentication and delivery of such series of Securities. If the terms of a series of Securities are to be established pursuant to an Officer’s Certificate, one or more duly appointed officers of the Issuer shall execute and deliver to the Trustee such Officer’s Certificate, acting pursuant to authority granted to such officers by the Board of Directors of the Issuer. If the terms of a series of Securities are to be established pursuant to a supplemental indenture, such supplemental indenture shall be entered into in accordance with the provisions of Section 901 hereof.</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Such Board Resolution or Officer’s Certificate or supplemental indenture (including any exhibits thereto) shall establish:</w:t>
      </w:r>
    </w:p>
    <w:p>
      <w:pPr>
        <w:spacing w:after="0" w:line="204" w:lineRule="exact"/>
        <w:rPr>
          <w:sz w:val="20"/>
          <w:szCs w:val="20"/>
          <w:color w:val="auto"/>
        </w:rPr>
      </w:pPr>
    </w:p>
    <w:p>
      <w:pPr>
        <w:ind w:left="660" w:right="20" w:firstLine="644"/>
        <w:spacing w:after="0" w:line="236" w:lineRule="auto"/>
        <w:tabs>
          <w:tab w:leader="none" w:pos="1951"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title of the Securities of that series (which shall distinguish the Securities of that series from all other series of Securities);</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limit upon the aggregate principal amount of the Securities of that series which may be authenticated and delivered under this Indenture (except for Securities authenticated and delivered upon registration of transfer of, or in exchange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or in lieu of, other Securities of that series pursuant to Sections 304, 305, 306, 906, or 1107);</w:t>
      </w:r>
    </w:p>
    <w:p>
      <w:pPr>
        <w:spacing w:after="0" w:line="179" w:lineRule="exact"/>
        <w:rPr>
          <w:sz w:val="20"/>
          <w:szCs w:val="20"/>
          <w:color w:val="auto"/>
        </w:rPr>
      </w:pPr>
    </w:p>
    <w:p>
      <w:pPr>
        <w:ind w:right="20" w:firstLine="644"/>
        <w:spacing w:after="0" w:line="236"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whether the Securities of that series rank as senior Securities or subordinated Securities and the terms of any such subordination;</w:t>
      </w:r>
    </w:p>
    <w:p>
      <w:pPr>
        <w:spacing w:after="0" w:line="150" w:lineRule="exact"/>
        <w:rPr>
          <w:rFonts w:ascii="Times New Roman" w:cs="Times New Roman" w:eastAsia="Times New Roman" w:hAnsi="Times New Roman"/>
          <w:sz w:val="22"/>
          <w:szCs w:val="22"/>
          <w:color w:val="010000"/>
        </w:rPr>
      </w:pPr>
    </w:p>
    <w:p>
      <w:pPr>
        <w:ind w:left="1280" w:hanging="636"/>
        <w:spacing w:after="0"/>
        <w:tabs>
          <w:tab w:leader="none" w:pos="1280"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or dates on which the principal of the Securities of that series is payable;</w:t>
      </w:r>
    </w:p>
    <w:p>
      <w:pPr>
        <w:spacing w:after="0" w:line="179" w:lineRule="exact"/>
        <w:rPr>
          <w:rFonts w:ascii="Times New Roman" w:cs="Times New Roman" w:eastAsia="Times New Roman" w:hAnsi="Times New Roman"/>
          <w:sz w:val="22"/>
          <w:szCs w:val="22"/>
          <w:color w:val="010000"/>
        </w:rPr>
      </w:pPr>
    </w:p>
    <w:p>
      <w:pPr>
        <w:jc w:val="both"/>
        <w:ind w:firstLine="644"/>
        <w:spacing w:after="0" w:line="225"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rate or rates (or the manner of calculation thereof) at which the Securities of that series shall bear interest, if any, the date or dates from which such interest shall accrue, the Interest Payment Dates on which such interest shall be payable and the Regular Record Date for the interest payable on any Interest Payment Date;</w:t>
      </w:r>
    </w:p>
    <w:p>
      <w:pPr>
        <w:spacing w:after="0" w:line="152" w:lineRule="exact"/>
        <w:rPr>
          <w:rFonts w:ascii="Times New Roman" w:cs="Times New Roman" w:eastAsia="Times New Roman" w:hAnsi="Times New Roman"/>
          <w:sz w:val="22"/>
          <w:szCs w:val="22"/>
          <w:color w:val="010000"/>
        </w:rPr>
      </w:pPr>
    </w:p>
    <w:p>
      <w:pPr>
        <w:ind w:firstLine="644"/>
        <w:spacing w:after="0" w:line="236"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place or places where the principal of (and premium, if any, on) and interest, if any, on Securities of that series shall be payable and where such Securities may be registered or transferred;</w:t>
      </w:r>
    </w:p>
    <w:p>
      <w:pPr>
        <w:spacing w:after="0" w:line="150" w:lineRule="exact"/>
        <w:rPr>
          <w:rFonts w:ascii="Times New Roman" w:cs="Times New Roman" w:eastAsia="Times New Roman" w:hAnsi="Times New Roman"/>
          <w:sz w:val="22"/>
          <w:szCs w:val="22"/>
          <w:color w:val="010000"/>
        </w:rPr>
      </w:pPr>
    </w:p>
    <w:p>
      <w:pPr>
        <w:ind w:firstLine="644"/>
        <w:spacing w:after="0" w:line="236"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period or periods within which, the price or prices at which and the terms and conditions upon which Securities of that series may be redeemed, in whole or in part, at the option of the Issuer;</w:t>
      </w:r>
    </w:p>
    <w:p>
      <w:pPr>
        <w:spacing w:after="0" w:line="150" w:lineRule="exact"/>
        <w:rPr>
          <w:rFonts w:ascii="Times New Roman" w:cs="Times New Roman" w:eastAsia="Times New Roman" w:hAnsi="Times New Roman"/>
          <w:sz w:val="22"/>
          <w:szCs w:val="22"/>
          <w:color w:val="010000"/>
        </w:rPr>
      </w:pPr>
    </w:p>
    <w:p>
      <w:pPr>
        <w:jc w:val="both"/>
        <w:ind w:firstLine="644"/>
        <w:spacing w:after="0" w:line="220"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obligation, if any, of the Issuer to redeem or purchase Securities of that series pursuant to any sinking fund or analogous provisions or at the option of a Holder thereof, and the period or periods within which, the price or prices at which and the terms and conditions upon which Securities of that series shall be redeemed or purchased, in whole or in part, pursuant to such obligation;</w:t>
      </w:r>
    </w:p>
    <w:p>
      <w:pPr>
        <w:spacing w:after="0" w:line="152" w:lineRule="exact"/>
        <w:rPr>
          <w:rFonts w:ascii="Times New Roman" w:cs="Times New Roman" w:eastAsia="Times New Roman" w:hAnsi="Times New Roman"/>
          <w:sz w:val="22"/>
          <w:szCs w:val="22"/>
          <w:color w:val="010000"/>
        </w:rPr>
      </w:pPr>
    </w:p>
    <w:p>
      <w:pPr>
        <w:jc w:val="both"/>
        <w:ind w:firstLine="644"/>
        <w:spacing w:after="0" w:line="225"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right, if any, of the Issuer to redeem or purchase Securities of that series and the period or periods within which, the price or prices at which and the terms and conditions upon which Securities of that series shall be redeemed or purchased, in whole or in part, pursuant to such right;</w:t>
      </w:r>
    </w:p>
    <w:p>
      <w:pPr>
        <w:spacing w:after="0" w:line="152" w:lineRule="exact"/>
        <w:rPr>
          <w:rFonts w:ascii="Times New Roman" w:cs="Times New Roman" w:eastAsia="Times New Roman" w:hAnsi="Times New Roman"/>
          <w:sz w:val="22"/>
          <w:szCs w:val="22"/>
          <w:color w:val="010000"/>
        </w:rPr>
      </w:pPr>
    </w:p>
    <w:p>
      <w:pPr>
        <w:ind w:firstLine="644"/>
        <w:spacing w:after="0" w:line="236"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other than denominations of $2,000 and integral multiples of $1,000 in excess thereof, the denominations in which Securities of that series shall be issuable;</w:t>
      </w:r>
    </w:p>
    <w:p>
      <w:pPr>
        <w:spacing w:after="0" w:line="150" w:lineRule="exact"/>
        <w:rPr>
          <w:rFonts w:ascii="Times New Roman" w:cs="Times New Roman" w:eastAsia="Times New Roman" w:hAnsi="Times New Roman"/>
          <w:sz w:val="22"/>
          <w:szCs w:val="22"/>
          <w:color w:val="010000"/>
        </w:rPr>
      </w:pPr>
    </w:p>
    <w:p>
      <w:pPr>
        <w:ind w:firstLine="644"/>
        <w:spacing w:after="0" w:line="236" w:lineRule="auto"/>
        <w:tabs>
          <w:tab w:leader="none" w:pos="1283"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other than the principal amount thereof, the portion of the principal amount of Securities of that series which shall be payable upon declaration of acceleration of the Maturity thereof pursuant to Section 502;</w:t>
      </w:r>
    </w:p>
    <w:p>
      <w:pPr>
        <w:spacing w:after="0" w:line="150" w:lineRule="exact"/>
        <w:rPr>
          <w:rFonts w:ascii="Times New Roman" w:cs="Times New Roman" w:eastAsia="Times New Roman" w:hAnsi="Times New Roman"/>
          <w:sz w:val="22"/>
          <w:szCs w:val="22"/>
          <w:color w:val="010000"/>
        </w:rPr>
      </w:pPr>
    </w:p>
    <w:p>
      <w:pPr>
        <w:jc w:val="both"/>
        <w:ind w:firstLine="644"/>
        <w:spacing w:after="0" w:line="225"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other than such coin or currency of the United States of America, the currency or currency unit in which payment of the principal of (or premium, if any, on) or interest, if any, on the Securities of that series shall be payable or in which the Securities of that series shall be denominated and the particular provisions applicable thereto;</w:t>
      </w:r>
    </w:p>
    <w:p>
      <w:pPr>
        <w:spacing w:after="0" w:line="152" w:lineRule="exact"/>
        <w:rPr>
          <w:rFonts w:ascii="Times New Roman" w:cs="Times New Roman" w:eastAsia="Times New Roman" w:hAnsi="Times New Roman"/>
          <w:sz w:val="22"/>
          <w:szCs w:val="22"/>
          <w:color w:val="010000"/>
        </w:rPr>
      </w:pPr>
    </w:p>
    <w:p>
      <w:pPr>
        <w:jc w:val="both"/>
        <w:ind w:firstLine="644"/>
        <w:spacing w:after="0" w:line="220"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principal of (and premium, if any, on) or interest, if any, on the Securities of that series are to be payable, at the election of the Issuer, the Guarantors or a Holder thereof, in a coin or currency other than that in which the Securities are stated to be payable, the period or periods within which, and the terms and conditions upon which, such election may be made;</w:t>
      </w:r>
    </w:p>
    <w:p>
      <w:pPr>
        <w:spacing w:after="0" w:line="152" w:lineRule="exact"/>
        <w:rPr>
          <w:rFonts w:ascii="Times New Roman" w:cs="Times New Roman" w:eastAsia="Times New Roman" w:hAnsi="Times New Roman"/>
          <w:sz w:val="22"/>
          <w:szCs w:val="22"/>
          <w:color w:val="010000"/>
        </w:rPr>
      </w:pPr>
    </w:p>
    <w:p>
      <w:pPr>
        <w:ind w:firstLine="644"/>
        <w:spacing w:after="0" w:line="236" w:lineRule="auto"/>
        <w:tabs>
          <w:tab w:leader="none" w:pos="1291"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amount of payments of principal of (and premium, if any, on) or interest, if any, on the Securities of that series may be determined with reference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580"/>
          </w:cols>
          <w:pgMar w:left="980" w:top="1395" w:right="339" w:bottom="1440" w:gutter="0" w:footer="0" w:header="0"/>
        </w:sectPr>
      </w:pPr>
    </w:p>
    <w:bookmarkStart w:id="93" w:name="page94"/>
    <w:bookmarkEnd w:id="93"/>
    <w:p>
      <w:pPr>
        <w:ind w:left="660"/>
        <w:spacing w:after="0" w:line="236" w:lineRule="auto"/>
        <w:rPr>
          <w:sz w:val="20"/>
          <w:szCs w:val="20"/>
          <w:color w:val="auto"/>
        </w:rPr>
      </w:pPr>
      <w:r>
        <w:rPr>
          <w:rFonts w:ascii="Times New Roman" w:cs="Times New Roman" w:eastAsia="Times New Roman" w:hAnsi="Times New Roman"/>
          <w:sz w:val="22"/>
          <w:szCs w:val="22"/>
          <w:color w:val="auto"/>
        </w:rPr>
        <w:t>index based on a coin or currency other than that in which the Securities are stated to be payable, the manner in which such amounts shall be determined;</w:t>
      </w:r>
    </w:p>
    <w:p>
      <w:pPr>
        <w:spacing w:after="0" w:line="150" w:lineRule="exact"/>
        <w:rPr>
          <w:sz w:val="20"/>
          <w:szCs w:val="20"/>
          <w:color w:val="auto"/>
        </w:rPr>
      </w:pPr>
    </w:p>
    <w:p>
      <w:pPr>
        <w:jc w:val="both"/>
        <w:ind w:left="660" w:right="20" w:firstLine="644"/>
        <w:spacing w:after="0" w:line="225" w:lineRule="auto"/>
        <w:tabs>
          <w:tab w:leader="none" w:pos="1951"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provisions permitted by this Indenture relating to Events of Default or covenants of the Issuer or any Guarantor with respect to such series of Securities (including deletions therefrom, modifications thereof or additions thereto, whether or not consistent with the Events of Default or covenants set forth herein);</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Securities of that series shall be issued in whole or in part in the form of one or more Global Securities and, in such case, the U.S. Depositary for such Global Security or Securities; the manner in which and the circumstances under which Global Securities representing Securities of that series may be exchanged for Securities in definitive form, if other than, or in addition to, the manner and circumstances specified in Section 305;</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7" w:lineRule="auto"/>
        <w:tabs>
          <w:tab w:leader="none" w:pos="1951"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whether the Securities of that series will be convertible into common shares of the Issuer and/or exchangeable for other Securities, including ordinary shares of Weatherford Parent, and if so, the terms and conditions upon which such Securities will be so convertible or exchangeable, and any deletions from or modifications or additions to this Indenture to permit or to facilitate the issuance of such convertible or exchangeable Securities or the administration thereof;</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applicability of any guarantees other than the Guarantee of Weatherford Parent in the case of Securities issued by Weatherford Bermuda and Weatherford Delaware as set forth herein;</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whether the Securities of that series will be secured by any collateral and, if so, the terms and conditions upon which such Securities shall be secured and, if applicable, upon which such liens may be subordinated to other liens securing other indebtedness of the Issuer or any Guarantor of such Securities;</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Person other than Deutsche Bank Trust Company Americas is to act as Trustee for the Securities of that series, the name and location of the Corporate Trust Office of such Trustee;</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of such series of Securities;</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provisions for the transfer and legending of the Securities of that series; and</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other terms of that series (which terms shall not be inconsistent with the provisions of this Indenture).</w:t>
      </w:r>
    </w:p>
    <w:p>
      <w:pPr>
        <w:spacing w:after="0" w:line="21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All Securities of any particular series shall be substantially identical except as to denomination and except as may otherwise be provided in or pursuant to such Board Resolution of the Issuer or set forth in such Officer’s Certificate or in any such indenture supplemental hereto.</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302.</w:t>
      </w:r>
      <w:r>
        <w:rPr>
          <w:sz w:val="20"/>
          <w:szCs w:val="20"/>
          <w:color w:val="auto"/>
        </w:rPr>
        <w:tab/>
      </w:r>
      <w:r>
        <w:rPr>
          <w:rFonts w:ascii="Times New Roman" w:cs="Times New Roman" w:eastAsia="Times New Roman" w:hAnsi="Times New Roman"/>
          <w:sz w:val="21"/>
          <w:szCs w:val="21"/>
          <w:u w:val="single" w:color="auto"/>
          <w:color w:val="auto"/>
        </w:rPr>
        <w:t>Denominations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Securities of each series shall be issuable in registered form without coupons in such denominations as shall be specified as contemplated by Section 301. In the absence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71" w:lineRule="auto"/>
        <w:rPr>
          <w:sz w:val="20"/>
          <w:szCs w:val="20"/>
          <w:color w:val="auto"/>
        </w:rPr>
      </w:pPr>
      <w:r>
        <w:rPr>
          <w:rFonts w:ascii="Times New Roman" w:cs="Times New Roman" w:eastAsia="Times New Roman" w:hAnsi="Times New Roman"/>
          <w:sz w:val="22"/>
          <w:szCs w:val="22"/>
          <w:color w:val="auto"/>
        </w:rPr>
        <w:t>provisions with respect to the Securities of any series, the Securities of such series shall be issuable in denominations of $2,000 and integral multiples of $1,000 in excess thereof.</w:t>
      </w:r>
    </w:p>
    <w:p>
      <w:pPr>
        <w:spacing w:after="0" w:line="13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303.</w:t>
      </w:r>
      <w:r>
        <w:rPr>
          <w:sz w:val="20"/>
          <w:szCs w:val="20"/>
          <w:color w:val="auto"/>
        </w:rPr>
        <w:tab/>
      </w:r>
      <w:r>
        <w:rPr>
          <w:rFonts w:ascii="Times New Roman" w:cs="Times New Roman" w:eastAsia="Times New Roman" w:hAnsi="Times New Roman"/>
          <w:sz w:val="21"/>
          <w:szCs w:val="21"/>
          <w:u w:val="single" w:color="auto"/>
          <w:color w:val="auto"/>
        </w:rPr>
        <w:t>Execution, Authentication, Delivery and Dating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Securities shall be executed, manually, electronically or by facsimile, on behalf of the Issuer by an Officer of the Issuer, and need not be attested.</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Each Guarantee endorsed on any of the Securities shall be executed, manually, electronically or by facsimile, on behalf of the applicable Guarantor by an Officer of such Guarantor, and need not be attested.</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Security or Guarantee bearing the manual, electronic or facsimile signatures of individuals who were at any time the proper Officers of the Issuer or the applicable Guarantor, as the case may be, shall bind the Issuer or such Guarantor, as the case may be, notwithstanding that such individuals or any of them have ceased to hold such offices prior to the authentication and delivery of such Security or Guarantee or did not hold such offices at the date of such Security or Guarantee.</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At any time and from time to time after the execution and delivery of this Indenture, the Issuer may deliver Securities of any series, together with the Guarantees of the Guarantors endorsed thereon, executed by the Issuer and such Guarantors to the Trustee for the Securities of such series for authentication, together with a Company Order for the authentication and delivery of such Securities, and such Trustee in accordance with the Company Order shall authenticate and deliver such Securities. If the form or terms of the Securities of the series have been established in or pursuant to one or more Board Resolutions of the Issuer, as permitted by Sections 201 and 301, in authenticating such Securities and accepting the additional responsibilities under this Indenture in relation to such Securities, such Trustee shall be entitled to receive, and (subject to Section 601) shall be fully protected in relying upon, an Opinion of Counsel of the Issuer, as the case may be, stating:</w:t>
      </w:r>
    </w:p>
    <w:p>
      <w:pPr>
        <w:spacing w:after="0" w:line="155" w:lineRule="exact"/>
        <w:rPr>
          <w:sz w:val="20"/>
          <w:szCs w:val="20"/>
          <w:color w:val="auto"/>
        </w:rPr>
      </w:pPr>
    </w:p>
    <w:p>
      <w:pPr>
        <w:ind w:left="660" w:firstLine="644"/>
        <w:spacing w:after="0" w:line="236" w:lineRule="auto"/>
        <w:tabs>
          <w:tab w:leader="none" w:pos="1953"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form of such Securities has been established by or pursuant to Board Resolution of the Issuer as permitted by Section 201, that such form has been established in conformity with the provisions of this Indenture;</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terms of such Securities have been established by or pursuant to Board Resolution of the Issuer, as permitted by Section 301, that such terms have been established in conformity with the provisions of this Indenture;</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15" w:lineRule="auto"/>
        <w:tabs>
          <w:tab w:leader="none" w:pos="1953"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that such Securities and the Guarantees endorsed thereon, when authenticated and delivered by such Trustee and issued by the Issuer and such Guarantors, as the case may be, in the manner and subject to any conditions specified in such Opinion of Counsel, will constitute valid and legally binding obligations of the Issuer and such Guarantors, as the case may be, respectively, enforceable in accordance with their terms, subject to bankruptcy, insolvency, reorganization and other laws of general applicability relating to or affecting the enforcement of creditors’ rights and to general equity principles;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95" w:name="page96"/>
    <w:bookmarkEnd w:id="95"/>
    <w:p>
      <w:pPr>
        <w:ind w:left="660" w:firstLine="644"/>
        <w:spacing w:after="0" w:line="236" w:lineRule="auto"/>
        <w:tabs>
          <w:tab w:leader="none" w:pos="1951"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that all laws and requirements in respect of the execution and delivery by the Issuer of such Securities and by such Guarantors of their respective Guarantees have been complied with.</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such form or terms have been so established, the Trustee for the Securities of such series shall not be required to authenticate such Securities if such Trustee, being advised by counsel, determines that the issue of such Securities pursuant to this Indenture will affect such Trustee’s own rights, duties or immunities under the Securities and this Indenture or otherwise in a manner which is not reasonably acceptable to such Trustee.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Notwithstanding the foregoing, if not all the Securities of any series are to be issued at one time, it shall not be necessary to deliver the Officer’s Certificate otherwise required pursuant to the foregoing or the Company Order and Opinion of Counsel otherwise required pursuant to the foregoing prior to or at the time of issuance of each Security, but such documents shall be delivered prior to or at the time of issuance of the first Security of such series;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Trustee shall receive an Officer’s Certificate and an Opinion of Counsel covering the provisions set forth in Section 102 of the Indenture.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Security shall be dated the date of its authentication.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 Security or Guarantee endorsed thereon shall be entitled to any benefit under this Indenture or be valid or obligatory for any purpose unless there appears on such Security a certificate of authentication substantially in the form provided for herein executed by the Trustee for the Securities of such series by manual or electronic signature, and such certificate upon any Security shall be conclusive evidence, and the only evidence, that such Security has been duly authenticated and delivered hereunder and, together with Guarantees, if any, endorsed thereon, is entitled to the benefits of this Indenture.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304.</w:t>
      </w:r>
      <w:r>
        <w:rPr>
          <w:sz w:val="20"/>
          <w:szCs w:val="20"/>
          <w:color w:val="auto"/>
        </w:rPr>
        <w:tab/>
      </w:r>
      <w:r>
        <w:rPr>
          <w:rFonts w:ascii="Times New Roman" w:cs="Times New Roman" w:eastAsia="Times New Roman" w:hAnsi="Times New Roman"/>
          <w:sz w:val="21"/>
          <w:szCs w:val="21"/>
          <w:u w:val="single" w:color="auto"/>
          <w:color w:val="auto"/>
        </w:rPr>
        <w:t>Temporary Securities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Pending the preparation of definitive Securities of any particular series, the Issuer may execute, and upon delivery of the Company Order the Trustee for the Securities of such series shall authenticate and deliver temporary Securities which are printed, lithographed, typewritten, mimeographed or otherwise produced, in any authorized denomination, substantially of the tenor of the definitive Securities in lieu of which they are issued and having endorsed thereon Guarantees executed by the Guarantors of the tenor of the definitive Guarantees, and with such appropriate insertions, omissions, substitutions and other variations as the officer executing such Securities may determine, as evidenced by his or her execution of such Securities.</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If temporary Securities of any series are issued, the Issuer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Issuer in a Place of Payment for that series, without charge to the Holder. Upon surrender for cancellation of any one or more temporary Securities of any series the Issuer shall execute and the Trustee for the Securities of such series shall authenticate and deliver in exchange therefor a like principal amount of definitive Securities of the same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96" w:name="page97"/>
    <w:bookmarkEnd w:id="96"/>
    <w:p>
      <w:pPr>
        <w:jc w:val="both"/>
        <w:spacing w:after="0" w:line="257" w:lineRule="auto"/>
        <w:rPr>
          <w:sz w:val="20"/>
          <w:szCs w:val="20"/>
          <w:color w:val="auto"/>
        </w:rPr>
      </w:pPr>
      <w:r>
        <w:rPr>
          <w:rFonts w:ascii="Times New Roman" w:cs="Times New Roman" w:eastAsia="Times New Roman" w:hAnsi="Times New Roman"/>
          <w:sz w:val="22"/>
          <w:szCs w:val="22"/>
          <w:color w:val="auto"/>
        </w:rPr>
        <w:t>authorized denominations and having endorsed thereon the Guarantees by the Guarantors. Until so exchanged the temporary Securities of any series shall in all respects be entitled to the same benefits under this Indenture as definitive Securities of such series.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305.</w:t>
      </w:r>
      <w:r>
        <w:rPr>
          <w:sz w:val="20"/>
          <w:szCs w:val="20"/>
          <w:color w:val="auto"/>
        </w:rPr>
        <w:tab/>
      </w:r>
      <w:r>
        <w:rPr>
          <w:rFonts w:ascii="Times New Roman" w:cs="Times New Roman" w:eastAsia="Times New Roman" w:hAnsi="Times New Roman"/>
          <w:sz w:val="21"/>
          <w:szCs w:val="21"/>
          <w:u w:val="single" w:color="auto"/>
          <w:color w:val="auto"/>
        </w:rPr>
        <w:t>Registration, Registration of Transfer and Exchange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Issuer shall cause to be kept at the Corporate Trust Office of the Trustee for the Securities of each series a register (the register maintained at such office and in any other office or agency of the Issuer in a Place of Payment being herein sometimes collectively referred to as the “</w:t>
      </w:r>
      <w:r>
        <w:rPr>
          <w:rFonts w:ascii="Times New Roman" w:cs="Times New Roman" w:eastAsia="Times New Roman" w:hAnsi="Times New Roman"/>
          <w:sz w:val="22"/>
          <w:szCs w:val="22"/>
          <w:u w:val="single" w:color="auto"/>
          <w:color w:val="auto"/>
        </w:rPr>
        <w:t>Security Register</w:t>
      </w:r>
      <w:r>
        <w:rPr>
          <w:rFonts w:ascii="Times New Roman" w:cs="Times New Roman" w:eastAsia="Times New Roman" w:hAnsi="Times New Roman"/>
          <w:sz w:val="22"/>
          <w:szCs w:val="22"/>
          <w:color w:val="auto"/>
        </w:rPr>
        <w:t>”) in which, subject to such reasonable regulations as it may prescribe, the Issuer shall provide for the registration of Securities and of transfers of Securities. The Trustee for the Securities of each series is hereby appointed “</w:t>
      </w:r>
      <w:r>
        <w:rPr>
          <w:rFonts w:ascii="Times New Roman" w:cs="Times New Roman" w:eastAsia="Times New Roman" w:hAnsi="Times New Roman"/>
          <w:sz w:val="22"/>
          <w:szCs w:val="22"/>
          <w:u w:val="single" w:color="auto"/>
          <w:color w:val="auto"/>
        </w:rPr>
        <w:t>Security Registrar</w:t>
      </w:r>
      <w:r>
        <w:rPr>
          <w:rFonts w:ascii="Times New Roman" w:cs="Times New Roman" w:eastAsia="Times New Roman" w:hAnsi="Times New Roman"/>
          <w:sz w:val="22"/>
          <w:szCs w:val="22"/>
          <w:color w:val="auto"/>
        </w:rPr>
        <w:t>” for the purpose of registering Securities and transfers of Securities as herein provided.</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Upon surrender for registration of transfer of any Security of any series at the office or agency in a Place of Payment for that series, the Issuer shall execute, and the Trustee for the Securities of each series shall authenticate and deliver, in the name of the designated transferee or transferees, one or more new Securities of the same series, of any authorized denominations and of a like aggregate principal amount, and having endorsed thereon the Guarantees executed by the Guarantors.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At the option of the Holder, Securities of any series may be exchanged for other Securities of the same series, of any authorized denominations and of a like aggregate principal amount, upon surrender of the Securities to be exchanged at such office or agency. Whenever any Securities are so surrendered for exchange, the Issuer shall execute, and the Trustee for the Securities of such series shall authenticate and deliver, the Securities which the Holder making the exchange is entitled to receive, and having endorsed thereon the Guarantees executed by the Guarantors.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All Securities and the Guarantees endorsed thereon issued upon any registration of transfer or exchange of Securities and such Guarantees endorsed thereon, shall be the valid obligations of the Issuer and the Guarantors, respectively evidencing the same debt, and entitled to the same benefits under this Indenture, as the Securities and such Guarantees endorsed thereon surrendered upon such registration of transfer or exchange.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Every Security presented or surrendered for registration of transfer or for exchange shall (if so required by the Issuer or the Trustee for the Securities of such series) be duly endorsed, or be accompanied by a written instrument of transfer in form satisfactory to the Issuer and the Security Registrar duly executed, by the Holder thereof or his or her attorney duly authorized in writing.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 service charge shall be made for any registration of transfer or exchange of Securities, but the Issuer may require payment of a sum sufficient to cover any tax or other governmental charge that may be imposed in connection with any registration of transfer or exchange of Securities, other than exchanges pursuant to Sections 304, 906 or 1107 not involving any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97" w:name="page98"/>
    <w:bookmarkEnd w:id="97"/>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Issuer shall not be required (i) to issue, register the transfer of or exchange Securities of any series during a period beginning at the opening of business 15 days before the day of the mailing of a notice of redemption of Securities of that series selected for redemption under Section 1103 and ending at the close of business on the day of such mailing, or (ii) to register the transfer of or exchange any Security so selected for redemption in whole or in part, except the unredeemed portion of any Security being redeemed in part.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If the Issuer shall establish pursuant to Section 301 that the Securities of a series are to be issued in whole or in part in the form of one or more Global Securities, then the Issuer shall execute (along with the Guarantees executed by the Guarantors endorsed thereon) and the Trustee for the Securities of such series shall, in accordance with Section 303 and the Company Order with respect to such series, authenticate and deliver one or more Global Securities in temporary or permanent form that (i) shall represent and shall be denominated in an amount equal to the aggregate principal amount of the Outstanding Securities of such series to be represented by one or more Global Securities, (ii) shall be registered in the name of the U.S. Depositary for such Global Security or Securities or the nominee of such depositary, and (iii) shall bear a legend substantially to the following effect: “This Security (and the related Guarantees)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and until this Security is exchanged in whole or in part for Securities in definitive form” and such other legend as may be required by the U.S. Depositary.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Notwithstanding any other provision of this Section, unless and until it is exchanged in whole or in part for Securities in definitive form, a Global Security (and the related Guarantees) representing all or a portion of the Securities of a series may not be transferred except as a whole by the U.S. Depositary for such series to a nominee of such depositary or by a nominee of such depositary to such depositary or another nominee of such depositary or by such depositary or any such nominee to a successor U.S. Depositary for such series or a nominee of such successor depositary.</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If at any time the U.S. Depositary for the Securities of a series notifies the Issuer that it is unwilling or unable to continue as U.S. Depositary for the Securities of such series or if any time the U.S. Depositary for Securities of a series shall no longer be a clearing agency registered and in good standing under the Exchange Act, or other applicable statute or regulation, the Issuer shall appoint a successor U.S. Depositary with respect to the Securities of such series. If a successor U.S. Depositary for the Securities of such series is not appointed by the Issuer within 90 days after the Issuer receives such notice or becomes aware of such condition, the Issuer will execute, and the Trustee for the Securities of such series, upon receipt of a Company Order for the authentication and delivery of definitive Securities of such series, will authenticate and deliver, Securities of such series in definitive form in an aggregate principal amount equal to the principal amount of the Global Security or Securities representing such series in exchange for such Global Security or Securities and having endorsed thereon the Guarantees executed by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98" w:name="page99"/>
    <w:bookmarkEnd w:id="98"/>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Issuer may at any time and in its sole discretion determine that the Securities of any series issued in the form of one or more Global Securities shall no longer be represented by such Global Security or Securities. In such event, the Issuer will execute, and the Trustee for the Securities of such series, upon receipt of a Company Order for the authentication and delivery of definitive Securities of such series, will authenticate and deliver, Securities of such Series in definitive form and in an aggregate principal amount equal to the principal amount of the Global Security or Securities representing such series in exchange for such Global Security or Securities and having endorsed thereon the Guarantees executed by the Guarantors.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the Securities of any series shall have been issued in the form of one or more Global Securities and if an Event of Default with respect to the Securities of such series shall have occurred and be continuing, the Issuer will promptly execute, and the Trustee for the Securities of such series, upon receipt of a Company Order for the authentication and delivery of definitive Securities of such series, will authenticate and deliver Securities of such series in definitive form and in an aggregate principal amount equal to the principal amount of the Global Security or Securities representing such series in exchange for such Global Security or Securities and having endorsed thereon the Guarantees executed by the Guarantors.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specified by the Issuer pursuant to Section 301 with respect to Securities of a series, the U.S. Depositary for such series of Securities may surrender a Global Security for such series of Securities in exchange in whole or in part for Securities of such series in definitive form on such terms as are acceptable to the Issuer and such depositary. Thereupon, the Issuer shall execute and the Trustee for the Securities of such series shall authenticate and deliver, without charge:</w:t>
      </w:r>
    </w:p>
    <w:p>
      <w:pPr>
        <w:spacing w:after="0" w:line="149" w:lineRule="exact"/>
        <w:rPr>
          <w:sz w:val="20"/>
          <w:szCs w:val="20"/>
          <w:color w:val="auto"/>
        </w:rPr>
      </w:pPr>
    </w:p>
    <w:p>
      <w:pPr>
        <w:jc w:val="both"/>
        <w:ind w:left="660" w:firstLine="644"/>
        <w:spacing w:after="0" w:line="220" w:lineRule="auto"/>
        <w:tabs>
          <w:tab w:leader="none" w:pos="1944"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each Person specified by the U.S. Depositary a new registered Security or Securities of the same series, of an authorized denomination as requested by such Person in an aggregate principal amount equal to and in exchange for such Person’s beneficial interest in the Global Security and having endorsed thereon the Guarantees executed by the Guarantors; and</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0"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U.S. Depositary a new Global Security in a denomination equal to the difference, if any, between the principal amount of the surrendered Global Security and the aggregate principal amount of Securities delivered to Holders thereof and having endorsed thereon the Guarantees executed by the Guarantors.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Upon the exchange of a Global Security in whole for Securities in definitive form, such Global Security shall be canceled by the Trustee for the Securities of such series. Securities issued in exchange for a Global Security shall be registered in such names and in such authorized denominations as the U.S. Depositary for such Global Security, pursuant to instructions from its direct or indirect participants or otherwise, shall instruct the Trustee for the Securities of such series. Such Trustee shall deliver such Securities to the Persons in whose names such Securities are so registered.</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transferor of any Security shall provide or cause to be provided to the Trustee all information necessary to allow the Trustee to comply with any applicable tax reporting obligations, including without limitation any cost basis reporting obligations under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71" w:lineRule="auto"/>
        <w:rPr>
          <w:sz w:val="20"/>
          <w:szCs w:val="20"/>
          <w:color w:val="auto"/>
        </w:rPr>
      </w:pPr>
      <w:r>
        <w:rPr>
          <w:rFonts w:ascii="Times New Roman" w:cs="Times New Roman" w:eastAsia="Times New Roman" w:hAnsi="Times New Roman"/>
          <w:sz w:val="22"/>
          <w:szCs w:val="22"/>
          <w:color w:val="auto"/>
        </w:rPr>
        <w:t>Revenue Code Section 6045. The Trustee may rely on information provided to it and shall have no responsibility to verify or ensure the accuracy of such information.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Neither the Trustee nor any Agent shall have any responsibility or liability for any actions taken or not taken by the Depositary.</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306.</w:t>
      </w:r>
      <w:r>
        <w:rPr>
          <w:sz w:val="20"/>
          <w:szCs w:val="20"/>
          <w:color w:val="auto"/>
        </w:rPr>
        <w:tab/>
      </w:r>
      <w:r>
        <w:rPr>
          <w:rFonts w:ascii="Times New Roman" w:cs="Times New Roman" w:eastAsia="Times New Roman" w:hAnsi="Times New Roman"/>
          <w:sz w:val="21"/>
          <w:szCs w:val="21"/>
          <w:u w:val="single" w:color="auto"/>
          <w:color w:val="auto"/>
        </w:rPr>
        <w:t>Mutilated, Destroyed, Lost and Stolen Securities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any mutilated Security is surrendered to the Trustee for the series of such Securities, the Issuer shall execute and such Trustee shall authenticate and deliver in exchange therefor a new Security of the same series and of like tenor and principal amount and bearing a number not contemporaneously outstanding, and having endorsed thereon the Guarantees executed by the Guarantors.</w:t>
      </w:r>
    </w:p>
    <w:p>
      <w:pPr>
        <w:spacing w:after="0" w:line="1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If there shall be delivered to the Issuer and the Trustee for the series of such Securities (i) evidence to their satisfaction of the destruction, loss or theft of any Security and (ii) such security or indemnity as may be required by them to save each of them and any agent of either of them harmless, then, in the absence of notice to the Issuer or such Trustee that such Security has been acquired by a bona fide purchaser, the Issuer shall execute and upon its request such Trustee shall authenticate and deliver, in lieu of any such destroyed, lost or stolen Security, a new Security of the same series and of like tenor and principal amount and bearing a number not contemporaneously outstanding, and having endorsed thereon the Guarantees executed by the Guarantors.</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case any such mutilated, destroyed, lost or stolen Security has become or is about to become due and payable, the Issuer in its discretion may, instead of issuing a new Security, pay such Security.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Upon the issuance of any new Security under this Section, the Issuer may require the payment of a sum sufficient to cover any tax or other governmental charge that may be imposed in relation thereto and any other expenses (including the fees and expenses of the Trustee for the series of such Securities) connected therewith.</w:t>
      </w:r>
    </w:p>
    <w:p>
      <w:pPr>
        <w:spacing w:after="0" w:line="1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Every new Security of any series and the Guarantees endorsed thereon, issued pursuant to this Section in lieu of any destroyed, lost or stolen Security shall constitute an original additional contractual obligation of the Issuer and the Guarantors, respectively, whether or not the destroyed, lost or stolen Security shall be at any time enforceable by anyone, and shall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100" w:name="page101"/>
    <w:bookmarkEnd w:id="100"/>
    <w:p>
      <w:pPr>
        <w:ind w:right="20"/>
        <w:spacing w:after="0" w:line="271" w:lineRule="auto"/>
        <w:rPr>
          <w:sz w:val="20"/>
          <w:szCs w:val="20"/>
          <w:color w:val="auto"/>
        </w:rPr>
      </w:pPr>
      <w:r>
        <w:rPr>
          <w:rFonts w:ascii="Times New Roman" w:cs="Times New Roman" w:eastAsia="Times New Roman" w:hAnsi="Times New Roman"/>
          <w:sz w:val="22"/>
          <w:szCs w:val="22"/>
          <w:color w:val="auto"/>
        </w:rPr>
        <w:t>to all the benefits of this Indenture equally and proportionately with any and all other Securities of that series duly issued hereunder.</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provisions of this Section are exclusive and shall preclude (to the extent lawful) all other rights and remedies with respect to the replacement or payment of mutilated, destroyed, lost or stolen Securities.</w:t>
      </w:r>
    </w:p>
    <w:p>
      <w:pPr>
        <w:spacing w:after="0" w:line="11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307.</w:t>
      </w:r>
      <w:r>
        <w:rPr>
          <w:sz w:val="20"/>
          <w:szCs w:val="20"/>
          <w:color w:val="auto"/>
        </w:rPr>
        <w:tab/>
      </w:r>
      <w:r>
        <w:rPr>
          <w:rFonts w:ascii="Times New Roman" w:cs="Times New Roman" w:eastAsia="Times New Roman" w:hAnsi="Times New Roman"/>
          <w:sz w:val="21"/>
          <w:szCs w:val="21"/>
          <w:u w:val="single" w:color="auto"/>
          <w:color w:val="auto"/>
        </w:rPr>
        <w:t>Payment of Interest; Interest Rights Preserved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interest on any Security of any series which is payable, but is not punctually paid or duly provided for, on any Interest Payment Date (herein called “</w:t>
      </w:r>
      <w:r>
        <w:rPr>
          <w:rFonts w:ascii="Times New Roman" w:cs="Times New Roman" w:eastAsia="Times New Roman" w:hAnsi="Times New Roman"/>
          <w:sz w:val="22"/>
          <w:szCs w:val="22"/>
          <w:u w:val="single" w:color="auto"/>
          <w:color w:val="auto"/>
        </w:rPr>
        <w:t>Defaulted Interest</w:t>
      </w:r>
      <w:r>
        <w:rPr>
          <w:rFonts w:ascii="Times New Roman" w:cs="Times New Roman" w:eastAsia="Times New Roman" w:hAnsi="Times New Roman"/>
          <w:sz w:val="22"/>
          <w:szCs w:val="22"/>
          <w:color w:val="auto"/>
        </w:rPr>
        <w:t>”) shall forthwith cease to be payable to the Holder on the relevant Regular Record Date by virtue of having been such Holder, and such Defaulted Interest may be paid by the Issuer, at its election in each case, as provided in clause (1) or (2) below:</w:t>
      </w:r>
    </w:p>
    <w:p>
      <w:pPr>
        <w:spacing w:after="0" w:line="149" w:lineRule="exact"/>
        <w:rPr>
          <w:sz w:val="20"/>
          <w:szCs w:val="20"/>
          <w:color w:val="auto"/>
        </w:rPr>
      </w:pPr>
    </w:p>
    <w:p>
      <w:pPr>
        <w:jc w:val="both"/>
        <w:ind w:left="660" w:firstLine="644"/>
        <w:spacing w:after="0" w:line="208" w:lineRule="auto"/>
        <w:tabs>
          <w:tab w:leader="none" w:pos="1951"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Issuer shall notify the Trustee for the Securities of such series in writing of the amount of Defaulted Interest proposed to be paid on each Security of such series and the date of the proposed payment, and at the same time the Issuer shall deposit with such Trustee an amount of money equal to the aggregate amount proposed to be paid in respect of such Defaulted Interest or shall make arrangements reasonably satisfactory to such Trustee for such deposit prior to the date of the proposed payment, such money when deposited to be held in trust for the benefit of the persons entitled to such Defaulted Interest as in this clause provided. Thereupon such Trustee shall fix a Special Record Date for the payment of such Defaulted Interest which shall be not more than 15 days and not less than 10 days prior to the date of the proposed payment and not less than 10 days after the receipt by such Trustee of the notice of the proposed payment. Such Trustee shall promptly notify the Issuer of such Special Record Date and, in the name and at the expense of the Issuer, shall cause notice of the proposed payment of such Defaulted Interest and the Special Record Date therefor to be mailed, first-class postage prepaid, to each Holder of Securities of such series at his or her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36" w:lineRule="auto"/>
        <w:tabs>
          <w:tab w:leader="none" w:pos="1951" w:val="left"/>
        </w:tabs>
        <w:numPr>
          <w:ilvl w:val="0"/>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Issuer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Issuer to the Trustee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101" w:name="page102"/>
    <w:bookmarkEnd w:id="101"/>
    <w:p>
      <w:pPr>
        <w:ind w:left="660"/>
        <w:spacing w:after="0" w:line="236" w:lineRule="auto"/>
        <w:rPr>
          <w:sz w:val="20"/>
          <w:szCs w:val="20"/>
          <w:color w:val="auto"/>
        </w:rPr>
      </w:pPr>
      <w:r>
        <w:rPr>
          <w:rFonts w:ascii="Times New Roman" w:cs="Times New Roman" w:eastAsia="Times New Roman" w:hAnsi="Times New Roman"/>
          <w:sz w:val="22"/>
          <w:szCs w:val="22"/>
          <w:color w:val="auto"/>
        </w:rPr>
        <w:t>Securities of such series of the proposed payment pursuant to this clause, such manner of payment shall be deemed practicable by such Trustee.</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308.</w:t>
      </w:r>
      <w:r>
        <w:rPr>
          <w:sz w:val="20"/>
          <w:szCs w:val="20"/>
          <w:color w:val="auto"/>
        </w:rPr>
        <w:tab/>
      </w:r>
      <w:r>
        <w:rPr>
          <w:rFonts w:ascii="Times New Roman" w:cs="Times New Roman" w:eastAsia="Times New Roman" w:hAnsi="Times New Roman"/>
          <w:sz w:val="21"/>
          <w:szCs w:val="21"/>
          <w:u w:val="single" w:color="auto"/>
          <w:color w:val="auto"/>
        </w:rPr>
        <w:t>Persons Deemed Owners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Prior to due presentment of a Security for registration of transfer, the Issuer, the Guarantors, the Trustee for such Security and any agent of the Issuer, such Guarantors or such Trustee may treat the person in whose name such Security is registered as the owner of such Security for the purpose of receiving payment of principal of (and premium, if any, on) and (subject to Section</w:t>
      </w:r>
    </w:p>
    <w:p>
      <w:pPr>
        <w:spacing w:after="0" w:line="3" w:lineRule="exact"/>
        <w:rPr>
          <w:sz w:val="20"/>
          <w:szCs w:val="20"/>
          <w:color w:val="auto"/>
        </w:rPr>
      </w:pPr>
    </w:p>
    <w:p>
      <w:pPr>
        <w:jc w:val="both"/>
        <w:ind w:firstLine="8"/>
        <w:spacing w:after="0" w:line="252" w:lineRule="auto"/>
        <w:tabs>
          <w:tab w:leader="none" w:pos="4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if any, on such Security and for all other purposes whatsoever, whether or not such Security be overdue, and none of the Issuer, such Guarantors, such Trustee or any agent of the Issuer, such Guarantors or such Trustee shall be affected by notice to the contrary.</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the foregoing, with respect to any Global Security, nothing herein shall prevent the Issuer, the Guarantors, the Trustee for such Security, or any agent of any of the foregoing,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309.</w:t>
      </w:r>
      <w:r>
        <w:rPr>
          <w:sz w:val="20"/>
          <w:szCs w:val="20"/>
          <w:color w:val="auto"/>
        </w:rPr>
        <w:tab/>
      </w:r>
      <w:r>
        <w:rPr>
          <w:rFonts w:ascii="Times New Roman" w:cs="Times New Roman" w:eastAsia="Times New Roman" w:hAnsi="Times New Roman"/>
          <w:sz w:val="21"/>
          <w:szCs w:val="21"/>
          <w:u w:val="single" w:color="auto"/>
          <w:color w:val="auto"/>
        </w:rPr>
        <w:t>Cancellation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All Securities surrendered for payment, redemption, registration of transfer or exchange or for credit against any sinking fund payment shall, if surrendered to any person other than the Trustee for such Securities, be delivered to such Trustee and shall be promptly cancelled by it. The Issuer or the Guarantors may at any time deliver to such Trustee for cancellation any Securities previously authenticated and delivered hereunder which the Issuer or such Guarantors may have acquired in any manner whatsoever, and all Securities so delivered shall be promptly cancelled by such Trustee. No Securities shall be authenticated in lieu of or in exchange for any Securities cancelled as provided in this Section, except as expressly permitted by this Indenture. All cancelled Securities held by such Trustee shall be disposed of in accordance with such Trustee’s customary practices.</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310.</w:t>
      </w:r>
      <w:r>
        <w:rPr>
          <w:sz w:val="20"/>
          <w:szCs w:val="20"/>
          <w:color w:val="auto"/>
        </w:rPr>
        <w:tab/>
      </w:r>
      <w:r>
        <w:rPr>
          <w:rFonts w:ascii="Times New Roman" w:cs="Times New Roman" w:eastAsia="Times New Roman" w:hAnsi="Times New Roman"/>
          <w:sz w:val="21"/>
          <w:szCs w:val="21"/>
          <w:u w:val="single" w:color="auto"/>
          <w:color w:val="auto"/>
        </w:rPr>
        <w:t>Computation of 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Except as otherwise specified as contemplated by Section 301 for Securities of any particular series, interest, if any, on the Securities of each series shall be computed on the basis of a year of twelve 30-day months.</w:t>
      </w:r>
    </w:p>
    <w:p>
      <w:pPr>
        <w:spacing w:after="0" w:line="13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311.</w:t>
      </w:r>
      <w:r>
        <w:rPr>
          <w:sz w:val="20"/>
          <w:szCs w:val="20"/>
          <w:color w:val="auto"/>
        </w:rPr>
        <w:tab/>
      </w:r>
      <w:r>
        <w:rPr>
          <w:rFonts w:ascii="Times New Roman" w:cs="Times New Roman" w:eastAsia="Times New Roman" w:hAnsi="Times New Roman"/>
          <w:sz w:val="21"/>
          <w:szCs w:val="21"/>
          <w:u w:val="single" w:color="auto"/>
          <w:color w:val="auto"/>
        </w:rPr>
        <w:t>CUSIP Numbers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102" w:name="page103"/>
    <w:bookmarkEnd w:id="102"/>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The Issuer in issuing the Securities may use “CUSIP” numbers (if then generally in use), and, if so, the Trustee for such Securities shall use “CUSIP” numbers in notices of redemption as a convenience to Holders of such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promptly notify the Trustee in writing of any change in the “CUSIP” numbers.</w:t>
      </w:r>
    </w:p>
    <w:p>
      <w:pPr>
        <w:spacing w:after="0" w:line="14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010000"/>
        </w:rPr>
        <w:t>Article 4</w:t>
      </w:r>
    </w:p>
    <w:p>
      <w:pPr>
        <w:ind w:left="3960"/>
        <w:spacing w:after="0"/>
        <w:rPr>
          <w:sz w:val="20"/>
          <w:szCs w:val="20"/>
          <w:color w:val="auto"/>
        </w:rPr>
      </w:pPr>
      <w:r>
        <w:rPr>
          <w:rFonts w:ascii="Times New Roman" w:cs="Times New Roman" w:eastAsia="Times New Roman" w:hAnsi="Times New Roman"/>
          <w:sz w:val="22"/>
          <w:szCs w:val="22"/>
          <w:color w:val="auto"/>
        </w:rPr>
        <w:t>SATISFACTION AND DISCHARGE</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401.</w:t>
      </w:r>
      <w:r>
        <w:rPr>
          <w:sz w:val="20"/>
          <w:szCs w:val="20"/>
          <w:color w:val="auto"/>
        </w:rPr>
        <w:tab/>
      </w:r>
      <w:r>
        <w:rPr>
          <w:rFonts w:ascii="Times New Roman" w:cs="Times New Roman" w:eastAsia="Times New Roman" w:hAnsi="Times New Roman"/>
          <w:sz w:val="21"/>
          <w:szCs w:val="21"/>
          <w:u w:val="single" w:color="auto"/>
          <w:color w:val="auto"/>
        </w:rPr>
        <w:t>Satisfaction and Discharge of Indenture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Indenture shall upon Company Request cease to be of further effect with respect to any series of Securities specified therein (except as to any surviving rights of registration of transfer or exchange of Securities herein expressly provided for), and the Trustee for the Securities of such series, at the expense of the Issuer, shall execute proper instruments acknowledging satisfaction and discharge of this Indenture, when:</w:t>
      </w:r>
    </w:p>
    <w:p>
      <w:pPr>
        <w:spacing w:after="0" w:line="149" w:lineRule="exact"/>
        <w:rPr>
          <w:sz w:val="20"/>
          <w:szCs w:val="20"/>
          <w:color w:val="auto"/>
        </w:rPr>
      </w:pPr>
    </w:p>
    <w:p>
      <w:pPr>
        <w:ind w:left="1940" w:hanging="636"/>
        <w:spacing w:after="0"/>
        <w:tabs>
          <w:tab w:leader="none" w:pos="1940"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either:</w:t>
      </w:r>
    </w:p>
    <w:p>
      <w:pPr>
        <w:spacing w:after="0" w:line="179" w:lineRule="exact"/>
        <w:rPr>
          <w:rFonts w:ascii="Times New Roman" w:cs="Times New Roman" w:eastAsia="Times New Roman" w:hAnsi="Times New Roman"/>
          <w:sz w:val="22"/>
          <w:szCs w:val="22"/>
          <w:color w:val="010000"/>
        </w:rPr>
      </w:pPr>
    </w:p>
    <w:p>
      <w:pPr>
        <w:jc w:val="both"/>
        <w:ind w:left="1300" w:firstLine="652"/>
        <w:spacing w:after="0" w:line="217" w:lineRule="auto"/>
        <w:tabs>
          <w:tab w:leader="none" w:pos="2585"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Securities of such series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Issuer and thereafter repaid to the Issuer, or discharged from such trust, as provided in Section 1003) have been delivered to the Trustee for the Securities of such series for cancellation; or</w:t>
      </w:r>
    </w:p>
    <w:p>
      <w:pPr>
        <w:spacing w:after="0" w:line="13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such Securities not theretofore delivered to the Trustee for the Securities of such series for</w:t>
      </w:r>
    </w:p>
    <w:p>
      <w:pPr>
        <w:ind w:left="13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cancellation:</w:t>
      </w:r>
    </w:p>
    <w:p>
      <w:pPr>
        <w:spacing w:after="0" w:line="155" w:lineRule="exact"/>
        <w:rPr>
          <w:rFonts w:ascii="Times New Roman" w:cs="Times New Roman" w:eastAsia="Times New Roman" w:hAnsi="Times New Roman"/>
          <w:sz w:val="22"/>
          <w:szCs w:val="22"/>
          <w:color w:val="010000"/>
        </w:rPr>
      </w:pPr>
    </w:p>
    <w:p>
      <w:pPr>
        <w:ind w:left="3240" w:hanging="640"/>
        <w:spacing w:after="0"/>
        <w:tabs>
          <w:tab w:leader="none" w:pos="3240" w:val="left"/>
        </w:tabs>
        <w:numPr>
          <w:ilvl w:val="2"/>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have become due and payable; or</w:t>
      </w:r>
    </w:p>
    <w:p>
      <w:pPr>
        <w:spacing w:after="0" w:line="179" w:lineRule="exact"/>
        <w:rPr>
          <w:rFonts w:ascii="Times New Roman" w:cs="Times New Roman" w:eastAsia="Times New Roman" w:hAnsi="Times New Roman"/>
          <w:sz w:val="22"/>
          <w:szCs w:val="22"/>
          <w:color w:val="010000"/>
        </w:rPr>
      </w:pPr>
    </w:p>
    <w:p>
      <w:pPr>
        <w:ind w:left="3240" w:hanging="640"/>
        <w:spacing w:after="0"/>
        <w:tabs>
          <w:tab w:leader="none" w:pos="3240" w:val="left"/>
        </w:tabs>
        <w:numPr>
          <w:ilvl w:val="2"/>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will become due and payable at their Stated Maturity within one year; or</w:t>
      </w:r>
    </w:p>
    <w:p>
      <w:pPr>
        <w:spacing w:after="0" w:line="179" w:lineRule="exact"/>
        <w:rPr>
          <w:rFonts w:ascii="Times New Roman" w:cs="Times New Roman" w:eastAsia="Times New Roman" w:hAnsi="Times New Roman"/>
          <w:sz w:val="22"/>
          <w:szCs w:val="22"/>
          <w:color w:val="010000"/>
        </w:rPr>
      </w:pPr>
    </w:p>
    <w:p>
      <w:pPr>
        <w:jc w:val="both"/>
        <w:ind w:left="1960" w:firstLine="640"/>
        <w:spacing w:after="0" w:line="225" w:lineRule="auto"/>
        <w:tabs>
          <w:tab w:leader="none" w:pos="3256" w:val="left"/>
        </w:tabs>
        <w:numPr>
          <w:ilvl w:val="2"/>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are to be called for redemption within one year under arrangements reasonably satisfactory to such Trustee for the giving of notice of redemption by such Trustee in the name, and at the expense, of the Issuer; or</w:t>
      </w:r>
    </w:p>
    <w:p>
      <w:pPr>
        <w:spacing w:after="0" w:line="152" w:lineRule="exact"/>
        <w:rPr>
          <w:rFonts w:ascii="Times New Roman" w:cs="Times New Roman" w:eastAsia="Times New Roman" w:hAnsi="Times New Roman"/>
          <w:sz w:val="22"/>
          <w:szCs w:val="22"/>
          <w:color w:val="010000"/>
        </w:rPr>
      </w:pPr>
    </w:p>
    <w:p>
      <w:pPr>
        <w:ind w:left="3240" w:hanging="640"/>
        <w:spacing w:after="0"/>
        <w:tabs>
          <w:tab w:leader="none" w:pos="3240" w:val="left"/>
        </w:tabs>
        <w:numPr>
          <w:ilvl w:val="2"/>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are deemed paid and discharged pursuant to Section 403, as applicable,</w:t>
      </w:r>
    </w:p>
    <w:p>
      <w:pPr>
        <w:spacing w:after="0" w:line="206"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21"/>
          <w:szCs w:val="21"/>
          <w:color w:val="auto"/>
        </w:rPr>
        <w:t>and the Issuer, in the case of (i), (ii) or (iii) above, has deposited or caused to be deposited with the Trustee for the Securities of such series as trust funds in trust for the purpose an amount of (a) money, or (b) in the case of (ii) or</w:t>
      </w:r>
    </w:p>
    <w:p>
      <w:pPr>
        <w:spacing w:after="0" w:line="2" w:lineRule="exact"/>
        <w:rPr>
          <w:sz w:val="20"/>
          <w:szCs w:val="20"/>
          <w:color w:val="auto"/>
        </w:rPr>
      </w:pPr>
    </w:p>
    <w:p>
      <w:pPr>
        <w:ind w:left="1680" w:hanging="376"/>
        <w:spacing w:after="0"/>
        <w:tabs>
          <w:tab w:leader="none" w:pos="16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(except as provided in an indenture supplemental hereto) if no Securities of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103" w:name="page104"/>
    <w:bookmarkEnd w:id="103"/>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series Outstanding are subject to repurchase at the option of Holders, (I) U.S. Government Obligations which through the payment of interest and principal in respect thereof in accordance with their terms will provide not later than one day before the Stated Maturity or Redemption Date, as the case may be, money in an amount, or (II) a combination of money or U.S. Government Obligations as provided in (I) above, in each case sufficient (if U.S. Government Obligations, as certified in the opinion of a nationally recognized firm of independent certified public accountants) to pay and discharge the entire indebtedness on such Securities not theretofore delivered to such Trustee for cancellation, for principal (and premium, if any) and interest, if any, to the date of such deposit (in the case of Securities which have become due and payable) or to the Stated Maturity or Redemption Date, as the case may be;</w:t>
      </w:r>
    </w:p>
    <w:p>
      <w:pPr>
        <w:spacing w:after="0" w:line="153" w:lineRule="exact"/>
        <w:rPr>
          <w:sz w:val="20"/>
          <w:szCs w:val="20"/>
          <w:color w:val="auto"/>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has paid or caused to be paid all other sums payable hereunder by the Issuer; and</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has delivered to the Trustee for the Securities of such series an Officer’s Certificate and an Opinion of Counsel, each stating that all conditions precedent herein provided for relating to the satisfaction and discharge of this Indenture have been complied with.</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Notwithstanding the satisfaction and discharge of this Indenture, the obligations of the Issuer to the Trustee of the Securities of each series under Section 607, the obligations of the Issuer to any Authenticating Agent under Section 614 and, if money or U.S. Government Obligations shall have been deposited with the Trustee of the Securities of any series pursuant to subclause (B) of clause (1) of this Section or if money or U.S. Government Obligations shall have been deposited with or received by the Trustee of the Securities of any series pursuant to Section 403, the rights and obligations of such Trustee under Section 402 and the last paragraph of Section 1003 shall survive.</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402.</w:t>
      </w:r>
      <w:r>
        <w:rPr>
          <w:sz w:val="20"/>
          <w:szCs w:val="20"/>
          <w:color w:val="auto"/>
        </w:rPr>
        <w:tab/>
      </w:r>
      <w:r>
        <w:rPr>
          <w:rFonts w:ascii="Times New Roman" w:cs="Times New Roman" w:eastAsia="Times New Roman" w:hAnsi="Times New Roman"/>
          <w:sz w:val="21"/>
          <w:szCs w:val="21"/>
          <w:u w:val="single" w:color="auto"/>
          <w:color w:val="auto"/>
        </w:rPr>
        <w:t>Application of Trust Money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2" w:lineRule="auto"/>
        <w:tabs>
          <w:tab w:leader="none" w:pos="1293"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the provisions of the last paragraph of Section 1003, all money or U.S. Government Obligations deposited with the Trustee of a particular series of Securities pursuant to Section 401, 403 or 1006 and all money received by the Trustee of a particular series of Securities in respect of U.S. Government Obligations deposited with the Trustee of that series of Securities pursuant to Section 401, 403 or 1006, shall be held in trust and applied by it, in accordance with the provisions of the Securities and this Indenture, to the payment, either directly or through any Paying Agent (including the Issuer acting as its own Paying Agent) as such Trustee may determine, to the persons entitled thereto, of the principal (and premium, if any) and interest, if any, for whose payment such money has been deposited with or received by such Trustee or to make mandatory sinking fund payments or analogous payments as contemplated by Section 401, 403 or 1006.</w:t>
      </w:r>
    </w:p>
    <w:p>
      <w:pPr>
        <w:spacing w:after="0" w:line="156"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shall pay and shall indemnify the Trustee of each series of Securities against any tax, fee, or other charge imposed on or assessed against U.S. Government Obligations deposited pursuant to Section 401, 403 or 1006 or the interest and principal received in respect of such obligations other than any payable by or on behalf of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104" w:name="page105"/>
    <w:bookmarkEnd w:id="104"/>
    <w:p>
      <w:pPr>
        <w:jc w:val="both"/>
        <w:ind w:firstLine="656"/>
        <w:spacing w:after="0" w:line="215" w:lineRule="auto"/>
        <w:tabs>
          <w:tab w:leader="none" w:pos="1293"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of each series of Securities shall deliver or pay to the Issuer from time to time upon Company Request any U.S. Government Obligations or money held by it as provided in Section 401, 403 or 1006 which, in the opinion of a nationally recognized firm of independent certified public accountants expressed in a written certification thereof delivered to such Trustee, are then in excess of the amount thereof which then would have been required to be deposited for the purpose for which such U.S. Government Obligations or money was deposited or received. This provision shall not authorize the sale by such Trustee of any U.S. Government Obligations held under this Indenture.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403.</w:t>
      </w:r>
      <w:r>
        <w:rPr>
          <w:sz w:val="20"/>
          <w:szCs w:val="20"/>
          <w:color w:val="auto"/>
        </w:rPr>
        <w:tab/>
      </w:r>
      <w:r>
        <w:rPr>
          <w:rFonts w:ascii="Times New Roman" w:cs="Times New Roman" w:eastAsia="Times New Roman" w:hAnsi="Times New Roman"/>
          <w:sz w:val="21"/>
          <w:szCs w:val="21"/>
          <w:u w:val="single" w:color="auto"/>
          <w:color w:val="auto"/>
        </w:rPr>
        <w:t>Satisfaction, Discharge and Defeasance of Securities of any Series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color w:val="auto"/>
        </w:rPr>
        <w:t>The Issuer and the Guarantors shall be deemed to have paid and discharged the entire indebtedness on all the Outstanding Securities of any series and the Guarantees, respectively, on the 91st day after the date of the deposit referred to in subparagraph</w:t>
      </w:r>
    </w:p>
    <w:p>
      <w:pPr>
        <w:spacing w:after="0" w:line="2" w:lineRule="exact"/>
        <w:rPr>
          <w:sz w:val="20"/>
          <w:szCs w:val="20"/>
          <w:color w:val="auto"/>
        </w:rPr>
      </w:pPr>
    </w:p>
    <w:p>
      <w:pPr>
        <w:jc w:val="both"/>
        <w:ind w:firstLine="8"/>
        <w:spacing w:after="0" w:line="252" w:lineRule="auto"/>
        <w:tabs>
          <w:tab w:leader="none" w:pos="30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proviso hereof, and the provisions of this Indenture, as it relates to such Outstanding Securities of such series and the Guarantees, respectively, shall no longer be in effect (and the Trustee for the Securities of such series, at the expense of the Issuer or the Guarantors, shall at Company Request execute proper instruments acknowledging the same), except as to:</w:t>
      </w:r>
    </w:p>
    <w:p>
      <w:pPr>
        <w:spacing w:after="0" w:line="14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rights of Holders of Securities of such series to receive, from the trust funds described in subparagraph</w:t>
      </w:r>
    </w:p>
    <w:p>
      <w:pPr>
        <w:jc w:val="both"/>
        <w:ind w:left="660" w:hanging="4"/>
        <w:spacing w:after="0" w:line="211" w:lineRule="auto"/>
        <w:tabs>
          <w:tab w:leader="none" w:pos="97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proviso hereof, (i) payment of the principal of (and premium, if any, on) and each installment of principal of (and premium, if any, on) or interest, if any, on the Outstanding Securities of such series on the Stated Maturity of such principal or installment of principal or interest or to, but excluding, the Redemption Date irrevocably designated by the Issuer pursuant to subparagraph (e) to the proviso hereof and (ii) the benefit of any mandatory sinking fund payments applicable to the Securities of such series on the day on which such payments are due and payable in accordance with the terms of this Indenture and the Securities of such series;</w:t>
      </w:r>
    </w:p>
    <w:p>
      <w:pPr>
        <w:spacing w:after="0" w:line="153"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1" w:val="left"/>
        </w:tabs>
        <w:numPr>
          <w:ilvl w:val="2"/>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Issuer’s obligations with respect to such Securities of such series under Sections 305, 306, and 1002 and, if the Issuer shall have irrevocably designated a Redemption Date pursuant to subparagraph (e) to the proviso hereof, Sections 1101, 1104 and 1106 as they apply to such Redemption Date;</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2"/>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Issuer’s obligations with respect to the Trustee for Securities of such series under Section 607; and</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2"/>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rights, powers, trust and immunities of such Trustee hereunder and the duties of such Trustee under Section 402 and, if the Issuer shall have irrevocably designated a Redemption Date pursuant to subparagraph (e) to the proviso hereof, Article Eleven and the duty of such Trustee to authenticate Securities of such series on registration of transfer or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following conditions shall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-13970</wp:posOffset>
            </wp:positionV>
            <wp:extent cx="34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3" w:lineRule="exact"/>
        <w:rPr>
          <w:sz w:val="20"/>
          <w:szCs w:val="20"/>
          <w:color w:val="auto"/>
        </w:rPr>
      </w:pPr>
    </w:p>
    <w:p>
      <w:pPr>
        <w:jc w:val="both"/>
        <w:ind w:left="660" w:firstLine="644"/>
        <w:spacing w:after="0" w:line="222" w:lineRule="auto"/>
        <w:tabs>
          <w:tab w:leader="none" w:pos="1953" w:val="left"/>
        </w:tabs>
        <w:numPr>
          <w:ilvl w:val="1"/>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Issuer has deposited or caused to be irrevocably deposited (except as provided in Section 402(c) and the last paragraph of Section 1003) with such Trustee as trust funds in trust, specifically pledged as security for, and dedicated solely to, the benefit of the Trustee and the Holders of the Securities of such series, (i) money in an amount, or</w:t>
      </w:r>
    </w:p>
    <w:p>
      <w:pPr>
        <w:spacing w:after="0" w:line="1" w:lineRule="exact"/>
        <w:rPr>
          <w:rFonts w:ascii="Times New Roman" w:cs="Times New Roman" w:eastAsia="Times New Roman" w:hAnsi="Times New Roman"/>
          <w:sz w:val="21"/>
          <w:szCs w:val="21"/>
          <w:color w:val="010000"/>
        </w:rPr>
      </w:pPr>
    </w:p>
    <w:p>
      <w:pPr>
        <w:jc w:val="both"/>
        <w:ind w:left="660" w:hanging="4"/>
        <w:spacing w:after="0" w:line="218" w:lineRule="auto"/>
        <w:tabs>
          <w:tab w:leader="none" w:pos="98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a supplemental indenture with respect to such series) if Securities of such series are not subject to repurchase at the option of Holders, (A) U.S. Government Obligations which through the payment of interest and principal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5" w:right="339" w:bottom="1440" w:gutter="0" w:footer="0" w:header="0"/>
        </w:sectPr>
      </w:pPr>
    </w:p>
    <w:bookmarkStart w:id="105" w:name="page106"/>
    <w:bookmarkEnd w:id="105"/>
    <w:p>
      <w:pPr>
        <w:jc w:val="both"/>
        <w:ind w:left="660"/>
        <w:spacing w:after="0" w:line="222" w:lineRule="auto"/>
        <w:rPr>
          <w:sz w:val="20"/>
          <w:szCs w:val="20"/>
          <w:color w:val="auto"/>
        </w:rPr>
      </w:pPr>
      <w:r>
        <w:rPr>
          <w:rFonts w:ascii="Times New Roman" w:cs="Times New Roman" w:eastAsia="Times New Roman" w:hAnsi="Times New Roman"/>
          <w:sz w:val="21"/>
          <w:szCs w:val="21"/>
          <w:color w:val="auto"/>
        </w:rPr>
        <w:t>respect thereof in accordance with their terms will provide not later than one day before the due date of any payment referred to in clause (x) or (y) of this subparagraph (a) money in an amount or (B) a combination thereof, sufficient, in the opinion of a nationally recognized firm of independent certified public accountants expressed in a written certification thereof delivered to such Trustee, to pay and discharge (x) the principal of (and premium, if any, on) and each installment of principal of (and premium, if any, on) and interest, if any, on the Outstanding Securities of such series on the Stated Maturity of such principal or installment of principal or interest or to, but excluding, the Redemption Date irrevocably designated by the Issuer pursuant to subparagraph (e) hereof, (y) any mandatory sinking fund payments applicable to the Securities of such series on the day on which such payments are due and payable in accordance with the terms of the Indenture and of the Securities of such series and (z) the obligations owing to such Trustee;</w:t>
      </w:r>
    </w:p>
    <w:p>
      <w:pPr>
        <w:spacing w:after="0" w:line="150" w:lineRule="exact"/>
        <w:rPr>
          <w:sz w:val="20"/>
          <w:szCs w:val="20"/>
          <w:color w:val="auto"/>
        </w:rPr>
      </w:pPr>
    </w:p>
    <w:p>
      <w:pPr>
        <w:jc w:val="both"/>
        <w:ind w:left="660" w:firstLine="644"/>
        <w:spacing w:after="0" w:line="225" w:lineRule="auto"/>
        <w:tabs>
          <w:tab w:leader="none" w:pos="1951"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has delivered to such Trustee an Opinion of Counsel to the effect that such provision would not cause any Outstanding Securities of such series then listed on any national securities exchange to be delisted as a result thereof;</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3"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Event of Default or event which with notice or lapse of time would become an Event of Default (including by reason of such deposit) with respect to the Securities of such series shall have occurred and be continuing on the date of such deposit or during the period ending on the 91st day after such date;</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2" w:lineRule="auto"/>
        <w:tabs>
          <w:tab w:leader="none" w:pos="1951"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has delivered to such Trustee an Opinion of Counsel in the U.S. to the effect that (i) the Issuer has received from, or there has been published by the Internal Revenue Service a ruling, or (ii) since the date of this Indenture, there has been a change in the applicable U.S. federal income tax law, in either case, to the effect that, and based thereon such Opinion of Counsel shall confirm that, Holders of the Securities of such series will not recognize income, gain or loss for U.S. federal income tax purposes as a result of such deposit, defeasance and discharge and will be subject to U.S. federal income tax law on the same amounts, in the same manner and at the same time as would have been the case if such deposit, defeasance and discharge had not occurred and that no event of default or default shall have occurred and be continuing; and</w:t>
      </w:r>
    </w:p>
    <w:p>
      <w:pPr>
        <w:spacing w:after="0" w:line="156" w:lineRule="exact"/>
        <w:rPr>
          <w:rFonts w:ascii="Times New Roman" w:cs="Times New Roman" w:eastAsia="Times New Roman" w:hAnsi="Times New Roman"/>
          <w:sz w:val="22"/>
          <w:szCs w:val="22"/>
          <w:color w:val="010000"/>
        </w:rPr>
      </w:pPr>
    </w:p>
    <w:p>
      <w:pPr>
        <w:jc w:val="both"/>
        <w:ind w:left="660" w:firstLine="644"/>
        <w:spacing w:after="0" w:line="224" w:lineRule="auto"/>
        <w:tabs>
          <w:tab w:leader="none" w:pos="1953"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Issuer has deposited or caused to be deposited money or U.S. Government Obligations to pay or discharge the principal of (and premium, if any, on) and interest, if any, on the Outstanding Securities of a series to, but excluding, a Redemption Date on which all of the Outstanding Securities of such series are to be redeemed, such Redemption Date shall be irrevocably designated by a Board Resolution of the Issuer delivered to such Trustee on or prior to the date of deposit of such money or U.S. Government Obligations, and such Board Resolution shall be accompanied by an irrevocable Company Request that such Trustee give notice of such redemption in the name and at the expense of the Issuer and not less than 15 nor more than 60 days prior to such Redemption Date in accordance with Section 1104.</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404.</w:t>
      </w:r>
      <w:r>
        <w:rPr>
          <w:sz w:val="20"/>
          <w:szCs w:val="20"/>
          <w:color w:val="auto"/>
        </w:rPr>
        <w:tab/>
      </w:r>
      <w:r>
        <w:rPr>
          <w:rFonts w:ascii="Times New Roman" w:cs="Times New Roman" w:eastAsia="Times New Roman" w:hAnsi="Times New Roman"/>
          <w:sz w:val="21"/>
          <w:szCs w:val="21"/>
          <w:u w:val="single" w:color="auto"/>
          <w:color w:val="auto"/>
        </w:rPr>
        <w:t>Reinstatement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the Trustee of the Securities of any series or any Paying Agent is unable to apply any money in accordance with Section 402 by reason of any order or judgment of any court or governmental authority enjoining, restraining or otherwise prohibiting such application, then the obligations of the Issuer and the Guarantors under this Indenture and such Securities and any related coupons and the Guarantees shall be revived and reinstated as though no deposit had occurred pursuant to Section 403 or Section 1006, as the case may be, until such time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5" w:right="339" w:bottom="1440" w:gutter="0" w:footer="0" w:header="0"/>
        </w:sectPr>
      </w:pPr>
    </w:p>
    <w:bookmarkStart w:id="106" w:name="page107"/>
    <w:bookmarkEnd w:id="106"/>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Trustee or Paying Agent is permitted to apply all such money in accordance with Section 402;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Issuer makes any payment of principal of (or premium, if any, on) or interest, if any, on any such Security or any related coupon following the reinstatement of its obligations, the Issuer shall be subrogated to the rights of the Holders of such Securities and any related coupons to receive such payment from the money held by such Trustee or Paying Agent.</w:t>
      </w:r>
    </w:p>
    <w:p>
      <w:pPr>
        <w:spacing w:after="0" w:line="13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010000"/>
        </w:rPr>
        <w:t>Article 5</w:t>
      </w:r>
    </w:p>
    <w:p>
      <w:pPr>
        <w:jc w:val="center"/>
        <w:spacing w:after="0"/>
        <w:rPr>
          <w:sz w:val="20"/>
          <w:szCs w:val="20"/>
          <w:color w:val="auto"/>
        </w:rPr>
      </w:pPr>
      <w:r>
        <w:rPr>
          <w:rFonts w:ascii="Times New Roman" w:cs="Times New Roman" w:eastAsia="Times New Roman" w:hAnsi="Times New Roman"/>
          <w:sz w:val="22"/>
          <w:szCs w:val="22"/>
          <w:color w:val="auto"/>
        </w:rPr>
        <w:t>REMEDIES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Unless otherwise indicated for a particular series of Securities, supplemental indenture or provided in or pursuant to a Board Resolution or Officer’s Certificate,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wherever used herein with respect to Securities of a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52" w:lineRule="exact"/>
        <w:rPr>
          <w:sz w:val="20"/>
          <w:szCs w:val="20"/>
          <w:color w:val="auto"/>
        </w:rPr>
      </w:pPr>
    </w:p>
    <w:p>
      <w:pPr>
        <w:jc w:val="both"/>
        <w:ind w:left="660" w:firstLine="644"/>
        <w:spacing w:after="0" w:line="225" w:lineRule="auto"/>
        <w:tabs>
          <w:tab w:leader="none" w:pos="1951"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default in the payment of any interest on any Security of that series when it becomes due and payable and continuance of such default for a period of 30 days (subject to the deferral of any interest payment in the case of an extension period); or</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default in the payment of the principal of (or premium, if any, on) any Security of that series when due either at its Maturity, upon redemption, upon acceleration or otherwise; or</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default in the payment of any sinking fund installment, when and as due by the terms of a Security of that series, and continuance of such default for a period of 30 days; or</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12" w:lineRule="auto"/>
        <w:tabs>
          <w:tab w:leader="none" w:pos="1951"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default in the performance, or breach, of any covenant or warranty of the Issuer or any Guarantor of the Securities of such series in this Indenture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90 days after there has been given, by registered or certified mail, to the Issuer or such Guarantor by the Trustee for the Securities of such series or to the Issuer or such Guarantor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56" w:lineRule="exact"/>
        <w:rPr>
          <w:rFonts w:ascii="Times New Roman" w:cs="Times New Roman" w:eastAsia="Times New Roman" w:hAnsi="Times New Roman"/>
          <w:sz w:val="22"/>
          <w:szCs w:val="22"/>
          <w:color w:val="010000"/>
        </w:rPr>
      </w:pPr>
    </w:p>
    <w:p>
      <w:pPr>
        <w:jc w:val="both"/>
        <w:ind w:left="660" w:firstLine="644"/>
        <w:spacing w:after="0" w:line="213" w:lineRule="auto"/>
        <w:tabs>
          <w:tab w:leader="none" w:pos="1951"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entry by a court having jurisdiction in the premises of (A) a decree or order for relief in respect of the Issuer or any Guarantor of the Securities of such series in an involuntary case or proceeding under any applicable United States federal or state, Bermuda or Irish bankruptcy, insolvency, reorganization, examinership or other similar law or (B) a decree or order adjudging the Issuer or any Guarantor of the Securities of such series as bankrupt or insolvent, or approving as properly filed a petition seeking reorganization, arrangement, adjustment, examinership or composition of or in respect of the Issuer or any such Guarantor under any applicable United States federal or state, Bermuda or Irish law, or appointing a custodian, receiver, liquidator, assignee,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107" w:name="page108"/>
    <w:bookmarkEnd w:id="107"/>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sequestrator or other similar official of the Issuer or any such Guarantor or of any substantial part of their respective properties, or ordering the winding up or liquidation of its affairs, and the continuance of any such decree or order for relief or any such other decree or order unstayed and in effect for a period of 90 consecutive days; or</w:t>
      </w:r>
    </w:p>
    <w:p>
      <w:pPr>
        <w:spacing w:after="0" w:line="153" w:lineRule="exact"/>
        <w:rPr>
          <w:sz w:val="20"/>
          <w:szCs w:val="20"/>
          <w:color w:val="auto"/>
        </w:rPr>
      </w:pPr>
    </w:p>
    <w:p>
      <w:pPr>
        <w:jc w:val="both"/>
        <w:ind w:left="660" w:firstLine="644"/>
        <w:spacing w:after="0" w:line="209" w:lineRule="auto"/>
        <w:tabs>
          <w:tab w:leader="none" w:pos="1951"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commencement by the Issuer or any Guarantor of the Securities of such series of a voluntary case or proceeding under any applicable United States federal or state, Bermuda or Irish bankruptcy, insolvency, reorganization, examinership or other similar law or of any other case or proceeding to be adjudicated as bankrupt or insolvent, or the consent by such Issuer or such Guarantor to the entry of a decree or order for relief in respect of such Issuer or such Guarantor, respectively, in an involuntary case or proceeding under any applicable United States federal or state, Bermuda or Irish bankruptcy, insolvency, reorganization, examinership or other similar law or to the commencement of any bankruptcy or insolvency case or proceeding against such Issuer or such Guarantor, or the filing by such Issuer or such Guarantor of a petition or answer or consent seeking reorganization or relief under any applicable United States federal or state, Bermuda or Irish law, or the consent by such Issuer or such Guarantor to the filing of such petition or to the appointment of or taking possession by a custodian, receiver, liquidator, assignee, trustee, sequestrator or similar official of such Issuer or such Guarantor or of any substantial part of their respective properties, or the making by such Issuer or such Guarantor of an assignment for the benefit of creditors, or the admission by such Issuer or such Guarantor in writing of its inability to pay its debts generally as they become due, or the taking of corporate action by such Issuer or such Guarantor in furtherance of any such action; or</w:t>
      </w:r>
    </w:p>
    <w:p>
      <w:pPr>
        <w:spacing w:after="0" w:line="155"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guarantee of the Securities of that series shall for any reason cease to be, or shall for any reason be asserted in writing by the Issuer or any Guarantor of the Securities of such series not to be, in full force and effect and enforceable in accordance with its terms except to the extent contemplated by this Indenture and such Guarantee; or</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other Event of Default provided in the supplemental indenture or provided in or pursuant to a Board Resolution or Officer’s Certificate of the Issuer, under which such series of Securities is issued or in the form of Security for such series.</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502.</w:t>
      </w:r>
      <w:r>
        <w:rPr>
          <w:sz w:val="20"/>
          <w:szCs w:val="20"/>
          <w:color w:val="auto"/>
        </w:rPr>
        <w:tab/>
      </w:r>
      <w:r>
        <w:rPr>
          <w:rFonts w:ascii="Times New Roman" w:cs="Times New Roman" w:eastAsia="Times New Roman" w:hAnsi="Times New Roman"/>
          <w:sz w:val="21"/>
          <w:szCs w:val="21"/>
          <w:u w:val="single" w:color="auto"/>
          <w:color w:val="auto"/>
        </w:rPr>
        <w:t>Acceleration of Maturity; Rescission and Annulment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Section 501(5) or 501(6)) with respect to Securities of any series at the time Outstanding occurs and is continuing, then in every such case the Trustee for the Securities of such series or the Holders of not less than 25% in aggregate principal amount of the Outstanding Securities of that series may declare the principal amount (or, if the Securities of that series are Original Issue Discount Securities, such portion of the principal amount as may be specified in the terms of that series) of all of the Securities of that series to be due and payable immediately, by a notice in writing to the Issuer (and to such Trustee if given by Holders), and upon any such declaration such principal amount (or specified amount) shall become immediately due and payable. If an Event of Default specified in Section 501(5) or 501(6)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such Trustee or any Holder, become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108" w:name="page109"/>
    <w:bookmarkEnd w:id="108"/>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At any time after such a declaration of acceleration with respect to Securities of any series has been made and before a judgment or decree for payment of the money due has been obtained by the Trustee for the Securities of such series as hereinafter in this Article Five provided, the Holders of a majority in aggregate principal amount of the Outstanding Securities of that series, by written notice to the Issuer and such Trustee, may rescind and annul such declaration and its consequences if:</w:t>
      </w:r>
    </w:p>
    <w:p>
      <w:pPr>
        <w:spacing w:after="0" w:line="149" w:lineRule="exact"/>
        <w:rPr>
          <w:sz w:val="20"/>
          <w:szCs w:val="20"/>
          <w:color w:val="auto"/>
        </w:rPr>
      </w:pPr>
    </w:p>
    <w:p>
      <w:pPr>
        <w:ind w:left="1940" w:hanging="636"/>
        <w:spacing w:after="0"/>
        <w:tabs>
          <w:tab w:leader="none" w:pos="1940"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has paid or deposited with such Trustee a sum sufficient to pay,</w:t>
      </w:r>
    </w:p>
    <w:p>
      <w:pPr>
        <w:spacing w:after="0" w:line="17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overdue interest, if any, on all Securities of that series,</w:t>
      </w:r>
    </w:p>
    <w:p>
      <w:pPr>
        <w:spacing w:after="0" w:line="179" w:lineRule="exact"/>
        <w:rPr>
          <w:rFonts w:ascii="Times New Roman" w:cs="Times New Roman" w:eastAsia="Times New Roman" w:hAnsi="Times New Roman"/>
          <w:sz w:val="22"/>
          <w:szCs w:val="22"/>
          <w:color w:val="010000"/>
        </w:rPr>
      </w:pPr>
    </w:p>
    <w:p>
      <w:pPr>
        <w:jc w:val="both"/>
        <w:ind w:left="1300" w:firstLine="652"/>
        <w:spacing w:after="0" w:line="225" w:lineRule="auto"/>
        <w:tabs>
          <w:tab w:leader="none" w:pos="2587" w:val="left"/>
        </w:tabs>
        <w:numPr>
          <w:ilvl w:val="1"/>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principal of (and premium, if any, on) any Securities, of that series which have become due otherwise than by such declaration of acceleration and interest thereon at the rate or rates prescribed therefor in such Securities,</w:t>
      </w:r>
    </w:p>
    <w:p>
      <w:pPr>
        <w:spacing w:after="0" w:line="152" w:lineRule="exact"/>
        <w:rPr>
          <w:rFonts w:ascii="Times New Roman" w:cs="Times New Roman" w:eastAsia="Times New Roman" w:hAnsi="Times New Roman"/>
          <w:sz w:val="22"/>
          <w:szCs w:val="22"/>
          <w:color w:val="010000"/>
        </w:rPr>
      </w:pPr>
    </w:p>
    <w:p>
      <w:pPr>
        <w:ind w:left="1300" w:firstLine="652"/>
        <w:spacing w:after="0" w:line="236" w:lineRule="auto"/>
        <w:tabs>
          <w:tab w:leader="none" w:pos="2587" w:val="left"/>
        </w:tabs>
        <w:numPr>
          <w:ilvl w:val="1"/>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payment of such interest is lawful, interest upon overdue interest at the rate or rates prescribed therefor in such Securities, and</w:t>
      </w:r>
    </w:p>
    <w:p>
      <w:pPr>
        <w:spacing w:after="0" w:line="150" w:lineRule="exact"/>
        <w:rPr>
          <w:rFonts w:ascii="Times New Roman" w:cs="Times New Roman" w:eastAsia="Times New Roman" w:hAnsi="Times New Roman"/>
          <w:sz w:val="22"/>
          <w:szCs w:val="22"/>
          <w:color w:val="010000"/>
        </w:rPr>
      </w:pPr>
    </w:p>
    <w:p>
      <w:pPr>
        <w:ind w:left="1300" w:firstLine="652"/>
        <w:spacing w:after="0" w:line="236" w:lineRule="auto"/>
        <w:tabs>
          <w:tab w:leader="none" w:pos="2585" w:val="left"/>
        </w:tabs>
        <w:numPr>
          <w:ilvl w:val="1"/>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sums paid or advanced by such Trustee hereunder and the compensation, expenses, disbursements and advances of such Trustee, its agents and counsel; and</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Events of Default with respect to Securities of that series, other than the non-payment of the principal of and accrued interest on Securities of that series which have become due solely by such declaration of acceleration, have been cured or waived as provided in Section 513.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such rescission shall affect any subsequent default or impair any right consequent thereon.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503.</w:t>
      </w:r>
      <w:r>
        <w:rPr>
          <w:sz w:val="20"/>
          <w:szCs w:val="20"/>
          <w:color w:val="auto"/>
        </w:rPr>
        <w:tab/>
      </w:r>
      <w:r>
        <w:rPr>
          <w:rFonts w:ascii="Times New Roman" w:cs="Times New Roman" w:eastAsia="Times New Roman" w:hAnsi="Times New Roman"/>
          <w:sz w:val="21"/>
          <w:szCs w:val="21"/>
          <w:u w:val="single" w:color="auto"/>
          <w:color w:val="auto"/>
        </w:rPr>
        <w:t>Collection of Indebtedness and Suits for Enforcement by Trustee</w:t>
      </w:r>
      <w:r>
        <w:rPr>
          <w:rFonts w:ascii="Times New Roman" w:cs="Times New Roman" w:eastAsia="Times New Roman" w:hAnsi="Times New Roman"/>
          <w:sz w:val="21"/>
          <w:szCs w:val="21"/>
          <w:color w:val="auto"/>
        </w:rPr>
        <w:t>. The Issuer covenants that if:</w:t>
      </w:r>
    </w:p>
    <w:p>
      <w:pPr>
        <w:spacing w:after="0" w:line="179" w:lineRule="exact"/>
        <w:rPr>
          <w:sz w:val="20"/>
          <w:szCs w:val="20"/>
          <w:color w:val="auto"/>
        </w:rPr>
      </w:pPr>
    </w:p>
    <w:p>
      <w:pPr>
        <w:ind w:left="660" w:firstLine="644"/>
        <w:spacing w:after="0" w:line="236" w:lineRule="auto"/>
        <w:tabs>
          <w:tab w:leader="none" w:pos="1951"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default is made in the payment of any interest on any Security of a series when such interest becomes due and payable and such default continues for a period of 30 days, or</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default is made in the payment of the principal of (or premium, if any, on) any Security of a series at the Maturity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109" w:name="page110"/>
    <w:bookmarkEnd w:id="109"/>
    <w:p>
      <w:pPr>
        <w:jc w:val="both"/>
        <w:spacing w:after="0" w:line="251" w:lineRule="auto"/>
        <w:rPr>
          <w:sz w:val="20"/>
          <w:szCs w:val="20"/>
          <w:color w:val="auto"/>
        </w:rPr>
      </w:pPr>
      <w:r>
        <w:rPr>
          <w:rFonts w:ascii="Times New Roman" w:cs="Times New Roman" w:eastAsia="Times New Roman" w:hAnsi="Times New Roman"/>
          <w:sz w:val="22"/>
          <w:szCs w:val="22"/>
          <w:color w:val="auto"/>
        </w:rPr>
        <w:t>the Issuer will, upon demand of the Trustee for the Securities of such series, pay to it, for the benefit of the Holders of such Securities, the whole amount then due and payable on such Securities for principal (and premium, if any) and interest, if any, and, to the extent that payment of such interest shall be legally enforceable, interest on any overdue principal (and premium, if any) and on any overdue interest, at the rate or rates prescribed therefor in such Securities, and, in addition thereto, such further amount as shall be sufficient to cover the costs and expenses of collection, including the compensation, expenses, disbursements and advances of such Trustee, its agents and counsel.</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the Issuer fails to pay such amounts forthwith upon such demand, such Trustee, in its own name and as trustee of an express trust, may institute a judicial proceeding for the collection of the sums so due and unpaid, may prosecute such proceeding to judgment or final decree and may enforce the same against the Issuer, the Guarantors or any other obligor upon such Securities and collect the moneys adjudged or decreed to be payable in the manner provided by law out of the property of the Issuer, the Guarantors or any other obligor upon such Securities, wherever situated.</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an Event of Default with respect to Securities of any series occurs and is continuing, the Trustee for the Securities of such series may in its discretion proceed to protect and enforce its rights and the rights of the Holders of Securities of such series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504.</w:t>
      </w:r>
      <w:r>
        <w:rPr>
          <w:sz w:val="20"/>
          <w:szCs w:val="20"/>
          <w:color w:val="auto"/>
        </w:rPr>
        <w:tab/>
      </w:r>
      <w:r>
        <w:rPr>
          <w:rFonts w:ascii="Times New Roman" w:cs="Times New Roman" w:eastAsia="Times New Roman" w:hAnsi="Times New Roman"/>
          <w:sz w:val="21"/>
          <w:szCs w:val="21"/>
          <w:u w:val="single" w:color="auto"/>
          <w:color w:val="auto"/>
        </w:rPr>
        <w:t>Trustee May File Proofs of Claim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any case of the pendency of any receivership, insolvency, liquidation, bankruptcy, reorganization, arrangement, adjustment, composition or other judicial proceeding relative to the Issuer, any of the Guarantors or any other obligor upon the Securities a series or the property of the Issuer, such Guarantors or such other obligor or their creditors, the Trustee for the Securities of such series (irrespective of whether the principal of the Securities shall then be due and payable as therein expressed or by declaration or otherwise and irrespective of whether such Trustee shall have made any demand on the Issuer or the Guarantors for the payment of overdue principal or interest) shall be entitled and empowered, by intervention in such proceeding or otherwise:</w:t>
      </w:r>
    </w:p>
    <w:p>
      <w:pPr>
        <w:spacing w:after="0" w:line="153" w:lineRule="exact"/>
        <w:rPr>
          <w:sz w:val="20"/>
          <w:szCs w:val="20"/>
          <w:color w:val="auto"/>
        </w:rPr>
      </w:pPr>
    </w:p>
    <w:p>
      <w:pPr>
        <w:jc w:val="both"/>
        <w:ind w:left="660" w:firstLine="644"/>
        <w:spacing w:after="0" w:line="217" w:lineRule="auto"/>
        <w:tabs>
          <w:tab w:leader="none" w:pos="1944"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file and prove a claim for the whole amount of principal (and premium, if any) and interest owing and unpaid in respect of such Securities and to file such other papers or documents as may be necessary or advisable in order to have the claims of such Trustee (including any claim for the compensation, expenses, disbursements and advances of such Trustee, its agents and counsel and any indemnification claims of such Trustee) and of the Holders of such Securities allowed in such judicial proceeding; and</w:t>
      </w:r>
    </w:p>
    <w:p>
      <w:pPr>
        <w:spacing w:after="0" w:line="152"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0"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collect and receive any moneys or other property payable or deliverable on any such claims and to distribute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110" w:name="page111"/>
    <w:bookmarkEnd w:id="110"/>
    <w:p>
      <w:pPr>
        <w:jc w:val="both"/>
        <w:spacing w:after="0" w:line="253"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judicial proceeding is hereby authorized by each Holder of such Securities to make such payments to such Trustee and, in the event that such Trustee shall consent to the making of such payments directly to such Holders, to pay to such Trustee any amount due it for the reasonable compensation, expenses, disbursements and advances of such Trustee, its agents and counsel, and any other amounts due such Trustee under Section 607.</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Nothing herein contained shall be deemed to authorize the Trustee for the Securities of any series to authorize or consent to or accept or adopt on behalf of any Holder any plan of reorganization, arrangement, adjustment or composition affecting the Securities, the Guarantees or the rights of any Holder thereof or to authorize such Trustee to vote in respect of the claim of any Holder in any such proceeding.</w:t>
      </w:r>
    </w:p>
    <w:p>
      <w:pPr>
        <w:spacing w:after="0" w:line="14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505.</w:t>
      </w:r>
      <w:r>
        <w:rPr>
          <w:sz w:val="20"/>
          <w:szCs w:val="20"/>
          <w:color w:val="auto"/>
        </w:rPr>
        <w:tab/>
      </w:r>
      <w:r>
        <w:rPr>
          <w:rFonts w:ascii="Times New Roman" w:cs="Times New Roman" w:eastAsia="Times New Roman" w:hAnsi="Times New Roman"/>
          <w:sz w:val="21"/>
          <w:szCs w:val="21"/>
          <w:u w:val="single" w:color="auto"/>
          <w:color w:val="auto"/>
        </w:rPr>
        <w:t>Trustee May Enforce Claims Without Possession of Securities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All rights of action and claims under this Indenture or the Securities may be prosecuted and enforced by the Trustee for any series of Securities without the possession of any of the Securities or the production thereof in any proceeding relating thereto, and any such proceeding instituted by such Trustee shall be brought in its own name for itself and as trustee of an express trust, and any recovery of judgment shall, after provision for the payment of the compensation, expenses, disbursements and advances of such Trustee, its agents and counsel, be for the ratable benefit of the Holders of the Securities in respect of which such judgment has been recovered.</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506.</w:t>
      </w:r>
      <w:r>
        <w:rPr>
          <w:sz w:val="20"/>
          <w:szCs w:val="20"/>
          <w:color w:val="auto"/>
        </w:rPr>
        <w:tab/>
      </w:r>
      <w:r>
        <w:rPr>
          <w:rFonts w:ascii="Times New Roman" w:cs="Times New Roman" w:eastAsia="Times New Roman" w:hAnsi="Times New Roman"/>
          <w:sz w:val="21"/>
          <w:szCs w:val="21"/>
          <w:u w:val="single" w:color="auto"/>
          <w:color w:val="auto"/>
        </w:rPr>
        <w:t>Application of Money Collected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money collected by the Trustee for any series of Securities pursuant to this Article Five shall be applied in the following order, at the date or dates fixed by such Trustee and, in case of the distribution of such money on account of principal (or premium, if any) or interest, upon presentation of the Securities and the notation thereon of the payment if only partially paid and upon surrender thereof if fully paid: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FIRST: to the payment of all amounts due such Trustee under Section 607;</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SECOND: In case the principal of the Securities of such series in respect of which moneys have been collected shall not have become and be then due and payable, to the payment of interest, if any, on the Securities of such series in default in the order of the maturity of the installments of such interest, with interest (to the extent that such interest has been collected by such Trustee and to the extent permitted by law) upon the overdue installments of interest at the rate prescribed therefor in such Securities, such payments to be made ratably to the persons entitled thereto, without discrimination or preference;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if any, with interest upon the overdue principal, and (to the extent that such interest has been collected by such Trustee and to the extent permitted by law) upon overdue installments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111" w:name="page112"/>
    <w:bookmarkEnd w:id="111"/>
    <w:p>
      <w:pPr>
        <w:jc w:val="both"/>
        <w:spacing w:after="0" w:line="253" w:lineRule="auto"/>
        <w:rPr>
          <w:sz w:val="20"/>
          <w:szCs w:val="20"/>
          <w:color w:val="auto"/>
        </w:rPr>
      </w:pPr>
      <w:r>
        <w:rPr>
          <w:rFonts w:ascii="Times New Roman" w:cs="Times New Roman" w:eastAsia="Times New Roman" w:hAnsi="Times New Roman"/>
          <w:sz w:val="22"/>
          <w:szCs w:val="22"/>
          <w:color w:val="auto"/>
        </w:rPr>
        <w:t>interest at the rate prescribed therefor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FOURTH: To the payment of the remainder, if any, to the Issuer or as a court of competent jurisdiction may direct.</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507.</w:t>
      </w:r>
      <w:r>
        <w:rPr>
          <w:sz w:val="20"/>
          <w:szCs w:val="20"/>
          <w:color w:val="auto"/>
        </w:rPr>
        <w:tab/>
      </w:r>
      <w:r>
        <w:rPr>
          <w:rFonts w:ascii="Times New Roman" w:cs="Times New Roman" w:eastAsia="Times New Roman" w:hAnsi="Times New Roman"/>
          <w:sz w:val="21"/>
          <w:szCs w:val="21"/>
          <w:u w:val="single" w:color="auto"/>
          <w:color w:val="auto"/>
        </w:rPr>
        <w:t>Limitation on Suits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44" w:lineRule="exact"/>
        <w:rPr>
          <w:sz w:val="20"/>
          <w:szCs w:val="20"/>
          <w:color w:val="auto"/>
        </w:rPr>
      </w:pPr>
    </w:p>
    <w:p>
      <w:pPr>
        <w:ind w:left="660" w:firstLine="644"/>
        <w:spacing w:after="0" w:line="236" w:lineRule="auto"/>
        <w:tabs>
          <w:tab w:leader="none" w:pos="195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Holder has previously given written notice to the Trustee for the Securities of such series of a continuing Event of Default with respect to the Securities of that series;</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Holders of not less than 25% in principal amount of the Outstanding Securities of that series shall have made written request to such Trustee to institute proceedings in respect of such Event of Default in its own name as Trustee hereunder;</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Holder or Holders have offered to such Trustee security and/or indemnity reasonably satisfactory to it against the costs, expenses and liabilities to be incurred in compliance with such request;</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for 60 days after its receipt of such notice, request and offer of indemnity has failed to institute any such proceeding; and</w:t>
      </w:r>
    </w:p>
    <w:p>
      <w:pPr>
        <w:spacing w:after="0" w:line="150"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direction inconsistent with such written request has been given to such Trustee during such 60-day period by the Holders of a majority in principal amount of the Outstanding Securities of that series,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it being understood and intended that no one or more of such Holders shall have any right in any manner whatsoever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(it being understood that the Trustee does not have an affirmative duty to ascertain whether or not such actions or forbearances are unduly prejudicial to such Holders).</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508.</w:t>
      </w:r>
      <w:r>
        <w:rPr>
          <w:sz w:val="20"/>
          <w:szCs w:val="20"/>
          <w:color w:val="auto"/>
        </w:rPr>
        <w:tab/>
      </w:r>
      <w:r>
        <w:rPr>
          <w:rFonts w:ascii="Times New Roman" w:cs="Times New Roman" w:eastAsia="Times New Roman" w:hAnsi="Times New Roman"/>
          <w:sz w:val="21"/>
          <w:szCs w:val="21"/>
          <w:u w:val="single" w:color="auto"/>
          <w:color w:val="auto"/>
        </w:rPr>
        <w:t>Unconditional Right of Holders to Receive Principal, Premium and 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 other provision in this Indenture, the Holder of any Security shall have the right, which is absolute and unconditional, to receive payment of the principal of (and premium, if any, on) and (subject to Section 307) interest, if any, on such Security on the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112" w:name="page113"/>
    <w:bookmarkEnd w:id="11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Maturity or Maturities expressed in such Security (or, in the case of redemption, on the Redemption Date) and to institute suit for the enforcement of any such payment, and such rights shall not be impaired without the consent of such Holder.</w:t>
      </w:r>
    </w:p>
    <w:p>
      <w:pPr>
        <w:spacing w:after="0" w:line="13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509.</w:t>
      </w:r>
      <w:r>
        <w:rPr>
          <w:sz w:val="20"/>
          <w:szCs w:val="20"/>
          <w:color w:val="auto"/>
        </w:rPr>
        <w:tab/>
      </w:r>
      <w:r>
        <w:rPr>
          <w:rFonts w:ascii="Times New Roman" w:cs="Times New Roman" w:eastAsia="Times New Roman" w:hAnsi="Times New Roman"/>
          <w:sz w:val="21"/>
          <w:szCs w:val="21"/>
          <w:u w:val="single" w:color="auto"/>
          <w:color w:val="auto"/>
        </w:rPr>
        <w:t>Restoration of Rights and Remedies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the Trustee for the Securities of any series or any Holder has instituted any proceeding to enforce any right or remedy under this Indenture and such proceeding has been discontinued or abandoned for any reason, or has been determined adversely to such Trustee or to such Holder, then and in every such case, subject to any determination in such proceeding, the Issuer, the Guarantors, such Trustee and the Holders shall be restored severally and respectively to their former positions hereunder and thereafter all rights and remedies of such Trustee and the Holders shall continue as though no such proceeding had been instituted.</w:t>
      </w:r>
    </w:p>
    <w:p>
      <w:pPr>
        <w:spacing w:after="0" w:line="16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510.</w:t>
      </w:r>
      <w:r>
        <w:rPr>
          <w:sz w:val="20"/>
          <w:szCs w:val="20"/>
          <w:color w:val="auto"/>
        </w:rPr>
        <w:tab/>
      </w:r>
      <w:r>
        <w:rPr>
          <w:rFonts w:ascii="Times New Roman" w:cs="Times New Roman" w:eastAsia="Times New Roman" w:hAnsi="Times New Roman"/>
          <w:sz w:val="21"/>
          <w:szCs w:val="21"/>
          <w:u w:val="single" w:color="auto"/>
          <w:color w:val="auto"/>
        </w:rPr>
        <w:t>Rights and Remedies Cumulative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Except as otherwise provided with respect to the replacement or payment of mutilated, destroyed, lost or stolen Securities in the last paragraph of Section 306, no right or remedy herein conferred upon or reserved to the Trustee for the Securities of any series or to any Holder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511.</w:t>
      </w:r>
      <w:r>
        <w:rPr>
          <w:sz w:val="20"/>
          <w:szCs w:val="20"/>
          <w:color w:val="auto"/>
        </w:rPr>
        <w:tab/>
      </w:r>
      <w:r>
        <w:rPr>
          <w:rFonts w:ascii="Times New Roman" w:cs="Times New Roman" w:eastAsia="Times New Roman" w:hAnsi="Times New Roman"/>
          <w:sz w:val="21"/>
          <w:szCs w:val="21"/>
          <w:u w:val="single" w:color="auto"/>
          <w:color w:val="auto"/>
        </w:rPr>
        <w:t>Delay or Omission Not Waiver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delay or omission of the Trustee for the Securities of any series or of any Holder of any Securities to exercise any right or remedy accruing upon any Event of Default shall impair any such right or remedy or constitute a waiver of any such Event of Default or an acquiescence therein. Every right and remedy given by this Article Five or by law to such Trustee or to the Holders may be exercised from time to time, and as often as may be deemed expedient, by such Trustee or by the Holders, as the case may be.</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512.</w:t>
      </w:r>
      <w:r>
        <w:rPr>
          <w:sz w:val="20"/>
          <w:szCs w:val="20"/>
          <w:color w:val="auto"/>
        </w:rPr>
        <w:tab/>
      </w:r>
      <w:r>
        <w:rPr>
          <w:rFonts w:ascii="Times New Roman" w:cs="Times New Roman" w:eastAsia="Times New Roman" w:hAnsi="Times New Roman"/>
          <w:sz w:val="21"/>
          <w:szCs w:val="21"/>
          <w:u w:val="single" w:color="auto"/>
          <w:color w:val="auto"/>
        </w:rPr>
        <w:t>Control by Holders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The Holders of a majority in aggregate principal amount of the Outstanding Securities of any series shall have the right to direct the time, method and place of conducting any proceeding for any remedy available to the Trustee for the Securities of such series, or exercising any trust or power conferred on such Trustee, with respect to the Securities of such series;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28" w:lineRule="exact"/>
        <w:rPr>
          <w:sz w:val="20"/>
          <w:szCs w:val="20"/>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direction shall not be in conflict with any rule of law or with this Indenture; and</w:t>
      </w:r>
    </w:p>
    <w:p>
      <w:pPr>
        <w:spacing w:after="0" w:line="177"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0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such Trustee may take any other action deemed proper by such Trustee which is not inconsistent with such</w:t>
      </w: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direction.</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513.</w:t>
      </w:r>
      <w:r>
        <w:rPr>
          <w:sz w:val="20"/>
          <w:szCs w:val="20"/>
          <w:color w:val="auto"/>
        </w:rPr>
        <w:tab/>
      </w:r>
      <w:r>
        <w:rPr>
          <w:rFonts w:ascii="Times New Roman" w:cs="Times New Roman" w:eastAsia="Times New Roman" w:hAnsi="Times New Roman"/>
          <w:sz w:val="21"/>
          <w:szCs w:val="21"/>
          <w:u w:val="single" w:color="auto"/>
          <w:color w:val="auto"/>
        </w:rPr>
        <w:t>Waiver of Past Defaults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113" w:name="page114"/>
    <w:bookmarkEnd w:id="11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Holders of not less than a majority in aggregate principal amount of the Outstanding Securities of any series may on behalf of the Holders of all of the Securities of such series waive any past default hereunder with respect to such series and its consequences, except a default:</w:t>
      </w:r>
    </w:p>
    <w:p>
      <w:pPr>
        <w:spacing w:after="0" w:line="158" w:lineRule="exact"/>
        <w:rPr>
          <w:sz w:val="20"/>
          <w:szCs w:val="20"/>
          <w:color w:val="auto"/>
        </w:rPr>
      </w:pPr>
    </w:p>
    <w:p>
      <w:pPr>
        <w:ind w:left="1940" w:hanging="636"/>
        <w:spacing w:after="0"/>
        <w:tabs>
          <w:tab w:leader="none" w:pos="1940" w:val="left"/>
        </w:tabs>
        <w:numPr>
          <w:ilvl w:val="0"/>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payment of the principal of (or premium, if any, on) or interest, if any, on any Security of such series;</w:t>
      </w:r>
    </w:p>
    <w:p>
      <w:pPr>
        <w:ind w:left="660"/>
        <w:spacing w:after="0"/>
        <w:rPr>
          <w:sz w:val="20"/>
          <w:szCs w:val="20"/>
          <w:color w:val="auto"/>
        </w:rPr>
      </w:pPr>
      <w:r>
        <w:rPr>
          <w:rFonts w:ascii="Times New Roman" w:cs="Times New Roman" w:eastAsia="Times New Roman" w:hAnsi="Times New Roman"/>
          <w:sz w:val="22"/>
          <w:szCs w:val="22"/>
          <w:color w:val="auto"/>
        </w:rPr>
        <w:t>or</w:t>
      </w:r>
    </w:p>
    <w:p>
      <w:pPr>
        <w:spacing w:after="0" w:line="155" w:lineRule="exact"/>
        <w:rPr>
          <w:sz w:val="20"/>
          <w:szCs w:val="20"/>
          <w:color w:val="auto"/>
        </w:rPr>
      </w:pPr>
    </w:p>
    <w:p>
      <w:pPr>
        <w:ind w:left="660" w:firstLine="644"/>
        <w:spacing w:after="0" w:line="236" w:lineRule="auto"/>
        <w:tabs>
          <w:tab w:leader="none" w:pos="1951"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respect of a covenant or provision hereof which under Article Nine cannot be modified or amended without the consent of the Holder of each Outstanding Security of such series affected.</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514.</w:t>
      </w:r>
      <w:r>
        <w:rPr>
          <w:sz w:val="20"/>
          <w:szCs w:val="20"/>
          <w:color w:val="auto"/>
        </w:rPr>
        <w:tab/>
      </w:r>
      <w:r>
        <w:rPr>
          <w:rFonts w:ascii="Times New Roman" w:cs="Times New Roman" w:eastAsia="Times New Roman" w:hAnsi="Times New Roman"/>
          <w:sz w:val="21"/>
          <w:szCs w:val="21"/>
          <w:u w:val="single" w:color="auto"/>
          <w:color w:val="auto"/>
        </w:rPr>
        <w:t>Undertaking for Costs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the Securities of any series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for the Securities of any series, to any suit instituted by any Holder, or group of Holders, holding in the aggregate more than 10% in principal amount of the Outstanding Securities of any series, or to any suit instituted by any Holder for the enforcement against the Issuer or any Guarantors of the payment of the principal of (or premium, if any, on) or interest, if any, on any Security on or after the Stated Maturity or Maturities expressed in such Security (or, in the case of redemption, on or after the Redemption Date).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515.</w:t>
      </w:r>
      <w:r>
        <w:rPr>
          <w:sz w:val="20"/>
          <w:szCs w:val="20"/>
          <w:color w:val="auto"/>
        </w:rPr>
        <w:tab/>
      </w:r>
      <w:r>
        <w:rPr>
          <w:rFonts w:ascii="Times New Roman" w:cs="Times New Roman" w:eastAsia="Times New Roman" w:hAnsi="Times New Roman"/>
          <w:sz w:val="21"/>
          <w:szCs w:val="21"/>
          <w:u w:val="single" w:color="auto"/>
          <w:color w:val="auto"/>
        </w:rPr>
        <w:t>Waiver of Stay or Extension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of the Issuer and the Guarantors of each series of Securities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each of the Issuer and the Guarantors of each series of Securities (to the extent that it may lawfully do so) hereby expressly waives all benefit or advantage of any such law and covenants that it will not hinder, delay or impede the execution of any power herein granted to the Trustee for the Securities of any such series, but will suffer and permit the execution of every such power as though no such law had been enacted.</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010000"/>
        </w:rPr>
        <w:t>Article 6</w:t>
      </w:r>
    </w:p>
    <w:p>
      <w:pPr>
        <w:ind w:left="4920"/>
        <w:spacing w:after="0"/>
        <w:rPr>
          <w:sz w:val="20"/>
          <w:szCs w:val="20"/>
          <w:color w:val="auto"/>
        </w:rPr>
      </w:pPr>
      <w:r>
        <w:rPr>
          <w:rFonts w:ascii="Times New Roman" w:cs="Times New Roman" w:eastAsia="Times New Roman" w:hAnsi="Times New Roman"/>
          <w:sz w:val="22"/>
          <w:szCs w:val="22"/>
          <w:color w:val="auto"/>
        </w:rPr>
        <w:t>THE TRUSTEE</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601.</w:t>
      </w:r>
      <w:r>
        <w:rPr>
          <w:sz w:val="20"/>
          <w:szCs w:val="20"/>
          <w:color w:val="auto"/>
        </w:rPr>
        <w:tab/>
      </w:r>
      <w:r>
        <w:rPr>
          <w:rFonts w:ascii="Times New Roman" w:cs="Times New Roman" w:eastAsia="Times New Roman" w:hAnsi="Times New Roman"/>
          <w:sz w:val="21"/>
          <w:szCs w:val="21"/>
          <w:u w:val="single" w:color="auto"/>
          <w:color w:val="auto"/>
        </w:rPr>
        <w:t>Certain Duties and Responsibilities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114" w:name="page115"/>
    <w:bookmarkEnd w:id="114"/>
    <w:p>
      <w:pPr>
        <w:ind w:firstLine="656"/>
        <w:spacing w:after="0" w:line="236" w:lineRule="auto"/>
        <w:tabs>
          <w:tab w:leader="none" w:pos="1293"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during the continuance of an Event of Default with respect to the Securities of any series for which the Trustee is serving as such:</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undertakes to perform such duties and only such duties as are specifically set forth in this Indenture, and no implied covenants or obligations shall be read into this Indenture against such Trustee, whose duties and obligations shall be determined solely by the express provisions of this Indenture;</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5" w:lineRule="auto"/>
        <w:tabs>
          <w:tab w:leader="none" w:pos="1951"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absence of bad faith on its part, such Trustee may conclusively rely, as to the truth of the statements and the correctness of the opinions expressed therein, upon certificates or opinions furnished to such Trustee and conforming to the requirements of this Indenture; but in the case of any such certificates or opinions which by any provision hereof are specifically required to be furnished to such Trustee, such Trustee shall be under a duty to examine the same to determine whether or not they conform to the requirements of this Indenture (but need not confirm or investigate the accuracy of mathematical calculations or other facts stated therein).</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case an Event of Default with respect to a series of Securities has occurred and is continuing, the Trustee for the Securities of such series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52" w:lineRule="exact"/>
        <w:rPr>
          <w:rFonts w:ascii="Times New Roman" w:cs="Times New Roman" w:eastAsia="Times New Roman" w:hAnsi="Times New Roman"/>
          <w:sz w:val="22"/>
          <w:szCs w:val="22"/>
          <w:color w:val="010000"/>
        </w:rPr>
      </w:pPr>
    </w:p>
    <w:p>
      <w:pPr>
        <w:ind w:right="20" w:firstLine="656"/>
        <w:spacing w:after="0" w:line="236" w:lineRule="auto"/>
        <w:tabs>
          <w:tab w:leader="none" w:pos="1293"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provision of this Indenture shall be construed to relieve the Trustee for the Securities of any series from liability for its own negligent action, its own negligent failure to act, or its own willful misconduct, except that:</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subsection shall not be construed to limit the effect of subsection (a) of this Section;</w:t>
      </w:r>
    </w:p>
    <w:p>
      <w:pPr>
        <w:spacing w:after="0" w:line="179"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shall not be liable for any error of judgment made in good faith by a Responsible Officer, unless it shall be proved that such Trustee was negligent in ascertaining the pertinent facts;</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17" w:lineRule="auto"/>
        <w:tabs>
          <w:tab w:leader="none" w:pos="1951"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shall not be liable with respect to any action taken, suffered or omitted to be taken by it in good faith in accordance with the direction of the Holders of a majority in principal amount of the Outstanding Securities of any particular series, determined as provided in Section 512, relating to the time, method and place of conducting any proceeding for any remedy available to such Trustee, or exercising any trust or power conferred upon such Trustee, under this Indenture with respect to the Securities of that series; and</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provision of this Indenture shall require the Trustee for any series of Securities to expend or risk its own funds or otherwise incur any financial liability in the performance of any of its duties hereunder, or in the exercise of any of its rights or powers.</w:t>
      </w:r>
    </w:p>
    <w:p>
      <w:pPr>
        <w:spacing w:after="0" w:line="152" w:lineRule="exact"/>
        <w:rPr>
          <w:rFonts w:ascii="Times New Roman" w:cs="Times New Roman" w:eastAsia="Times New Roman" w:hAnsi="Times New Roman"/>
          <w:sz w:val="22"/>
          <w:szCs w:val="22"/>
          <w:color w:val="010000"/>
        </w:rPr>
      </w:pPr>
    </w:p>
    <w:p>
      <w:pPr>
        <w:ind w:firstLine="656"/>
        <w:spacing w:after="0" w:line="255" w:lineRule="auto"/>
        <w:tabs>
          <w:tab w:leader="none" w:pos="1291"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Whether or not therein expressly so provided, every provision of this Indenture relating to the conduct or affecting the liability of or affording protection to the Trustee for any series of Securities shall be subject to the provisions of this Section.</w:t>
      </w:r>
    </w:p>
    <w:p>
      <w:pPr>
        <w:spacing w:after="0" w:line="13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602.</w:t>
      </w:r>
      <w:r>
        <w:rPr>
          <w:sz w:val="20"/>
          <w:szCs w:val="20"/>
          <w:color w:val="auto"/>
        </w:rPr>
        <w:tab/>
      </w:r>
      <w:r>
        <w:rPr>
          <w:rFonts w:ascii="Times New Roman" w:cs="Times New Roman" w:eastAsia="Times New Roman" w:hAnsi="Times New Roman"/>
          <w:sz w:val="21"/>
          <w:szCs w:val="21"/>
          <w:u w:val="single" w:color="auto"/>
          <w:color w:val="auto"/>
        </w:rPr>
        <w:t>Notice of Defaults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5" w:right="339" w:bottom="1440" w:gutter="0" w:footer="0" w:header="0"/>
        </w:sectPr>
      </w:pPr>
    </w:p>
    <w:bookmarkStart w:id="115" w:name="page116"/>
    <w:bookmarkEnd w:id="115"/>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Within 90 days after the occurrence of any default hereunder of which a Responsible Officer of the Trustee has actual written knowledge with respect to the Securities of any particular series, the Trustee for the Securities of such series shall deliver electronically or transmit by mail to all Holders of Securities of that series, as their names and addresses appear in the Security Register for that series or otherwise in accordance with the procedures of the U.S. Depositary, notice of such default hereunder known to such Trustee, unless such default shall have been cured or waived;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except in the case of a default in the payment of the principal of (or premium, if any, on) or interest, if any, on any Security of that series or in the payment of any sinking fund installment with respect to Securities of that series, such Trustee shall be protected in withholding such notice if and so long as it in good faith determines that the withholding of such notice is in the interest of the Holders of Securities of that series;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case of any default of the character specified in Section 501(4) with respect to Securities of that series, no such notice to Holders shall be given until at least 30 days after the occurrence thereof. For the purpose of this Section, the term “default” means any event which is, or after notice or lapse of time or both would become, an Event of Default with respect to Securities of that series.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Promptly (and in any event within 5 Business Days) upon the Issuer or any of the Guarantors becoming aware of any default hereunder with respect to the Securities of any particular series, such party is required to deliver to the Trustee a statement specifying such default hereunder and the actions which the Issuer or such Guarantors, as the case may be, propose to take with respect to such default hereunder.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603.</w:t>
      </w:r>
      <w:r>
        <w:rPr>
          <w:sz w:val="20"/>
          <w:szCs w:val="20"/>
          <w:color w:val="auto"/>
        </w:rPr>
        <w:tab/>
      </w:r>
      <w:r>
        <w:rPr>
          <w:rFonts w:ascii="Times New Roman" w:cs="Times New Roman" w:eastAsia="Times New Roman" w:hAnsi="Times New Roman"/>
          <w:sz w:val="21"/>
          <w:szCs w:val="21"/>
          <w:u w:val="single" w:color="auto"/>
          <w:color w:val="auto"/>
        </w:rPr>
        <w:t>Certain Rights of Trustee</w:t>
      </w:r>
      <w:r>
        <w:rPr>
          <w:rFonts w:ascii="Times New Roman" w:cs="Times New Roman" w:eastAsia="Times New Roman" w:hAnsi="Times New Roman"/>
          <w:sz w:val="21"/>
          <w:szCs w:val="21"/>
          <w:color w:val="auto"/>
        </w:rPr>
        <w:t>. Subject to the provisions of Section 601:</w:t>
      </w:r>
    </w:p>
    <w:p>
      <w:pPr>
        <w:spacing w:after="0" w:line="179" w:lineRule="exact"/>
        <w:rPr>
          <w:sz w:val="20"/>
          <w:szCs w:val="20"/>
          <w:color w:val="auto"/>
        </w:rPr>
      </w:pPr>
    </w:p>
    <w:p>
      <w:pPr>
        <w:jc w:val="both"/>
        <w:ind w:firstLine="656"/>
        <w:spacing w:after="0" w:line="220" w:lineRule="auto"/>
        <w:tabs>
          <w:tab w:leader="none" w:pos="1293"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for any series of Securities may conclusively rely and shall be protected in acting or refraining from acting upon any resolution, certificate, statement, instrument, opinion, report, notice, request, direction, electronic instruction, consent, order, bond, debenture, note, other evidence of indebtedness or other paper or document believed by it to be genuine and to have been signed or presented by the proper party or parties;</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request or direction of the Issuer or any Guarantor mentioned herein shall be sufficiently evidenced by a Company Request or Company Order of the Issuer or such Guarantor and any resolution of the Board of Directors may be sufficiently evidenced by a Board Resolution of the Issuer or such Guarantor;</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in the administration of this Indenture such Trustee shall deem it desirable that a matter be proved or established prior to taking, suffering or omitting any action hereunder, such Trustee (unless other evidence be herein specifically prescribed) may, in the absence of bad faith on its part, conclusively rely upon an Officer’s Certificate;</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shall be under no obligation to exercise any of the rights or powers vested in it by this Indenture at the request or direction of any of the Holders of Securities of any series pursuant to this Indenture for which it is acting as Trustee, unless such Holders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116" w:name="page117"/>
    <w:bookmarkEnd w:id="116"/>
    <w:p>
      <w:pPr>
        <w:spacing w:after="0" w:line="236" w:lineRule="auto"/>
        <w:rPr>
          <w:sz w:val="20"/>
          <w:szCs w:val="20"/>
          <w:color w:val="auto"/>
        </w:rPr>
      </w:pPr>
      <w:r>
        <w:rPr>
          <w:rFonts w:ascii="Times New Roman" w:cs="Times New Roman" w:eastAsia="Times New Roman" w:hAnsi="Times New Roman"/>
          <w:sz w:val="22"/>
          <w:szCs w:val="22"/>
          <w:color w:val="auto"/>
        </w:rPr>
        <w:t>offered to such Trustee security and/or indemnity, satisfactory to it, against the costs, expenses and liabilities which might be incurred by it in compliance with such request or direction;</w:t>
      </w:r>
    </w:p>
    <w:p>
      <w:pPr>
        <w:spacing w:after="0" w:line="150" w:lineRule="exact"/>
        <w:rPr>
          <w:sz w:val="20"/>
          <w:szCs w:val="20"/>
          <w:color w:val="auto"/>
        </w:rPr>
      </w:pPr>
    </w:p>
    <w:p>
      <w:pPr>
        <w:jc w:val="both"/>
        <w:ind w:firstLine="656"/>
        <w:spacing w:after="0" w:line="212" w:lineRule="auto"/>
        <w:tabs>
          <w:tab w:leader="none" w:pos="1296"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shall not be bound to make any investigation into the facts or matters stated in any resolution, certificate, statement, instrument, opinion, report, notice, request, direction, consent, order, bond, debenture, note, other evidence of indebtedness or other paper or document and the delivery of such information shall not constitute actual or constructive knowledge or notice on the part of the Trustee, but such Trustee, in its discretion, may make such further inquiry or investigation into such facts or matters as it may see fit, and, if such Trustee shall determine to make such further inquiry or investigation, it shall be entitled upon reasonable request to examine the books, records and premises of the Issuer, personally or by agent or attorney, at the sole cost of the Issuer and shall incur no liability or additional liability of any kind by reason of such inquiry or investigation;</w:t>
      </w:r>
    </w:p>
    <w:p>
      <w:pPr>
        <w:spacing w:after="0" w:line="156"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may execute any of the trusts or powers hereunder or perform any duties hereunder either directly or by or through agents or attorneys and such Trustee shall not be responsible for any misconduct or negligence on the part of any agent or attorney appointed with due care by it hereunder;</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50"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84"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84"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shall not be deemed to have notice of any default or Event of Default unless a Responsible Officer of the Trustee has actual written knowledge of any event which is in fact such a default is received by the Trustee at the Corporate Trust Office of the Trustee, and such notice references the Securities and this Indenture;</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51"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Trustee shall not be required to give any bond or surety in respect of the performance of its powers and duties</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hereunder;</w:t>
      </w:r>
    </w:p>
    <w:p>
      <w:pPr>
        <w:spacing w:after="0" w:line="155" w:lineRule="exact"/>
        <w:rPr>
          <w:rFonts w:ascii="Times New Roman" w:cs="Times New Roman" w:eastAsia="Times New Roman" w:hAnsi="Times New Roman"/>
          <w:sz w:val="21"/>
          <w:szCs w:val="21"/>
          <w:color w:val="010000"/>
        </w:rPr>
      </w:pPr>
    </w:p>
    <w:p>
      <w:pPr>
        <w:ind w:firstLine="656"/>
        <w:spacing w:after="0" w:line="236" w:lineRule="auto"/>
        <w:tabs>
          <w:tab w:leader="none" w:pos="1284"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may request that any of the Issuer or Guarantors deliver a certificate setting forth the names of individuals and/or titles of officers authorized at such time to take specified actions pursuant to this Indenture;</w:t>
      </w:r>
    </w:p>
    <w:p>
      <w:pPr>
        <w:spacing w:after="0" w:line="150" w:lineRule="exact"/>
        <w:rPr>
          <w:rFonts w:ascii="Times New Roman" w:cs="Times New Roman" w:eastAsia="Times New Roman" w:hAnsi="Times New Roman"/>
          <w:sz w:val="22"/>
          <w:szCs w:val="22"/>
          <w:color w:val="010000"/>
        </w:rPr>
      </w:pPr>
    </w:p>
    <w:p>
      <w:pPr>
        <w:ind w:firstLine="656"/>
        <w:spacing w:after="0" w:line="255" w:lineRule="auto"/>
        <w:tabs>
          <w:tab w:leader="none" w:pos="1291" w:val="left"/>
        </w:tabs>
        <w:numPr>
          <w:ilvl w:val="0"/>
          <w:numId w:val="10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permissive rights of the Trustee to do things enumerated in this Indenture shall not be construed as a duty and, with respect to such permissive rights, the Trustee shall not be answerable other than for its negligence or willful misconduct;</w:t>
      </w:r>
    </w:p>
    <w:p>
      <w:pPr>
        <w:spacing w:after="0" w:line="134" w:lineRule="exact"/>
        <w:rPr>
          <w:rFonts w:ascii="Times New Roman" w:cs="Times New Roman" w:eastAsia="Times New Roman" w:hAnsi="Times New Roman"/>
          <w:sz w:val="21"/>
          <w:szCs w:val="21"/>
          <w:color w:val="010000"/>
        </w:rPr>
      </w:pPr>
    </w:p>
    <w:p>
      <w:pPr>
        <w:jc w:val="both"/>
        <w:ind w:firstLine="656"/>
        <w:spacing w:after="0" w:line="225" w:lineRule="auto"/>
        <w:tabs>
          <w:tab w:leader="none" w:pos="1291"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may refrain from taking any action in any jurisdiction if the taking of such action in that jurisdiction would, in its opinion based upon legal advice in the relevant jurisdiction, be contrary to any law of that jurisdiction or, to the extent applicable,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117" w:name="page118"/>
    <w:bookmarkEnd w:id="117"/>
    <w:p>
      <w:pPr>
        <w:jc w:val="both"/>
        <w:ind w:firstLine="656"/>
        <w:spacing w:after="0" w:line="217" w:lineRule="auto"/>
        <w:tabs>
          <w:tab w:leader="none" w:pos="1291"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Trustee receives inconsistent or conflicting requests and security and/or indemnity from two or more groups of Holders, each representing less than the requisite majority in aggregate principal amount of the Securities of any series then outstanding, pursuant to the provisions of this Indenture, the Trustee for any series of Securities, in its sole discretion, may determine what action, if any, shall be taken and shall be held harmless and shall not incur any liability for its failure to act until such inconsistency or conflict is, in its opinion, resolved;</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1"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shall not have any obligation or duty to monitor, determine or inquire as to compliance, and shall not be responsible or liable for compliance with restrictions on transfer, exchange, redemption, sinking fund payments, purchase or repurchase, as applicable, of minimum denominations imposed under this Indenture or under applicable law or regulation with respect to any transfer, exchange, redemption, sinking fund payments, purchase or repurchase, as applicable, of any interest in any Securities;</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may assume without inquiry in the absence of actual knowledge that the Issuer and any Guarantors are each duly complying with their respective obligations contained in this Indenture required to be performed and observed by them, and that no Default or Event of Default or other event which would require repayment of any series of Securities has occurred; and</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4"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pandemic, epidemic, any act of terrorism, or the unavailability of the Federal Reserve Bank wire or facsimile or other wire or communication facility).</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604.</w:t>
      </w:r>
      <w:r>
        <w:rPr>
          <w:sz w:val="20"/>
          <w:szCs w:val="20"/>
          <w:color w:val="auto"/>
        </w:rPr>
        <w:tab/>
      </w:r>
      <w:r>
        <w:rPr>
          <w:rFonts w:ascii="Times New Roman" w:cs="Times New Roman" w:eastAsia="Times New Roman" w:hAnsi="Times New Roman"/>
          <w:sz w:val="21"/>
          <w:szCs w:val="21"/>
          <w:u w:val="single" w:color="auto"/>
          <w:color w:val="auto"/>
        </w:rPr>
        <w:t>Not Responsible for Recitals or Issuance of Securities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The recitals contained herein and in the Securities, except the Trustee’s certificates of authentication, shall be taken as the statements of the Issuer and the Guarantors, and neither the Trustee for any series of Securities nor any Authenticating Agent assumes any responsibility for their correctness. The Trustee for any series of Securities makes no representations as to the validity or sufficiency of this Indenture or of the Securities or the Guarantees. Neither the Trustee for any series of Securities nor any Authenticating Agent shall be accountable for the use or application by the Issuer of Securities or the proceeds thereof.</w:t>
      </w:r>
    </w:p>
    <w:p>
      <w:pPr>
        <w:spacing w:after="0" w:line="1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605.</w:t>
      </w:r>
      <w:r>
        <w:rPr>
          <w:sz w:val="20"/>
          <w:szCs w:val="20"/>
          <w:color w:val="auto"/>
        </w:rPr>
        <w:tab/>
      </w:r>
      <w:r>
        <w:rPr>
          <w:rFonts w:ascii="Times New Roman" w:cs="Times New Roman" w:eastAsia="Times New Roman" w:hAnsi="Times New Roman"/>
          <w:sz w:val="21"/>
          <w:szCs w:val="21"/>
          <w:u w:val="single" w:color="auto"/>
          <w:color w:val="auto"/>
        </w:rPr>
        <w:t>May Hold Securities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Trustee for any series of Securities, any Authenticating Agent, any Paying Agent, any Calculation Agent, any Security Registrar or any other agent of the Issuer, the Guarantors or such Trustee, in its individual or any other capacity, may become the owner or pledgee of Securities and, subject to Sections 608 and 613, may otherwise deal with the Issuer or the Guarantors with the same rights it would have if it were not such Trustee, Authenticating Agent, Paying Agent, Calculation Agent, Security Registrar or such other agent.</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606.</w:t>
      </w:r>
      <w:r>
        <w:rPr>
          <w:sz w:val="20"/>
          <w:szCs w:val="20"/>
          <w:color w:val="auto"/>
        </w:rPr>
        <w:tab/>
      </w:r>
      <w:r>
        <w:rPr>
          <w:rFonts w:ascii="Times New Roman" w:cs="Times New Roman" w:eastAsia="Times New Roman" w:hAnsi="Times New Roman"/>
          <w:sz w:val="21"/>
          <w:szCs w:val="21"/>
          <w:u w:val="single" w:color="auto"/>
          <w:color w:val="auto"/>
        </w:rPr>
        <w:t>Money Held in Trust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Money held by the Trustee for any series of Securities in trust hereunder need not be segregated from other funds except to the extent required by law. The Trustee for any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5" w:right="339" w:bottom="1440" w:gutter="0" w:footer="0" w:header="0"/>
        </w:sectPr>
      </w:pPr>
    </w:p>
    <w:bookmarkStart w:id="118" w:name="page119"/>
    <w:bookmarkEnd w:id="118"/>
    <w:p>
      <w:pPr>
        <w:spacing w:after="0" w:line="271" w:lineRule="auto"/>
        <w:rPr>
          <w:sz w:val="20"/>
          <w:szCs w:val="20"/>
          <w:color w:val="auto"/>
        </w:rPr>
      </w:pPr>
      <w:r>
        <w:rPr>
          <w:rFonts w:ascii="Times New Roman" w:cs="Times New Roman" w:eastAsia="Times New Roman" w:hAnsi="Times New Roman"/>
          <w:sz w:val="22"/>
          <w:szCs w:val="22"/>
          <w:color w:val="auto"/>
        </w:rPr>
        <w:t>Securities shall be under no liability for interest on any money received by it hereunder except as otherwise agreed in writing with the Issuer or the Guarantors.</w:t>
      </w:r>
    </w:p>
    <w:p>
      <w:pPr>
        <w:spacing w:after="0" w:line="13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607.</w:t>
      </w:r>
      <w:r>
        <w:rPr>
          <w:sz w:val="20"/>
          <w:szCs w:val="20"/>
          <w:color w:val="auto"/>
        </w:rPr>
        <w:tab/>
      </w:r>
      <w:r>
        <w:rPr>
          <w:rFonts w:ascii="Times New Roman" w:cs="Times New Roman" w:eastAsia="Times New Roman" w:hAnsi="Times New Roman"/>
          <w:sz w:val="21"/>
          <w:szCs w:val="21"/>
          <w:u w:val="single" w:color="auto"/>
          <w:color w:val="auto"/>
        </w:rPr>
        <w:t>Compensation and Reimbursement</w:t>
      </w:r>
      <w:r>
        <w:rPr>
          <w:rFonts w:ascii="Times New Roman" w:cs="Times New Roman" w:eastAsia="Times New Roman" w:hAnsi="Times New Roman"/>
          <w:sz w:val="21"/>
          <w:szCs w:val="21"/>
          <w:color w:val="auto"/>
        </w:rPr>
        <w:t>. The Issuer and Guarantors, jointly and severally, agree:</w:t>
      </w:r>
    </w:p>
    <w:p>
      <w:pPr>
        <w:spacing w:after="0" w:line="179" w:lineRule="exact"/>
        <w:rPr>
          <w:sz w:val="20"/>
          <w:szCs w:val="20"/>
          <w:color w:val="auto"/>
        </w:rPr>
      </w:pPr>
    </w:p>
    <w:p>
      <w:pPr>
        <w:jc w:val="both"/>
        <w:ind w:left="660" w:right="20" w:firstLine="644"/>
        <w:spacing w:after="0" w:line="236" w:lineRule="auto"/>
        <w:tabs>
          <w:tab w:leader="none" w:pos="1951" w:val="left"/>
        </w:tabs>
        <w:numPr>
          <w:ilvl w:val="0"/>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pay to the Trustee for any series of Securities from time to time such compensation for all services rendered by it hereunder as shall be agreed upon in writing from time to time by the Issuer and such Trustee (which compensation shall not be limited by any provision of law in regard to the compensation of a trustee of an express trust);</w:t>
      </w:r>
    </w:p>
    <w:p>
      <w:pPr>
        <w:spacing w:after="0" w:line="151" w:lineRule="exact"/>
        <w:rPr>
          <w:rFonts w:ascii="Times New Roman" w:cs="Times New Roman" w:eastAsia="Times New Roman" w:hAnsi="Times New Roman"/>
          <w:sz w:val="21"/>
          <w:szCs w:val="21"/>
          <w:color w:val="010000"/>
        </w:rPr>
      </w:pPr>
    </w:p>
    <w:p>
      <w:pPr>
        <w:jc w:val="both"/>
        <w:ind w:left="660" w:firstLine="644"/>
        <w:spacing w:after="0" w:line="215" w:lineRule="auto"/>
        <w:tabs>
          <w:tab w:leader="none" w:pos="1951"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expressly provided herein, to reimburse the Trustee for any series of Securities upon its request for all expenses, disbursements and advances incurred or made by such Trustee in accordance with any provision of this Indenture (including the reasonable compensation and the reasonable expenses and disbursements of its agents and counsel), except any such expense, disbursement or advance as may be attributable to its own negligence or willful misconduct or the negligence or willful misconduct of its officers, directors, employees or agents as adjudicated by a court of competent jurisdiction; and</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2" w:lineRule="auto"/>
        <w:tabs>
          <w:tab w:leader="none" w:pos="1951"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indemnify such Trustee (which for purposes of this Section 607(3) shall include its officers, directors, employees and agents) for, and to hold it harmless against, any and all loss, liability, damage, claim or expense (including taxes other than taxes based on the income of the Trustee) incurred without negligence or willful misconduct on its part or on the part of its officers, directors, employees or agents, arising out of or in connection with the acceptance or administration of this trust or trusts hereunder, including the costs and expenses of defending itself against any claim (whether asserted by the Issuer, the Guarantors, a Holder or any other Person) and enforcement of this Indenture (including this Section) or liability in connection with the exercise or performance of any of its powers or duties hereunder.</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Trustee for any series of Securities shall have a lien prior to the Securities as to all property and funds held by such Trustee hereunder for any amount owing it or any predecessor Trustee pursuant to this Section 607, except with respect to funds held in trust for the benefit of the Holders of such particular Securities.</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When the Trustee for any series of Securities incurs expenses or renders services in connection with an Event of Default specified in Section 501(5) or Section 501(6),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provisions of this Section shall survive the termination of this Indenture and the resignation or removal of the Trustee.</w:t>
      </w:r>
    </w:p>
    <w:p>
      <w:pPr>
        <w:spacing w:after="0" w:line="13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608.</w:t>
      </w:r>
      <w:r>
        <w:rPr>
          <w:sz w:val="20"/>
          <w:szCs w:val="20"/>
          <w:color w:val="auto"/>
        </w:rPr>
        <w:tab/>
      </w:r>
      <w:r>
        <w:rPr>
          <w:rFonts w:ascii="Times New Roman" w:cs="Times New Roman" w:eastAsia="Times New Roman" w:hAnsi="Times New Roman"/>
          <w:sz w:val="21"/>
          <w:szCs w:val="21"/>
          <w:u w:val="single" w:color="auto"/>
          <w:color w:val="auto"/>
        </w:rPr>
        <w:t>Disqualification; Conflicting Interests.</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Trustee for any series of Securities has or shall acquire a conflicting interest within the meaning of the Trust Indenture Act, such Trustee shall either eliminate such interest or resign, to the extent and in the manner provided by, and subject to the provisions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2" w:right="339" w:bottom="1440" w:gutter="0" w:footer="0" w:header="0"/>
        </w:sectPr>
      </w:pPr>
    </w:p>
    <w:bookmarkStart w:id="119" w:name="page120"/>
    <w:bookmarkEnd w:id="119"/>
    <w:p>
      <w:pPr>
        <w:jc w:val="both"/>
        <w:spacing w:after="0" w:line="257" w:lineRule="auto"/>
        <w:rPr>
          <w:sz w:val="20"/>
          <w:szCs w:val="20"/>
          <w:color w:val="auto"/>
        </w:rPr>
      </w:pPr>
      <w:r>
        <w:rPr>
          <w:rFonts w:ascii="Times New Roman" w:cs="Times New Roman" w:eastAsia="Times New Roman" w:hAnsi="Times New Roman"/>
          <w:sz w:val="22"/>
          <w:szCs w:val="22"/>
          <w:color w:val="auto"/>
        </w:rPr>
        <w:t>Indenture Act and this Indenture. In determining whether such Trustee has a conflicting interest as defined in Section 310(b) of the Trust Indenture Act with respect to the Securities of any series, there shall be excluded Securities of any particular series of Securities other than that series.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609.</w:t>
      </w:r>
      <w:r>
        <w:rPr>
          <w:sz w:val="20"/>
          <w:szCs w:val="20"/>
          <w:color w:val="auto"/>
        </w:rPr>
        <w:tab/>
      </w:r>
      <w:r>
        <w:rPr>
          <w:rFonts w:ascii="Times New Roman" w:cs="Times New Roman" w:eastAsia="Times New Roman" w:hAnsi="Times New Roman"/>
          <w:sz w:val="21"/>
          <w:szCs w:val="21"/>
          <w:u w:val="single" w:color="auto"/>
          <w:color w:val="auto"/>
        </w:rPr>
        <w:t>Corporate Trustee Required; Different Trustees for Different Series; Eligibility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There shall at all times be a Trustee hereunder for each series of Securities which shall be a corporation or bank organized and doing business under the laws of the United States of America, any State thereof, or the District of Columbia, authorized under such laws to exercise corporate trust powers, having a combined capital and surplus of at least $50,000,000 subject to supervision or examination by federal or state authority. If such corporation or bank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such Trustee shall cease to be eligible in accordance with the provisions of this Section, it shall resign immediately in the manner and with the effect hereinafter specified in this Article Six.</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A different Trustee may be appointed by the Issuer for each series of Securities prior to the issuance of such Securities. If the initial Trustee for any series of Securities is to be other than Deutsche Bank Trust Company Americas, the Issuer and such Trustee shall, prior to the issuance of such Securities, execute and deliver an indenture supplemental hereto, which shall provide for the appointment of such Trustee as Trustee for the Securities of such series and shall add to or change any of the provisions of this Indenture as shall be necessary to facilitate the administration of the trusts hereunder by more than one Trustee, it being understood that nothing herein or in such supplemental indenture shall constitute such Trustees to be co-trustees of the same trust and that each such Trustee shall be trustee of a trust or trusts hereunder separate and apart from any trust or trusts hereunder administered by any other such Trustee. For the avoidance of doubt, in no case shall Deutsche Bank Trust Company Americas be liable for any actions or inactions of any other Trustee for any series of Securities under this Indenture.</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trustee hereunder shall be personally liable by reason of any act or omission of any other trustee hereunder.</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610.</w:t>
      </w:r>
      <w:r>
        <w:rPr>
          <w:sz w:val="20"/>
          <w:szCs w:val="20"/>
          <w:color w:val="auto"/>
        </w:rPr>
        <w:tab/>
      </w:r>
      <w:r>
        <w:rPr>
          <w:rFonts w:ascii="Times New Roman" w:cs="Times New Roman" w:eastAsia="Times New Roman" w:hAnsi="Times New Roman"/>
          <w:sz w:val="21"/>
          <w:szCs w:val="21"/>
          <w:u w:val="single" w:color="auto"/>
          <w:color w:val="auto"/>
        </w:rPr>
        <w:t>Resignation and Removal; Appointment of Successor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resignation or removal of the Trustee for the Securities of any series and no appointment of a successor Trustee pursuant to this Article Six shall become effective until the acceptance of appointment by the successor Trustee in accordance with the applicable requirements of Section 611.</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for the Securities of any series may resign at any time with respect to the Securities of such series by giving written notice thereof to the Issuer. If the instrument of acceptance by a successor Trustee required by Section 611 shall not have been delivered to the Trustee for the Securities of such series within 30 days after the giving of such notice of resignation, the resigning Trustee may petition, at the expense of the Issuer, any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competent jurisdiction for the appointment of a successor Trustee with respect to the Securities of such series.</w:t>
      </w:r>
    </w:p>
    <w:p>
      <w:pPr>
        <w:spacing w:after="0" w:line="179" w:lineRule="exact"/>
        <w:rPr>
          <w:sz w:val="20"/>
          <w:szCs w:val="20"/>
          <w:color w:val="auto"/>
        </w:rPr>
      </w:pPr>
    </w:p>
    <w:p>
      <w:pPr>
        <w:jc w:val="both"/>
        <w:ind w:firstLine="656"/>
        <w:spacing w:after="0" w:line="225" w:lineRule="auto"/>
        <w:tabs>
          <w:tab w:leader="none" w:pos="1293"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for the Securities of any series may be removed at any time with respect to the Securities of such series by Act of the Holders of a majority in aggregate principal amount of the Outstanding Securities of such series, delivered to such Trustee and to the Issuer.</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at any time:</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for the Securities of any series shall fail to comply with Section 608 after written request thereof by the Issuer or by any Holder who has been a bona fide Holder of a Security of such series for at least six months; or</w:t>
      </w:r>
    </w:p>
    <w:p>
      <w:pPr>
        <w:spacing w:after="0" w:line="152"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shall cease to be eligible under Section 609 and shall fail to resign after written request therefor by the Issuer or by any such Holder; or</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Trustee shall become incapable of acting or shall be adjudged bankrupt or insolvent or a receiver of such Trustee or of its property shall be appointed or any public officer shall take charge or control of such Trustee or of its property or affairs for the purpose of rehabilitation, conservation or liquidation;</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then, in any such case, (i) the Issuer by a Board Resolution may remove such Trustee and appoint a successor Trustee, or (ii) subject to Section 514, any Holder who has been a bona fide Holder of a Security of such series for at least six months may, on behalf of himself and all others similarly situated, petition any court of competent jurisdiction for the removal of such Trustee and the appointment of a successor Trustee or Trustees. If the instrument of acceptance by a successor Trustee required by Section 611 shall not have been delivered to the Trustee for the Securities of such series within 30 days after the giving of such notice of removal, the Trustee being removed may petition, at the expense of the Issuer, any court of competent jurisdiction for the appointment of a successor Trustee with respect to the Securities of such series.</w:t>
      </w:r>
    </w:p>
    <w:p>
      <w:pPr>
        <w:spacing w:after="0" w:line="153" w:lineRule="exact"/>
        <w:rPr>
          <w:sz w:val="20"/>
          <w:szCs w:val="20"/>
          <w:color w:val="auto"/>
        </w:rPr>
      </w:pPr>
    </w:p>
    <w:p>
      <w:pPr>
        <w:jc w:val="both"/>
        <w:ind w:firstLine="656"/>
        <w:spacing w:after="0" w:line="210" w:lineRule="auto"/>
        <w:tabs>
          <w:tab w:leader="none" w:pos="1293"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Trustee for the Securities of any series shall resign, be removed or become incapable of acting, or if a vacancy shall occur in the office of Trustee for the Securities of any series for any cause, the Issuer, by a Board Resolution, shall promptly appoint a successor Trustee with respect to the Securities of such series and shall comply with the applicable requirements of Section 611. If, within 30 days after such resignation, removal or incapability, or the occurrence of such vacancy, a successor Trustee with respect to the Securities of such series shall not have been appointed by the Issuer pursuant to this Section 610, then a successor Trustee may be appointed by Act of the Holders of a majority in principal amount of the Outstanding Securities of such series delivered to the Issuer and the retiring Trustee. If no successor Trustee for the Securities of such series shall have been so appointed by the Issuer or the Holders and shall have accepted appointment in the manner required by Section 611, and if such Trustee to be replaced is still incapable of acting,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57"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shall give notice of each resignation and each removal of the Trustee with respect to the Securities of any series and each appointment of a successor Trustee with respect to the Securities of any series by delivering electronically or mailing written notice of such event by first-class mail, postage prepaid, to all Holders of Securities of such series as their names and addresses appear in the Security Register or otherwise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395" w:right="339" w:bottom="1440" w:gutter="0" w:footer="0" w:header="0"/>
        </w:sectPr>
      </w:pPr>
    </w:p>
    <w:bookmarkStart w:id="121" w:name="page122"/>
    <w:bookmarkEnd w:id="121"/>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procedures of the U.S. Depositary. Each notice shall include the name of the successor Trustee with respect to the Securities of that series and the address of its Corporate Trust Office. The Trustee shall have no liability for the actions or inactions of the successor Trustee.</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010000"/>
        </w:rPr>
        <w:t>Section 611.</w:t>
      </w:r>
      <w:r>
        <w:rPr>
          <w:sz w:val="20"/>
          <w:szCs w:val="20"/>
          <w:color w:val="auto"/>
        </w:rPr>
        <w:tab/>
      </w:r>
      <w:r>
        <w:rPr>
          <w:rFonts w:ascii="Times New Roman" w:cs="Times New Roman" w:eastAsia="Times New Roman" w:hAnsi="Times New Roman"/>
          <w:sz w:val="21"/>
          <w:szCs w:val="21"/>
          <w:u w:val="single" w:color="auto"/>
          <w:color w:val="auto"/>
        </w:rPr>
        <w:t>Acceptance of Appointment by Successor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Every such successor Trustee appointed hereunder with respect to the Securities of any series shall execute, acknowledge and deliver to the Issuer, the Guarantors and the retiring Trustee an instrument accepting such appointment and acknowledgement that it will be holding and exercising the lien provided in Section 607 for the benefit of the claims of the predecessor Trustee,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any Guarantor or the successor Trustee, such retiring Trustee shall, upon receipt of payment of its fees and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58" w:lineRule="exact"/>
        <w:rPr>
          <w:rFonts w:ascii="Times New Roman" w:cs="Times New Roman" w:eastAsia="Times New Roman" w:hAnsi="Times New Roman"/>
          <w:sz w:val="22"/>
          <w:szCs w:val="22"/>
          <w:color w:val="010000"/>
        </w:rPr>
      </w:pPr>
    </w:p>
    <w:p>
      <w:pPr>
        <w:jc w:val="both"/>
        <w:ind w:firstLine="656"/>
        <w:spacing w:after="0" w:line="218" w:lineRule="auto"/>
        <w:tabs>
          <w:tab w:leader="none" w:pos="1291" w:val="left"/>
        </w:tabs>
        <w:numPr>
          <w:ilvl w:val="0"/>
          <w:numId w:val="1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case of the appointment hereunder of a successor Trustee with respect to the Securities of one or more (but not all) series, the applicable Issuer, the applicable Guarantors, the retiring Trustee and each successor Trustee with respect to the Securities of one or more series shall execute and deliver one or more indentures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each such Trustee shall be trustee of a trust or trusts hereunder separate and apart from any trust or trusts hereunder administered by any other such Trustee; and upon the execution and delivery of such supplemental indentures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applicable Issuer, the applicable Guarantors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52" w:lineRule="exact"/>
        <w:rPr>
          <w:rFonts w:ascii="Times New Roman" w:cs="Times New Roman" w:eastAsia="Times New Roman" w:hAnsi="Times New Roman"/>
          <w:sz w:val="21"/>
          <w:szCs w:val="21"/>
          <w:color w:val="010000"/>
        </w:rPr>
      </w:pPr>
    </w:p>
    <w:p>
      <w:pPr>
        <w:jc w:val="both"/>
        <w:ind w:firstLine="656"/>
        <w:spacing w:after="0" w:line="225" w:lineRule="auto"/>
        <w:tabs>
          <w:tab w:leader="none" w:pos="1293"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request of any such successor Trustee, the Issuer and the Guarantors of each applicable series of Securities shall execute any and all instruments for more fully and certainly vesting in and confirming to such successor Trustee all such rights, powers, and trusts referred to in paragraph (a) or (b) of this Section, as the case may be.</w:t>
      </w:r>
    </w:p>
    <w:p>
      <w:pPr>
        <w:spacing w:after="0" w:line="152" w:lineRule="exact"/>
        <w:rPr>
          <w:rFonts w:ascii="Times New Roman" w:cs="Times New Roman" w:eastAsia="Times New Roman" w:hAnsi="Times New Roman"/>
          <w:sz w:val="22"/>
          <w:szCs w:val="22"/>
          <w:color w:val="010000"/>
        </w:rPr>
      </w:pPr>
    </w:p>
    <w:p>
      <w:pPr>
        <w:ind w:right="20" w:firstLine="656"/>
        <w:spacing w:after="0" w:line="236" w:lineRule="auto"/>
        <w:tabs>
          <w:tab w:leader="none" w:pos="1291"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successor Trustee shall accept its appointment unless at the time of such acceptance such successor Trustee for the Securities of any series shall be qualified and eligible under this Article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5" w:right="339" w:bottom="1440" w:gutter="0" w:footer="0" w:header="0"/>
        </w:sectPr>
      </w:pPr>
    </w:p>
    <w:bookmarkStart w:id="122" w:name="page123"/>
    <w:bookmarkEnd w:id="122"/>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612.</w:t>
      </w:r>
      <w:r>
        <w:rPr>
          <w:sz w:val="20"/>
          <w:szCs w:val="20"/>
          <w:color w:val="auto"/>
        </w:rPr>
        <w:tab/>
      </w:r>
      <w:r>
        <w:rPr>
          <w:rFonts w:ascii="Times New Roman" w:cs="Times New Roman" w:eastAsia="Times New Roman" w:hAnsi="Times New Roman"/>
          <w:sz w:val="21"/>
          <w:szCs w:val="21"/>
          <w:u w:val="single" w:color="auto"/>
          <w:color w:val="auto"/>
        </w:rPr>
        <w:t>Merger, Conversion, Consolidation or Succession to Business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Any corporation into which the Trustee for the Securities of any series may be merged or converted or with which it may be consolidated, or any corporation resulting from any merger, conversion or consolidation to which such Trustee shall be a party, or any corporation succeeding to all or substantially all of the corporate trust business of such Trustee, shall be the successor of such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or the Authenticating Agent for such series then in office, any successor by merger, conversion or consolidation to such authenticating Trustee or Authenticating Agent, as the case may be, may adopt such authentication and deliver the Securities so authenticated with the same effect as if such successor Trustee or successor Authenticating Agent had itself authenticated such Securities.</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613.</w:t>
      </w:r>
      <w:r>
        <w:rPr>
          <w:sz w:val="20"/>
          <w:szCs w:val="20"/>
          <w:color w:val="auto"/>
        </w:rPr>
        <w:tab/>
      </w:r>
      <w:r>
        <w:rPr>
          <w:rFonts w:ascii="Times New Roman" w:cs="Times New Roman" w:eastAsia="Times New Roman" w:hAnsi="Times New Roman"/>
          <w:sz w:val="21"/>
          <w:szCs w:val="21"/>
          <w:u w:val="single" w:color="auto"/>
          <w:color w:val="auto"/>
        </w:rPr>
        <w:t>Preferential Collection of Claims Against the Issuer or a Guarantor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and when the Trustee of any series of Securities shall be or become a creditor of the Issuer or any Guarantor (or any other obligor upon the Securities), such Trustee shall be subject to the provisions of the Trust Indenture Act regarding the collection of claims against the Issuer or any such Guarantor (or any such other obligor).</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614.</w:t>
      </w:r>
      <w:r>
        <w:rPr>
          <w:sz w:val="20"/>
          <w:szCs w:val="20"/>
          <w:color w:val="auto"/>
        </w:rPr>
        <w:tab/>
      </w:r>
      <w:r>
        <w:rPr>
          <w:rFonts w:ascii="Times New Roman" w:cs="Times New Roman" w:eastAsia="Times New Roman" w:hAnsi="Times New Roman"/>
          <w:sz w:val="21"/>
          <w:szCs w:val="21"/>
          <w:u w:val="single" w:color="auto"/>
          <w:color w:val="auto"/>
        </w:rPr>
        <w:t>Authenticating Agents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From time to time the Trustee of any series of Securities, in its sole discretion, may appoint one or more Authenticating Agents with respect to the Securities of such series, which may include the Issuer, any of the Guarantors or any Affiliate of the Issuer or the Guarantors, with power to act on the Trustee’s behalf and subject to its discretion in the authentication and delivery of Securities of such series or in connection with transfers and exchanges under Sections 304, 305, 306 and 1107 as fully to all intents and purposes as though such Authenticating Agent had been expressly authorized by those Sections of this Indenture to authenticate and deliver Securities of such series. For all purposes of this Indenture, the authentication and delivery of Securities of such series by an Authenticating Agent for such Securities pursuant to this Section shall be deemed to be authentication and delivery of such Securities “</w:t>
      </w:r>
      <w:r>
        <w:rPr>
          <w:rFonts w:ascii="Times New Roman" w:cs="Times New Roman" w:eastAsia="Times New Roman" w:hAnsi="Times New Roman"/>
          <w:sz w:val="22"/>
          <w:szCs w:val="22"/>
          <w:u w:val="single" w:color="auto"/>
          <w:color w:val="auto"/>
        </w:rPr>
        <w:t>by the Trustee</w:t>
      </w:r>
      <w:r>
        <w:rPr>
          <w:rFonts w:ascii="Times New Roman" w:cs="Times New Roman" w:eastAsia="Times New Roman" w:hAnsi="Times New Roman"/>
          <w:sz w:val="22"/>
          <w:szCs w:val="22"/>
          <w:color w:val="auto"/>
        </w:rPr>
        <w:t>” for the Securities of such series. Any such Authenticating Agent shall be reasonably acceptable to the Issuer and shall at all times be a corporation organized and doing business under the laws of the United States, any State thereof or the District of Columbia, authorized under such laws to exercise corporate trust powers, having a combined capital and surplus of at least $25,000,000 and, if other than the Issuer, any of the Guarantors or any Affiliate of the Issuer or the Guarantors, subject to supervision or examination by federal, state or District of Columbia authority. If such corporation publishes reports of condition at least annually pursuant to law or the requirements of such authority, then for the purposes of this Section the combined capital and surplus of such corporation shall be deemed to be its combined capital and surplus as set forth in its most recent report of condition so published. If at any time an Authenticating Agent for any series of Securities shall cease to be eligible in accordance with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such Authenticating Agent shall resign immediately in the manner and with the effect specified in this Section.</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Any corporation into which any Authenticating Agent may be merged or with which it may be consolidated, or any corporation resulting from any merger or consolidation or to which any Authenticating Agent shall be a party, or any corporation succeeding to all or substantially all the corporate trust business of any Authenticating Agent, shall be the successor of such Authenticating Agent hereunder, if such successor corporation is otherwise eligible under this Section, without the execution or filing of any paper or any further act on the part of the parties hereto or the Authenticating Agent or such successor corporation.</w:t>
      </w:r>
    </w:p>
    <w:p>
      <w:pPr>
        <w:spacing w:after="0" w:line="16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Any Authenticating Agent for any series of Securities may resign at any time by giving written notice of resignation to the Trustee for such series and to the Issuer. The Trustee for any series of Securities may at any time terminate the agency of any Authenticating Agent for such series by giving written notice of termination to such Authenticating Agent and to the Issuer. Upon receiving such a notice of resignation or upon such a termination, or in case at any time any Authenticating Agent for any series of Securities shall cease to be eligible under this Section, the Trustee for such series may appoint a successor Authenticating Agent, which shall be acceptable to the Issuer, shall give written notice of such appointment to the Issuer and shall give written notice of such appointment to all Holders of Securities of such series with respect to which such Authenticating Agent will serve, as the names and addresses of such Holders appear on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Issuer agrees to pay to the Authenticating Agent for such series from time to time reasonable compensation for its services under this Section 614.</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 appointment with respect to one or more series of Securities is made pursuant to this Section, the Securities of such series shall have endorsed thereon, in lieu of the Trustee’s certificate of authentication, an alternate certificate of authentication in the following form: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247" w:lineRule="exact"/>
        <w:rPr>
          <w:sz w:val="20"/>
          <w:szCs w:val="20"/>
          <w:color w:val="auto"/>
        </w:rPr>
      </w:pPr>
    </w:p>
    <w:p>
      <w:pPr>
        <w:ind w:left="80"/>
        <w:spacing w:after="0"/>
        <w:tabs>
          <w:tab w:leader="none" w:pos="5700" w:val="left"/>
        </w:tabs>
        <w:rPr>
          <w:sz w:val="20"/>
          <w:szCs w:val="20"/>
          <w:color w:val="auto"/>
        </w:rPr>
      </w:pPr>
      <w:r>
        <w:rPr>
          <w:rFonts w:ascii="Times New Roman" w:cs="Times New Roman" w:eastAsia="Times New Roman" w:hAnsi="Times New Roman"/>
          <w:sz w:val="22"/>
          <w:szCs w:val="22"/>
          <w:color w:val="auto"/>
        </w:rPr>
        <w:t>Date: _______________</w:t>
      </w:r>
      <w:r>
        <w:rPr>
          <w:sz w:val="20"/>
          <w:szCs w:val="20"/>
          <w:color w:val="auto"/>
        </w:rPr>
        <w:tab/>
      </w:r>
      <w:r>
        <w:rPr>
          <w:rFonts w:ascii="Times New Roman" w:cs="Times New Roman" w:eastAsia="Times New Roman" w:hAnsi="Times New Roman"/>
          <w:sz w:val="21"/>
          <w:szCs w:val="21"/>
          <w:color w:val="auto"/>
        </w:rPr>
        <w:t>[NAME OF AUTHENTICATING AGENT]</w:t>
      </w:r>
    </w:p>
    <w:p>
      <w:pPr>
        <w:spacing w:after="0" w:line="8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As Authenticating Agent</w:t>
      </w:r>
    </w:p>
    <w:p>
      <w:pPr>
        <w:spacing w:after="0" w:line="3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19685</wp:posOffset>
            </wp:positionV>
            <wp:extent cx="3549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2"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22"/>
          <w:szCs w:val="22"/>
          <w:color w:val="auto"/>
        </w:rPr>
        <w:t>The provisions of Sections 309, 604 and 605 shall be applicable to any Authenticating Agent.</w:t>
      </w:r>
    </w:p>
    <w:p>
      <w:pPr>
        <w:spacing w:after="0" w:line="18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010000"/>
        </w:rPr>
        <w:t>Article 7</w:t>
      </w:r>
    </w:p>
    <w:p>
      <w:pPr>
        <w:ind w:left="660" w:right="2680" w:firstLine="2025"/>
        <w:spacing w:after="0" w:line="411" w:lineRule="auto"/>
        <w:rPr>
          <w:sz w:val="20"/>
          <w:szCs w:val="20"/>
          <w:color w:val="auto"/>
        </w:rPr>
      </w:pPr>
      <w:r>
        <w:rPr>
          <w:rFonts w:ascii="Times New Roman" w:cs="Times New Roman" w:eastAsia="Times New Roman" w:hAnsi="Times New Roman"/>
          <w:sz w:val="22"/>
          <w:szCs w:val="22"/>
          <w:color w:val="auto"/>
        </w:rPr>
        <w:t xml:space="preserve">HOLDERS’ LISTS AND REPORTS BY TRUSTEE AND ISSUER </w:t>
      </w:r>
      <w:r>
        <w:rPr>
          <w:rFonts w:ascii="Times New Roman" w:cs="Times New Roman" w:eastAsia="Times New Roman" w:hAnsi="Times New Roman"/>
          <w:sz w:val="22"/>
          <w:szCs w:val="22"/>
          <w:color w:val="010000"/>
        </w:rPr>
        <w:t xml:space="preserve">Section 701. </w:t>
      </w:r>
      <w:r>
        <w:rPr>
          <w:rFonts w:ascii="Times New Roman" w:cs="Times New Roman" w:eastAsia="Times New Roman" w:hAnsi="Times New Roman"/>
          <w:sz w:val="22"/>
          <w:szCs w:val="22"/>
          <w:u w:val="single" w:color="auto"/>
          <w:color w:val="000000"/>
        </w:rPr>
        <w:t>Issuer to Furnish Trustee Names and Addresses of Holders</w:t>
      </w:r>
      <w:r>
        <w:rPr>
          <w:rFonts w:ascii="Times New Roman" w:cs="Times New Roman" w:eastAsia="Times New Roman" w:hAnsi="Times New Roman"/>
          <w:sz w:val="22"/>
          <w:szCs w:val="22"/>
          <w:color w:val="000000"/>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respect to each particular series of Securities, the Issuer will furnish or cause to be furnished to the Trustee for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of such series:</w:t>
      </w:r>
    </w:p>
    <w:p>
      <w:pPr>
        <w:spacing w:after="0" w:line="182" w:lineRule="exact"/>
        <w:rPr>
          <w:sz w:val="20"/>
          <w:szCs w:val="20"/>
          <w:color w:val="auto"/>
        </w:rPr>
      </w:pPr>
    </w:p>
    <w:p>
      <w:pPr>
        <w:jc w:val="both"/>
        <w:ind w:left="660" w:firstLine="644"/>
        <w:spacing w:after="0" w:line="220" w:lineRule="auto"/>
        <w:tabs>
          <w:tab w:leader="none" w:pos="1953"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semi-annually, not later than 15 days after each Regular Record Date, or, in the case of any series of Securities on which semi-annual interest is not payable, not more than 15 days after such semi-annual dates as may be specified by such Trustee, a list, in such form as such Trustee may reasonably require, of the names and addresses of the Holders as of such Regular Record Date or semi-annual date, as the case may be; and</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such other times as such Trustee may request in writing, within 30 days after the receipt by the Issuer of any such request, a list of similar form and content as specified in clause (a) above as of a date not more than 15 days prior to the time such list is furnished;</w:t>
      </w:r>
    </w:p>
    <w:p>
      <w:pPr>
        <w:spacing w:after="0" w:line="1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 long as such Trustee is Security Registrar for any series of Securities, no such list shall be required to be furnished with respect to any such series.</w:t>
      </w:r>
    </w:p>
    <w:p>
      <w:pPr>
        <w:spacing w:after="0" w:line="13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702.</w:t>
      </w:r>
      <w:r>
        <w:rPr>
          <w:sz w:val="20"/>
          <w:szCs w:val="20"/>
          <w:color w:val="auto"/>
        </w:rPr>
        <w:tab/>
      </w:r>
      <w:r>
        <w:rPr>
          <w:rFonts w:ascii="Times New Roman" w:cs="Times New Roman" w:eastAsia="Times New Roman" w:hAnsi="Times New Roman"/>
          <w:sz w:val="21"/>
          <w:szCs w:val="21"/>
          <w:u w:val="single" w:color="auto"/>
          <w:color w:val="auto"/>
        </w:rPr>
        <w:t>Preservation of Information; Communications to Holders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for each series of Securities shall preserve, in as current a form as is reasonably practicable, the names and addresses of Holders contained in the most recent list furnished to such Trustee as provided in Section 701 and the names and addresses of Holders received by such Trustee in its capacity as Security Registrar. Such Trustee may destroy any list furnished to it as provided in Section 701 upon receipt of a new list so furnished.</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1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three (3) or more Holders of any particular series (herein referred to as “applicants”) apply in writing to the Trustee for the Securities of such series, and furnish to such Trustee reasonable proof that each such applicant has owned a Security for a period of at least six (6) months preceding the date of such application, and such application states that the applicants desire to communicate with other Holders of Securities of such series with respect to their rights under this Indenture or under the Securities and is accompanied by a copy of the form of proxy or other communication which such applicants propose to transmit, then such Trustee shall, within five business days after the receipt of such application, at its election, either:</w:t>
      </w:r>
    </w:p>
    <w:p>
      <w:pPr>
        <w:spacing w:after="0" w:line="153" w:lineRule="exact"/>
        <w:rPr>
          <w:rFonts w:ascii="Times New Roman" w:cs="Times New Roman" w:eastAsia="Times New Roman" w:hAnsi="Times New Roman"/>
          <w:sz w:val="21"/>
          <w:szCs w:val="21"/>
          <w:color w:val="010000"/>
        </w:rPr>
      </w:pPr>
    </w:p>
    <w:p>
      <w:pPr>
        <w:ind w:left="660" w:firstLine="644"/>
        <w:spacing w:after="0" w:line="236" w:lineRule="auto"/>
        <w:tabs>
          <w:tab w:leader="none" w:pos="1944" w:val="left"/>
        </w:tabs>
        <w:numPr>
          <w:ilvl w:val="1"/>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afford such applicants access to the information preserved at the time by such Trustee in accordance with Section 702(a); or</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0" w:val="left"/>
        </w:tabs>
        <w:numPr>
          <w:ilvl w:val="1"/>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inform such applicants as to the approximate number of Holders of Securities of such series whose names and addresses appear in the information preserved at the time by such Trustee in accordance with Section 702(a), and as to the approximate cost of mailing to such Holders the form of proxy or other communication, if any, specified in such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125" w:name="page126"/>
    <w:bookmarkEnd w:id="125"/>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If any such Trustee shall elect not to afford such applicants access to such information, such Trustee shall, upon the written request of such applicants, mail to each Holder of Securities of such series whose name and address appear in the information preserved at the time by such Trustee in accordance with Section 702(a) a copy of the form of proxy or other communication which is specified in such request, with reasonable promptness after a tender to such Trustee of the material to be mailed and of payment, or provision for the payment, of the reasonable expenses of mailing, unless within five business days after such tender such Trustee shall mail to such applicants and file with the Commission, together with a copy of the material to be mailed, a written statement to the effect that, in the opinion of such Trustee, such mailing would be contrary to the best interest of the Holders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such Trustee shall mail copies of such material to all such Holders with reasonable promptness after the entry of such order and the renewal of such tender, otherwise such Trustee shall be relieved of any obligation or duty to such applicants respecting their application.</w:t>
      </w:r>
    </w:p>
    <w:p>
      <w:pPr>
        <w:spacing w:after="0" w:line="176" w:lineRule="exact"/>
        <w:rPr>
          <w:sz w:val="20"/>
          <w:szCs w:val="20"/>
          <w:color w:val="auto"/>
        </w:rPr>
      </w:pPr>
    </w:p>
    <w:p>
      <w:pPr>
        <w:jc w:val="both"/>
        <w:ind w:firstLine="656"/>
        <w:spacing w:after="0" w:line="227" w:lineRule="auto"/>
        <w:tabs>
          <w:tab w:leader="none" w:pos="1293" w:val="left"/>
        </w:tabs>
        <w:numPr>
          <w:ilvl w:val="0"/>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Every Holder of Securities of each series, by receiving and holding the same, agrees with the Issuer, the Guarantors and the Trustee for the Securities of such series that none of the Issuer, the Guarantors or such Trustee nor any agent of any of them shall be held accountable by reason of the disclosure of any such information as to the names and addresses of the Holders in accordance with Section 702(b), regardless of the source from which such information was derived, and that such Trustee shall not be held accountable by reason of mailing any material pursuant to a request made under Section 702(b).</w:t>
      </w:r>
    </w:p>
    <w:p>
      <w:pPr>
        <w:spacing w:after="0" w:line="153" w:lineRule="exact"/>
        <w:rPr>
          <w:rFonts w:ascii="Times New Roman" w:cs="Times New Roman" w:eastAsia="Times New Roman" w:hAnsi="Times New Roman"/>
          <w:sz w:val="21"/>
          <w:szCs w:val="21"/>
          <w:color w:val="010000"/>
        </w:rPr>
      </w:pPr>
    </w:p>
    <w:p>
      <w:pPr>
        <w:jc w:val="both"/>
        <w:ind w:firstLine="656"/>
        <w:spacing w:after="0" w:line="225" w:lineRule="auto"/>
        <w:tabs>
          <w:tab w:leader="none" w:pos="1291"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U.S. Depositary may grant proxies and otherwise authorize its participants which own the Global Securities to give or take any Act which a Holder is entitled to take under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U.S. Depositary has delivered a list of such participants to the Trustee for the Securities of such series.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703.</w:t>
      </w:r>
      <w:r>
        <w:rPr>
          <w:sz w:val="20"/>
          <w:szCs w:val="20"/>
          <w:color w:val="auto"/>
        </w:rPr>
        <w:tab/>
      </w:r>
      <w:r>
        <w:rPr>
          <w:rFonts w:ascii="Times New Roman" w:cs="Times New Roman" w:eastAsia="Times New Roman" w:hAnsi="Times New Roman"/>
          <w:sz w:val="21"/>
          <w:szCs w:val="21"/>
          <w:u w:val="single" w:color="auto"/>
          <w:color w:val="auto"/>
        </w:rPr>
        <w:t>Reports by Trustee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5" w:lineRule="auto"/>
        <w:tabs>
          <w:tab w:leader="none" w:pos="1293"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Trustee for the Securities of each series shall transmit to Holders of Securities of each series for which such Trustee serves such reports concerning such Trustee and its actions under this Indenture as may be required pursuant to the Trust Indenture Act at the times and in the manner provided pursuant thereto. If required by Section 313(a) of the Trust Indenture Act, the Trustee for the Securities of each series shall, within 60 days after each May 15 following the date of this Indenture deliver to Holders of Securities of each series for which such Trustee serves a brief report, dated as of such May 15, which complies with the provisions of such Section 313(a).</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1"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copy of each such report shall, at the time of such transmission to Holders of Securities of each particular series be filed by each particular Trustee with each stock exchange upon which any Securities are listed, with the Commission and with the Issuer. The Issuer will promptly notify the Trustee in writing when any Securities are listed on any stock exchange or of any delisting thereof.</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704.</w:t>
      </w:r>
      <w:r>
        <w:rPr>
          <w:sz w:val="20"/>
          <w:szCs w:val="20"/>
          <w:color w:val="auto"/>
        </w:rPr>
        <w:tab/>
      </w:r>
      <w:r>
        <w:rPr>
          <w:rFonts w:ascii="Times New Roman" w:cs="Times New Roman" w:eastAsia="Times New Roman" w:hAnsi="Times New Roman"/>
          <w:sz w:val="21"/>
          <w:szCs w:val="21"/>
          <w:u w:val="single" w:color="auto"/>
          <w:color w:val="auto"/>
        </w:rPr>
        <w:t>Reports by Weatherford Parent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22"/>
          <w:szCs w:val="22"/>
          <w:color w:val="auto"/>
        </w:rPr>
        <w:t>Weatherford Parent shall:</w:t>
      </w:r>
    </w:p>
    <w:p>
      <w:pPr>
        <w:spacing w:after="0" w:line="193" w:lineRule="exact"/>
        <w:rPr>
          <w:sz w:val="20"/>
          <w:szCs w:val="20"/>
          <w:color w:val="auto"/>
        </w:rPr>
      </w:pPr>
    </w:p>
    <w:p>
      <w:pPr>
        <w:jc w:val="both"/>
        <w:ind w:left="660" w:firstLine="644"/>
        <w:spacing w:after="0" w:line="222" w:lineRule="auto"/>
        <w:tabs>
          <w:tab w:leader="none" w:pos="1951" w:val="left"/>
        </w:tabs>
        <w:numPr>
          <w:ilvl w:val="0"/>
          <w:numId w:val="1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file with the Trustee for the Securities of each series, within 15 days after Weatherford Parent is required to file the same with the Commission, copies of the annual reports and of the information, documents and other reports (or copies of such portions of any of the foregoing as the Commission may from time to time by rules and regulations prescribe) which Weatherford Parent may be required to file with the Commission pursuant to Section 13 or Section 15(d) of the Exchange Act; or if Weatherford Parent is not required to file information, documents or reports pursuant to either of said Sections, then it shall file with such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149" w:lineRule="exact"/>
        <w:rPr>
          <w:rFonts w:ascii="Times New Roman" w:cs="Times New Roman" w:eastAsia="Times New Roman" w:hAnsi="Times New Roman"/>
          <w:sz w:val="21"/>
          <w:szCs w:val="21"/>
          <w:color w:val="010000"/>
        </w:rPr>
      </w:pPr>
    </w:p>
    <w:p>
      <w:pPr>
        <w:jc w:val="both"/>
        <w:ind w:left="660" w:firstLine="644"/>
        <w:spacing w:after="0" w:line="220" w:lineRule="auto"/>
        <w:tabs>
          <w:tab w:leader="none" w:pos="1951"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file with the Trustee for the Securities of such series and the Commission, in accordance with rules and regulations prescribed from time to time by the Commission, such additional information, documents and reports with respect to compliance by Weatherford Parent with the conditions and covenants of this Indenture as may be required from time to time by such rules and regulations; and</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transmit by mail to all Holders, as their names and addresses appear in the Security Register, within 30 days after the filing thereof with the Trustee for the Securities of such series, such summaries of any information, documents and reports required to be filed by Weatherford Parent pursuant to paragraphs (1) and (2) hereof as may be required by rules and regulations prescribed from time to time by the Commission.</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Weatherford Parent shall be deemed to have complied with the previous sentence to the extent that such information, documents and reports are filed with the Commission via the Electronic Data Gathering, Analysis, and Retrieval (EDGAR) system (or any successor electronic delivery procedure).</w:t>
      </w:r>
    </w:p>
    <w:p>
      <w:pPr>
        <w:spacing w:after="0" w:line="167"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Delivery of such reports, information and documents to the Trustee for the Securities of each series is for informational purposes only and such Trustee’s receipt of such shall not constitute constructive notice of any information contained therein or determinable from information contained therein, including the Issuer’s and the Guarantors’ compliance with any of their respective covenants hereunder (as to which such Trustee is entitled to rely exclusively on Officer’s Certificates). The Trustee shall have no responsibility to determine if any information has been filed.</w:t>
      </w:r>
    </w:p>
    <w:p>
      <w:pPr>
        <w:spacing w:after="0" w:line="1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010000"/>
        </w:rPr>
        <w:t>Article 8</w:t>
      </w:r>
    </w:p>
    <w:p>
      <w:pPr>
        <w:ind w:left="660" w:right="2600" w:firstLine="1944"/>
        <w:spacing w:after="0" w:line="398" w:lineRule="auto"/>
        <w:rPr>
          <w:sz w:val="20"/>
          <w:szCs w:val="20"/>
          <w:color w:val="auto"/>
        </w:rPr>
      </w:pPr>
      <w:r>
        <w:rPr>
          <w:rFonts w:ascii="Times New Roman" w:cs="Times New Roman" w:eastAsia="Times New Roman" w:hAnsi="Times New Roman"/>
          <w:sz w:val="22"/>
          <w:szCs w:val="22"/>
          <w:color w:val="auto"/>
        </w:rPr>
        <w:t xml:space="preserve">CONSOLIDATION, MERGER, CONVEYANCE, SALE OR LEASE </w:t>
      </w:r>
      <w:r>
        <w:rPr>
          <w:rFonts w:ascii="Times New Roman" w:cs="Times New Roman" w:eastAsia="Times New Roman" w:hAnsi="Times New Roman"/>
          <w:sz w:val="22"/>
          <w:szCs w:val="22"/>
          <w:color w:val="010000"/>
        </w:rPr>
        <w:t xml:space="preserve">Section 801. </w:t>
      </w:r>
      <w:r>
        <w:rPr>
          <w:rFonts w:ascii="Times New Roman" w:cs="Times New Roman" w:eastAsia="Times New Roman" w:hAnsi="Times New Roman"/>
          <w:sz w:val="22"/>
          <w:szCs w:val="22"/>
          <w:u w:val="single" w:color="auto"/>
          <w:color w:val="000000"/>
        </w:rPr>
        <w:t>Issuer and Guarantors May Consolidate, Etc., on Certain Terms</w:t>
      </w:r>
      <w:r>
        <w:rPr>
          <w:rFonts w:ascii="Times New Roman" w:cs="Times New Roman" w:eastAsia="Times New Roman" w:hAnsi="Times New Roman"/>
          <w:sz w:val="22"/>
          <w:szCs w:val="22"/>
          <w:color w:val="000000"/>
        </w:rPr>
        <w:t>.</w:t>
      </w:r>
    </w:p>
    <w:p>
      <w:pPr>
        <w:spacing w:after="0" w:line="1" w:lineRule="exact"/>
        <w:rPr>
          <w:sz w:val="20"/>
          <w:szCs w:val="20"/>
          <w:color w:val="auto"/>
        </w:rPr>
      </w:pPr>
    </w:p>
    <w:p>
      <w:pPr>
        <w:jc w:val="both"/>
        <w:ind w:firstLine="656"/>
        <w:spacing w:after="0" w:line="236" w:lineRule="auto"/>
        <w:tabs>
          <w:tab w:leader="none" w:pos="1293"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otherwise indicated for a particular series of Securities, supplemental indenture or provided in or pursuant to a Board Resolution or Officer’s Certificate, the Issuer of any series of Securities shall not consolidate, amalgamate or merge with or into any other Person (whether or not affiliated with such Issuer) and such Issuer or its successor or successors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18" w:lineRule="auto"/>
        <w:rPr>
          <w:sz w:val="20"/>
          <w:szCs w:val="20"/>
          <w:color w:val="auto"/>
        </w:rPr>
      </w:pPr>
      <w:r>
        <w:rPr>
          <w:rFonts w:ascii="Times New Roman" w:cs="Times New Roman" w:eastAsia="Times New Roman" w:hAnsi="Times New Roman"/>
          <w:sz w:val="21"/>
          <w:szCs w:val="21"/>
          <w:color w:val="auto"/>
        </w:rPr>
        <w:t>not be a party or parties to successive consolidations, amalgamations or mergers and such Issuer shall not sell, convey or lease all or substantially all of its property to any other Person (whether or not affiliated with such Issuer) authorized to acquire and operate the same, unless (i) upon any such consolidation, amalgamation, merger, sale, conveyance or lease, the due and punctual payment of the principal of (and premium, if any, on) and interest, if any, on all of the Securities of such series, according to their tenor, and the due and punctual performance and observance of all of the covenants and conditions of this Indenture to be performed by such Issuer shall be expressly assumed, by supplemental indenture reasonably satisfactory in form to the Trustee for such series of Securities, executed and delivered to each such Trustee by the Person (if other than such Issuer) formed by such consolidation or amalgamation, or into which such Issuer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United Kingdom, Ireland, Bermuda, Cayman Islands, British Virgin Islands, Gibraltar, the British Crown Dependencies, any member country of the Organisation for Economic Co-operation and Development, or any political subdivision of any of the foregoing. Such Issuer will not so consolidate, amalgamate or merge, or make any such sale, lease or other disposition, and such Issuer will not permit any other Person to merge into such Issuer, unless immediately after the proposed consolidation, amalgamation, merger, sale, lease or other conveyance, and after giving effect thereto, no default in the performance or observance by such Issuer or such successor Person, as the case may be, of any of the terms, covenants, agreements or conditions in respect of such series of Securities contained in this Indenture shall have occurred and be continuing.</w:t>
      </w:r>
    </w:p>
    <w:p>
      <w:pPr>
        <w:spacing w:after="0" w:line="159" w:lineRule="exact"/>
        <w:rPr>
          <w:sz w:val="20"/>
          <w:szCs w:val="20"/>
          <w:color w:val="auto"/>
        </w:rPr>
      </w:pPr>
    </w:p>
    <w:p>
      <w:pPr>
        <w:jc w:val="both"/>
        <w:ind w:firstLine="656"/>
        <w:spacing w:after="0" w:line="217" w:lineRule="auto"/>
        <w:tabs>
          <w:tab w:leader="none" w:pos="1291" w:val="left"/>
        </w:tabs>
        <w:numPr>
          <w:ilvl w:val="0"/>
          <w:numId w:val="1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otherwise indicated for a particular series of Securities, supplemental indenture or provided in or pursuant to a Board Resolution or Officer’s Certificate, each Guarantor, if any, of any series of Securities shall not consolidate, amalgamate or merge with or into any other Person (whether or not affiliated with such Guarantor) and such Guarantor and its successor or successors shall not be a party or parties to successive consolidations, amalgamations or mergers and such Guarantor shall not sell, convey or lease all or substantially all of the property of such Guarantor to any other Person (whether or not affiliated with such Guarantor) authorized to acquire and operate the same, unless (i) upon any such consolidation, amalgamation, merger, sale, conveyance or lease, the performance of the obligations under the Guarantee of such Guarantor, and the due and punctual performance and observance of all of the covenants and conditions of this Indenture to be performed by such Guarantor shall be expressly assumed, by supplemental indenture reasonably satisfactory in form to the Trustee for each series of Securities, executed and delivered to each such Trustee by the Person (if other than the Issuer or a Guarantor for such series) formed by such consolidation or amalgamation, or into which such Guarantor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United Kingdom, Ireland, Bermuda, Cayman Islands, British Virgin Islands, Gibraltar, the British Crown Dependencies, any member country of the Organisation for Economic Co-operation and Development, or any political subdivision of any of the foregoing. Furthermore, such Guarantor will not so consolidate, amalgamate or merge, or make any such sale, lease or other conveyance, and such Guarantor will not permit any other Person to merge into it, unless immediately after the proposed consolidation, amalgamation, merger, sale, lease or other conveyance, and after giving effect thereto, no default in the performance or observance by such Guarantor or such successor Person, as the case may be, of any of the terms, covenants, agreements or conditions in respect of such series of Securities contained in this Indenture or the Guarantee of such Guarantor to be performed by such Guarantor shall have occurred and be continuing.</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802.</w:t>
      </w:r>
      <w:r>
        <w:rPr>
          <w:sz w:val="20"/>
          <w:szCs w:val="20"/>
          <w:color w:val="auto"/>
        </w:rPr>
        <w:tab/>
      </w:r>
      <w:r>
        <w:rPr>
          <w:rFonts w:ascii="Times New Roman" w:cs="Times New Roman" w:eastAsia="Times New Roman" w:hAnsi="Times New Roman"/>
          <w:sz w:val="21"/>
          <w:szCs w:val="21"/>
          <w:u w:val="single" w:color="auto"/>
          <w:color w:val="auto"/>
        </w:rPr>
        <w:t>Successor Corporation to be Substituted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5" w:right="339" w:bottom="1440" w:gutter="0" w:footer="0" w:header="0"/>
        </w:sectPr>
      </w:pPr>
    </w:p>
    <w:bookmarkStart w:id="128" w:name="page129"/>
    <w:bookmarkEnd w:id="128"/>
    <w:p>
      <w:pPr>
        <w:jc w:val="both"/>
        <w:ind w:firstLine="656"/>
        <w:spacing w:after="0" w:line="213" w:lineRule="auto"/>
        <w:tabs>
          <w:tab w:leader="none" w:pos="1293"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respect of each series of Securities, upon any consolidation, amalgamation or merger of the Issuer with or into any other corporation or corporations or any sale, conveyance or lease of all or substantially all of the property of the Issuer to any other corporation or corporations in accordance with this Article Eight, the successor shall succeed to, and be substituted for, and may exercise every right and power of, the Issuer under this Indenture and such Securities with the same effect as if such successor had been named as the Issuer herein and therein, and thereafter, except in the case of a lease, the Issuer as the predecessor corporation shall be relieved of all obligations and covenants under this Indenture and the Securities and the Issuer as the predecessor corporation may thereupon or at any time thereafter be dissolved, wound up or liquidated.</w:t>
      </w:r>
    </w:p>
    <w:p>
      <w:pPr>
        <w:spacing w:after="0" w:line="156" w:lineRule="exact"/>
        <w:rPr>
          <w:rFonts w:ascii="Times New Roman" w:cs="Times New Roman" w:eastAsia="Times New Roman" w:hAnsi="Times New Roman"/>
          <w:sz w:val="22"/>
          <w:szCs w:val="22"/>
          <w:color w:val="010000"/>
        </w:rPr>
      </w:pPr>
    </w:p>
    <w:p>
      <w:pPr>
        <w:jc w:val="both"/>
        <w:ind w:firstLine="656"/>
        <w:spacing w:after="0" w:line="212" w:lineRule="auto"/>
        <w:tabs>
          <w:tab w:leader="none" w:pos="1291"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respect of each series of Securities, subject to Section 801(b), upon any consolidation, amalgamation or merger of any Guarantor with or into any other corporation or corporations or any sale, conveyance or lease of all or substantially all of the property of such Guarantor to any other corporation or corporations in accordance with this Article Eight, the successor shall succeed to, and be substituted for, and may exercise every right and power of, such Guarantor under this Indenture, the Securities and the Guarantee of such Guarantor with the same effect as if such successor had been named as a Guarantor herein and therein, and thereafter, except in the case of a lease, such Guarantor as predecessor corporation shall be relieved of all obligations and covenants under this Indenture and its Guarantee, and such Guarantor as the predecessor corporation may thereupon or at any time thereafter be dissolved, wound up or liquidated.</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803.</w:t>
      </w:r>
      <w:r>
        <w:rPr>
          <w:sz w:val="20"/>
          <w:szCs w:val="20"/>
          <w:color w:val="auto"/>
        </w:rPr>
        <w:tab/>
      </w:r>
      <w:r>
        <w:rPr>
          <w:rFonts w:ascii="Times New Roman" w:cs="Times New Roman" w:eastAsia="Times New Roman" w:hAnsi="Times New Roman"/>
          <w:sz w:val="21"/>
          <w:szCs w:val="21"/>
          <w:u w:val="single" w:color="auto"/>
          <w:color w:val="auto"/>
        </w:rPr>
        <w:t>Opinion of Counsel and Officer’s Certificate to be Given to Trustee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for each series of Securities, subject to Section 601, shall receive an Officer’s Certificate and Opinion of Counsel as conclusive evidence that any such consolidation, amalgamation, merger, sale, conveyance or lease and any such assumption complies with the provisions of this Article Eight.</w:t>
      </w:r>
    </w:p>
    <w:p>
      <w:pPr>
        <w:spacing w:after="0" w:line="14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010000"/>
        </w:rPr>
        <w:t>Article 9</w:t>
      </w:r>
    </w:p>
    <w:p>
      <w:pPr>
        <w:ind w:left="4080"/>
        <w:spacing w:after="0"/>
        <w:rPr>
          <w:sz w:val="20"/>
          <w:szCs w:val="20"/>
          <w:color w:val="auto"/>
        </w:rPr>
      </w:pPr>
      <w:r>
        <w:rPr>
          <w:rFonts w:ascii="Times New Roman" w:cs="Times New Roman" w:eastAsia="Times New Roman" w:hAnsi="Times New Roman"/>
          <w:sz w:val="22"/>
          <w:szCs w:val="22"/>
          <w:color w:val="auto"/>
        </w:rPr>
        <w:t>SUPPLEMENTAL INDENTURES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901.</w:t>
      </w:r>
      <w:r>
        <w:rPr>
          <w:sz w:val="20"/>
          <w:szCs w:val="20"/>
          <w:color w:val="auto"/>
        </w:rPr>
        <w:tab/>
      </w:r>
      <w:r>
        <w:rPr>
          <w:rFonts w:ascii="Times New Roman" w:cs="Times New Roman" w:eastAsia="Times New Roman" w:hAnsi="Times New Roman"/>
          <w:sz w:val="21"/>
          <w:szCs w:val="21"/>
          <w:u w:val="single" w:color="auto"/>
          <w:color w:val="auto"/>
        </w:rPr>
        <w:t>Supplemental Indentures without Consent of Holders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Without the consent of any Holders, the Issuer, the Guarantors and the Trustee for the Securities of any or all series, at any time and from time to time, may enter into one or more indentures supplemental hereto, for any of the purposes set forth below in this Section 901. The terms of such supplemental indenture may be established by one or more duly appointed Officers of the Issuer and one or more duly appointed Officers of the Guarantors acting pursuant to authority granted to such Officers by the Board of Directors of the Issuer and by the Board of Directors of the Guarantors. A supplemental indenture, in form reasonably satisfactory to the Trustee, may be entered into pursuant to this Section 901 for any of the following purposes:</w:t>
      </w:r>
    </w:p>
    <w:p>
      <w:pPr>
        <w:spacing w:after="0" w:line="154" w:lineRule="exact"/>
        <w:rPr>
          <w:sz w:val="20"/>
          <w:szCs w:val="20"/>
          <w:color w:val="auto"/>
        </w:rPr>
      </w:pPr>
    </w:p>
    <w:p>
      <w:pPr>
        <w:jc w:val="both"/>
        <w:ind w:left="660" w:firstLine="644"/>
        <w:spacing w:after="0" w:line="220" w:lineRule="auto"/>
        <w:tabs>
          <w:tab w:leader="none" w:pos="1951"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evidence the succession of another corporation, partnership, limited liability company, trust or any other entity to the Issuer or any Guarantor and the assumption by any such successor of the covenants of the Issuer herein and in the Securities or the assumption by any such successor of the covenants of such Guarantor herein and in the Guarantee;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395" w:right="339" w:bottom="1440" w:gutter="0" w:footer="0" w:header="0"/>
        </w:sectPr>
      </w:pPr>
    </w:p>
    <w:bookmarkStart w:id="129" w:name="page130"/>
    <w:bookmarkEnd w:id="129"/>
    <w:p>
      <w:pPr>
        <w:jc w:val="both"/>
        <w:ind w:left="-460" w:firstLine="644"/>
        <w:spacing w:after="0" w:line="220" w:lineRule="auto"/>
        <w:tabs>
          <w:tab w:leader="none" w:pos="831"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add to the covenants of the Issuer or the Guarantors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Issuer or the Guarantors, as applicable; or</w:t>
      </w:r>
    </w:p>
    <w:p>
      <w:pPr>
        <w:spacing w:after="0" w:line="152" w:lineRule="exact"/>
        <w:rPr>
          <w:rFonts w:ascii="Times New Roman" w:cs="Times New Roman" w:eastAsia="Times New Roman" w:hAnsi="Times New Roman"/>
          <w:sz w:val="22"/>
          <w:szCs w:val="22"/>
          <w:color w:val="010000"/>
        </w:rPr>
      </w:pPr>
    </w:p>
    <w:p>
      <w:pPr>
        <w:ind w:left="820" w:hanging="636"/>
        <w:spacing w:after="0"/>
        <w:tabs>
          <w:tab w:leader="none" w:pos="82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add any additional Events of Default; or</w:t>
      </w:r>
    </w:p>
    <w:p>
      <w:pPr>
        <w:spacing w:after="0" w:line="179" w:lineRule="exact"/>
        <w:rPr>
          <w:rFonts w:ascii="Times New Roman" w:cs="Times New Roman" w:eastAsia="Times New Roman" w:hAnsi="Times New Roman"/>
          <w:sz w:val="22"/>
          <w:szCs w:val="22"/>
          <w:color w:val="010000"/>
        </w:rPr>
      </w:pPr>
    </w:p>
    <w:p>
      <w:pPr>
        <w:jc w:val="both"/>
        <w:ind w:left="-460" w:firstLine="644"/>
        <w:spacing w:after="0" w:line="225" w:lineRule="auto"/>
        <w:tabs>
          <w:tab w:leader="none" w:pos="831"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add to or change any of the provisions of this Indenture to such extent as shall be necessary to permit or facilitate the issuance of Securities in bearer form, registrable or not registrable as to principal, and with or without interest coupons; or</w:t>
      </w:r>
    </w:p>
    <w:p>
      <w:pPr>
        <w:spacing w:after="0" w:line="152" w:lineRule="exact"/>
        <w:rPr>
          <w:rFonts w:ascii="Times New Roman" w:cs="Times New Roman" w:eastAsia="Times New Roman" w:hAnsi="Times New Roman"/>
          <w:sz w:val="22"/>
          <w:szCs w:val="22"/>
          <w:color w:val="010000"/>
        </w:rPr>
      </w:pPr>
    </w:p>
    <w:p>
      <w:pPr>
        <w:jc w:val="both"/>
        <w:ind w:left="-460" w:right="20" w:firstLine="644"/>
        <w:spacing w:after="0" w:line="225" w:lineRule="auto"/>
        <w:tabs>
          <w:tab w:leader="none" w:pos="831"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change or eliminate any of the provisions of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change or elimination shall become effective only when there is no Security Outstanding of any series created prior to the execution of such supplemental indenture which is entitled to the benefit of such provisions; or</w:t>
      </w:r>
    </w:p>
    <w:p>
      <w:pPr>
        <w:spacing w:after="0" w:line="152" w:lineRule="exact"/>
        <w:rPr>
          <w:rFonts w:ascii="Times New Roman" w:cs="Times New Roman" w:eastAsia="Times New Roman" w:hAnsi="Times New Roman"/>
          <w:sz w:val="22"/>
          <w:szCs w:val="22"/>
          <w:color w:val="010000"/>
        </w:rPr>
      </w:pPr>
    </w:p>
    <w:p>
      <w:pPr>
        <w:ind w:left="820" w:hanging="636"/>
        <w:spacing w:after="0"/>
        <w:tabs>
          <w:tab w:leader="none" w:pos="82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secure the Securities; or</w:t>
      </w:r>
    </w:p>
    <w:p>
      <w:pPr>
        <w:spacing w:after="0" w:line="179" w:lineRule="exact"/>
        <w:rPr>
          <w:rFonts w:ascii="Times New Roman" w:cs="Times New Roman" w:eastAsia="Times New Roman" w:hAnsi="Times New Roman"/>
          <w:sz w:val="22"/>
          <w:szCs w:val="22"/>
          <w:color w:val="010000"/>
        </w:rPr>
      </w:pPr>
    </w:p>
    <w:p>
      <w:pPr>
        <w:ind w:left="820" w:hanging="636"/>
        <w:spacing w:after="0"/>
        <w:tabs>
          <w:tab w:leader="none" w:pos="82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establish the form or terms of Securities of any series as permitted by Sections 201 and 301; or</w:t>
      </w:r>
    </w:p>
    <w:p>
      <w:pPr>
        <w:spacing w:after="0" w:line="179" w:lineRule="exact"/>
        <w:rPr>
          <w:rFonts w:ascii="Times New Roman" w:cs="Times New Roman" w:eastAsia="Times New Roman" w:hAnsi="Times New Roman"/>
          <w:sz w:val="22"/>
          <w:szCs w:val="22"/>
          <w:color w:val="010000"/>
        </w:rPr>
      </w:pPr>
    </w:p>
    <w:p>
      <w:pPr>
        <w:ind w:left="820" w:hanging="636"/>
        <w:spacing w:after="0"/>
        <w:tabs>
          <w:tab w:leader="none" w:pos="82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establish the form or terms of a related Guarantee as permitted by Sections 201 and 206; or</w:t>
      </w:r>
    </w:p>
    <w:p>
      <w:pPr>
        <w:spacing w:after="0" w:line="179" w:lineRule="exact"/>
        <w:rPr>
          <w:rFonts w:ascii="Times New Roman" w:cs="Times New Roman" w:eastAsia="Times New Roman" w:hAnsi="Times New Roman"/>
          <w:sz w:val="22"/>
          <w:szCs w:val="22"/>
          <w:color w:val="010000"/>
        </w:rPr>
      </w:pPr>
    </w:p>
    <w:p>
      <w:pPr>
        <w:jc w:val="both"/>
        <w:ind w:left="-460" w:firstLine="644"/>
        <w:spacing w:after="0" w:line="220" w:lineRule="auto"/>
        <w:tabs>
          <w:tab w:leader="none" w:pos="831"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52" w:lineRule="exact"/>
        <w:rPr>
          <w:rFonts w:ascii="Times New Roman" w:cs="Times New Roman" w:eastAsia="Times New Roman" w:hAnsi="Times New Roman"/>
          <w:sz w:val="22"/>
          <w:szCs w:val="22"/>
          <w:color w:val="010000"/>
        </w:rPr>
      </w:pPr>
    </w:p>
    <w:p>
      <w:pPr>
        <w:jc w:val="both"/>
        <w:ind w:left="-460" w:firstLine="644"/>
        <w:spacing w:after="0" w:line="220" w:lineRule="auto"/>
        <w:tabs>
          <w:tab w:leader="none" w:pos="831"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evidence and provide for the acceptance of appointment hereunder of a Trustee other than Deutsche Bank Trust Company Americas as Trustee for a series of Securities and to add to or change any of the provisions of this Indenture as shall be necessary to provide for or facilitate the administration of the trusts hereunder by more than one Trustee, pursuant to the requirements of Section 609; or</w:t>
      </w:r>
    </w:p>
    <w:p>
      <w:pPr>
        <w:spacing w:after="0" w:line="152" w:lineRule="exact"/>
        <w:rPr>
          <w:rFonts w:ascii="Times New Roman" w:cs="Times New Roman" w:eastAsia="Times New Roman" w:hAnsi="Times New Roman"/>
          <w:sz w:val="22"/>
          <w:szCs w:val="22"/>
          <w:color w:val="010000"/>
        </w:rPr>
      </w:pPr>
    </w:p>
    <w:p>
      <w:pPr>
        <w:ind w:left="-460" w:firstLine="644"/>
        <w:spacing w:after="0" w:line="236" w:lineRule="auto"/>
        <w:tabs>
          <w:tab w:leader="none" w:pos="823"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provide for any rights of the Holders of Securities of any series to require the repurchase of Securities of such series from the Issuer; or</w:t>
      </w:r>
    </w:p>
    <w:p>
      <w:pPr>
        <w:spacing w:after="0" w:line="150" w:lineRule="exact"/>
        <w:rPr>
          <w:rFonts w:ascii="Times New Roman" w:cs="Times New Roman" w:eastAsia="Times New Roman" w:hAnsi="Times New Roman"/>
          <w:sz w:val="22"/>
          <w:szCs w:val="22"/>
          <w:color w:val="010000"/>
        </w:rPr>
      </w:pPr>
    </w:p>
    <w:p>
      <w:pPr>
        <w:jc w:val="both"/>
        <w:ind w:left="-460" w:firstLine="644"/>
        <w:spacing w:after="0" w:line="220" w:lineRule="auto"/>
        <w:tabs>
          <w:tab w:leader="none" w:pos="831"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cure any ambiguity, omission, mistake or defect to correct or supplement any provision herein which may be inconsistent with any other provision herein, or to make any other provisions with respect to matters or questions arising under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action shall not adversely affect the interests of the Holders of Securities of any series in any material respect; or</w:t>
      </w:r>
    </w:p>
    <w:p>
      <w:pPr>
        <w:spacing w:after="0" w:line="152" w:lineRule="exact"/>
        <w:rPr>
          <w:rFonts w:ascii="Times New Roman" w:cs="Times New Roman" w:eastAsia="Times New Roman" w:hAnsi="Times New Roman"/>
          <w:sz w:val="22"/>
          <w:szCs w:val="22"/>
          <w:color w:val="010000"/>
        </w:rPr>
      </w:pPr>
    </w:p>
    <w:p>
      <w:pPr>
        <w:ind w:left="820" w:hanging="636"/>
        <w:spacing w:after="0"/>
        <w:tabs>
          <w:tab w:leader="none" w:pos="82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provide for the issuance of additional Securities of any series in accordance with this Indenture; or</w:t>
      </w:r>
    </w:p>
    <w:p>
      <w:pPr>
        <w:spacing w:after="0" w:line="179" w:lineRule="exact"/>
        <w:rPr>
          <w:rFonts w:ascii="Times New Roman" w:cs="Times New Roman" w:eastAsia="Times New Roman" w:hAnsi="Times New Roman"/>
          <w:sz w:val="22"/>
          <w:szCs w:val="22"/>
          <w:color w:val="010000"/>
        </w:rPr>
      </w:pPr>
    </w:p>
    <w:p>
      <w:pPr>
        <w:ind w:left="820" w:hanging="636"/>
        <w:spacing w:after="0"/>
        <w:tabs>
          <w:tab w:leader="none" w:pos="82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provide for or add Guarantors with respect to the Securities of any series; or</w:t>
      </w:r>
    </w:p>
    <w:p>
      <w:pPr>
        <w:spacing w:after="0" w:line="179" w:lineRule="exact"/>
        <w:rPr>
          <w:rFonts w:ascii="Times New Roman" w:cs="Times New Roman" w:eastAsia="Times New Roman" w:hAnsi="Times New Roman"/>
          <w:sz w:val="22"/>
          <w:szCs w:val="22"/>
          <w:color w:val="010000"/>
        </w:rPr>
      </w:pPr>
    </w:p>
    <w:p>
      <w:pPr>
        <w:ind w:left="-460" w:firstLine="644"/>
        <w:spacing w:after="0" w:line="236" w:lineRule="auto"/>
        <w:tabs>
          <w:tab w:leader="none" w:pos="831"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amend the provisions of this Indenture relating to the transfer and legending of any Securities, including, without limitation, to facilitate the issuance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-4558665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0120"/>
          </w:cols>
          <w:pgMar w:left="1440" w:top="1395" w:right="339" w:bottom="1440" w:gutter="0" w:footer="0" w:header="0"/>
        </w:sectPr>
      </w:pPr>
    </w:p>
    <w:bookmarkStart w:id="130" w:name="page131"/>
    <w:bookmarkEnd w:id="130"/>
    <w:p>
      <w:pPr>
        <w:ind w:left="660"/>
        <w:spacing w:after="0" w:line="236" w:lineRule="auto"/>
        <w:rPr>
          <w:sz w:val="20"/>
          <w:szCs w:val="20"/>
          <w:color w:val="auto"/>
        </w:rPr>
      </w:pPr>
      <w:r>
        <w:rPr>
          <w:rFonts w:ascii="Times New Roman" w:cs="Times New Roman" w:eastAsia="Times New Roman" w:hAnsi="Times New Roman"/>
          <w:sz w:val="22"/>
          <w:szCs w:val="22"/>
          <w:color w:val="auto"/>
        </w:rPr>
        <w:t xml:space="preserve">administration of such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compliance with this Indenture as so amended would not result in the Securities being transferred in violation of the Securities Act of 1933, as amended, or any applicable securities law; or</w:t>
      </w:r>
    </w:p>
    <w:p>
      <w:pPr>
        <w:spacing w:after="0" w:line="150" w:lineRule="exact"/>
        <w:rPr>
          <w:sz w:val="20"/>
          <w:szCs w:val="20"/>
          <w:color w:val="auto"/>
        </w:rPr>
      </w:pPr>
    </w:p>
    <w:p>
      <w:pPr>
        <w:ind w:left="660" w:firstLine="644"/>
        <w:spacing w:after="0" w:line="236" w:lineRule="auto"/>
        <w:tabs>
          <w:tab w:leader="none" w:pos="1951"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continue its qualification under the Trust Indenture Act or as may be necessary or desirable in accordance with amendments to the Trust Indenture Act; or</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conform the text of this Indenture, the Securities or any related Guarantee to any provision of the description thereof set forth in any applicable prospectus or prospectus supplement to the extent that such provision in such prospectus or prospectus supplement was intended to be a verbatim recitation of a provision in this Indenture, the Securities or any related Guarantee; or</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add a co-issuer or co-obligor of the Securities (and, to the extent such co-issuer or co-obligor is a Guarantor, release the Guarantee of such Guarantor); or</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any other reason specified pursuant to Section 301 with respect to the Securities of such series.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902.</w:t>
      </w:r>
      <w:r>
        <w:rPr>
          <w:sz w:val="20"/>
          <w:szCs w:val="20"/>
          <w:color w:val="auto"/>
        </w:rPr>
        <w:tab/>
      </w:r>
      <w:r>
        <w:rPr>
          <w:rFonts w:ascii="Times New Roman" w:cs="Times New Roman" w:eastAsia="Times New Roman" w:hAnsi="Times New Roman"/>
          <w:sz w:val="21"/>
          <w:szCs w:val="21"/>
          <w:u w:val="single" w:color="auto"/>
          <w:color w:val="auto"/>
        </w:rPr>
        <w:t>Supplemental Indentures with Consent of Holders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With the consent of the Holders of not less than a majority in principal amount of the Outstanding Securities of any or all series affected by such supplemental indenture (voting as one class), by Act of said Holders delivered to the Issuer, the Guarantors and the Trustee of each such series of Securities, the Issuer, when authorized by or pursuant to a Board Resolution of its Board of Directors, the Guarantors, when authorized by or pursuant to a Board Resolution by the Guarantors’ Board of Directors, and each such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supplemental indenture shall, without the consent of the Holder of each Outstanding Security affected thereby:</w:t>
      </w:r>
    </w:p>
    <w:p>
      <w:pPr>
        <w:spacing w:after="0" w:line="168" w:lineRule="exact"/>
        <w:rPr>
          <w:sz w:val="20"/>
          <w:szCs w:val="20"/>
          <w:color w:val="auto"/>
        </w:rPr>
      </w:pPr>
    </w:p>
    <w:p>
      <w:pPr>
        <w:jc w:val="both"/>
        <w:ind w:left="660" w:firstLine="644"/>
        <w:spacing w:after="0" w:line="212" w:lineRule="auto"/>
        <w:tabs>
          <w:tab w:leader="none" w:pos="1951"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the Stated Maturity of the principal of, or any installment of principal of or interest, if any, on, any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Section 502, or change any Place of Payment where, or the coin or currency in which, any Security or any premium or the interest thereon is payable, or impair the right to institute suit for the enforcement of any such payment on or after the Stated Maturity thereof (or, in the case of redemption, on or after the Redemption Date), or release any Guarantor from any of its obligations under its Guarantee or modify such obligations otherwise than in accordance with the terms of this Indenture;</w:t>
      </w:r>
    </w:p>
    <w:p>
      <w:pPr>
        <w:spacing w:after="0" w:line="156"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5" w:right="339" w:bottom="1440" w:gutter="0" w:footer="0" w:header="0"/>
        </w:sectPr>
      </w:pPr>
    </w:p>
    <w:bookmarkStart w:id="131" w:name="page132"/>
    <w:bookmarkEnd w:id="131"/>
    <w:p>
      <w:pPr>
        <w:jc w:val="both"/>
        <w:ind w:left="660" w:firstLine="644"/>
        <w:spacing w:after="0" w:line="215" w:lineRule="auto"/>
        <w:tabs>
          <w:tab w:leader="none" w:pos="1951" w:val="left"/>
        </w:tabs>
        <w:numPr>
          <w:ilvl w:val="0"/>
          <w:numId w:val="1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clause shall not be deemed to require the consent of any Holder with respect to changes in the references to “the Trustee” and concomitant changes in this Section and Section 1008, or the deletion of this proviso, in accordance with the requirements of Sections 609, 611(b), 901(9) and 901(10).</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It shall not be necessary for any Act of Holders of any series of Securities under this Section to approve the particular form of any proposed supplemental indenture, but it shall be sufficient if such Act shall approve the substance thereof.</w:t>
      </w:r>
    </w:p>
    <w:p>
      <w:pPr>
        <w:spacing w:after="0" w:line="13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903.</w:t>
      </w:r>
      <w:r>
        <w:rPr>
          <w:sz w:val="20"/>
          <w:szCs w:val="20"/>
          <w:color w:val="auto"/>
        </w:rPr>
        <w:tab/>
      </w:r>
      <w:r>
        <w:rPr>
          <w:rFonts w:ascii="Times New Roman" w:cs="Times New Roman" w:eastAsia="Times New Roman" w:hAnsi="Times New Roman"/>
          <w:sz w:val="21"/>
          <w:szCs w:val="21"/>
          <w:u w:val="single" w:color="auto"/>
          <w:color w:val="auto"/>
        </w:rPr>
        <w:t>Execution of Supplemental Indentures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executing, or accepting the additional trusts created by, and supplemental indenture permitted by this Article Nine or the modifications thereby of the trusts created by this Indenture, the Trustee for any series of Securities shall receive, and (subject to Section 601) shall be fully protected in conclusively relying upon, an Officer’s Certificate and Opinion of Counsel stating that the execution of such supplemental indenture is authorized or permitted by this Indenture and is the legal, valid and binding obligation of the Issuer enforceable against it in accordance with its terms. The Trustee for any series of Securities may, but shall not be obligated to, enter into any such supplemental indenture which affects such Trustee’s own rights, duties or immunities under this Indenture or otherwise.</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904.</w:t>
      </w:r>
      <w:r>
        <w:rPr>
          <w:sz w:val="20"/>
          <w:szCs w:val="20"/>
          <w:color w:val="auto"/>
        </w:rPr>
        <w:tab/>
      </w:r>
      <w:r>
        <w:rPr>
          <w:rFonts w:ascii="Times New Roman" w:cs="Times New Roman" w:eastAsia="Times New Roman" w:hAnsi="Times New Roman"/>
          <w:sz w:val="21"/>
          <w:szCs w:val="21"/>
          <w:u w:val="single" w:color="auto"/>
          <w:color w:val="auto"/>
        </w:rPr>
        <w:t>Effect of Supplemental Indentures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4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905.</w:t>
      </w:r>
      <w:r>
        <w:rPr>
          <w:sz w:val="20"/>
          <w:szCs w:val="20"/>
          <w:color w:val="auto"/>
        </w:rPr>
        <w:tab/>
      </w:r>
      <w:r>
        <w:rPr>
          <w:rFonts w:ascii="Times New Roman" w:cs="Times New Roman" w:eastAsia="Times New Roman" w:hAnsi="Times New Roman"/>
          <w:sz w:val="21"/>
          <w:szCs w:val="21"/>
          <w:u w:val="single" w:color="auto"/>
          <w:color w:val="auto"/>
        </w:rPr>
        <w:t>Conformity with Trust Indenture Act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Every supplemental indenture executed pursuant to this Article Nine shall conform to the requirements of the Trust Indenture Act as then in effect.</w:t>
      </w:r>
    </w:p>
    <w:p>
      <w:pPr>
        <w:spacing w:after="0" w:line="13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906.</w:t>
      </w:r>
      <w:r>
        <w:rPr>
          <w:sz w:val="20"/>
          <w:szCs w:val="20"/>
          <w:color w:val="auto"/>
        </w:rPr>
        <w:tab/>
      </w:r>
      <w:r>
        <w:rPr>
          <w:rFonts w:ascii="Times New Roman" w:cs="Times New Roman" w:eastAsia="Times New Roman" w:hAnsi="Times New Roman"/>
          <w:sz w:val="21"/>
          <w:szCs w:val="21"/>
          <w:u w:val="single" w:color="auto"/>
          <w:color w:val="auto"/>
        </w:rPr>
        <w:t>Reference in Securities to Supplemental Indentures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Securities of any series authenticated and delivered after the execution of any supplemental indenture pursuant to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Nine may, and shall if required by the Trustee for the Securities of such series, bear a notation in form approved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Trustee as to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132" w:name="page133"/>
    <w:bookmarkEnd w:id="132"/>
    <w:p>
      <w:pPr>
        <w:jc w:val="both"/>
        <w:spacing w:after="0" w:line="256" w:lineRule="auto"/>
        <w:rPr>
          <w:sz w:val="20"/>
          <w:szCs w:val="20"/>
          <w:color w:val="auto"/>
        </w:rPr>
      </w:pPr>
      <w:r>
        <w:rPr>
          <w:rFonts w:ascii="Times New Roman" w:cs="Times New Roman" w:eastAsia="Times New Roman" w:hAnsi="Times New Roman"/>
          <w:sz w:val="22"/>
          <w:szCs w:val="22"/>
          <w:color w:val="auto"/>
        </w:rPr>
        <w:t>provided for in such supplemental indenture. If the Issuer and the Guarantors shall so determine, new forms of the Securities of any series and the Guarantees endorsed thereon modified as to conform, in the opinion of the Trustee for the Securities of such series, the Issuer and the Guarantors, to any supplemental indenture may be prepared and executed by the Issuer and the Guarantors and authenticated and delivered by such Trustee in exchange for Outstanding Securities of such series.</w:t>
      </w:r>
    </w:p>
    <w:p>
      <w:pPr>
        <w:spacing w:after="0" w:line="1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010000"/>
        </w:rPr>
        <w:t>Article 10</w:t>
      </w:r>
    </w:p>
    <w:p>
      <w:pPr>
        <w:ind w:left="4960"/>
        <w:spacing w:after="0"/>
        <w:rPr>
          <w:sz w:val="20"/>
          <w:szCs w:val="20"/>
          <w:color w:val="auto"/>
        </w:rPr>
      </w:pPr>
      <w:r>
        <w:rPr>
          <w:rFonts w:ascii="Times New Roman" w:cs="Times New Roman" w:eastAsia="Times New Roman" w:hAnsi="Times New Roman"/>
          <w:sz w:val="22"/>
          <w:szCs w:val="22"/>
          <w:color w:val="auto"/>
        </w:rPr>
        <w:t>COVENANTS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1001. </w:t>
      </w:r>
      <w:r>
        <w:rPr>
          <w:rFonts w:ascii="Times New Roman" w:cs="Times New Roman" w:eastAsia="Times New Roman" w:hAnsi="Times New Roman"/>
          <w:sz w:val="22"/>
          <w:szCs w:val="22"/>
          <w:u w:val="single" w:color="auto"/>
          <w:color w:val="000000"/>
        </w:rPr>
        <w:t>Payment of Principal, Premium and Interest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Issuer covenants and agrees for the benefit of each series of Securities for which it is the Issuer that it will duly and punctually pay the principal of (and premium, if any, on) and interest, if any, on the Securities of that series in accordance with the terms of the Securities and this Indenture, by deposit with the Trustee or the applicable Paying Agent on or before 11:00 A.M. New York City time on the due date thereof.</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1002. </w:t>
      </w:r>
      <w:r>
        <w:rPr>
          <w:rFonts w:ascii="Times New Roman" w:cs="Times New Roman" w:eastAsia="Times New Roman" w:hAnsi="Times New Roman"/>
          <w:sz w:val="22"/>
          <w:szCs w:val="22"/>
          <w:u w:val="single" w:color="auto"/>
          <w:color w:val="000000"/>
        </w:rPr>
        <w:t>Maintenance of Office or Agency</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Issuer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Issuer in respect of the Securities of that series and this Indenture may be served. The Issuer will give prompt written notice to the Trustee for Securities of that series of the location, and any change in the location, of such office or agency. If at any time the Issuer shall fail to maintain any such required office or agency or shall fail to furnish the Trustee for the Securities of that series with the address thereof, such presentations, surrenders, notices and demands may be made or served at the Corporate Trust Office of such Trustee, and the Issuer hereby appoints such Trustee as its agent to receive all such presentations, surrenders, notices and demands.</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The Issuer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designation or rescission shall in any manner relieve the Issuer of its obligation to maintain an office or agency in each Place of Payment for Securities of any series for such purposes. The Issuer will give prompt written notice to the Trustee for the Securities of each series of any such designation or rescission and of any change in the location of any such other office or agency.</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1003. </w:t>
      </w:r>
      <w:r>
        <w:rPr>
          <w:rFonts w:ascii="Times New Roman" w:cs="Times New Roman" w:eastAsia="Times New Roman" w:hAnsi="Times New Roman"/>
          <w:sz w:val="22"/>
          <w:szCs w:val="22"/>
          <w:u w:val="single" w:color="auto"/>
          <w:color w:val="000000"/>
        </w:rPr>
        <w:t>Money for Securities Payments to Be Held in Trust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the Issuer shall at any time act as its own Paying Agent with respect to any series of Securities, it will, on or before each due date of the principal of (and premium, if any, on) or interest, if any, on any of the Securities of that series, segregate and hold in trust for the benefit of the persons entitled thereto a sum sufficient to pay the principal (and premium, if any, on) or interest, if any, so becoming due until such sums shall be paid to such persons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1" w:right="339" w:bottom="1440" w:gutter="0" w:footer="0" w:header="0"/>
        </w:sectPr>
      </w:pPr>
    </w:p>
    <w:bookmarkStart w:id="133" w:name="page134"/>
    <w:bookmarkEnd w:id="13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disposed of as herein provided and will promptly notify the Trustee for the Securities of such series of its action or failure so to act.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Whenever the Issuer shall have one or more Paying Agents for any series of Securities, it will, prior to each due date of the principal of (and premium, if any, on) or interest, if any, on any Securities of that series, deposit with a Paying Agent a sum sufficient to pay the principal (and premium, if any, on) or interest so becoming due, such sum to be held in trust for the benefit of the persons entitled to such principal, premium or interest, and (unless such Paying Agent is the Trustee for the Securities of such series) the Issuer will promptly notify such Trustee of its action or failure so to act.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Issuer will cause each Paying Agent for any series of Securities other than the Trustee for the Securities of such series to execute and deliver to such Trustee an instrument in which such Paying Agent shall agree with such Trustee, subject to the provisions of this Section, that such Paying Agent will:</w:t>
      </w:r>
    </w:p>
    <w:p>
      <w:pPr>
        <w:spacing w:after="0" w:line="140" w:lineRule="exact"/>
        <w:rPr>
          <w:sz w:val="20"/>
          <w:szCs w:val="20"/>
          <w:color w:val="auto"/>
        </w:rPr>
      </w:pPr>
    </w:p>
    <w:p>
      <w:pPr>
        <w:jc w:val="both"/>
        <w:ind w:left="660" w:firstLine="644"/>
        <w:spacing w:after="0" w:line="225" w:lineRule="auto"/>
        <w:tabs>
          <w:tab w:leader="none" w:pos="1951" w:val="left"/>
        </w:tabs>
        <w:numPr>
          <w:ilvl w:val="0"/>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hold all sums held by it for the payment of the principal of (and premium, if any, on) or interest, if any, on Securities of that series in trust for the benefit of the persons entitled thereto until such sums shall be paid to such persons or otherwise disposed of as herein provided;</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give such Trustee notice of any default by the Issuer (or any other obligor upon the Securities of that series) in the making of any payment of principal of (and premium, if any, on) or interest, if any, on the Securities of that series; and</w:t>
      </w:r>
    </w:p>
    <w:p>
      <w:pPr>
        <w:spacing w:after="0" w:line="152"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any time during the continuance of any such default, upon the written request of such Trustee, forthwith pay to such Trustee all sums so held in trust by such Paying Agent.</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Issuer may at any time, for the purpose of obtaining the satisfaction and discharge of this Indenture or for any other purpose, pay, or by Company Order direct any Paying Agent to pay, to the Trustee for the Securities of any series all sums held in trust by the Issuer or such Paying Agent, such sums to be held by such Trustee upon the same trusts as those upon which such sums were held by the Issuer or such Paying Agent; and, upon such payment by any Paying Agent to such Trustee, such Paying Agent shall be released from all further liability with respect to such money.</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Subject to any applicable abandoned property law, any money deposited with the Trustee or any Paying Agent for the Securities of any series, or then held by the Issuer or the Guarantors, in trust for the payment of the principal of (and premium, if any, on) or interest, if any, on any Security of any series and remaining unclaimed for two years after such principal (and premium, if any) or interest has become due and payable shall be paid to the Issuer or the Guarantors on Company Request, or, if then held by the Issuer or the Guarantors, shall be discharged from such trust; and the Holder of such Security shall thereafter, as an unsecured general creditor, look only to the Issuer or the Guarantors, as the case may be, for payment thereof, and all liability of such Trustee or such Paying Agent with respect to such trust money, and all liability of the Issuer or the Guarantors, as the case may be, as trustee thereof, shall thereupon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1"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22"/>
          <w:szCs w:val="22"/>
          <w:color w:val="010000"/>
        </w:rPr>
        <w:t xml:space="preserve">Section 1004. </w:t>
      </w:r>
      <w:r>
        <w:rPr>
          <w:rFonts w:ascii="Times New Roman" w:cs="Times New Roman" w:eastAsia="Times New Roman" w:hAnsi="Times New Roman"/>
          <w:sz w:val="22"/>
          <w:szCs w:val="22"/>
          <w:u w:val="single" w:color="auto"/>
          <w:color w:val="000000"/>
        </w:rPr>
        <w:t>Limitation on Liens</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firstLine="656"/>
        <w:spacing w:after="0" w:line="209" w:lineRule="auto"/>
        <w:tabs>
          <w:tab w:leader="none" w:pos="1293"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Weatherford Parent covenants and agrees for the benefit of each series of Securities, other than any series established by or pursuant to a Board Resolution or an Officer’s Certificate of the Issuer of such series or in one or more supplemental indentures hereto which specifically provides otherwise, that Weatherford Parent will not, and will not permit any Restricted Subsidiary to, create, assume or guarantee any indebtedness for money borrowed secured by a Mortgage (i) on any Principal Property of Weatherford Parent or of a Restricted Subsidiary or (ii) on any shares or Funded Indebtedness of a Restricted Subsidiary (whether such Principal Property, shares or Funded Indebtedness are now owned or hereafter acquired) without, in any such case, effectively providing concurrently with the creation, assumption or guaranteeing of such indebtedness that the Securities (together, if Weatherford Parent shall so determine, with any other indebtedness then or thereafter existing, created, assumed or guaranteed by Weatherford Parent or such Restricted Subsidiary ranking equally with the Securities) shall be secured equally and ratably with (or prior to) such indebtedness; </w:t>
      </w:r>
      <w:r>
        <w:rPr>
          <w:rFonts w:ascii="Times New Roman" w:cs="Times New Roman" w:eastAsia="Times New Roman" w:hAnsi="Times New Roman"/>
          <w:sz w:val="22"/>
          <w:szCs w:val="22"/>
          <w:u w:val="single" w:color="auto"/>
          <w:color w:val="auto"/>
        </w:rPr>
        <w:t>excluding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from the foregoing any indebtedness secured by a Mortgage (including any extension, renewal or replacement, or successive extensions, renewals or replacements, of any Mortgage hereinafter specified or any indebtedness secured thereby, without increase of the principal of such indebtedness or expansion of the collateral securing such indebtedness):</w:t>
      </w:r>
    </w:p>
    <w:p>
      <w:pPr>
        <w:spacing w:after="0" w:line="160"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property, shares or Funded Indebtedness of any Person existing at the time such Person becomes a Restricted Subsidiary; or</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11" w:lineRule="auto"/>
        <w:tabs>
          <w:tab w:leader="none" w:pos="1951"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on property existing at the time of acquisition thereof by Weatherford Parent or a Restricted Subsidiary, or to secure any indebtedness incurred for the purpose of financing all or any part of the purchase price thereof or construction or improvements thereon, which indebtedness is incurred by Weatherford Parent or a Restricted Subsidiary prior to, at the time of or within 360 days after the later of the acquisition, the completion of construction (including any improvements on an existing property) and the commencement of commercial operation of such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any such acquisition, construction or improvement the Mortgage shall not apply to any property theretofore owned by Weatherford Parent or a Restricted Subsidiary, other than, in the case of any such construction or improvement, any theretofore unimproved real property on which the property so constructed, or the improvement, is located; or</w:t>
      </w:r>
    </w:p>
    <w:p>
      <w:pPr>
        <w:spacing w:after="0" w:line="158" w:lineRule="exact"/>
        <w:rPr>
          <w:rFonts w:ascii="Times New Roman" w:cs="Times New Roman" w:eastAsia="Times New Roman" w:hAnsi="Times New Roman"/>
          <w:sz w:val="22"/>
          <w:szCs w:val="22"/>
          <w:color w:val="010000"/>
        </w:rPr>
      </w:pPr>
    </w:p>
    <w:p>
      <w:pPr>
        <w:jc w:val="both"/>
        <w:ind w:left="660" w:firstLine="644"/>
        <w:spacing w:after="0" w:line="236" w:lineRule="auto"/>
        <w:tabs>
          <w:tab w:leader="none" w:pos="1951" w:val="left"/>
        </w:tabs>
        <w:numPr>
          <w:ilvl w:val="1"/>
          <w:numId w:val="1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on property, shares or Funded Indebtedness of a Person existing at the time such Person is merged into or consolidated with Weatherford Parent or a Restricted Subsidiary, or at the time of a sale, lease or other disposition of the properties of a Person as an entirety or substantially as an entirety to Weatherford Parent or a Restricted Subsidiary; or</w:t>
      </w:r>
    </w:p>
    <w:p>
      <w:pPr>
        <w:spacing w:after="0" w:line="151" w:lineRule="exact"/>
        <w:rPr>
          <w:rFonts w:ascii="Times New Roman" w:cs="Times New Roman" w:eastAsia="Times New Roman" w:hAnsi="Times New Roman"/>
          <w:sz w:val="21"/>
          <w:szCs w:val="21"/>
          <w:color w:val="010000"/>
        </w:rPr>
      </w:pPr>
    </w:p>
    <w:p>
      <w:pPr>
        <w:ind w:left="660" w:firstLine="644"/>
        <w:spacing w:after="0" w:line="236" w:lineRule="auto"/>
        <w:tabs>
          <w:tab w:leader="none" w:pos="1951"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property of a Restricted Subsidiary to secure indebtedness of such Restricted Subsidiary to Weatherford Parent or another Restricted Subsidiary; or</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15" w:lineRule="auto"/>
        <w:tabs>
          <w:tab w:leader="none" w:pos="1951"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property of Weatherford Parent or a Restricted Subsidiary in favor of the United States of America or any State thereof, Bermuda or the jurisdiction of organization of Weatherford Parent, or any department, agency or instrumentality or political subdivision of the United States of America or any State thereof, Bermuda or the jurisdiction of organization of Weatherford Parent, to secure partial, progress, advance or other payments pursuant to any contract or statute or to secure any indebtedness incurred for the purpose of financing all or any part of the purchase price or the cost of constructing or improving the property subject to such Mortgage;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4" w:right="339" w:bottom="1440" w:gutter="0" w:footer="0" w:header="0"/>
        </w:sectPr>
      </w:pPr>
    </w:p>
    <w:bookmarkStart w:id="135" w:name="page136"/>
    <w:bookmarkEnd w:id="135"/>
    <w:p>
      <w:pPr>
        <w:ind w:left="1940" w:hanging="636"/>
        <w:spacing w:after="0"/>
        <w:tabs>
          <w:tab w:leader="none" w:pos="1940"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existing at the date of this Indenture;</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Mortgage permitted by any of the foregoing clauses (1), (2), (3) and (5) of this Section 1004(a) shall not extend to or cover any property of Weatherford Parent or such Restricted Subsidiary, as the case may be, other than the property specified in such clauses and improvements thereto.</w:t>
      </w:r>
    </w:p>
    <w:p>
      <w:pPr>
        <w:spacing w:after="0" w:line="159" w:lineRule="exact"/>
        <w:rPr>
          <w:sz w:val="20"/>
          <w:szCs w:val="20"/>
          <w:color w:val="auto"/>
        </w:rPr>
      </w:pPr>
    </w:p>
    <w:p>
      <w:pPr>
        <w:jc w:val="both"/>
        <w:ind w:firstLine="656"/>
        <w:spacing w:after="0" w:line="211" w:lineRule="auto"/>
        <w:tabs>
          <w:tab w:leader="none" w:pos="1291"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provisions of subsection (a) of this Section 1004, Weatherford Parent or any Restricted Subsidiary may create, assume or guarantee secured indebtedness for money borrowed which would otherwise be prohibited in said subsection (a) in an aggregate amount which, together with all other such indebtedness for money borrowed of Weatherford Parent and its Restricted Subsidiaries and the Attributable Debt of Weatherford Parent and its Restricted Subsidiaries in respect of Sale and Leaseback Transactions existing at such time (other than Sale and Leaseback Transactions entered into prior to the date of this Indenture and Sale and Leaseback Transactions the proceeds of which have been applied in accordance with clause (b) of Section 1005), does not at the time exceed 10% of the shareholders’ equity in Weatherford Parent and its consolidated Subsidiaries, as shown on the audited consolidated balance sheet contained in the latest annual report to shareholders of Weatherford Parent.</w:t>
      </w:r>
    </w:p>
    <w:p>
      <w:pPr>
        <w:spacing w:after="0" w:line="158"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purposes of this Article Ten,</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19" w:lineRule="auto"/>
        <w:tabs>
          <w:tab w:leader="none" w:pos="1951" w:val="left"/>
        </w:tabs>
        <w:numPr>
          <w:ilvl w:val="1"/>
          <w:numId w:val="1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term “Attributable Debt” shall mean, as of any particular time, the lesser of (i) the fair value of the property subject to the applicable sale and leaseback transaction (as determined by the board of directors of Weatherford Parent) and (ii) the then present value (discounted at a rate equal to the weighted average of the rate of interest on all securities issued by the Issuer then issued and outstanding under this Indenture, compounded semi-annually) of the total net amount of rent required to be paid under such lease during the remaining term thereof (excluding any renewal term unless the renewal is at the option of the lessor) or, if earlier, until the earliest date on which the lessee may terminate such lease upon payment of a penalty (in which case the obligation of the lessee for rental payments shall include such penalty). The net amount of rent required to be paid for any such period shall be the aggregate amount of the rent payable by the lessee with respect to such period after excluding amounts required to be paid on account of, or measured or determined by, any variable factor, including, without limitation, the cost-of-living index and costs of maintenance and repairs, insurance, taxes, assessments, water rates and similar charges and after excluding any portion of rentals based on a percentage of sales made by the lessee.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55" w:lineRule="exact"/>
        <w:rPr>
          <w:rFonts w:ascii="Times New Roman" w:cs="Times New Roman" w:eastAsia="Times New Roman" w:hAnsi="Times New Roman"/>
          <w:sz w:val="21"/>
          <w:szCs w:val="21"/>
          <w:color w:val="010000"/>
        </w:rPr>
      </w:pPr>
    </w:p>
    <w:p>
      <w:pPr>
        <w:jc w:val="both"/>
        <w:ind w:left="660" w:firstLine="644"/>
        <w:spacing w:after="0" w:line="220" w:lineRule="auto"/>
        <w:tabs>
          <w:tab w:leader="none" w:pos="1951"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“shareholders’ equity in Weatherford Parent and its consolidated Subsidiaries” shall mean the share capital, share premium, contributed surplus and retained earnings of Weatherford Parent and its consolidated Subsidiaries, excluding the cost of shares of Weatherford Parent held by its Affiliates, all as determined in accordance with GAAP; and</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“Mortgage” on any specified property shall mean any mortgage, lien, pledge, charge or other security interest or encumbrance of any kind in respect of such property.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1005. </w:t>
      </w:r>
      <w:r>
        <w:rPr>
          <w:rFonts w:ascii="Times New Roman" w:cs="Times New Roman" w:eastAsia="Times New Roman" w:hAnsi="Times New Roman"/>
          <w:sz w:val="22"/>
          <w:szCs w:val="22"/>
          <w:u w:val="single" w:color="auto"/>
          <w:color w:val="000000"/>
        </w:rPr>
        <w:t>Limitation on Sale and Leaseback Transactions</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4" w:right="339" w:bottom="1440" w:gutter="0" w:footer="0" w:header="0"/>
        </w:sectPr>
      </w:pPr>
    </w:p>
    <w:bookmarkStart w:id="136" w:name="page137"/>
    <w:bookmarkEnd w:id="136"/>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Weatherford Parent covenants and agrees for the benefit of each series of Securities, other than any series established by or pursuant to a Board Resolution or an Officer’s Certificate of the Issuer of such series or in one or more supplemental indentures hereto which specifically provides otherwise, that Weatherford Parent will not, and will not permit any Restricted Subsidiary to, enter into any arrangement with any person for the leasing by Weatherford Parent or a Restricted Subsidiary (except for leases for a term of not more than three years and for leases of a part of a Principal Property which has been sold, for use in connection with the winding up or termination of the business conducted on such Principal Property, and except, in the case of a Restricted Subsidiary, a lease to Weatherford Parent or another Restricted Subsidiary) of any Principal Property (whether now owned or hereafter acquired), which Principal Property has been or is intended to be sold or transferred by Weatherford Parent or such Restricted Subsidiary to such person (herein referred to as a “</w:t>
      </w:r>
      <w:r>
        <w:rPr>
          <w:rFonts w:ascii="Times New Roman" w:cs="Times New Roman" w:eastAsia="Times New Roman" w:hAnsi="Times New Roman"/>
          <w:sz w:val="22"/>
          <w:szCs w:val="22"/>
          <w:u w:val="single" w:color="auto"/>
          <w:color w:val="auto"/>
        </w:rPr>
        <w:t>Sale and Leaseback Transaction</w:t>
      </w:r>
      <w:r>
        <w:rPr>
          <w:rFonts w:ascii="Times New Roman" w:cs="Times New Roman" w:eastAsia="Times New Roman" w:hAnsi="Times New Roman"/>
          <w:sz w:val="22"/>
          <w:szCs w:val="22"/>
          <w:color w:val="auto"/>
        </w:rPr>
        <w:t xml:space="preserve">”), unless (a) Weatherford Parent or such Restricted Subsidiary would be entitled, pursuant to the provisions of Section 1004, to incur indebtedness secured by a Mortgage on such Principal Property without equally and ratably securing the Securities, or (b) Weatherford Parent shall (and in any such case Weatherford Parent covenants that it will) apply within 360 days of the effective date of any such Sale and Leaseback Transaction an amount equal to the fair value (as determined by its Board of Directors) of such Principal Property so leased (i) to the retirement (other than by payment at maturity or to satisfy the mandatory requirements of any sinking, purchase or analogous fund or prepayment provision) of the Securities or other Funded Indebtedness of Weatherford Parent or any Restricted Subsidiary ranking on a parity with the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amount to be applied to the retirement of any Funded Indebtedness as provided under this clause (i) shall be reduced by (x) the principal amount of any Securities delivered within 360 days after such sale or transfer to the Trustee for the Securities of such series for retirement and cancellation and (y) the principal amount of other Funded Indebtedness ranking on a parity with the Securities voluntarily retired by Weatherford Parent within 360 days after such sale or transfer; or (ii) to the purchase, improvement or construction of properties which are Principal Properties,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only a portion of such proceeds is designated as a credit against such purchase, improvement or construction, Weatherford Parent shall apply an amount equal to the remainder as provided in clause (i); and promptly after the expiration of such 360-day period Weatherford Parent shall have delivered to the Trustee for the Securities of such series an Officer’s Certificate setting forth in reasonable detail all material facts necessary to show compliance with this subsection.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-694690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1006. </w:t>
      </w:r>
      <w:r>
        <w:rPr>
          <w:rFonts w:ascii="Times New Roman" w:cs="Times New Roman" w:eastAsia="Times New Roman" w:hAnsi="Times New Roman"/>
          <w:sz w:val="22"/>
          <w:szCs w:val="22"/>
          <w:u w:val="single" w:color="auto"/>
          <w:color w:val="000000"/>
        </w:rPr>
        <w:t>Defeasance of Certain Obligations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Upon the Issuer’s exercise of its option, if any, to have this Section 1006 applied to any Securities or any series of Securities issued by such Issuer, or if this Section 1006 shall otherwise apply to any Securities or any series of Securities issued by such Issuer, each of the Issuer and the Guarantors may omit to comply with, and shall have no liability in respect of, any term, provision or condition set forth in Sections 1004 and 1005 (and each of the Issuer and the Guarantors may omit to comply with, and shall have no liability in respect of any other provision or condition specified pursuant to Section 301(14) for such Securities) with respect to the Securities of any series whether directly or indirectly, by reason of any reference elsewhere herein to any such covenant, to any other provision herein or in any other document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1" w:right="339" w:bottom="1440" w:gutter="0" w:footer="0" w:header="0"/>
        </w:sectPr>
      </w:pPr>
    </w:p>
    <w:bookmarkStart w:id="137" w:name="page138"/>
    <w:bookmarkEnd w:id="137"/>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omission to comply shall not constitute a Default or Event of Default under Section 501(4) or otherwise,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following conditions shall have been satisfied:</w:t>
      </w:r>
    </w:p>
    <w:p>
      <w:pPr>
        <w:spacing w:after="0" w:line="131" w:lineRule="exact"/>
        <w:rPr>
          <w:sz w:val="20"/>
          <w:szCs w:val="20"/>
          <w:color w:val="auto"/>
        </w:rPr>
      </w:pPr>
    </w:p>
    <w:p>
      <w:pPr>
        <w:jc w:val="both"/>
        <w:ind w:left="660" w:firstLine="644"/>
        <w:spacing w:after="0" w:line="218" w:lineRule="auto"/>
        <w:tabs>
          <w:tab w:leader="none" w:pos="1951" w:val="left"/>
        </w:tabs>
        <w:numPr>
          <w:ilvl w:val="1"/>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Issuer has deposited or caused to be irrevocably deposited (except as provided in Section 402(c) and the last paragraph of Section 1003) with the Trustee for the Securities of such series (specifying that each deposit is pursuant to this Section 1006) as trust funds in trust, specifically pledged as security for, and dedicated solely to, the benefit of the Holders of the Securities of such series, (i) money in an amount, or (ii) (except as provided in a supplemental indenture with respect to such series) if Securities of such series are not subject to repurchase at the option of such Holders, (A) U.S. Government Obligations which through the payment of interest and principal in respect thereof in accordance with their terms will provide not later than one day before the due date of any payment referred to in clause</w:t>
      </w:r>
    </w:p>
    <w:p>
      <w:pPr>
        <w:jc w:val="both"/>
        <w:ind w:left="660" w:hanging="4"/>
        <w:spacing w:after="0" w:line="209" w:lineRule="auto"/>
        <w:tabs>
          <w:tab w:leader="none" w:pos="96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(y) of this subparagraph (1) money in an amount, or (B) a combination of the foregoing, sufficient, in the opinion of a nationally recognized firm of independent certified public accountants expressed in a written certification thereof delivered to such Trustee, to pay and discharge (x) the principal of (and premium, if any, on) and each installment of principal of (and premium, if any, on) and interest, if any, on the Outstanding Securities of such series on the Stated Maturity of such principal or installment of principal or interest or to, but excluding, the Redemption Date irrevocably designated by the Issuer pursuant to subparagraph (4) of this Section and (y) any mandatory sinking fund payments applicable to the Securities of such series on the day on which such payments are due and payable in accordance with the terms of the Indenture and of the Securities of such series;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Event of Default or event which, with notice or lapse of time or both, would become an Event of Default (including by reason of such deposit) with respect to the Securities of such series shall have occurred and be continuing on the date of such deposit;</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shall have delivered to such Trustee an Opinion of Counsel to the effect that Holders of the Securities of such series will not recognize income, gain or loss for U.S. federal income tax purposes as a result of such deposit and defeasance of certain obligations and that no Event of Default or default shall have occurred and be continuing; and</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1" w:lineRule="auto"/>
        <w:tabs>
          <w:tab w:leader="none" w:pos="1951"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Issuer has deposited or caused to be deposited money or U.S. Government Obligations or a combination thereof (if U.S. Government Obligations, as certified in the opinion of a nationally recognized firm of independent certified public accountants) to pay or discharge the principal of (and premium, if any, on) and interest, if any, on the Outstanding Securities of a series to, but excluding, a Redemption Date on which all of the Outstanding Securities of such series are to be redeemed, such Redemption Date shall be irrevocably designated by a Board Resolution of the Issuer or delivered to such Trustee on or prior to the date of deposit of such money or U.S. Government Obligations, and such Board Resolution shall be accompanied by an irrevocable Company Request that such Trustee give notice of such redemption in the name and at the expense of the Issuer and not less than 15 nor more than 60 days prior to such Redemption Date in accordance with Section 1104.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1007. </w:t>
      </w:r>
      <w:r>
        <w:rPr>
          <w:rFonts w:ascii="Times New Roman" w:cs="Times New Roman" w:eastAsia="Times New Roman" w:hAnsi="Times New Roman"/>
          <w:sz w:val="22"/>
          <w:szCs w:val="22"/>
          <w:u w:val="single" w:color="auto"/>
          <w:color w:val="000000"/>
        </w:rPr>
        <w:t>Statement by Officer as to Default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Weatherford Parent will deliver to the Trustee for each series of Securities, on or before May 15 in each year ending after the date hereof, an Officer’s Certificate (one of the signatories of which shall be the principal executive officer, principal accounting officer or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53" w:lineRule="auto"/>
        <w:rPr>
          <w:sz w:val="20"/>
          <w:szCs w:val="20"/>
          <w:color w:val="auto"/>
        </w:rPr>
      </w:pPr>
      <w:r>
        <w:rPr>
          <w:rFonts w:ascii="Times New Roman" w:cs="Times New Roman" w:eastAsia="Times New Roman" w:hAnsi="Times New Roman"/>
          <w:sz w:val="22"/>
          <w:szCs w:val="22"/>
          <w:color w:val="auto"/>
        </w:rPr>
        <w:t>financial officer of Weatherford Parent) stating that in the course of the performance by such signer of his or her duties as an officer of Weatherford Parent, he or she would normally have knowledge of any default (without regard to periods of grace or notice requirements) by the Issuer or the Guarantors in the performance and observance of any of their respective covenants contained in this Indenture, and stating whether or not he or she has knowledge of any such default and, if so, specifying each such default of which such signer has knowledge and the nature thereof.</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Weatherford Parent covenants to deliver to the Trustee, for each series of Securities, as soon as possible and in any event within five Business Days after Weatherford Parent becomes aware of the occurrence of any Event of Default or an event which, with notice or the lapse of time or both, would constitute an Event of Default, an Officer’s Certificate setting forth the details of such Event of Default or default and the action which Weatherford Parent, the Issuer and the Guarantors, as applicable, propose to take with respect thereto.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1008. </w:t>
      </w:r>
      <w:r>
        <w:rPr>
          <w:rFonts w:ascii="Times New Roman" w:cs="Times New Roman" w:eastAsia="Times New Roman" w:hAnsi="Times New Roman"/>
          <w:sz w:val="22"/>
          <w:szCs w:val="22"/>
          <w:u w:val="single" w:color="auto"/>
          <w:color w:val="000000"/>
        </w:rPr>
        <w:t>Waiver of Certain Covenants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Each of the Issuer and the Guarantors may omit in any particular instance to comply with any term, provision or condition set forth in Sections 1004 and 1005 (and each of the Issuer and the Guarantors may omit in any particular instance to comply with any term, provision or condition specified pursuant to Section 301(14) for such Securities) if before the time for such compliance the Holders of at least a majority in principal amount of the Outstanding Securities of all series affected by such omission (voting as one class)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Issuer and the Guarantors, as the case may be, and the duties of the Trustee for the Securities of each series in respect of any such term, provision or condition shall remain in full force and effect.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1009. </w:t>
      </w:r>
      <w:r>
        <w:rPr>
          <w:rFonts w:ascii="Times New Roman" w:cs="Times New Roman" w:eastAsia="Times New Roman" w:hAnsi="Times New Roman"/>
          <w:sz w:val="22"/>
          <w:szCs w:val="22"/>
          <w:u w:val="single" w:color="auto"/>
          <w:color w:val="000000"/>
        </w:rPr>
        <w:t>Calculation of Original Issue Discount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Issuer shall file with the Trustee for the Original Issue Discount Securities of each series promptly at the end of each calendar year (i) a written notice specifying the amount of original issue discount (including daily rates and accrual periods) accrued on the Outstanding Securities as of the end of such year and (ii) such other specific information relating to such original issue discount as may then be relevant under the Internal Revenue Code of 1986, as amended from time to time.</w:t>
      </w:r>
    </w:p>
    <w:p>
      <w:pPr>
        <w:spacing w:after="0" w:line="14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010000"/>
        </w:rPr>
        <w:t>Article 11</w:t>
      </w:r>
    </w:p>
    <w:p>
      <w:pPr>
        <w:jc w:val="center"/>
        <w:spacing w:after="0"/>
        <w:rPr>
          <w:sz w:val="20"/>
          <w:szCs w:val="20"/>
          <w:color w:val="auto"/>
        </w:rPr>
      </w:pPr>
      <w:r>
        <w:rPr>
          <w:rFonts w:ascii="Times New Roman" w:cs="Times New Roman" w:eastAsia="Times New Roman" w:hAnsi="Times New Roman"/>
          <w:sz w:val="22"/>
          <w:szCs w:val="22"/>
          <w:color w:val="auto"/>
        </w:rPr>
        <w:t>REDEMPTION OF SECURITIES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1101. </w:t>
      </w:r>
      <w:r>
        <w:rPr>
          <w:rFonts w:ascii="Times New Roman" w:cs="Times New Roman" w:eastAsia="Times New Roman" w:hAnsi="Times New Roman"/>
          <w:sz w:val="22"/>
          <w:szCs w:val="22"/>
          <w:u w:val="single" w:color="auto"/>
          <w:color w:val="000000"/>
        </w:rPr>
        <w:t>Applicability of Article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Securities of any series which are redeemable before their Stated Maturity shall be redeemable in accordance with their terms and (except as otherwise specified as contemplated by Section 301 for Securities of any series) in accordance with this Article Eleven.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1"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22"/>
          <w:szCs w:val="22"/>
          <w:color w:val="010000"/>
        </w:rPr>
        <w:t xml:space="preserve">Section 1102. </w:t>
      </w:r>
      <w:r>
        <w:rPr>
          <w:rFonts w:ascii="Times New Roman" w:cs="Times New Roman" w:eastAsia="Times New Roman" w:hAnsi="Times New Roman"/>
          <w:sz w:val="22"/>
          <w:szCs w:val="22"/>
          <w:u w:val="single" w:color="auto"/>
          <w:color w:val="000000"/>
        </w:rPr>
        <w:t>Election to Redeem; Notice to Trustee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election of the Issuer to redeem any Securities of any series shall be evidenced by an Officer’s Certificate. In case of any redemption at the election of the Issuer of the Securities of any series, the Issuer shall, at least five Business Days prior to the date notice of redemption is required to be sent or caused to be sent pursuant to Section 1104 (unless a shorter notice shall be reasonably satisfactory to the Trustee for the Securities of such series), notify such Trustee of such Redemption Date and of the principal amount of Securities of such series to be redeemed, such notice to be accompanied by a written statement signed by an authorized officer of the Issuer stating that no defaults in the payment of interest or Events of Default with respect to the Securities of that series have occurred (which have not been waived or cured). In the case of any redemption of Securities prior to the expiration of any restriction on such redemption provided in the terms of such Securities or elsewhere in this Indenture, the Issuer shall furnish the Trustee for the Securities of such series with an Officer’s Certificate evidencing compliance with such restriction.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1103. </w:t>
      </w:r>
      <w:r>
        <w:rPr>
          <w:rFonts w:ascii="Times New Roman" w:cs="Times New Roman" w:eastAsia="Times New Roman" w:hAnsi="Times New Roman"/>
          <w:sz w:val="22"/>
          <w:szCs w:val="22"/>
          <w:u w:val="single" w:color="auto"/>
          <w:color w:val="000000"/>
        </w:rPr>
        <w:t>Selection of Securities to Be Redeemed</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If less than all the Securities of any series are to be redeemed, the Securities of that series to be redeemed shall be selected by lot, on a pro rata basis or by any other method the Trustee deems to be fair and appropriate (or, in the case of Global Securities, based on the method required by the U.S. Depositary or, if it is not so required, a method that most nearly approximates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selection as the Trustee deems fair and appropriate), unless otherwise required by law or applicable stock exchange or depositary requirements, not more than 60 days prior to the Redemption Date by the U.S. Depositary or the Trustee, as applicable, for the Securities of such series, from the Outstanding Securities of such series not previously called for redemption. Notices of redemption may be subject to the satisfaction of one or more conditions precedent to the extent so indicated for a particular series of Securities by a Board Resolution, supplemental indenture or Officer’s Certificate.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Securities shall be excluded from eligibility for selection for redemption if they are identified by registration and certificate number in a written statement signed by an authorized officer of the Issuer and delivered to the Trustee for the Securities of such series at least 60 days prior to the Redemption Date as being owned of record and beneficially by, and not pledged or hypothecated by either (a) the Issuer or the Guarantors or (b) an entity specifically identified in such written statement that is an Affiliate of the Issuer or the Guarantors.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Trustee for the Securities of such series shall promptly notify the Issuer and the Guarantors in writing of the Securities selected for redemption and, in the case of any Securities selected for partial redemption, the principal amount thereof to be redeemed.</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394"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22"/>
          <w:szCs w:val="22"/>
          <w:color w:val="010000"/>
        </w:rPr>
        <w:t xml:space="preserve">Section 1104. </w:t>
      </w:r>
      <w:r>
        <w:rPr>
          <w:rFonts w:ascii="Times New Roman" w:cs="Times New Roman" w:eastAsia="Times New Roman" w:hAnsi="Times New Roman"/>
          <w:sz w:val="22"/>
          <w:szCs w:val="22"/>
          <w:u w:val="single" w:color="auto"/>
          <w:color w:val="000000"/>
        </w:rPr>
        <w:t>Notice of Redemption</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Notice of redemption shall be given by electronic delivery or first-class mail, postage prepaid, delivered or mailed not less than 10 nor more than 60 days prior to the Redemption Date, to each Holder of Securities to be redeemed, at his or her address appearing in the Security Register or otherwise in accordance with the procedures of the U.S. Depositary.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notices of redemption shall identify the Securities (including CUSIP numbers) to be redeemed and shall state:</w:t>
      </w:r>
    </w:p>
    <w:p>
      <w:pPr>
        <w:spacing w:after="0" w:line="193" w:lineRule="exact"/>
        <w:rPr>
          <w:sz w:val="20"/>
          <w:szCs w:val="20"/>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Redemption Date;</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Redemption Price;</w:t>
      </w:r>
    </w:p>
    <w:p>
      <w:pPr>
        <w:spacing w:after="0" w:line="179"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less than all the Outstanding Securities of any series are to be redeemed, the identification (and, in the case of partial redemption, the principal amounts) of the particular Securities to be redeemed;</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that on the Redemption Date the Redemption Price will become due and payable upon each such Security to be redeemed and, if applicable, that interest thereon will cease to accrue on and after said date;</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place or places where such Securities are to be surrendered for payment of the Redemption Price;</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that the redemption is for a sinking fund, if such is the case; and</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conditions precedent for the redemption or notice of redemption.</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Notice of redemption of Securities to be redeemed at the election of the Issuer shall be given by the Issuer or, at the Issuer’s written request and expense, by the Trustee for such Securities in the name and at the expense of the Issuer. Any redemption or notice of redemption may, at the Issuer’s discretion, be subject to one or more conditions precedent.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1105. </w:t>
      </w:r>
      <w:r>
        <w:rPr>
          <w:rFonts w:ascii="Times New Roman" w:cs="Times New Roman" w:eastAsia="Times New Roman" w:hAnsi="Times New Roman"/>
          <w:sz w:val="22"/>
          <w:szCs w:val="22"/>
          <w:u w:val="single" w:color="auto"/>
          <w:color w:val="000000"/>
        </w:rPr>
        <w:t>Deposit of Redemption Price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By no later than 11:00 A.M. New York City time on any Redemption Date, the Issuer shall deposit with the Trustee for the Securities to be redeemed or with a Paying Agent (or, if the Issuer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(to the extent that such amounts are not already on deposit at such time in accordance with the provisions of Section 401, 403 or 1006).</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1106. </w:t>
      </w:r>
      <w:r>
        <w:rPr>
          <w:rFonts w:ascii="Times New Roman" w:cs="Times New Roman" w:eastAsia="Times New Roman" w:hAnsi="Times New Roman"/>
          <w:sz w:val="22"/>
          <w:szCs w:val="22"/>
          <w:u w:val="single" w:color="auto"/>
          <w:color w:val="000000"/>
        </w:rPr>
        <w:t>Securities Payable on Redemption Date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Notice of redemption having been given as aforesaid, the Securities so to be redeemed shall, on the Redemption Date, become due and payable at the Redemption Price therein specified, and from and after such date (unless the Issuer shall default in the payment of the Redemption Price and accrued and unpaid interest) such Securities shall cease to bear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4" w:right="339" w:bottom="1440" w:gutter="0" w:footer="0" w:header="0"/>
        </w:sectPr>
      </w:pPr>
    </w:p>
    <w:bookmarkStart w:id="141" w:name="page142"/>
    <w:bookmarkEnd w:id="141"/>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Upon surrender of any such Security for redemption in accordance with said notice, such Security shall be paid by the Issuer at the Redemption Price, together with accrued and unpaid interest to, but excluding, the Redemption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1107. </w:t>
      </w:r>
      <w:r>
        <w:rPr>
          <w:rFonts w:ascii="Times New Roman" w:cs="Times New Roman" w:eastAsia="Times New Roman" w:hAnsi="Times New Roman"/>
          <w:sz w:val="22"/>
          <w:szCs w:val="22"/>
          <w:u w:val="single" w:color="auto"/>
          <w:color w:val="000000"/>
        </w:rPr>
        <w:t>Securities Redeemed in Part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Any Security which is to be redeemed only in part shall be surrendered at a Place of Payment therefor (with, if the Issuer or the Trustee for such Security so requires, due endorsement by, or a written instrument of transfer in form satisfactory to the Issuer and such Trustee duly executed by, the Holder thereof or his or her attorney duly authorized in writing), and the Issuer shall execute, and such Trustee shall authenticate and deliver to the Holder of such Security without service charge, a new Security or Securities of the same series, and having endorsed thereon the Guarantees executed by the Guarantors of any authorized denomination as requested by such Holder, in aggregate principal amount equal to and in exchange for the unredeemed portion of the principal of the Security so surrendered.</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010000"/>
        </w:rPr>
        <w:t>Article 12</w:t>
      </w:r>
    </w:p>
    <w:p>
      <w:pPr>
        <w:jc w:val="center"/>
        <w:spacing w:after="0"/>
        <w:rPr>
          <w:sz w:val="20"/>
          <w:szCs w:val="20"/>
          <w:color w:val="auto"/>
        </w:rPr>
      </w:pPr>
      <w:r>
        <w:rPr>
          <w:rFonts w:ascii="Times New Roman" w:cs="Times New Roman" w:eastAsia="Times New Roman" w:hAnsi="Times New Roman"/>
          <w:sz w:val="22"/>
          <w:szCs w:val="22"/>
          <w:color w:val="auto"/>
        </w:rPr>
        <w:t>SINKING FUNDS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1201. </w:t>
      </w:r>
      <w:r>
        <w:rPr>
          <w:rFonts w:ascii="Times New Roman" w:cs="Times New Roman" w:eastAsia="Times New Roman" w:hAnsi="Times New Roman"/>
          <w:sz w:val="22"/>
          <w:szCs w:val="22"/>
          <w:u w:val="single" w:color="auto"/>
          <w:color w:val="000000"/>
        </w:rPr>
        <w:t>Applicability of Article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provisions of this Article Twelve shall be applicable to any sinking fund for the retirement of Securities of a series except as otherwise specified as contemplated by Section 301 for Securities of such series; provided, that if any terms of such Securities shall conflict with this Article or Section 301, the terms of such Securities shall govern.</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1202. </w:t>
      </w:r>
      <w:r>
        <w:rPr>
          <w:rFonts w:ascii="Times New Roman" w:cs="Times New Roman" w:eastAsia="Times New Roman" w:hAnsi="Times New Roman"/>
          <w:sz w:val="22"/>
          <w:szCs w:val="22"/>
          <w:u w:val="single" w:color="auto"/>
          <w:color w:val="000000"/>
        </w:rPr>
        <w:t>Satisfaction of Sinking Fund Payments with Securities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In lieu of making all or any part of any mandatory sinking fund payment with respect to any series of Securities in cash, the Issuer may at its option (a) deliver to the Trustee for such Securities, Securities of such series theretofore purchased or otherwise acquired (except upon redemption pursuant to the mandatory sinking fund) by the Issuer or receive credit for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51" w:lineRule="auto"/>
        <w:rPr>
          <w:sz w:val="20"/>
          <w:szCs w:val="20"/>
          <w:color w:val="auto"/>
        </w:rPr>
      </w:pPr>
      <w:r>
        <w:rPr>
          <w:rFonts w:ascii="Times New Roman" w:cs="Times New Roman" w:eastAsia="Times New Roman" w:hAnsi="Times New Roman"/>
          <w:sz w:val="22"/>
          <w:szCs w:val="22"/>
          <w:color w:val="auto"/>
        </w:rPr>
        <w:t>of such series (not previously so credited) theretofore purchased or otherwise acquired (except as aforesaid) by the Issuer and delivered to such Trustee for cancellation pursuant to Section 309,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such Trustee at the sinking fund redemption price specified in such Securities.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1203. </w:t>
      </w:r>
      <w:r>
        <w:rPr>
          <w:rFonts w:ascii="Times New Roman" w:cs="Times New Roman" w:eastAsia="Times New Roman" w:hAnsi="Times New Roman"/>
          <w:sz w:val="22"/>
          <w:szCs w:val="22"/>
          <w:u w:val="single" w:color="auto"/>
          <w:color w:val="000000"/>
        </w:rPr>
        <w:t>Redemption of Securities for Sinking Fund</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Not less than 60 days prior to each sinking fund payment date for any series of Securities, the Issuer will deliver to the Trustee for the Securities of such series an Officer’s Certificate (which need not contain the statements required by Section 102) stating that no defaults in the payment of interest, if any, with respect to Securities of that series and no Events of Default with respect to Securities of that series have occurred (which in either case have not been waived or cured) and (a) specifying the amount of the next ensuing sinking fund payment for that series pursuant to the terms of that series, (b) whether or not the Issuer intends to exercise its right, if any, to make an optional sinking fund payment with respect to such series on the next ensuing sinking fund payment date and, if so, the amount of such optional sinking fund payment, and (c) the portion thereof, if any, which is to be satisfied by payment of cash and the portion thereof, if any, which is to be satisfied by delivering and crediting Securities of that series pursuant to Section 1202, and will also deliver to such Trustee any Securities to be so delivered. Such written statement shall be irrevocable and upon its receipt by such Trustee the Issuer shall become unconditionally obligated to make all the cash payments or payments therein referred to, if any, on or before the next succeeding sinking fund payment date. Failure of the Issuer, on or before any such 60th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therefor and (ii) that the Issuer will make no optional sinking fund payment with respect to such series as provided in this Section.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 less than 30 days before each such sinking fund payment date the Securities of such series to be redeemed upon such sinking fund payment date shall be redeemed in the manner specified in Section 1103 and the Trustee shall cause notice of the redemption thereof to be given in the name of and at the expense of the Issuer in the manner provided in Section 1104. Such notice having been duly given, the redemption of such Securities shall be made upon the terms and in the manner stated in Sections 1105, 1106 and 1107.</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The Trustee for any series of Securities shall not redeem or cause to be redeemed any Security of such series with sinking fund moneys or deliver or mail any notice of redemption of Securities of such series by operation of the sinking fund during the continuance of a default in payment of interest with respect to Securities of that series or an Event of Default with respect to the Securities of that series, except that, where the delivery or mailing of notice of redemption of any Securities shall theretofore have been made, such Trustee shall redeem or cause to be redeemed such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it shall have received from the Issuer a sum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-201295</wp:posOffset>
            </wp:positionV>
            <wp:extent cx="34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51" w:lineRule="auto"/>
        <w:rPr>
          <w:sz w:val="20"/>
          <w:szCs w:val="20"/>
          <w:color w:val="auto"/>
        </w:rPr>
      </w:pPr>
      <w:r>
        <w:rPr>
          <w:rFonts w:ascii="Times New Roman" w:cs="Times New Roman" w:eastAsia="Times New Roman" w:hAnsi="Times New Roman"/>
          <w:sz w:val="22"/>
          <w:szCs w:val="22"/>
          <w:color w:val="auto"/>
        </w:rPr>
        <w:t>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Five and held for the payment of all such Securities. In case such Event of Default shall have been waived as provided in Section 513 or the default or Event of Default cured on or before the 60th day preceding the sinking fund payment date, such moneys shall thereafter be applied on the next succeeding sinking fund payment date in accordance with this Section to the redemption of such Securities.</w:t>
      </w:r>
    </w:p>
    <w:p>
      <w:pPr>
        <w:spacing w:after="0" w:line="1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010000"/>
        </w:rPr>
        <w:t>Article 13</w:t>
      </w:r>
    </w:p>
    <w:p>
      <w:pPr>
        <w:jc w:val="center"/>
        <w:spacing w:after="0"/>
        <w:rPr>
          <w:sz w:val="20"/>
          <w:szCs w:val="20"/>
          <w:color w:val="auto"/>
        </w:rPr>
      </w:pPr>
      <w:r>
        <w:rPr>
          <w:rFonts w:ascii="Times New Roman" w:cs="Times New Roman" w:eastAsia="Times New Roman" w:hAnsi="Times New Roman"/>
          <w:sz w:val="22"/>
          <w:szCs w:val="22"/>
          <w:color w:val="auto"/>
        </w:rPr>
        <w:t>GUARANTEE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1301. </w:t>
      </w:r>
      <w:r>
        <w:rPr>
          <w:rFonts w:ascii="Times New Roman" w:cs="Times New Roman" w:eastAsia="Times New Roman" w:hAnsi="Times New Roman"/>
          <w:sz w:val="22"/>
          <w:szCs w:val="22"/>
          <w:u w:val="single" w:color="auto"/>
          <w:color w:val="000000"/>
        </w:rPr>
        <w:t>Guarantee</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the provisions of this Article Thirteen and for good and valuable consideration, the receipt of which is hereby acknowledged, each of the Guarantors hereby jointly and severally, fully and unconditionally guarantees to each Holder of a Security of each series authenticated and delivered by the Trustee for such Securities hereunder and to such Trustee for itself and on behalf of each such Holder, the due and punctual payment of principal of (and premium, if any, on) and interest on the Securities when and as the same shall become due and payable, whether at the Stated Maturity, by declaration of acceleration, call for redemption or otherwise, and all other amounts owed under this Indenture, according to the terms thereof and of this Indenture. In case of the failure of the Issuer promptly to make any such payment of principal (and premium, if any, on) or interest, the Guarantors hereby agree to make any such payment to be made promptly when and as the same shall become due and payable, whether at the Stated Maturity or by declaration of acceleration, call for redemption or otherwise, and as if such payment were made by the Issuer.</w:t>
      </w:r>
    </w:p>
    <w:p>
      <w:pPr>
        <w:spacing w:after="0" w:line="151" w:lineRule="exact"/>
        <w:rPr>
          <w:rFonts w:ascii="Times New Roman" w:cs="Times New Roman" w:eastAsia="Times New Roman" w:hAnsi="Times New Roman"/>
          <w:sz w:val="22"/>
          <w:szCs w:val="22"/>
          <w:color w:val="010000"/>
        </w:rPr>
      </w:pPr>
    </w:p>
    <w:p>
      <w:pPr>
        <w:jc w:val="both"/>
        <w:ind w:firstLine="656"/>
        <w:spacing w:after="0" w:line="218" w:lineRule="auto"/>
        <w:tabs>
          <w:tab w:leader="none" w:pos="1291" w:val="left"/>
        </w:tabs>
        <w:numPr>
          <w:ilvl w:val="0"/>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Guarantors hereby agree that their obligations hereunder shall be as if they were principal debtor and not merely surety, and shall be absolute and unconditional, joint and several, irrespective of, and shall be unaffected by any failure to enforce the provisions of such Security or this Indenture, or any waiver, modification or indulgence granted to the Issuer with respect thereto, by the Holder of such Security or the Trustee for the Securities of such series or any other circumstance which may otherwise constitute a legal or equitable discharge of a surety or guarantor;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the foregoing, no such waiver, modification or indulgence shall, without the consent of the Guarantors increase the principal amount of such Security, or increase the interest rate thereon, or increase any premium payable upon redemption thereof, or alter the Stated Maturity thereof, or increase the principal amount of any Original Issue Discount Security that would be due and payable upon a declaration of acceleration or the maturity thereof pursuant to Article Five of this Indenture. Each Guarantor hereby waives diligence, presentment, demand of payment, filing of claims with a court in the event of merger or bankruptcy of the Issuer, any right to require a proceeding first against the Issuer, protest or notice with respect to such Security or the indebtedness evidenced thereby or with respect to any sinking fund or analogous payment required under such Security and all demands whatsoever, and covenants that the Guarantee of such Guarantor will not be discharged except by payment in full of the principal of (and premium, if any, on) and interest on such Security or as otherwise set forth in this Indenture;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any Holder or the Trustee is required by any court or otherwise to return to the Issuer, the Guarantors or any custodian, trustee, liquidator or other similar official acting in relation to either the Issuer or the Guarantors any amount paid either to the Trustee or such Holder, the Guarantee, to the extent theretofore discharged, shall be reinstated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6112510</wp:posOffset>
            </wp:positionH>
            <wp:positionV relativeFrom="paragraph">
              <wp:posOffset>-438150</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21" w:right="339" w:bottom="1440" w:gutter="0" w:footer="0" w:header="0"/>
        </w:sectPr>
      </w:pPr>
    </w:p>
    <w:bookmarkStart w:id="144" w:name="page145"/>
    <w:bookmarkEnd w:id="144"/>
    <w:p>
      <w:pPr>
        <w:jc w:val="both"/>
        <w:ind w:firstLine="656"/>
        <w:spacing w:after="0" w:line="217" w:lineRule="auto"/>
        <w:tabs>
          <w:tab w:leader="none" w:pos="1293"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Guarantors shall be subrogated to all rights of the Holder of such Security and the Trustee for the Securities of such series against the Issuer in respect of any amounts paid to such Holder by the Guarantors pursuant to the provisions of this Guarantee;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Guarantors shall not be entitled to enforce or to receive any payments arising out of or based upon such right of subrogation until the principal of (and premium, if any, on) and interest on all Securities of the same series issued under the Indenture shall have been paid in full.</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1302. </w:t>
      </w:r>
      <w:r>
        <w:rPr>
          <w:rFonts w:ascii="Times New Roman" w:cs="Times New Roman" w:eastAsia="Times New Roman" w:hAnsi="Times New Roman"/>
          <w:sz w:val="22"/>
          <w:szCs w:val="22"/>
          <w:u w:val="single" w:color="auto"/>
          <w:color w:val="000000"/>
        </w:rPr>
        <w:t>Execution and Delivery of Guarantee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Guarantee to be endorsed on the Securities of each series shall include the terms of the Guarantee set forth in Section 1301 and any other terms that may be set forth in the form established pursuant to Section 206 with respect to such series. Each Guarantor hereby agrees to execute a Guarantee, in a form established pursuant to Section 206, to be endorsed on each Security authenticated and delivered by the Trustee for the Securities of such series.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Guarantee shall be executed in accordance with Section 303. The delivery of any Security by the Trustee for the Securities of such series, after the authentication thereof hereunder, shall constitute due delivery of the Guarantees endorsed thereon on behalf of the Guarantors. Each Guarantor hereby agrees that its Guarantee set forth in Section 1301 shall remain in full force and effect notwithstanding any failure to endorse a Guarantee on any Security.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1303. </w:t>
      </w:r>
      <w:r>
        <w:rPr>
          <w:rFonts w:ascii="Times New Roman" w:cs="Times New Roman" w:eastAsia="Times New Roman" w:hAnsi="Times New Roman"/>
          <w:sz w:val="22"/>
          <w:szCs w:val="22"/>
          <w:u w:val="single" w:color="auto"/>
          <w:color w:val="000000"/>
        </w:rPr>
        <w:t>Notice to Trustee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Guarantor shall give prompt written notice to the Trustee for the Securities of such series of any fact known to such Guarantor which prohibits the making of any payment to or by such Trustee in respect of the Guarantee pursuant to the provisions of this Article Thirteen other than any agreement in effect on the date 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1304. </w:t>
      </w:r>
      <w:r>
        <w:rPr>
          <w:rFonts w:ascii="Times New Roman" w:cs="Times New Roman" w:eastAsia="Times New Roman" w:hAnsi="Times New Roman"/>
          <w:sz w:val="22"/>
          <w:szCs w:val="22"/>
          <w:u w:val="single" w:color="auto"/>
          <w:color w:val="000000"/>
        </w:rPr>
        <w:t>This Article Not to Prevent Events of Default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failure to make a payment on account of principal of (and premium, if any, on) or interest on the Securities by reason of any provision of this Article Thirteen will not be construed as preventing the occurrence of an Event of Default.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1305. </w:t>
      </w:r>
      <w:r>
        <w:rPr>
          <w:rFonts w:ascii="Times New Roman" w:cs="Times New Roman" w:eastAsia="Times New Roman" w:hAnsi="Times New Roman"/>
          <w:sz w:val="22"/>
          <w:szCs w:val="22"/>
          <w:u w:val="single" w:color="auto"/>
          <w:color w:val="000000"/>
        </w:rPr>
        <w:t>Amendment, Etc.</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 amendment, modification or waiver of any provision of this Indenture relating to the Guarantors or consent to any departure by a Guarantor or any other Person from any such provision will in any event be effective unless it is signed by such Guarantor and the Trustee for the Securities of such series.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Section 1306. </w:t>
      </w:r>
      <w:r>
        <w:rPr>
          <w:rFonts w:ascii="Times New Roman" w:cs="Times New Roman" w:eastAsia="Times New Roman" w:hAnsi="Times New Roman"/>
          <w:sz w:val="22"/>
          <w:szCs w:val="22"/>
          <w:u w:val="single" w:color="auto"/>
          <w:color w:val="000000"/>
        </w:rPr>
        <w:t>Limitation on Liability.</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With respect to each Guarantor, the obligations of such Guarantor hereunder will be limited to the maximum amount, as will not result in the obligations of such Guarantor under its Guarantee constituting a fraudulent conveyance or fraudulent transfer, after giving effect to all other relevant liabilities of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394"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22"/>
          <w:szCs w:val="22"/>
          <w:color w:val="010000"/>
        </w:rPr>
        <w:t xml:space="preserve">Section 1307. </w:t>
      </w:r>
      <w:r>
        <w:rPr>
          <w:rFonts w:ascii="Times New Roman" w:cs="Times New Roman" w:eastAsia="Times New Roman" w:hAnsi="Times New Roman"/>
          <w:sz w:val="22"/>
          <w:szCs w:val="22"/>
          <w:u w:val="single" w:color="auto"/>
          <w:color w:val="000000"/>
        </w:rPr>
        <w:t>Limitation on Liability - Ireland.</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indicated in this Indenture or in any Guarantee, the obligations of any Guarantor incorporated under the laws of Ireland pursuant to any Guarantee shall exclude any obligation to the extent it would result in the relevant obligation:</w:t>
      </w:r>
    </w:p>
    <w:p>
      <w:pPr>
        <w:spacing w:after="0" w:line="159" w:lineRule="exact"/>
        <w:rPr>
          <w:sz w:val="20"/>
          <w:szCs w:val="20"/>
          <w:color w:val="auto"/>
        </w:rPr>
      </w:pPr>
    </w:p>
    <w:p>
      <w:pPr>
        <w:ind w:firstLine="656"/>
        <w:spacing w:after="0" w:line="236" w:lineRule="auto"/>
        <w:tabs>
          <w:tab w:leader="none" w:pos="1293"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constituting unlawful financial assistance within the meaning of Section 82 of the Companies Act 2014 of Ireland (as amended); or</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constituting a breach of Section 239 of the Companies Act 2014 of Ireland (as amended).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394" w:right="339" w:bottom="1440" w:gutter="0" w:footer="0" w:header="0"/>
        </w:sectPr>
      </w:pPr>
    </w:p>
    <w:bookmarkStart w:id="146" w:name="page147"/>
    <w:bookmarkEnd w:id="14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Indenture to be duly executed as of the day and year first above written.</w:t>
      </w: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19685</wp:posOffset>
            </wp:positionV>
            <wp:extent cx="3840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WEATHERFORD INTERNATIONAL LTD.</w:t>
      </w: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19685</wp:posOffset>
            </wp:positionV>
            <wp:extent cx="38404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WEATHERFORD INTERNATIONAL, LLC</w:t>
      </w: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19685</wp:posOffset>
            </wp:positionV>
            <wp:extent cx="38404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DEUTSCHE BANK TRUST COMPANY AMERICAS, as Trustee</w:t>
      </w: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19685</wp:posOffset>
            </wp:positionV>
            <wp:extent cx="38404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w:t>
      </w: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19685</wp:posOffset>
            </wp:positionV>
            <wp:extent cx="38404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0980"/>
          </w:cols>
          <w:pgMar w:left="320" w:top="1421" w:right="599" w:bottom="1440" w:gutter="0" w:footer="0" w:header="0"/>
        </w:sectPr>
      </w:pPr>
    </w:p>
    <w:bookmarkStart w:id="147" w:name="page148"/>
    <w:bookmarkEnd w:id="147"/>
    <w:p>
      <w:pPr>
        <w:spacing w:after="0" w:line="27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6"/>
          <w:szCs w:val="16"/>
          <w:color w:val="auto"/>
        </w:rPr>
        <w:t>King &amp; Spalding LLP</w:t>
      </w:r>
    </w:p>
    <w:p>
      <w:pPr>
        <w:spacing w:after="0" w:line="86"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6"/>
          <w:szCs w:val="16"/>
          <w:color w:val="auto"/>
        </w:rPr>
        <w:t>1100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-30480</wp:posOffset>
            </wp:positionV>
            <wp:extent cx="263144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2631440" cy="197485"/>
                    </a:xfrm>
                    <a:prstGeom prst="rect">
                      <a:avLst/>
                    </a:prstGeom>
                    <a:noFill/>
                  </pic:spPr>
                </pic:pic>
              </a:graphicData>
            </a:graphic>
          </wp:anchor>
        </w:drawing>
      </w:r>
    </w:p>
    <w:p>
      <w:pPr>
        <w:spacing w:after="0" w:line="66"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6"/>
          <w:szCs w:val="16"/>
          <w:color w:val="auto"/>
        </w:rPr>
        <w:t>Suite 4100</w:t>
      </w:r>
    </w:p>
    <w:p>
      <w:pPr>
        <w:spacing w:after="0" w:line="86"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6"/>
          <w:szCs w:val="16"/>
          <w:color w:val="auto"/>
        </w:rPr>
        <w:t>Houston, TX 77002</w:t>
      </w:r>
    </w:p>
    <w:p>
      <w:pPr>
        <w:spacing w:after="0" w:line="86"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6"/>
          <w:szCs w:val="16"/>
          <w:color w:val="auto"/>
        </w:rPr>
        <w:t>www.kslaw.com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13,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Weatherford International plc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 St. James Place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77056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have acted as United States counsel to Weatherford International plc, a public limited company incorporated under the laws of Ireland (“</w:t>
      </w:r>
      <w:r>
        <w:rPr>
          <w:rFonts w:ascii="Times New Roman" w:cs="Times New Roman" w:eastAsia="Times New Roman" w:hAnsi="Times New Roman"/>
          <w:sz w:val="19"/>
          <w:szCs w:val="19"/>
          <w:b w:val="1"/>
          <w:bCs w:val="1"/>
          <w:color w:val="auto"/>
        </w:rPr>
        <w:t>Weatherford Ireland</w:t>
      </w:r>
      <w:r>
        <w:rPr>
          <w:rFonts w:ascii="Times New Roman" w:cs="Times New Roman" w:eastAsia="Times New Roman" w:hAnsi="Times New Roman"/>
          <w:sz w:val="19"/>
          <w:szCs w:val="19"/>
          <w:color w:val="auto"/>
        </w:rPr>
        <w:t>”), Weatherford International Ltd., a Bermuda exempted company (“</w:t>
      </w:r>
      <w:r>
        <w:rPr>
          <w:rFonts w:ascii="Times New Roman" w:cs="Times New Roman" w:eastAsia="Times New Roman" w:hAnsi="Times New Roman"/>
          <w:sz w:val="19"/>
          <w:szCs w:val="19"/>
          <w:b w:val="1"/>
          <w:bCs w:val="1"/>
          <w:color w:val="auto"/>
        </w:rPr>
        <w:t>Weatherford Bermuda</w:t>
      </w:r>
      <w:r>
        <w:rPr>
          <w:rFonts w:ascii="Times New Roman" w:cs="Times New Roman" w:eastAsia="Times New Roman" w:hAnsi="Times New Roman"/>
          <w:sz w:val="19"/>
          <w:szCs w:val="19"/>
          <w:color w:val="auto"/>
        </w:rPr>
        <w:t>”), and Weatherford International, LLC, a Delaware limited liability company (“</w:t>
      </w:r>
      <w:r>
        <w:rPr>
          <w:rFonts w:ascii="Times New Roman" w:cs="Times New Roman" w:eastAsia="Times New Roman" w:hAnsi="Times New Roman"/>
          <w:sz w:val="19"/>
          <w:szCs w:val="19"/>
          <w:b w:val="1"/>
          <w:bCs w:val="1"/>
          <w:color w:val="auto"/>
        </w:rPr>
        <w:t>Weatherford Delaware</w:t>
      </w:r>
      <w:r>
        <w:rPr>
          <w:rFonts w:ascii="Times New Roman" w:cs="Times New Roman" w:eastAsia="Times New Roman" w:hAnsi="Times New Roman"/>
          <w:sz w:val="19"/>
          <w:szCs w:val="19"/>
          <w:color w:val="auto"/>
        </w:rPr>
        <w:t>” and, together with Weatherford Ireland and Weatherford Bermuda, the “</w:t>
      </w:r>
      <w:r>
        <w:rPr>
          <w:rFonts w:ascii="Times New Roman" w:cs="Times New Roman" w:eastAsia="Times New Roman" w:hAnsi="Times New Roman"/>
          <w:sz w:val="19"/>
          <w:szCs w:val="19"/>
          <w:b w:val="1"/>
          <w:bCs w:val="1"/>
          <w:color w:val="auto"/>
        </w:rPr>
        <w:t>Companies</w:t>
      </w:r>
      <w:r>
        <w:rPr>
          <w:rFonts w:ascii="Times New Roman" w:cs="Times New Roman" w:eastAsia="Times New Roman" w:hAnsi="Times New Roman"/>
          <w:sz w:val="19"/>
          <w:szCs w:val="19"/>
          <w:color w:val="auto"/>
        </w:rPr>
        <w:t>”), in connection with the Registration Statement on Form S-3 (the “</w:t>
      </w:r>
      <w:r>
        <w:rPr>
          <w:rFonts w:ascii="Times New Roman" w:cs="Times New Roman" w:eastAsia="Times New Roman" w:hAnsi="Times New Roman"/>
          <w:sz w:val="19"/>
          <w:szCs w:val="19"/>
          <w:b w:val="1"/>
          <w:bCs w:val="1"/>
          <w:color w:val="auto"/>
        </w:rPr>
        <w:t>Registration Statement</w:t>
      </w:r>
      <w:r>
        <w:rPr>
          <w:rFonts w:ascii="Times New Roman" w:cs="Times New Roman" w:eastAsia="Times New Roman" w:hAnsi="Times New Roman"/>
          <w:sz w:val="19"/>
          <w:szCs w:val="19"/>
          <w:color w:val="auto"/>
        </w:rPr>
        <w:t>”) being filed by the Companies with the Securities and Exchange Commission (the “</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under the Securities Act of 1933, as amended (the “</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relating to: (i) ordinary shares of Weatherford Ireland with a nominal value of U.S. $0.001 per share (the “</w:t>
      </w:r>
      <w:r>
        <w:rPr>
          <w:rFonts w:ascii="Times New Roman" w:cs="Times New Roman" w:eastAsia="Times New Roman" w:hAnsi="Times New Roman"/>
          <w:sz w:val="19"/>
          <w:szCs w:val="19"/>
          <w:b w:val="1"/>
          <w:bCs w:val="1"/>
          <w:color w:val="auto"/>
        </w:rPr>
        <w:t>Ordinary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(ii) options of Weatherford Ireland to purchase Ordinary Shares (the “</w:t>
      </w:r>
      <w:r>
        <w:rPr>
          <w:rFonts w:ascii="Times New Roman" w:cs="Times New Roman" w:eastAsia="Times New Roman" w:hAnsi="Times New Roman"/>
          <w:sz w:val="19"/>
          <w:szCs w:val="19"/>
          <w:b w:val="1"/>
          <w:bCs w:val="1"/>
          <w:color w:val="auto"/>
        </w:rPr>
        <w:t>Options</w:t>
      </w:r>
      <w:r>
        <w:rPr>
          <w:rFonts w:ascii="Times New Roman" w:cs="Times New Roman" w:eastAsia="Times New Roman" w:hAnsi="Times New Roman"/>
          <w:sz w:val="19"/>
          <w:szCs w:val="19"/>
          <w:color w:val="auto"/>
        </w:rPr>
        <w:t>”); (iii) warrants of Weatherford Ireland to purchase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Ordinary Shares (the “</w:t>
      </w:r>
      <w:r>
        <w:rPr>
          <w:rFonts w:ascii="Times New Roman" w:cs="Times New Roman" w:eastAsia="Times New Roman" w:hAnsi="Times New Roman"/>
          <w:sz w:val="19"/>
          <w:szCs w:val="19"/>
          <w:b w:val="1"/>
          <w:bCs w:val="1"/>
          <w:color w:val="auto"/>
        </w:rPr>
        <w:t>Warrants</w:t>
      </w:r>
      <w:r>
        <w:rPr>
          <w:rFonts w:ascii="Times New Roman" w:cs="Times New Roman" w:eastAsia="Times New Roman" w:hAnsi="Times New Roman"/>
          <w:sz w:val="19"/>
          <w:szCs w:val="19"/>
          <w:color w:val="auto"/>
        </w:rPr>
        <w:t>”); (iv) debt securities (the “</w:t>
      </w:r>
      <w:r>
        <w:rPr>
          <w:rFonts w:ascii="Times New Roman" w:cs="Times New Roman" w:eastAsia="Times New Roman" w:hAnsi="Times New Roman"/>
          <w:sz w:val="19"/>
          <w:szCs w:val="19"/>
          <w:b w:val="1"/>
          <w:bCs w:val="1"/>
          <w:color w:val="auto"/>
        </w:rPr>
        <w:t>Debt Securities</w:t>
      </w:r>
      <w:r>
        <w:rPr>
          <w:rFonts w:ascii="Times New Roman" w:cs="Times New Roman" w:eastAsia="Times New Roman" w:hAnsi="Times New Roman"/>
          <w:sz w:val="19"/>
          <w:szCs w:val="19"/>
          <w:color w:val="auto"/>
        </w:rPr>
        <w:t>”) issued by any of Weatherford Bermuda and/or Weatherford Delaware (as applicable, the “</w:t>
      </w:r>
      <w:r>
        <w:rPr>
          <w:rFonts w:ascii="Times New Roman" w:cs="Times New Roman" w:eastAsia="Times New Roman" w:hAnsi="Times New Roman"/>
          <w:sz w:val="19"/>
          <w:szCs w:val="19"/>
          <w:b w:val="1"/>
          <w:bCs w:val="1"/>
          <w:color w:val="auto"/>
        </w:rPr>
        <w:t>Issuer</w:t>
      </w:r>
      <w:r>
        <w:rPr>
          <w:rFonts w:ascii="Times New Roman" w:cs="Times New Roman" w:eastAsia="Times New Roman" w:hAnsi="Times New Roman"/>
          <w:sz w:val="19"/>
          <w:szCs w:val="19"/>
          <w:color w:val="auto"/>
        </w:rPr>
        <w:t>”); (v) guarantees of Weatherford Ireland, Weatherford Bermuda and Weatherford Delaware, as the case may be (the “</w:t>
      </w:r>
      <w:r>
        <w:rPr>
          <w:rFonts w:ascii="Times New Roman" w:cs="Times New Roman" w:eastAsia="Times New Roman" w:hAnsi="Times New Roman"/>
          <w:sz w:val="19"/>
          <w:szCs w:val="19"/>
          <w:b w:val="1"/>
          <w:bCs w:val="1"/>
          <w:color w:val="auto"/>
        </w:rPr>
        <w:t>Guarantors</w:t>
      </w:r>
      <w:r>
        <w:rPr>
          <w:rFonts w:ascii="Times New Roman" w:cs="Times New Roman" w:eastAsia="Times New Roman" w:hAnsi="Times New Roman"/>
          <w:sz w:val="19"/>
          <w:szCs w:val="19"/>
          <w:color w:val="auto"/>
        </w:rPr>
        <w:t>”), to be issued in connection with the Debt Securities (the “</w:t>
      </w:r>
      <w:r>
        <w:rPr>
          <w:rFonts w:ascii="Times New Roman" w:cs="Times New Roman" w:eastAsia="Times New Roman" w:hAnsi="Times New Roman"/>
          <w:sz w:val="19"/>
          <w:szCs w:val="19"/>
          <w:b w:val="1"/>
          <w:bCs w:val="1"/>
          <w:color w:val="auto"/>
        </w:rPr>
        <w:t>Guarantees</w:t>
      </w:r>
      <w:r>
        <w:rPr>
          <w:rFonts w:ascii="Times New Roman" w:cs="Times New Roman" w:eastAsia="Times New Roman" w:hAnsi="Times New Roman"/>
          <w:sz w:val="19"/>
          <w:szCs w:val="19"/>
          <w:color w:val="auto"/>
        </w:rPr>
        <w:t>”); (vi) contracts for the purchase and sale of Ordinary Shares (the “</w:t>
      </w:r>
      <w:r>
        <w:rPr>
          <w:rFonts w:ascii="Times New Roman" w:cs="Times New Roman" w:eastAsia="Times New Roman" w:hAnsi="Times New Roman"/>
          <w:sz w:val="19"/>
          <w:szCs w:val="19"/>
          <w:b w:val="1"/>
          <w:bCs w:val="1"/>
          <w:color w:val="auto"/>
        </w:rPr>
        <w:t>Share Purchase Contracts</w:t>
      </w:r>
      <w:r>
        <w:rPr>
          <w:rFonts w:ascii="Times New Roman" w:cs="Times New Roman" w:eastAsia="Times New Roman" w:hAnsi="Times New Roman"/>
          <w:sz w:val="19"/>
          <w:szCs w:val="19"/>
          <w:color w:val="auto"/>
        </w:rPr>
        <w:t>”); (vii) share purchase units of Weatherford Ireland (the “</w:t>
      </w:r>
      <w:r>
        <w:rPr>
          <w:rFonts w:ascii="Times New Roman" w:cs="Times New Roman" w:eastAsia="Times New Roman" w:hAnsi="Times New Roman"/>
          <w:sz w:val="19"/>
          <w:szCs w:val="19"/>
          <w:b w:val="1"/>
          <w:bCs w:val="1"/>
          <w:color w:val="auto"/>
        </w:rPr>
        <w:t>Share Purchase Units</w:t>
      </w:r>
      <w:r>
        <w:rPr>
          <w:rFonts w:ascii="Times New Roman" w:cs="Times New Roman" w:eastAsia="Times New Roman" w:hAnsi="Times New Roman"/>
          <w:sz w:val="19"/>
          <w:szCs w:val="19"/>
          <w:color w:val="auto"/>
        </w:rPr>
        <w:t>”), consisting of a Share Purchase Contract and Debt Securities (which may include Guarantees thereof) or debt obligations of third parties, including U.S. Treasury securities; and (viii) Ordinary Shares that may be issued upon exercise, exchange or conversion of Options, Warrants or Share Purchase Contracts, whichever is applicable. The Ordinary Shares, the Options, the Warrants, the Debt Securities, the Guarantees,</w:t>
      </w:r>
    </w:p>
    <w:p>
      <w:pPr>
        <w:spacing w:after="0" w:line="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Share Purchase Contracts, and the Share Purchase Units are hereinafter referred to collectively as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and the Options, Warrants, the Debt Securities, the Guarantees, the Share Purchase Contracts, and the Share Purchase Units are hereinafter referred to collectively as the “</w:t>
      </w:r>
      <w:r>
        <w:rPr>
          <w:rFonts w:ascii="Times New Roman" w:cs="Times New Roman" w:eastAsia="Times New Roman" w:hAnsi="Times New Roman"/>
          <w:sz w:val="20"/>
          <w:szCs w:val="20"/>
          <w:b w:val="1"/>
          <w:bCs w:val="1"/>
          <w:color w:val="auto"/>
        </w:rPr>
        <w:t>Covered Securities</w:t>
      </w:r>
      <w:r>
        <w:rPr>
          <w:rFonts w:ascii="Times New Roman" w:cs="Times New Roman" w:eastAsia="Times New Roman" w:hAnsi="Times New Roman"/>
          <w:sz w:val="20"/>
          <w:szCs w:val="20"/>
          <w:color w:val="auto"/>
        </w:rPr>
        <w:t>.” The Securities may be issued and sold or delivered from time to time as set forth in the Registration Statement, any amendment thereto, the prospectus contained therein (the “</w:t>
      </w:r>
      <w:r>
        <w:rPr>
          <w:rFonts w:ascii="Times New Roman" w:cs="Times New Roman" w:eastAsia="Times New Roman" w:hAnsi="Times New Roman"/>
          <w:sz w:val="20"/>
          <w:szCs w:val="20"/>
          <w:b w:val="1"/>
          <w:bCs w:val="1"/>
          <w:color w:val="auto"/>
        </w:rPr>
        <w:t>Prospectus</w:t>
      </w:r>
      <w:r>
        <w:rPr>
          <w:rFonts w:ascii="Times New Roman" w:cs="Times New Roman" w:eastAsia="Times New Roman" w:hAnsi="Times New Roman"/>
          <w:sz w:val="20"/>
          <w:szCs w:val="20"/>
          <w:color w:val="auto"/>
        </w:rPr>
        <w:t>”) and supplements to the Prospectus pursuant to Rule 415 under the Securities Act for an indeterminate number of securities and/or aggregate offering price.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Options will be issued under one or more option agreements (each an “</w:t>
      </w:r>
      <w:r>
        <w:rPr>
          <w:rFonts w:ascii="Times New Roman" w:cs="Times New Roman" w:eastAsia="Times New Roman" w:hAnsi="Times New Roman"/>
          <w:sz w:val="20"/>
          <w:szCs w:val="20"/>
          <w:b w:val="1"/>
          <w:bCs w:val="1"/>
          <w:color w:val="auto"/>
        </w:rPr>
        <w:t>Option Agreement</w:t>
      </w:r>
      <w:r>
        <w:rPr>
          <w:rFonts w:ascii="Times New Roman" w:cs="Times New Roman" w:eastAsia="Times New Roman" w:hAnsi="Times New Roman"/>
          <w:sz w:val="20"/>
          <w:szCs w:val="20"/>
          <w:color w:val="auto"/>
        </w:rPr>
        <w:t>”), between Weatherford Ireland and an option agent to be named therein (“</w:t>
      </w:r>
      <w:r>
        <w:rPr>
          <w:rFonts w:ascii="Times New Roman" w:cs="Times New Roman" w:eastAsia="Times New Roman" w:hAnsi="Times New Roman"/>
          <w:sz w:val="20"/>
          <w:szCs w:val="20"/>
          <w:b w:val="1"/>
          <w:bCs w:val="1"/>
          <w:color w:val="auto"/>
        </w:rPr>
        <w:t>Option Agent</w:t>
      </w:r>
      <w:r>
        <w:rPr>
          <w:rFonts w:ascii="Times New Roman" w:cs="Times New Roman" w:eastAsia="Times New Roman" w:hAnsi="Times New Roman"/>
          <w:sz w:val="20"/>
          <w:szCs w:val="20"/>
          <w:color w:val="auto"/>
        </w:rPr>
        <w:t>”). The Warrants will be issued under one or more warrant agreements (each, a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between Weatherford Ireland and a warrant agent to be named therein (a “</w:t>
      </w:r>
      <w:r>
        <w:rPr>
          <w:rFonts w:ascii="Times New Roman" w:cs="Times New Roman" w:eastAsia="Times New Roman" w:hAnsi="Times New Roman"/>
          <w:sz w:val="20"/>
          <w:szCs w:val="20"/>
          <w:b w:val="1"/>
          <w:bCs w:val="1"/>
          <w:color w:val="auto"/>
        </w:rPr>
        <w:t>Warrant Agent</w:t>
      </w:r>
      <w:r>
        <w:rPr>
          <w:rFonts w:ascii="Times New Roman" w:cs="Times New Roman" w:eastAsia="Times New Roman" w:hAnsi="Times New Roman"/>
          <w:sz w:val="20"/>
          <w:szCs w:val="20"/>
          <w:color w:val="auto"/>
        </w:rPr>
        <w:t>”). The Debt Securities</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and any Guarantees thereof will be issued under an Indenture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among the Companies and Deutsche Bank Trust Company Americas, as Trustee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The Share Purchase Contracts will be issued pursuant to one or more purchase contract agreements (each, a “</w:t>
      </w:r>
      <w:r>
        <w:rPr>
          <w:rFonts w:ascii="Times New Roman" w:cs="Times New Roman" w:eastAsia="Times New Roman" w:hAnsi="Times New Roman"/>
          <w:sz w:val="20"/>
          <w:szCs w:val="20"/>
          <w:b w:val="1"/>
          <w:bCs w:val="1"/>
          <w:color w:val="auto"/>
        </w:rPr>
        <w:t>Purchase Contract Agreement</w:t>
      </w:r>
      <w:r>
        <w:rPr>
          <w:rFonts w:ascii="Times New Roman" w:cs="Times New Roman" w:eastAsia="Times New Roman" w:hAnsi="Times New Roman"/>
          <w:sz w:val="20"/>
          <w:szCs w:val="20"/>
          <w:color w:val="auto"/>
        </w:rPr>
        <w:t>”), between Weatherford Ireland and a purchase contract agent to be named therein (the “</w:t>
      </w:r>
      <w:r>
        <w:rPr>
          <w:rFonts w:ascii="Times New Roman" w:cs="Times New Roman" w:eastAsia="Times New Roman" w:hAnsi="Times New Roman"/>
          <w:sz w:val="20"/>
          <w:szCs w:val="20"/>
          <w:b w:val="1"/>
          <w:bCs w:val="1"/>
          <w:color w:val="auto"/>
        </w:rPr>
        <w:t>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Contract Agent</w:t>
      </w:r>
      <w:r>
        <w:rPr>
          <w:rFonts w:ascii="Times New Roman" w:cs="Times New Roman" w:eastAsia="Times New Roman" w:hAnsi="Times New Roman"/>
          <w:sz w:val="20"/>
          <w:szCs w:val="20"/>
          <w:color w:val="auto"/>
        </w:rPr>
        <w:t>”). The Share Purchase Units will be issued pursuant to a unit agreement (each, a “</w:t>
      </w:r>
      <w:r>
        <w:rPr>
          <w:rFonts w:ascii="Times New Roman" w:cs="Times New Roman" w:eastAsia="Times New Roman" w:hAnsi="Times New Roman"/>
          <w:sz w:val="20"/>
          <w:szCs w:val="20"/>
          <w:b w:val="1"/>
          <w:bCs w:val="1"/>
          <w:color w:val="auto"/>
        </w:rPr>
        <w:t>Unit Agreement</w:t>
      </w:r>
      <w:r>
        <w:rPr>
          <w:rFonts w:ascii="Times New Roman" w:cs="Times New Roman" w:eastAsia="Times New Roman" w:hAnsi="Times New Roman"/>
          <w:sz w:val="20"/>
          <w:szCs w:val="20"/>
          <w:color w:val="auto"/>
        </w:rPr>
        <w:t>”), among the issuer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thereto, any guarantors party thereto and a unit agent to be named therein (the “</w:t>
      </w:r>
      <w:r>
        <w:rPr>
          <w:rFonts w:ascii="Times New Roman" w:cs="Times New Roman" w:eastAsia="Times New Roman" w:hAnsi="Times New Roman"/>
          <w:sz w:val="20"/>
          <w:szCs w:val="20"/>
          <w:b w:val="1"/>
          <w:bCs w:val="1"/>
          <w:color w:val="auto"/>
        </w:rPr>
        <w:t>Unit Agent</w:t>
      </w:r>
      <w:r>
        <w:rPr>
          <w:rFonts w:ascii="Times New Roman" w:cs="Times New Roman" w:eastAsia="Times New Roman" w:hAnsi="Times New Roman"/>
          <w:sz w:val="20"/>
          <w:szCs w:val="20"/>
          <w:color w:val="auto"/>
        </w:rPr>
        <w:t>”). The Option Agreements, Warrant Agreements, the Indenture, the Purchase Contract Agreements, and the Unit Agreements are hereinafter referred to collectively as the “</w:t>
      </w:r>
      <w:r>
        <w:rPr>
          <w:rFonts w:ascii="Times New Roman" w:cs="Times New Roman" w:eastAsia="Times New Roman" w:hAnsi="Times New Roman"/>
          <w:sz w:val="20"/>
          <w:szCs w:val="20"/>
          <w:b w:val="1"/>
          <w:bCs w:val="1"/>
          <w:color w:val="auto"/>
        </w:rPr>
        <w:t>Transaction Agreements</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have examined the Registration Statement and the form of Indenture, which is being filed with the Commission as an exhibit to the Registration Statement. We also have examined the originals, or duplicates or certified or conformed copies, of such records, agreements, documents and other instruments and have made such other investigations as we have deemed relevant and necessary in connection with the opinions hereinafter set forth. As to questions of fact material to this opinion, we have relied upon certificates or comparable documents of public officials and of officers and representatives of the Companies.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rendering the opinions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(1) at the time of execution, countersignature, issuance and delivery of any Options or Warrants, the related Option Agreement or Warrant Agreement will be the valid and legally binding obligation of each Option Agent or Warrant Agent, as applicable, and any other parties thereto (other than Weatherford Ireland); (2) at the time of execution, authentication, issuance and delivery of the Debt Securities, the Indenture will be the valid and legally binding obligation of the Trustee and any other parties thereto (other than the Companies); (3) at the time of execution, issuance and delivery of the Share Purchase Contracts, the related Purchase Contract Agreement will be the valid and legally binding obligation of the Purchase Contract Agent and any other parties thereto (other than Weatherford Ireland); and (4) at the time of execution, countersignature, issuance and delivery of the Share Purchase Units, the related Unit Agreement will be the valid and legally binding obligation of the Unit Agent and any other parties thereto (other than the Companies).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have assumed further that (1) at the time of execution, countersignature, issuance and delivery by them of any applicable Transaction Agreements and the issuance by them of any Securities, each of the Companies will continue to be validly existing and in good standing under the law of its jurisdiction of organization to the extent their jurisdictions of formation recognize such concepts, (2) at the time of execution, authentication, countersignature, issuance and/or delivery of the Covered Securities, the applicable Transaction Agreements will have been duly authorized, executed and delivered by each Company party thereto in accordance with its organizational documents and the law of its jurisdiction of organization, (3) execution, delivery, issuance and performance by each Company of the Covered Securities and the applicable Transaction Agreements (including any supplements or amendments thereto) do not and will not constitute a breach or violation of its organizational documents or the law of its jurisdiction of organization or any other applicable laws or regulation or any judgement, injunction order or decree, (4) execution, delivery, issuance and performance by each Company of the Covered Securities and the applicable Transaction Agreements do not and will not constitute a breach or violation of, or require any consent to be obtained under, any agreement or instrument that is binding upon any Company, and (5) any Securities issuable upon exercise, exchange or conversion of any Security being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offered or issued will be duly authorized, created and, if appropriate, reserved for issuance upon such exercise, exchange or conversion.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upon the foregoing, and subject to the qualifications, assumptions and limitations stated herein, we are of the opinion that:</w:t>
      </w:r>
    </w:p>
    <w:p>
      <w:pPr>
        <w:spacing w:after="0" w:line="216" w:lineRule="exact"/>
        <w:rPr>
          <w:sz w:val="20"/>
          <w:szCs w:val="20"/>
          <w:color w:val="auto"/>
        </w:rPr>
      </w:pPr>
    </w:p>
    <w:p>
      <w:pPr>
        <w:jc w:val="both"/>
        <w:ind w:left="660" w:hanging="328"/>
        <w:spacing w:after="0" w:line="252" w:lineRule="auto"/>
        <w:tabs>
          <w:tab w:leader="none" w:pos="6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Options, assuming (a) the taking of all necessary corporate action by the Board of Directors of Weatherford Ireland, a duly constituted and acting committee of such Board of Directors or duly authorized officers of Weatherford Ireland (such Board of Directors, committee or authorized officers being referred to herein as the “</w:t>
      </w:r>
      <w:r>
        <w:rPr>
          <w:rFonts w:ascii="Times New Roman" w:cs="Times New Roman" w:eastAsia="Times New Roman" w:hAnsi="Times New Roman"/>
          <w:sz w:val="20"/>
          <w:szCs w:val="20"/>
          <w:b w:val="1"/>
          <w:bCs w:val="1"/>
          <w:color w:val="auto"/>
        </w:rPr>
        <w:t>Weatherford Ireland Board</w:t>
      </w:r>
      <w:r>
        <w:rPr>
          <w:rFonts w:ascii="Times New Roman" w:cs="Times New Roman" w:eastAsia="Times New Roman" w:hAnsi="Times New Roman"/>
          <w:sz w:val="20"/>
          <w:szCs w:val="20"/>
          <w:color w:val="auto"/>
        </w:rPr>
        <w:t>”), to approve the issuance and terms of the Options, the terms of the offering thereof and related matters and the execution and delivery of the related Option Agreement and (b) the due execution, countersignature, issuance and delivery of such Options, upon payment or receipt of the consideration for such Option provided for in the applicable definitive purchase, underwriting or similar agreement approved by the Weatherford Ireland Board and otherwise in accordance with the provisions of the applicable Option Agreement and such agreement, such Options will constitute valid and legally binding obligations of Weatherford Ireland, enforceable against Weatherford Ireland in accordance with their terms. The Options covered by the opinion in this paragraph include any Options that may be issued pursuant to the terms of any other Securities.</w:t>
      </w:r>
    </w:p>
    <w:p>
      <w:pPr>
        <w:spacing w:after="0" w:line="177" w:lineRule="exact"/>
        <w:rPr>
          <w:rFonts w:ascii="Times New Roman" w:cs="Times New Roman" w:eastAsia="Times New Roman" w:hAnsi="Times New Roman"/>
          <w:sz w:val="20"/>
          <w:szCs w:val="20"/>
          <w:color w:val="auto"/>
        </w:rPr>
      </w:pPr>
    </w:p>
    <w:p>
      <w:pPr>
        <w:jc w:val="both"/>
        <w:ind w:left="660" w:hanging="328"/>
        <w:spacing w:after="0" w:line="251" w:lineRule="auto"/>
        <w:tabs>
          <w:tab w:leader="none" w:pos="6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Warrants, assuming (a) the taking of all necessary corporate action by the Weatherford Ireland Board to approve the issuance and terms of the Warrants, the terms of the offering thereof and related matters and the execution and delivery of the related Warrant Agreement and (b) the due execution, countersignature, issuance and delivery of such Warrants, upon payment or receipt of the consideration for such Warrants provided for in the applicable definitive purchase, underwriting or similar agreement approved by the Weatherford Ireland Board and otherwise in accordance with the provisions of the applicable Warrant Agreement and such agreement, such Warrants will constitute valid and legally binding obligations of Weatherford Ireland, enforceable against Weatherford Ireland in accordance with their terms. The Warrants covered by the opinion in this paragraph include any Warrants that may be issued pursuant to the terms of any other Securities.</w:t>
      </w:r>
    </w:p>
    <w:p>
      <w:pPr>
        <w:spacing w:after="0" w:line="195" w:lineRule="exact"/>
        <w:rPr>
          <w:rFonts w:ascii="Times New Roman" w:cs="Times New Roman" w:eastAsia="Times New Roman" w:hAnsi="Times New Roman"/>
          <w:sz w:val="20"/>
          <w:szCs w:val="20"/>
          <w:color w:val="auto"/>
        </w:rPr>
      </w:pPr>
    </w:p>
    <w:p>
      <w:pPr>
        <w:jc w:val="both"/>
        <w:ind w:left="660" w:hanging="328"/>
        <w:spacing w:after="0" w:line="252" w:lineRule="auto"/>
        <w:tabs>
          <w:tab w:leader="none" w:pos="6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Debt Securities, assuming (a) the taking of all necessary corporate or company action to approve the issuance and terms of any Debt Securities, the terms of the offering thereof and related matters by the board of directors, members, board of managers or equivalent governing body of the applicable Issuer, a duly constituted and acting committee of such governing body, or duly authorized officers of such Issuer (such board of directors, members, board of managers or equivalent governing body, committee or authorized officers being referred to herein as the “</w:t>
      </w:r>
      <w:r>
        <w:rPr>
          <w:rFonts w:ascii="Times New Roman" w:cs="Times New Roman" w:eastAsia="Times New Roman" w:hAnsi="Times New Roman"/>
          <w:sz w:val="20"/>
          <w:szCs w:val="20"/>
          <w:b w:val="1"/>
          <w:bCs w:val="1"/>
          <w:color w:val="auto"/>
        </w:rPr>
        <w:t>Issuer Board</w:t>
      </w:r>
      <w:r>
        <w:rPr>
          <w:rFonts w:ascii="Times New Roman" w:cs="Times New Roman" w:eastAsia="Times New Roman" w:hAnsi="Times New Roman"/>
          <w:sz w:val="20"/>
          <w:szCs w:val="20"/>
          <w:color w:val="auto"/>
        </w:rPr>
        <w:t>”) and (b) the due execution, authentication, issuance and delivery of such Debt Securities, upon payment or receipt of the consideration therefor provided for in the applicable definitive purchase, underwriting or similar agreement approved by such Issuer Board and otherwise in accordance with the provisions of the Indenture and such agreement, such Debt Securities will constitute valid and legally binding obligations of such Issuer, enforceable against such Issuer in accordance with their terms.</w:t>
      </w:r>
    </w:p>
    <w:p>
      <w:pPr>
        <w:spacing w:after="0" w:line="175"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Guarantees, assuming (a) the taking of all necessary corporate or company action to approve the issuance and terms of the Guarantees and related matters by the board of directors, members, board of managers or equivalent governing body of such applicable Guarantor, a duly constituted and acting committee of such governing body or duly authorized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officers of each applicable Guarantor (such board of directors, members, board of managers or equivalent governing body, committee or authorized officers being referred to herein as the “</w:t>
      </w:r>
      <w:r>
        <w:rPr>
          <w:rFonts w:ascii="Times New Roman" w:cs="Times New Roman" w:eastAsia="Times New Roman" w:hAnsi="Times New Roman"/>
          <w:sz w:val="20"/>
          <w:szCs w:val="20"/>
          <w:b w:val="1"/>
          <w:bCs w:val="1"/>
          <w:color w:val="auto"/>
        </w:rPr>
        <w:t>Guarantor Board</w:t>
      </w:r>
      <w:r>
        <w:rPr>
          <w:rFonts w:ascii="Times New Roman" w:cs="Times New Roman" w:eastAsia="Times New Roman" w:hAnsi="Times New Roman"/>
          <w:sz w:val="20"/>
          <w:szCs w:val="20"/>
          <w:color w:val="auto"/>
        </w:rPr>
        <w:t>”), (b) the due execution, authentication, issuance and delivery of the Debt Securities underlying such Guarantees, upon payment or receipt of the consideration for such Debt Securities provided for in the applicable definitive purchase, underwriting or similar agreement approved by the applicable Guarantor Board and otherwise in accordance with the provisions of the Indenture and such agreement and (c) the due execution, issuance and delivery of such Guarantees, such Guarantees will constitute valid and legally binding obligations of such Guarantors, enforceable against such Guarantors in accordance with their terms.</w:t>
      </w:r>
    </w:p>
    <w:p>
      <w:pPr>
        <w:spacing w:after="0" w:line="179" w:lineRule="exact"/>
        <w:rPr>
          <w:sz w:val="20"/>
          <w:szCs w:val="20"/>
          <w:color w:val="auto"/>
        </w:rPr>
      </w:pPr>
    </w:p>
    <w:p>
      <w:pPr>
        <w:jc w:val="both"/>
        <w:ind w:left="660" w:hanging="328"/>
        <w:spacing w:after="0" w:line="269" w:lineRule="auto"/>
        <w:tabs>
          <w:tab w:leader="none" w:pos="66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Share Purchase Contracts, assuming (a) the taking of all necessary corporate action by Weatherford Ireland Board to approve the issuance and terms of the Share Purchase Contracts, the terms of the offering thereof and related matters and the execution and delivery of the related Purchase Contract Agreement and (b) the due execution, issuance and delivery of such Share Purchase Contracts, upon payment or receipt of the consideration for such Share Purchase Contracts provided for in the applicable definitive purchase, underwriting or similar agreement approved by the Weatherford Ireland Board and otherwise in accordance with the provisions of the applicable Purchase Contract Agreement and such agreement, the Share Purchase Contracts will constitute valid and legally binding obligations of Weatherford Ireland, enforceable against Weatherford Ireland in accordance with their terms.</w:t>
      </w:r>
    </w:p>
    <w:p>
      <w:pPr>
        <w:spacing w:after="0" w:line="162" w:lineRule="exact"/>
        <w:rPr>
          <w:rFonts w:ascii="Times New Roman" w:cs="Times New Roman" w:eastAsia="Times New Roman" w:hAnsi="Times New Roman"/>
          <w:sz w:val="19"/>
          <w:szCs w:val="19"/>
          <w:color w:val="auto"/>
        </w:rPr>
      </w:pPr>
    </w:p>
    <w:p>
      <w:pPr>
        <w:jc w:val="both"/>
        <w:ind w:left="660" w:hanging="328"/>
        <w:spacing w:after="0" w:line="250" w:lineRule="auto"/>
        <w:tabs>
          <w:tab w:leader="none" w:pos="6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Share Purchase Units, assuming (a) the taking of all necessary corporate or company action by the board of directors, members, board of managers or equivalent governing body of such applicable Company, a duly constituted and acting committee of such governing body or duly authorized officers of each applicable Company (such board of directors, members, board of managers or equivalent governing body, committee or authorized officers being referred to herein as the “</w:t>
      </w:r>
      <w:r>
        <w:rPr>
          <w:rFonts w:ascii="Times New Roman" w:cs="Times New Roman" w:eastAsia="Times New Roman" w:hAnsi="Times New Roman"/>
          <w:sz w:val="20"/>
          <w:szCs w:val="20"/>
          <w:b w:val="1"/>
          <w:bCs w:val="1"/>
          <w:color w:val="auto"/>
        </w:rPr>
        <w:t>Weatherford Entity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to authorize and approve (1) the issuance and terms of the Share Purchase Units, the terms of the offering thereof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matters, (2) the due execution and delivery of the Purchase Contract Agreement with respect to the Share Purchase Contracts that are a component of the Share Purchase Units and (3) the issuance and terms of the Debt Securities (and any Guarantees thereof) that are a component of the Share Purchase Units and (b) the due execution, authentication, in the case of such Debt Securities (and the Guarantees thereof), issuance and delivery of (1) the Share Purchase Units, (2) such Share Purchase Contracts and (3) such Debt Securities (and the Guarantees thereof), in each case upon the payment or receipt of the consideration therefor provided for in the applicable definitive purchase, underwriting or similar agreement approved by each applicable Weatherford Entity Board and in accordance with the provisions of the applicable Purchase Contract Agreement, in the case of such Share Purchase Contracts, and the Indenture, in the case of Debt Securities, such Share Purchase Units will constitute valid and legally binding obligations of the applicable Company, enforceable against Weatherford Ireland in accordance with their terms.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opinions set forth in paragraphs 1 through 6 above are subject to the effects of (i) bankruptcy, insolvency, fraudulent conveyance, reorganization, moratorium and other similar laws relating to or affecting creditors’ rights generally, (ii) general equitable principles (whether considered in a proceeding in equity or at law), (iii) an implied covenant of good faith and fair dealing and (iv) to the effects of the possible judicial application of foreign laws or foreign governmental or judicial action affecting creditors’ rights.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do not express any opinion herein concerning any law other than the law of the State of New York and the federal laws of the United States, and no opinion is expressed with respect to the laws of any other jurisdiction or any effect that such laws may have on the opinions expressed herein. This opinion is limited to the matters stated herein, and no opinion is implied or may be inferred beyond the matters expressly stated herein.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Companies in connection with the matters addressed herein.</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hereby consent to the filing of this opinion letter as Exhibit 5.1 to the Registration Statement and to the use of our name under the caption “Legal Matters” in the Prospectus included in the Registration Statement.</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giving such consent, we do not admit that we are in the category of persons whose consent is required under Section 7 of the Securities 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King &amp; Spalding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KING &amp; SPALDING LLP</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4460240</wp:posOffset>
            </wp:positionH>
            <wp:positionV relativeFrom="page">
              <wp:posOffset>1031875</wp:posOffset>
            </wp:positionV>
            <wp:extent cx="2880360" cy="1225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88036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Weatherford International plc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 Sir John Rogerson’s Quay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Dublin 2, D02R296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pacing w:after="0" w:line="399" w:lineRule="exact"/>
        <w:rPr>
          <w:sz w:val="20"/>
          <w:szCs w:val="20"/>
          <w:color w:val="auto"/>
        </w:rPr>
      </w:pPr>
    </w:p>
    <w:p>
      <w:pPr>
        <w:jc w:val="both"/>
        <w:ind w:left="20" w:right="20"/>
        <w:spacing w:after="0"/>
        <w:rPr>
          <w:sz w:val="20"/>
          <w:szCs w:val="20"/>
          <w:color w:val="auto"/>
        </w:rPr>
      </w:pPr>
      <w:r>
        <w:rPr>
          <w:rFonts w:ascii="Arial" w:cs="Arial" w:eastAsia="Arial" w:hAnsi="Arial"/>
          <w:sz w:val="28"/>
          <w:szCs w:val="28"/>
          <w:color w:val="auto"/>
          <w:vertAlign w:val="superscript"/>
        </w:rPr>
        <w:t>Our ref</w:t>
      </w:r>
      <w:r>
        <w:rPr>
          <w:rFonts w:ascii="Arial" w:cs="Arial" w:eastAsia="Arial" w:hAnsi="Arial"/>
          <w:sz w:val="18"/>
          <w:szCs w:val="18"/>
          <w:color w:val="auto"/>
        </w:rPr>
        <w:t xml:space="preserve"> 13 June 2025 661725/63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Dear Addressee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Statement on Form S-3 of Weatherford International plc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7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We act as legal advisers to Weatherford International plc,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which has asked us to give this Opinion as to certain matters of Irish law in connection with the filing by the Company (together with Weatherford International Ltd., an exempted company incorporated under the laws of Bermuda (“</w:t>
      </w:r>
      <w:r>
        <w:rPr>
          <w:rFonts w:ascii="Arial" w:cs="Arial" w:eastAsia="Arial" w:hAnsi="Arial"/>
          <w:sz w:val="18"/>
          <w:szCs w:val="18"/>
          <w:b w:val="1"/>
          <w:bCs w:val="1"/>
          <w:color w:val="auto"/>
        </w:rPr>
        <w:t>Weatherford</w:t>
      </w:r>
      <w:r>
        <w:rPr>
          <w:rFonts w:ascii="Arial" w:cs="Arial" w:eastAsia="Arial" w:hAnsi="Arial"/>
          <w:sz w:val="18"/>
          <w:szCs w:val="18"/>
          <w:color w:val="auto"/>
        </w:rPr>
        <w:t xml:space="preserve"> </w:t>
      </w:r>
      <w:r>
        <w:rPr>
          <w:rFonts w:ascii="Arial" w:cs="Arial" w:eastAsia="Arial" w:hAnsi="Arial"/>
          <w:sz w:val="18"/>
          <w:szCs w:val="18"/>
          <w:b w:val="1"/>
          <w:bCs w:val="1"/>
          <w:color w:val="auto"/>
        </w:rPr>
        <w:t>Bermuda</w:t>
      </w:r>
      <w:r>
        <w:rPr>
          <w:rFonts w:ascii="Arial" w:cs="Arial" w:eastAsia="Arial" w:hAnsi="Arial"/>
          <w:sz w:val="18"/>
          <w:szCs w:val="18"/>
          <w:color w:val="auto"/>
        </w:rPr>
        <w:t>”) and Weatherford International, LLC, a limited liability company incorporated under the laws of Delaware (“</w:t>
      </w:r>
      <w:r>
        <w:rPr>
          <w:rFonts w:ascii="Arial" w:cs="Arial" w:eastAsia="Arial" w:hAnsi="Arial"/>
          <w:sz w:val="18"/>
          <w:szCs w:val="18"/>
          <w:b w:val="1"/>
          <w:bCs w:val="1"/>
          <w:color w:val="auto"/>
        </w:rPr>
        <w:t>Weatherford Delaware</w:t>
      </w:r>
      <w:r>
        <w:rPr>
          <w:rFonts w:ascii="Arial" w:cs="Arial" w:eastAsia="Arial" w:hAnsi="Arial"/>
          <w:sz w:val="18"/>
          <w:szCs w:val="18"/>
          <w:color w:val="auto"/>
        </w:rPr>
        <w:t>”, and together with the Company and Weatherford Bermuda, the “</w:t>
      </w:r>
      <w:r>
        <w:rPr>
          <w:rFonts w:ascii="Arial" w:cs="Arial" w:eastAsia="Arial" w:hAnsi="Arial"/>
          <w:sz w:val="18"/>
          <w:szCs w:val="18"/>
          <w:b w:val="1"/>
          <w:bCs w:val="1"/>
          <w:color w:val="auto"/>
        </w:rPr>
        <w:t>Registrants</w:t>
      </w:r>
      <w:r>
        <w:rPr>
          <w:rFonts w:ascii="Arial" w:cs="Arial" w:eastAsia="Arial" w:hAnsi="Arial"/>
          <w:sz w:val="18"/>
          <w:szCs w:val="18"/>
          <w:color w:val="auto"/>
        </w:rPr>
        <w:t>”)) on the date hereof of a registration statement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16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Pursuant to the Registration Statement, the Registrants will register an indeterminate number of the following securities that may be allotted and issued, offered and/or sold together, separately or in any combination by the Registrants, or any of them:</w:t>
      </w:r>
    </w:p>
    <w:p>
      <w:pPr>
        <w:spacing w:after="0" w:line="153" w:lineRule="exact"/>
        <w:rPr>
          <w:sz w:val="20"/>
          <w:szCs w:val="20"/>
          <w:color w:val="auto"/>
        </w:rPr>
      </w:pPr>
    </w:p>
    <w:p>
      <w:pPr>
        <w:ind w:left="1280" w:hanging="634"/>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ordinary shares of $0.001 each (nominal value) in the capital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80" w:hanging="634"/>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options and warrants to purchase Ordinary Shares (“</w:t>
      </w:r>
      <w:r>
        <w:rPr>
          <w:rFonts w:ascii="Arial" w:cs="Arial" w:eastAsia="Arial" w:hAnsi="Arial"/>
          <w:sz w:val="18"/>
          <w:szCs w:val="18"/>
          <w:b w:val="1"/>
          <w:bCs w:val="1"/>
          <w:color w:val="auto"/>
        </w:rPr>
        <w:t>Options and Warrants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471805</wp:posOffset>
            </wp:positionV>
            <wp:extent cx="4766310" cy="1071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4766310" cy="10712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ind w:left="1280" w:hanging="634"/>
        <w:spacing w:after="0" w:line="343" w:lineRule="auto"/>
        <w:tabs>
          <w:tab w:leader="none" w:pos="1271"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share purchase contracts representing obligations on the holders to purchase from the Company and on the Company to sell to the holders a specific number of Ordinary Shares at a future date or dates (“</w:t>
      </w:r>
      <w:r>
        <w:rPr>
          <w:rFonts w:ascii="Arial" w:cs="Arial" w:eastAsia="Arial" w:hAnsi="Arial"/>
          <w:sz w:val="18"/>
          <w:szCs w:val="18"/>
          <w:b w:val="1"/>
          <w:bCs w:val="1"/>
          <w:color w:val="auto"/>
        </w:rPr>
        <w:t>Share Purchase Contracts</w:t>
      </w: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jc w:val="both"/>
        <w:ind w:left="1280" w:hanging="634"/>
        <w:spacing w:after="0" w:line="312" w:lineRule="auto"/>
        <w:tabs>
          <w:tab w:leader="none" w:pos="126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share purchase units consisting of a Share Purchase Contract and either Debt Securities (as defined below) or debt obligations of third parties, including U.S. Treasury securities, securing the holder's obligations to purchase new Ordinary Shares under a Share Purchase Contract (“</w:t>
      </w:r>
      <w:r>
        <w:rPr>
          <w:rFonts w:ascii="Arial" w:cs="Arial" w:eastAsia="Arial" w:hAnsi="Arial"/>
          <w:sz w:val="18"/>
          <w:szCs w:val="18"/>
          <w:b w:val="1"/>
          <w:bCs w:val="1"/>
          <w:color w:val="auto"/>
        </w:rPr>
        <w:t>Share Purchase Units</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left="1280" w:hanging="634"/>
        <w:spacing w:after="0"/>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debt securities, either separately or together, of Weatherford Bermuda and Weatherford Delaware (“</w:t>
      </w:r>
      <w:r>
        <w:rPr>
          <w:rFonts w:ascii="Arial" w:cs="Arial" w:eastAsia="Arial" w:hAnsi="Arial"/>
          <w:sz w:val="18"/>
          <w:szCs w:val="18"/>
          <w:b w:val="1"/>
          <w:bCs w:val="1"/>
          <w:color w:val="auto"/>
        </w:rPr>
        <w:t>Debt Securities</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jc w:val="both"/>
        <w:ind w:left="1280" w:hanging="634"/>
        <w:spacing w:after="0" w:line="312" w:lineRule="auto"/>
        <w:tabs>
          <w:tab w:leader="none" w:pos="127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related guarantees by the Company, Weatherford Bermuda and/or Weatherford Delaware, as the case may be, of Debt Securities (“</w:t>
      </w:r>
      <w:r>
        <w:rPr>
          <w:rFonts w:ascii="Arial" w:cs="Arial" w:eastAsia="Arial" w:hAnsi="Arial"/>
          <w:sz w:val="18"/>
          <w:szCs w:val="18"/>
          <w:b w:val="1"/>
          <w:bCs w:val="1"/>
          <w:color w:val="auto"/>
        </w:rPr>
        <w:t>Guarantees</w:t>
      </w:r>
      <w:r>
        <w:rPr>
          <w:rFonts w:ascii="Arial" w:cs="Arial" w:eastAsia="Arial" w:hAnsi="Arial"/>
          <w:sz w:val="18"/>
          <w:szCs w:val="18"/>
          <w:color w:val="auto"/>
        </w:rPr>
        <w:t>”, and together with Ordinary Shares, Options and Warrants, Share Purchase Contracts, Share Purchase Units and Debt Securities,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Debt Securities will be issued and Guarantees will be provided under a form of indenture to be governed by the laws of the State of New York filed with the Commission as an exhibit to the Registration Statement, which is to be entered into among the Company, Weatherford Bermuda, Weatherford Delaware and Deutsche Bank Trust Company Americas (the “Indenture”), as supplemented, from time to time, by one or more duly authorised, executed and lawful supplemental indenture(s) to the Indenture.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Opinion</w:t>
      </w:r>
    </w:p>
    <w:p>
      <w:pPr>
        <w:spacing w:after="0" w:line="24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 xml:space="preserve">For the purpose of giving this Opinion, we have examined the documents (including the corporate certificate), and have conducted the searches, listed in Schedule 1 </w:t>
      </w:r>
      <w:r>
        <w:rPr>
          <w:rFonts w:ascii="Arial" w:cs="Arial" w:eastAsia="Arial" w:hAnsi="Arial"/>
          <w:sz w:val="18"/>
          <w:szCs w:val="18"/>
          <w:i w:val="1"/>
          <w:iCs w:val="1"/>
          <w:color w:val="auto"/>
        </w:rPr>
        <w:t>(Documents and Searches)</w:t>
      </w:r>
      <w:r>
        <w:rPr>
          <w:rFonts w:ascii="Arial" w:cs="Arial" w:eastAsia="Arial" w:hAnsi="Arial"/>
          <w:sz w:val="18"/>
          <w:szCs w:val="18"/>
          <w:color w:val="auto"/>
        </w:rPr>
        <w:t xml:space="preserve"> to this Opinion, together with such other materials as we have considered necessary or relevant as a basis for the opinions contained herein.</w:t>
      </w:r>
    </w:p>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This Opinion is strictly limited to the matters expressly stated under the heading “Opinions”, below, and is not to be read as extending, by implication or otherwise, to any other matter. In particular, this Opinion does not deal with any tax matter, or the tax consequences of any matter referred to in this Opinion, in the documents or other materials examined by us for the purpose of giving this Opinion, or otherwise. We express no opinion and make no representation or warranty as to any matter of fact.</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have not investigated or verified any of the facts or assumptions, or the reasonableness of any assumptions, statements or opinions contained or represented by any person in the documents or other materials examined by us for the purposes of giving this Opinion, nor have we attempted to determine if any relevant facts have been omitted from such documents or materials.</w:t>
      </w:r>
    </w:p>
    <w:p>
      <w:pPr>
        <w:spacing w:after="0" w:line="175"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This Opinion is given with respect to the laws of Ireland in effect on the date hereof and is based on legislation published and cases fully reported before that date and our knowledge of the facts relevant to the opinions contained herein. For the avoidance of doubt, Ireland does not include Northern Ireland (which is a separate jurisdiction), and references to the laws of Ireland do not include the laws in force in Northern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3" w:right="339" w:bottom="1440" w:gutter="0" w:footer="0" w:header="0"/>
        </w:sectPr>
      </w:pPr>
    </w:p>
    <w:bookmarkStart w:id="154" w:name="page155"/>
    <w:bookmarkEnd w:id="154"/>
    <w:p>
      <w:pPr>
        <w:jc w:val="both"/>
        <w:spacing w:after="0" w:line="29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We have made no investigations of, and we express no opinion on, the laws of any jurisdiction other than Ireland, or the effect thereof. In particular, we have made no investigations of any reference to non-Irish laws in any document or other materials examined by us or the meaning of effect thereof, and any phrases used in any non-Irish law governed document examined by us have been construed by us as having the meaning and effect they would have if such document was governed by Irish law. We have assumed, without enquiry, that there is nothing in the laws of any jurisdiction other than Ireland which would, or might, affect the opinions contained herein, and that, insofar as the laws of any jurisdiction other than Ireland are relevant, such laws have been, or will be, complied with.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expressed as of the date hereof and we assume no obligation to update the opinions contained herein.</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Opinions</w:t>
      </w:r>
    </w:p>
    <w:p>
      <w:pPr>
        <w:spacing w:after="0" w:line="247"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 xml:space="preserve">Based upon, and subject to, the foregoing and the assumptions, qualifications and limitations set out in Schedule 2 </w:t>
      </w:r>
      <w:r>
        <w:rPr>
          <w:rFonts w:ascii="Arial" w:cs="Arial" w:eastAsia="Arial" w:hAnsi="Arial"/>
          <w:sz w:val="18"/>
          <w:szCs w:val="18"/>
          <w:i w:val="1"/>
          <w:iCs w:val="1"/>
          <w:color w:val="auto"/>
        </w:rPr>
        <w:t>(Assumptions)</w:t>
      </w:r>
      <w:r>
        <w:rPr>
          <w:rFonts w:ascii="Arial" w:cs="Arial" w:eastAsia="Arial" w:hAnsi="Arial"/>
          <w:sz w:val="18"/>
          <w:szCs w:val="18"/>
          <w:color w:val="auto"/>
        </w:rPr>
        <w:t xml:space="preserve">, Schedule 3 </w:t>
      </w:r>
      <w:r>
        <w:rPr>
          <w:rFonts w:ascii="Arial" w:cs="Arial" w:eastAsia="Arial" w:hAnsi="Arial"/>
          <w:sz w:val="18"/>
          <w:szCs w:val="18"/>
          <w:i w:val="1"/>
          <w:iCs w:val="1"/>
          <w:color w:val="auto"/>
        </w:rPr>
        <w:t>(Qualifications)</w:t>
      </w:r>
      <w:r>
        <w:rPr>
          <w:rFonts w:ascii="Arial" w:cs="Arial" w:eastAsia="Arial" w:hAnsi="Arial"/>
          <w:sz w:val="18"/>
          <w:szCs w:val="18"/>
          <w:color w:val="auto"/>
        </w:rPr>
        <w:t xml:space="preserve"> and elsewhere in this Opinion, we are of the following opinions:</w:t>
      </w:r>
    </w:p>
    <w:p>
      <w:pPr>
        <w:spacing w:after="0" w:line="139"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and validly existing under the laws of Ireland.</w:t>
      </w:r>
    </w:p>
    <w:p>
      <w:pPr>
        <w:spacing w:after="0" w:line="265" w:lineRule="exact"/>
        <w:rPr>
          <w:rFonts w:ascii="Arial" w:cs="Arial" w:eastAsia="Arial" w:hAnsi="Arial"/>
          <w:sz w:val="18"/>
          <w:szCs w:val="18"/>
          <w:color w:val="auto"/>
        </w:rPr>
      </w:pPr>
    </w:p>
    <w:p>
      <w:pPr>
        <w:jc w:val="both"/>
        <w:ind w:left="640" w:hanging="632"/>
        <w:spacing w:after="0" w:line="294" w:lineRule="auto"/>
        <w:tabs>
          <w:tab w:leader="none" w:pos="6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Ordinary Shares (including any Ordinary Shares which may be issued pursuant to Options and Warrants, Share Purchase Contracts or Share Purchase Units), when allotted and issued in accordance with all necessary corporate action of the Company to authorise same (including a valid resolution of its board of directors or a duly constituted committee thereof) against receipt by the Company of the full consideration payable therefor, will, upon the entry of the name(s) of the relevant allottee(s) in the register of members of the Company as the registered holder(s) thereof (in each case credited as fully paid-up) be validly issued, fully paid-up and non-assessable. “</w:t>
      </w:r>
      <w:r>
        <w:rPr>
          <w:rFonts w:ascii="Arial" w:cs="Arial" w:eastAsia="Arial" w:hAnsi="Arial"/>
          <w:sz w:val="18"/>
          <w:szCs w:val="18"/>
          <w:b w:val="1"/>
          <w:bCs w:val="1"/>
          <w:color w:val="auto"/>
        </w:rPr>
        <w:t>Non-assessable</w:t>
      </w:r>
      <w:r>
        <w:rPr>
          <w:rFonts w:ascii="Arial" w:cs="Arial" w:eastAsia="Arial" w:hAnsi="Arial"/>
          <w:sz w:val="18"/>
          <w:szCs w:val="18"/>
          <w:color w:val="auto"/>
        </w:rPr>
        <w:t>” is a phrase which has no defined meaning under Irish law, but, for the purposes of this Opinion, shall mean the registered holders of such Ordinary Shares are not subject, solely by virtue of their shareholdings, to calls for additional payments of capital on such shares). As a matter of Irish law, a share in an Irish incorporated company is only issued when it has been entered in the register of members of the relevant company.</w:t>
      </w:r>
    </w:p>
    <w:p>
      <w:pPr>
        <w:spacing w:after="0" w:line="188" w:lineRule="exact"/>
        <w:rPr>
          <w:rFonts w:ascii="Arial" w:cs="Arial" w:eastAsia="Arial" w:hAnsi="Arial"/>
          <w:sz w:val="18"/>
          <w:szCs w:val="18"/>
          <w:color w:val="auto"/>
        </w:rPr>
      </w:pPr>
    </w:p>
    <w:p>
      <w:pPr>
        <w:jc w:val="both"/>
        <w:ind w:left="640" w:hanging="632"/>
        <w:spacing w:after="0" w:line="298" w:lineRule="auto"/>
        <w:tabs>
          <w:tab w:leader="none" w:pos="6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has the requisite power under its constitution, subject to it taking all necessary corporate action to authorise same (including a valid resolution of its board of directors or a duly constituted committee thereof), to enter into Share Purchase Contracts and Share Purchase Units, provided that any Debt Securities issued as part of any Share Purchase Units are issued in accordance with the terms of the Indenture, as supplemented, from time to time, by one or more duly authorised, executed and lawful supplemental indenture(s) to the Indenture.</w:t>
      </w:r>
    </w:p>
    <w:p>
      <w:pPr>
        <w:spacing w:after="0" w:line="172" w:lineRule="exact"/>
        <w:rPr>
          <w:rFonts w:ascii="Arial" w:cs="Arial" w:eastAsia="Arial" w:hAnsi="Arial"/>
          <w:sz w:val="18"/>
          <w:szCs w:val="18"/>
          <w:color w:val="auto"/>
        </w:rPr>
      </w:pPr>
    </w:p>
    <w:p>
      <w:pPr>
        <w:jc w:val="both"/>
        <w:ind w:left="640" w:hanging="632"/>
        <w:spacing w:after="0" w:line="308" w:lineRule="auto"/>
        <w:tabs>
          <w:tab w:leader="none" w:pos="6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has the requisite power under its constitution, subject to it taking all necessary corporate action to authorise same (including a valid resolution of its board of directors or a duly constituted committee thereof), to enter into the Indenture and to perform its obligations thereunder, including to give Guarantees on the terms contained in the Indenture,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3" w:right="339" w:bottom="1440" w:gutter="0" w:footer="0" w:header="0"/>
        </w:sectPr>
      </w:pPr>
    </w:p>
    <w:bookmarkStart w:id="155" w:name="page156"/>
    <w:bookmarkEnd w:id="155"/>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supplemented, from time to time, by one or more duly authorised, executed and lawful supplemental indenture(s) to the Indenture.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Reliance</w:t>
      </w:r>
    </w:p>
    <w:p>
      <w:pPr>
        <w:spacing w:after="0" w:line="247"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This Opinion is furnished to you and the persons entitled to rely upon it pursuant to the applicable provisions of the Securities Act strictly for use in connection with the Registration Statement and may not be relied upon by any other person without our prior written consent.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w:t>
      </w:r>
    </w:p>
    <w:p>
      <w:pPr>
        <w:spacing w:after="0" w:line="247"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We hereby consent to the filing of this Opinion as Exhibit 5.2 to the Registration Statement and to the references to Matheson LLP under the caption “Legal Matters” in the prospectus constituting a part of the Registration Statement. In giving such consent, we do not admit that we are included in the category of persons whose consent is required under section 7 of the Securities Act, or the rules and regulations of the Commission promulgated thereunder.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Opinion and the opinions contained herein are governed by, and construed in accordance with, the laws of Ireland.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Matheson LLP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3"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Schedule 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and Searches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the purposes of giving this Opinion, we have examined the documents (including the corporate certificate) and have conducted the searches listed below.</w:t>
      </w:r>
    </w:p>
    <w:p>
      <w:pPr>
        <w:spacing w:after="0" w:line="193"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final form of the Registration Statement to which this Opinion is to be filed as an exhibit.</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final form of Indenture to be filed with the Commission as an exhibit to the Registration Statement.</w:t>
      </w:r>
    </w:p>
    <w:p>
      <w:pPr>
        <w:spacing w:after="0" w:line="265" w:lineRule="exact"/>
        <w:rPr>
          <w:rFonts w:ascii="Arial" w:cs="Arial" w:eastAsia="Arial" w:hAnsi="Arial"/>
          <w:sz w:val="18"/>
          <w:szCs w:val="18"/>
          <w:color w:val="auto"/>
        </w:rPr>
      </w:pPr>
    </w:p>
    <w:p>
      <w:pPr>
        <w:ind w:left="640" w:hanging="632"/>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certificate issued by the secretary of the Company dated the date of this Opinion:</w:t>
      </w:r>
    </w:p>
    <w:p>
      <w:pPr>
        <w:spacing w:after="0" w:line="252" w:lineRule="exact"/>
        <w:rPr>
          <w:rFonts w:ascii="Arial" w:cs="Arial" w:eastAsia="Arial" w:hAnsi="Arial"/>
          <w:sz w:val="18"/>
          <w:szCs w:val="18"/>
          <w:color w:val="auto"/>
        </w:rPr>
      </w:pPr>
    </w:p>
    <w:p>
      <w:pPr>
        <w:ind w:left="1280" w:hanging="634"/>
        <w:spacing w:after="0"/>
        <w:tabs>
          <w:tab w:leader="none" w:pos="12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attaching a copy of each of the following documents certified as being true, complete and correct by the secretary:</w:t>
      </w:r>
    </w:p>
    <w:p>
      <w:pPr>
        <w:spacing w:after="0" w:line="265" w:lineRule="exact"/>
        <w:rPr>
          <w:rFonts w:ascii="Arial" w:cs="Arial" w:eastAsia="Arial" w:hAnsi="Arial"/>
          <w:sz w:val="18"/>
          <w:szCs w:val="18"/>
          <w:color w:val="auto"/>
        </w:rPr>
      </w:pPr>
    </w:p>
    <w:p>
      <w:pPr>
        <w:jc w:val="both"/>
        <w:ind w:left="1920" w:hanging="637"/>
        <w:spacing w:after="0" w:line="312" w:lineRule="auto"/>
        <w:tabs>
          <w:tab w:leader="none" w:pos="191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Company’s certificate of incorporation dated 3 March 2014, certificate of incorporation on change of name dated 20 March 2014 and certificate of incorporation on re-registration as a public limited company dated 29 May 2014 (the “</w:t>
      </w:r>
      <w:r>
        <w:rPr>
          <w:rFonts w:ascii="Arial" w:cs="Arial" w:eastAsia="Arial" w:hAnsi="Arial"/>
          <w:sz w:val="18"/>
          <w:szCs w:val="18"/>
          <w:b w:val="1"/>
          <w:bCs w:val="1"/>
          <w:color w:val="auto"/>
        </w:rPr>
        <w:t>Certificates of Incorporation</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left="1920" w:hanging="637"/>
        <w:spacing w:after="0" w:line="307" w:lineRule="auto"/>
        <w:tabs>
          <w:tab w:leader="none" w:pos="191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memorandum of association of the Company adopted on 10 December 2019 (the “</w:t>
      </w:r>
      <w:r>
        <w:rPr>
          <w:rFonts w:ascii="Arial" w:cs="Arial" w:eastAsia="Arial" w:hAnsi="Arial"/>
          <w:sz w:val="18"/>
          <w:szCs w:val="18"/>
          <w:b w:val="1"/>
          <w:bCs w:val="1"/>
          <w:color w:val="auto"/>
        </w:rPr>
        <w:t>Memorandum of</w:t>
      </w:r>
      <w:r>
        <w:rPr>
          <w:rFonts w:ascii="Arial" w:cs="Arial" w:eastAsia="Arial" w:hAnsi="Arial"/>
          <w:sz w:val="18"/>
          <w:szCs w:val="18"/>
          <w:color w:val="auto"/>
        </w:rPr>
        <w:t xml:space="preserve"> </w:t>
      </w:r>
      <w:r>
        <w:rPr>
          <w:rFonts w:ascii="Arial" w:cs="Arial" w:eastAsia="Arial" w:hAnsi="Arial"/>
          <w:sz w:val="18"/>
          <w:szCs w:val="18"/>
          <w:b w:val="1"/>
          <w:bCs w:val="1"/>
          <w:color w:val="auto"/>
        </w:rPr>
        <w:t>Association</w:t>
      </w:r>
      <w:r>
        <w:rPr>
          <w:rFonts w:ascii="Arial" w:cs="Arial" w:eastAsia="Arial" w:hAnsi="Arial"/>
          <w:sz w:val="18"/>
          <w:szCs w:val="18"/>
          <w:color w:val="auto"/>
        </w:rPr>
        <w:t>”) and the articles of association of the Company adopted on 10 December 2019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 and together with the Certificates of Incorporation and the Memorandum of Association,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Constitutional Documents</w:t>
      </w:r>
      <w:r>
        <w:rPr>
          <w:rFonts w:ascii="Arial" w:cs="Arial" w:eastAsia="Arial" w:hAnsi="Arial"/>
          <w:sz w:val="18"/>
          <w:szCs w:val="18"/>
          <w:color w:val="auto"/>
        </w:rPr>
        <w:t>”); and</w:t>
      </w:r>
    </w:p>
    <w:p>
      <w:pPr>
        <w:spacing w:after="0" w:line="169" w:lineRule="exact"/>
        <w:rPr>
          <w:rFonts w:ascii="Arial" w:cs="Arial" w:eastAsia="Arial" w:hAnsi="Arial"/>
          <w:sz w:val="18"/>
          <w:szCs w:val="18"/>
          <w:color w:val="auto"/>
        </w:rPr>
      </w:pPr>
    </w:p>
    <w:p>
      <w:pPr>
        <w:ind w:left="1920" w:hanging="637"/>
        <w:spacing w:after="0" w:line="327" w:lineRule="auto"/>
        <w:tabs>
          <w:tab w:leader="none" w:pos="1913"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an extract from the minutes of meetings of the board of directors of the Company held on 11 June 2025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w:t>
      </w:r>
      <w:r>
        <w:rPr>
          <w:rFonts w:ascii="Arial" w:cs="Arial" w:eastAsia="Arial" w:hAnsi="Arial"/>
          <w:sz w:val="18"/>
          <w:szCs w:val="18"/>
          <w:b w:val="1"/>
          <w:bCs w:val="1"/>
          <w:color w:val="auto"/>
        </w:rPr>
        <w:t>Minutes</w:t>
      </w:r>
      <w:r>
        <w:rPr>
          <w:rFonts w:ascii="Arial" w:cs="Arial" w:eastAsia="Arial" w:hAnsi="Arial"/>
          <w:sz w:val="18"/>
          <w:szCs w:val="18"/>
          <w:color w:val="auto"/>
        </w:rPr>
        <w:t>”); and</w:t>
      </w:r>
    </w:p>
    <w:p>
      <w:pPr>
        <w:spacing w:after="0" w:line="151" w:lineRule="exact"/>
        <w:rPr>
          <w:rFonts w:ascii="Arial" w:cs="Arial" w:eastAsia="Arial" w:hAnsi="Arial"/>
          <w:sz w:val="18"/>
          <w:szCs w:val="18"/>
          <w:color w:val="auto"/>
        </w:rPr>
      </w:pPr>
    </w:p>
    <w:p>
      <w:pPr>
        <w:ind w:left="1280" w:hanging="634"/>
        <w:spacing w:after="0"/>
        <w:tabs>
          <w:tab w:leader="none" w:pos="12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certifying certain other matters, as set out therein, on which we have relied for the purpose of this Opinion.</w:t>
      </w:r>
    </w:p>
    <w:p>
      <w:pPr>
        <w:spacing w:after="0" w:line="252" w:lineRule="exact"/>
        <w:rPr>
          <w:sz w:val="20"/>
          <w:szCs w:val="20"/>
          <w:color w:val="auto"/>
        </w:rPr>
      </w:pPr>
    </w:p>
    <w:p>
      <w:pPr>
        <w:jc w:val="both"/>
        <w:ind w:left="640" w:hanging="632"/>
        <w:spacing w:after="0" w:line="307" w:lineRule="auto"/>
        <w:tabs>
          <w:tab w:leader="none" w:pos="6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Searches carried out by independent law researchers on our behalf against the Company on 12 June 2025: (a) in the Register of Winding-up Petitions maintained at the Central Office of the High Court of Ireland; (b) in the Judgments’ Office of the High Court of Ireland; and (c) on the file of the Company maintained by the Registrar of Companies at the Irish Companies Registration Office (the “</w:t>
      </w:r>
      <w:r>
        <w:rPr>
          <w:rFonts w:ascii="Arial" w:cs="Arial" w:eastAsia="Arial" w:hAnsi="Arial"/>
          <w:sz w:val="18"/>
          <w:szCs w:val="18"/>
          <w:b w:val="1"/>
          <w:bCs w:val="1"/>
          <w:color w:val="auto"/>
        </w:rPr>
        <w:t>Companies Registration Office</w:t>
      </w:r>
      <w:r>
        <w:rPr>
          <w:rFonts w:ascii="Arial" w:cs="Arial" w:eastAsia="Arial" w:hAnsi="Arial"/>
          <w:sz w:val="18"/>
          <w:szCs w:val="18"/>
          <w:color w:val="auto"/>
        </w:rPr>
        <w:t>”)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85"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Schedule 2</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Assumptions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opinions contained herein are given on the basis of the assumptions set out in this Schedule.</w:t>
      </w:r>
    </w:p>
    <w:p>
      <w:pPr>
        <w:spacing w:after="0" w:line="252" w:lineRule="exact"/>
        <w:rPr>
          <w:sz w:val="20"/>
          <w:szCs w:val="20"/>
          <w:color w:val="auto"/>
        </w:rPr>
      </w:pPr>
    </w:p>
    <w:p>
      <w:pPr>
        <w:ind w:left="640" w:hanging="632"/>
        <w:spacing w:after="0" w:line="334" w:lineRule="auto"/>
        <w:tabs>
          <w:tab w:leader="none" w:pos="6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signatures (including, for the avoidance of doubt, electronic signatures), initials, seals and stamps contained in, or on, any document examined by us are genuine.</w:t>
      </w:r>
    </w:p>
    <w:p>
      <w:pPr>
        <w:spacing w:after="0" w:line="139" w:lineRule="exact"/>
        <w:rPr>
          <w:rFonts w:ascii="Arial" w:cs="Arial" w:eastAsia="Arial" w:hAnsi="Arial"/>
          <w:sz w:val="18"/>
          <w:szCs w:val="18"/>
          <w:color w:val="auto"/>
        </w:rPr>
      </w:pPr>
    </w:p>
    <w:p>
      <w:pPr>
        <w:jc w:val="both"/>
        <w:ind w:left="640" w:hanging="632"/>
        <w:spacing w:after="0" w:line="304" w:lineRule="auto"/>
        <w:tabs>
          <w:tab w:leader="none" w:pos="6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documents provided to us as originals are authentic and complete and all documents provided to us as copies (including, without limitation, any document provided to us as a .pdf (or any other format) attachment to an email) are complete and conform to the originals of such documents, and the originals of such documents are authentic and complete with all requisite seals and stamps affixed.</w:t>
      </w:r>
    </w:p>
    <w:p>
      <w:pPr>
        <w:spacing w:after="0" w:line="166" w:lineRule="exact"/>
        <w:rPr>
          <w:rFonts w:ascii="Arial" w:cs="Arial" w:eastAsia="Arial" w:hAnsi="Arial"/>
          <w:sz w:val="18"/>
          <w:szCs w:val="18"/>
          <w:color w:val="auto"/>
        </w:rPr>
      </w:pPr>
    </w:p>
    <w:p>
      <w:pPr>
        <w:jc w:val="both"/>
        <w:ind w:left="640" w:hanging="632"/>
        <w:spacing w:after="0" w:line="308" w:lineRule="auto"/>
        <w:tabs>
          <w:tab w:leader="none" w:pos="6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contents of the documents (including the corporate certificate), the Searches and any other materials examined by us for the purposes of this Opinion are true and accurate as to factual matters, but we have made no independent investigation regarding such factual matters.</w:t>
      </w:r>
    </w:p>
    <w:p>
      <w:pPr>
        <w:spacing w:after="0" w:line="175" w:lineRule="exact"/>
        <w:rPr>
          <w:rFonts w:ascii="Arial" w:cs="Arial" w:eastAsia="Arial" w:hAnsi="Arial"/>
          <w:sz w:val="18"/>
          <w:szCs w:val="18"/>
          <w:color w:val="auto"/>
        </w:rPr>
      </w:pPr>
    </w:p>
    <w:p>
      <w:pPr>
        <w:ind w:left="640" w:right="20" w:hanging="632"/>
        <w:spacing w:after="0" w:line="334" w:lineRule="auto"/>
        <w:tabs>
          <w:tab w:leader="none" w:pos="6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Indenture will be duly authorised, executed and delivered by all parties thereto in the final form we have examined for the purposes of this Opinion.</w:t>
      </w:r>
    </w:p>
    <w:p>
      <w:pPr>
        <w:spacing w:after="0" w:line="139" w:lineRule="exact"/>
        <w:rPr>
          <w:rFonts w:ascii="Arial" w:cs="Arial" w:eastAsia="Arial" w:hAnsi="Arial"/>
          <w:sz w:val="18"/>
          <w:szCs w:val="18"/>
          <w:color w:val="auto"/>
        </w:rPr>
      </w:pPr>
    </w:p>
    <w:p>
      <w:pPr>
        <w:jc w:val="both"/>
        <w:ind w:left="640" w:hanging="632"/>
        <w:spacing w:after="0" w:line="304" w:lineRule="auto"/>
        <w:tabs>
          <w:tab w:leader="none" w:pos="6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supplemental indenture to the Indenture will be duly authorised, executed and delivered by all parties thereto, and no such supplemental indenture will contain a term or other provision that would render the Indenture or the offer, sale, issue, admission to trading and / or listing of Debt Securities (including Debt Securities the subject of Share Purchase Units) or the giving of Guarantees thereunder unlawful under the constitution of the Company or the laws of any jurisdiction, including Ireland.</w:t>
      </w:r>
    </w:p>
    <w:p>
      <w:pPr>
        <w:spacing w:after="0" w:line="166" w:lineRule="exact"/>
        <w:rPr>
          <w:rFonts w:ascii="Arial" w:cs="Arial" w:eastAsia="Arial" w:hAnsi="Arial"/>
          <w:sz w:val="18"/>
          <w:szCs w:val="18"/>
          <w:color w:val="auto"/>
        </w:rPr>
      </w:pPr>
    </w:p>
    <w:p>
      <w:pPr>
        <w:ind w:left="640" w:hanging="632"/>
        <w:spacing w:after="0" w:line="334" w:lineRule="auto"/>
        <w:tabs>
          <w:tab w:leader="none" w:pos="6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Guarantees and other Securities will conform to the description thereof in the prospectus or any supplemental prospectus forming part of the Registration Statement.</w:t>
      </w:r>
    </w:p>
    <w:p>
      <w:pPr>
        <w:spacing w:after="0" w:line="139" w:lineRule="exact"/>
        <w:rPr>
          <w:rFonts w:ascii="Arial" w:cs="Arial" w:eastAsia="Arial" w:hAnsi="Arial"/>
          <w:sz w:val="18"/>
          <w:szCs w:val="18"/>
          <w:color w:val="auto"/>
        </w:rPr>
      </w:pPr>
    </w:p>
    <w:p>
      <w:pPr>
        <w:ind w:left="640" w:hanging="632"/>
        <w:spacing w:after="0" w:line="334" w:lineRule="auto"/>
        <w:tabs>
          <w:tab w:leader="none" w:pos="6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other documents dated on, or prior to, the date hereof which we have examined for the purposes of this Opinion have not been revoked or amended and remain accurate.</w:t>
      </w:r>
    </w:p>
    <w:p>
      <w:pPr>
        <w:spacing w:after="0" w:line="139" w:lineRule="exact"/>
        <w:rPr>
          <w:rFonts w:ascii="Arial" w:cs="Arial" w:eastAsia="Arial" w:hAnsi="Arial"/>
          <w:sz w:val="18"/>
          <w:szCs w:val="18"/>
          <w:color w:val="auto"/>
        </w:rPr>
      </w:pPr>
    </w:p>
    <w:p>
      <w:pPr>
        <w:ind w:left="640" w:hanging="632"/>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There have been no amendments to the Constitutional Documents,</w:t>
      </w:r>
    </w:p>
    <w:p>
      <w:pPr>
        <w:spacing w:after="0" w:line="265" w:lineRule="exact"/>
        <w:rPr>
          <w:rFonts w:ascii="Arial" w:cs="Arial" w:eastAsia="Arial" w:hAnsi="Arial"/>
          <w:sz w:val="18"/>
          <w:szCs w:val="18"/>
          <w:color w:val="auto"/>
        </w:rPr>
      </w:pPr>
    </w:p>
    <w:p>
      <w:pPr>
        <w:jc w:val="both"/>
        <w:ind w:left="640" w:hanging="632"/>
        <w:spacing w:after="0" w:line="308" w:lineRule="auto"/>
        <w:tabs>
          <w:tab w:leader="none" w:pos="6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resolutions documented in the extract from the Board Minutes were passed at a properly convened, constituted and quorate meeting of the board of directors of the Company, and such resolutions have not, since their date of adoption, been amended, superseded or rescinded and are in full force and effect.</w:t>
      </w:r>
    </w:p>
    <w:p>
      <w:pPr>
        <w:spacing w:after="0" w:line="161" w:lineRule="exact"/>
        <w:rPr>
          <w:rFonts w:ascii="Arial" w:cs="Arial" w:eastAsia="Arial" w:hAnsi="Arial"/>
          <w:sz w:val="18"/>
          <w:szCs w:val="18"/>
          <w:color w:val="auto"/>
        </w:rPr>
      </w:pPr>
    </w:p>
    <w:p>
      <w:pPr>
        <w:jc w:val="both"/>
        <w:ind w:left="640" w:right="20" w:hanging="632"/>
        <w:spacing w:after="0" w:line="308" w:lineRule="auto"/>
        <w:tabs>
          <w:tab w:leader="none" w:pos="63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will derive a commercial benefit from entering into the Indenture, any supplemental indenture to the Indenture and any other document referred to in, or contemplated by, the Registration Statement (including the prospectus and any supplemental prospectus forming part thereof), giving Guarantees and/or allotting and issuing, offering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85" w:right="339" w:bottom="1440" w:gutter="0" w:footer="0" w:header="0"/>
        </w:sectPr>
      </w:pPr>
    </w:p>
    <w:bookmarkStart w:id="158" w:name="page159"/>
    <w:bookmarkEnd w:id="158"/>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or selling any other Securities, in each case commensurate with the obligations undertaken by it.</w:t>
      </w:r>
    </w:p>
    <w:p>
      <w:pPr>
        <w:spacing w:after="0" w:line="266" w:lineRule="exact"/>
        <w:rPr>
          <w:sz w:val="20"/>
          <w:szCs w:val="20"/>
          <w:color w:val="auto"/>
        </w:rPr>
      </w:pPr>
    </w:p>
    <w:p>
      <w:pPr>
        <w:jc w:val="both"/>
        <w:ind w:left="640" w:hanging="632"/>
        <w:spacing w:after="0" w:line="299" w:lineRule="auto"/>
        <w:tabs>
          <w:tab w:leader="none" w:pos="61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Indenture, any supplemental indenture to the Indenture and any other document referred to in, or contemplated by, the Registration Statement (including the prospectus and any supplemental prospectus forming part thereof) will be entered into, all Guarantees will be given and all other Securities will be allotted and issued, offered and/or sold, in each case in good faith in the interests of the Company for the benefit of its members as a whole and for its legitimate business purposes.</w:t>
      </w:r>
    </w:p>
    <w:p>
      <w:pPr>
        <w:spacing w:after="0" w:line="183" w:lineRule="exact"/>
        <w:rPr>
          <w:rFonts w:ascii="Arial" w:cs="Arial" w:eastAsia="Arial" w:hAnsi="Arial"/>
          <w:sz w:val="18"/>
          <w:szCs w:val="18"/>
          <w:color w:val="auto"/>
        </w:rPr>
      </w:pPr>
    </w:p>
    <w:p>
      <w:pPr>
        <w:jc w:val="both"/>
        <w:ind w:left="640" w:hanging="632"/>
        <w:spacing w:after="0" w:line="299" w:lineRule="auto"/>
        <w:tabs>
          <w:tab w:leader="none" w:pos="6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Ordinary Shares will be allotted and issued and no rights to subscribe for, to receive or to convert any securities into, Ordinary Shares (“</w:t>
      </w:r>
      <w:r>
        <w:rPr>
          <w:rFonts w:ascii="Arial" w:cs="Arial" w:eastAsia="Arial" w:hAnsi="Arial"/>
          <w:sz w:val="18"/>
          <w:szCs w:val="18"/>
          <w:b w:val="1"/>
          <w:bCs w:val="1"/>
          <w:color w:val="auto"/>
        </w:rPr>
        <w:t>Rights</w:t>
      </w:r>
      <w:r>
        <w:rPr>
          <w:rFonts w:ascii="Arial" w:cs="Arial" w:eastAsia="Arial" w:hAnsi="Arial"/>
          <w:sz w:val="18"/>
          <w:szCs w:val="18"/>
          <w:color w:val="auto"/>
        </w:rPr>
        <w:t>”, which shall include rights granted pursuant to Options and Warrants, Share Purchase Contracts and Share Purchase Units) will be granted other than pursuant to a valid resolution of the board of directors of the Company or a duly constituted committee thereof.</w:t>
      </w:r>
    </w:p>
    <w:p>
      <w:pPr>
        <w:spacing w:after="0" w:line="183" w:lineRule="exact"/>
        <w:rPr>
          <w:rFonts w:ascii="Arial" w:cs="Arial" w:eastAsia="Arial" w:hAnsi="Arial"/>
          <w:sz w:val="18"/>
          <w:szCs w:val="18"/>
          <w:color w:val="auto"/>
        </w:rPr>
      </w:pPr>
    </w:p>
    <w:p>
      <w:pPr>
        <w:ind w:left="640" w:hanging="632"/>
        <w:spacing w:after="0" w:line="318" w:lineRule="auto"/>
        <w:tabs>
          <w:tab w:leader="none" w:pos="6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 will have received the full consideration payable for any Ordinary Shares prior to, or simultaneous with, their allotment and issue, and no Ordinary Share will be allotted and issued for consideration that is less than its nominal value.</w:t>
      </w:r>
    </w:p>
    <w:p>
      <w:pPr>
        <w:spacing w:after="0" w:line="166"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Ordinary Share will be allotted and issued for consideration that: (a) consists of an undertaking given by any person that he, she or another should do work or perform services for the Company or any other person; (b) includes an undertaking which is to be or may be performed more than five years after the date of the allotment; or (c) is not considered good or adequate at law.</w:t>
      </w:r>
    </w:p>
    <w:p>
      <w:pPr>
        <w:spacing w:after="0" w:line="175"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Ordinary Shares will be allotted or issued fully or partly paid-up otherwise than in cash unless the provisions of sections 1028 to 1030 of the Companies Act 2014 of Ireland, as amended (the “</w:t>
      </w:r>
      <w:r>
        <w:rPr>
          <w:rFonts w:ascii="Arial" w:cs="Arial" w:eastAsia="Arial" w:hAnsi="Arial"/>
          <w:sz w:val="18"/>
          <w:szCs w:val="18"/>
          <w:b w:val="1"/>
          <w:bCs w:val="1"/>
          <w:color w:val="auto"/>
        </w:rPr>
        <w:t>Companies Act</w:t>
      </w:r>
      <w:r>
        <w:rPr>
          <w:rFonts w:ascii="Arial" w:cs="Arial" w:eastAsia="Arial" w:hAnsi="Arial"/>
          <w:sz w:val="18"/>
          <w:szCs w:val="18"/>
          <w:color w:val="auto"/>
        </w:rPr>
        <w:t>”) (which require an independent valuation of the non-cash consideration to be prepared by an expert and circulated to the proposed allottee(s)), are complied with in full.</w:t>
      </w:r>
    </w:p>
    <w:p>
      <w:pPr>
        <w:spacing w:after="0" w:line="161" w:lineRule="exact"/>
        <w:rPr>
          <w:rFonts w:ascii="Arial" w:cs="Arial" w:eastAsia="Arial" w:hAnsi="Arial"/>
          <w:sz w:val="18"/>
          <w:szCs w:val="18"/>
          <w:color w:val="auto"/>
        </w:rPr>
      </w:pPr>
    </w:p>
    <w:p>
      <w:pPr>
        <w:ind w:left="640" w:hanging="632"/>
        <w:spacing w:after="0" w:line="334" w:lineRule="auto"/>
        <w:tabs>
          <w:tab w:leader="none" w:pos="6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the time of the allotment and issue of any Ordinary Shares, the Company will have a sufficient number of unissued ordinary shares in its authorised share capital, being at least equal to the number of Ordinary Shares to be allotted and issued.</w:t>
      </w:r>
    </w:p>
    <w:p>
      <w:pPr>
        <w:spacing w:after="0" w:line="139" w:lineRule="exact"/>
        <w:rPr>
          <w:rFonts w:ascii="Arial" w:cs="Arial" w:eastAsia="Arial" w:hAnsi="Arial"/>
          <w:sz w:val="18"/>
          <w:szCs w:val="18"/>
          <w:color w:val="auto"/>
        </w:rPr>
      </w:pPr>
    </w:p>
    <w:p>
      <w:pPr>
        <w:jc w:val="both"/>
        <w:ind w:left="640" w:hanging="632"/>
        <w:spacing w:after="0" w:line="295" w:lineRule="auto"/>
        <w:tabs>
          <w:tab w:leader="none" w:pos="6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the time of the allotment and issue of any Ordinary Shares or, if earlier, the granting of any Rights, to the extent required: (a) the directors of the Company will, in accordance with section 1021 of the Companies Act, have been either specifically or generally authorised by the members of the Company to allot a sufficient number of “relevant securities” (within the meaning of that section), being at least equal to the number of Ordinary Shares the subject of such allotment and issuance or Rights; and (b) the directors of the Company will, in accordance with section 1023 of the Companies Act, have been either specifically or generally empowered by the members of the Company to allot and issue such Ordinary Shares or grant such Rights in respect thereof as if section 1022(1) of the Companies Act did not apply to such allotment and issuance or the granting of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3" w:right="339" w:bottom="1440" w:gutter="0" w:footer="0" w:header="0"/>
        </w:sectPr>
      </w:pPr>
    </w:p>
    <w:bookmarkStart w:id="159" w:name="page160"/>
    <w:bookmarkEnd w:id="159"/>
    <w:p>
      <w:pPr>
        <w:jc w:val="both"/>
        <w:ind w:left="640" w:right="20" w:hanging="632"/>
        <w:spacing w:after="0" w:line="308" w:lineRule="auto"/>
        <w:tabs>
          <w:tab w:leader="none" w:pos="6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To the extent any Ordinary Shares are being re-allotted off-market from treasury, the maximum and minimum prices of re-issue shall have been determined in advance at a general meeting of the Company in accordance with the requirements of section 1078 of the Companies Act.</w:t>
      </w:r>
    </w:p>
    <w:p>
      <w:pPr>
        <w:spacing w:after="0" w:line="175"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will not give any financial assistance, as contemplated by sections 82 and 1043 of the Companies Act for the purpose of the acquisition of any Ordinary Shares, save as permitted by, or pursuant to an exemption from the application of, the said sections 82 and 1043.</w:t>
      </w:r>
    </w:p>
    <w:p>
      <w:pPr>
        <w:spacing w:after="0" w:line="161"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person to whom Ordinary Shares are allotted and issued will have the due and requisite capacity (and, if relevant, will have taken all necessary corporate action to be authorised) to be allotted and issued Ordinary Shares (including upon the exercise or vesting of Rights) and to be registered in the register of members of the Company as the holder thereof.</w:t>
      </w:r>
    </w:p>
    <w:p>
      <w:pPr>
        <w:spacing w:after="0" w:line="175"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the extent any Ordinary Shares to be allotted and issued are proposed to be issued directly to Cede &amp; Co., as the nominee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the Company will have satisfied all requirements of DTC for acceptance of the Ordinary Shares as eligible for its depository and book entry transfer services.</w:t>
      </w:r>
    </w:p>
    <w:p>
      <w:pPr>
        <w:spacing w:after="0" w:line="161" w:lineRule="exact"/>
        <w:rPr>
          <w:rFonts w:ascii="Arial" w:cs="Arial" w:eastAsia="Arial" w:hAnsi="Arial"/>
          <w:sz w:val="18"/>
          <w:szCs w:val="18"/>
          <w:color w:val="auto"/>
        </w:rPr>
      </w:pPr>
    </w:p>
    <w:p>
      <w:pPr>
        <w:jc w:val="both"/>
        <w:ind w:left="640" w:hanging="632"/>
        <w:spacing w:after="0" w:line="304" w:lineRule="auto"/>
        <w:tabs>
          <w:tab w:leader="none" w:pos="6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together with any other entity whose obligations are guaranteed by it under the Indenture or any supplemental indenture to the Indenture together comprise a “group” for the purposes of section 243 of the Companies Act and any person that subsequently becomes an issuer or a guarantor under the Indenture or any such supplemental indenture will also be a member of such group.</w:t>
      </w:r>
    </w:p>
    <w:p>
      <w:pPr>
        <w:spacing w:after="0" w:line="179" w:lineRule="exact"/>
        <w:rPr>
          <w:rFonts w:ascii="Arial" w:cs="Arial" w:eastAsia="Arial" w:hAnsi="Arial"/>
          <w:sz w:val="18"/>
          <w:szCs w:val="18"/>
          <w:color w:val="auto"/>
        </w:rPr>
      </w:pPr>
    </w:p>
    <w:p>
      <w:pPr>
        <w:jc w:val="both"/>
        <w:ind w:left="640" w:hanging="632"/>
        <w:spacing w:after="0" w:line="295" w:lineRule="auto"/>
        <w:tabs>
          <w:tab w:leader="none" w:pos="6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obligations expressed to be assumed by each party to the Indenture, will upon the Indenture being authorised, executed and delivered, constitute legal, valid, binding and enforceable obligations under all applicable laws and in all applicable jurisdictions (other than, in the case of the Company, the laws of Ireland and the jurisdiction of Ireland) and any obligations expressed to be assumed by each party to any supplemental indenture to the Indenture and any other document referred to in, or contemplated by, the Registration Statement (including the prospectus and any supplemental prospectus forming part thereof) will, upon such supplemental indenture being authorised, executed and delivered, constitute legal, valid, binding and enforceable obligations under all applicable laws and in all applicable jurisdictions (including the laws of Ireland and the jurisdiction of Ireland).</w:t>
      </w:r>
    </w:p>
    <w:p>
      <w:pPr>
        <w:spacing w:after="0" w:line="176" w:lineRule="exact"/>
        <w:rPr>
          <w:rFonts w:ascii="Arial" w:cs="Arial" w:eastAsia="Arial" w:hAnsi="Arial"/>
          <w:sz w:val="18"/>
          <w:szCs w:val="18"/>
          <w:color w:val="auto"/>
        </w:rPr>
      </w:pPr>
    </w:p>
    <w:p>
      <w:pPr>
        <w:jc w:val="both"/>
        <w:ind w:left="640" w:hanging="632"/>
        <w:spacing w:after="0" w:line="304" w:lineRule="auto"/>
        <w:tabs>
          <w:tab w:leader="none" w:pos="6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any obligation of any of the parties under the Indenture, any supplemental indenture to the Indenture or any other document referred to in, or contemplated by, the Registration Statement (including the prospectus and any supplemental prospectus forming part thereof) is to be performed in any jurisdiction other than Ireland, its performance will not be illegal or ineffective by virtue of the law of that jurisdiction.</w:t>
      </w:r>
    </w:p>
    <w:p>
      <w:pPr>
        <w:spacing w:after="0" w:line="166"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There are no provisions of the laws or public policy of any jurisdiction outside Ireland which would be contravened by the execution or performance of the Indenture, any supplemental indenture to the Indenture or any other document referred to in, or contemplated by, the Registration Statement (including the prospectus and any supplemental prospectus 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3" w:right="339" w:bottom="1440" w:gutter="0" w:footer="0" w:header="0"/>
        </w:sectPr>
      </w:pPr>
    </w:p>
    <w:bookmarkStart w:id="160" w:name="page161"/>
    <w:bookmarkEnd w:id="160"/>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part thereof) or which would render their performance ineffective by virtue of the laws of that jurisdiction.</w:t>
      </w:r>
    </w:p>
    <w:p>
      <w:pPr>
        <w:spacing w:after="0" w:line="266" w:lineRule="exact"/>
        <w:rPr>
          <w:sz w:val="20"/>
          <w:szCs w:val="20"/>
          <w:color w:val="auto"/>
        </w:rPr>
      </w:pPr>
    </w:p>
    <w:p>
      <w:pPr>
        <w:jc w:val="both"/>
        <w:ind w:left="640" w:hanging="632"/>
        <w:spacing w:after="0" w:line="298" w:lineRule="auto"/>
        <w:tabs>
          <w:tab w:leader="none" w:pos="6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authorisations, approvals, licences, exemptions or consents of governmental or regulatory authorities, including Ireland, with respect to the transactions contemplated by the Registration Statement (including the prospectus and any supplemental prospectus forming part thereof), the giving of Guarantees and/or the allotment and issue, offer and/or sale of any other Securities have been, or will be, obtained and are, or will be, in full force and effect, and the selling restrictions contained in the Registration Statement (including the prospectus and any supplemental prospectus forming part thereof) have been and will, at all times, be observed.</w:t>
      </w:r>
    </w:p>
    <w:p>
      <w:pPr>
        <w:spacing w:after="0" w:line="172" w:lineRule="exact"/>
        <w:rPr>
          <w:rFonts w:ascii="Arial" w:cs="Arial" w:eastAsia="Arial" w:hAnsi="Arial"/>
          <w:sz w:val="18"/>
          <w:szCs w:val="18"/>
          <w:color w:val="auto"/>
        </w:rPr>
      </w:pPr>
    </w:p>
    <w:p>
      <w:pPr>
        <w:jc w:val="both"/>
        <w:ind w:left="640" w:hanging="632"/>
        <w:spacing w:after="0" w:line="298" w:lineRule="auto"/>
        <w:tabs>
          <w:tab w:leader="none" w:pos="6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allotment and issue, offer and/or sale (including the marketing) of any Securities will be made, effected and conducted in accordance with and will not otherwise violate: (a) any applicable securities laws and regulations of any jurisdiction (including the jurisdiction of Ireland) which impose any restrictions or mandatory requirements in relation to the offering or sale of any Securities to the public, including the obligation to prepare a prospectus or registration document relating to any Securities; and (b) any requirement or restriction imposed by any court, governmental body or regulatory authority having jurisdiction over the Company or the members of its group.</w:t>
      </w:r>
    </w:p>
    <w:p>
      <w:pPr>
        <w:spacing w:after="0" w:line="172" w:lineRule="exact"/>
        <w:rPr>
          <w:rFonts w:ascii="Arial" w:cs="Arial" w:eastAsia="Arial" w:hAnsi="Arial"/>
          <w:sz w:val="18"/>
          <w:szCs w:val="18"/>
          <w:color w:val="auto"/>
        </w:rPr>
      </w:pPr>
    </w:p>
    <w:p>
      <w:pPr>
        <w:jc w:val="both"/>
        <w:ind w:left="640" w:hanging="632"/>
        <w:spacing w:after="0" w:line="298" w:lineRule="auto"/>
        <w:tabs>
          <w:tab w:leader="none" w:pos="6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allotment and issue, offer and sale of any Securities and any transfers and payments to be made thereunder or in connection therewith (including pursuant to the Indenture and/or any supplemental indenture to the Indenture) are not, and will not be, affected or prohibited by any financial restrictions or sanctions imposed by the United Nations, the European Union or Ireland or which arise under any human rights, anti-terrorism, anti-corruption, anti-money laundering or exchange control laws and regulations of the European Union or Ireland, including, without limitation, any arising from orders made under the Financial Transfers Act 1992 of Ireland, the Criminal Justice (Terrorist Offences) Acts 2005 and 2015 of Ireland or the Criminal Justice (Money Laundering and Terrorist Financing) Acts 2010 to 2021 of Ireland.</w:t>
      </w:r>
    </w:p>
    <w:p>
      <w:pPr>
        <w:spacing w:after="0" w:line="171" w:lineRule="exact"/>
        <w:rPr>
          <w:rFonts w:ascii="Arial" w:cs="Arial" w:eastAsia="Arial" w:hAnsi="Arial"/>
          <w:sz w:val="18"/>
          <w:szCs w:val="18"/>
          <w:color w:val="auto"/>
        </w:rPr>
      </w:pPr>
    </w:p>
    <w:p>
      <w:pPr>
        <w:jc w:val="both"/>
        <w:ind w:left="640" w:hanging="632"/>
        <w:spacing w:after="0" w:line="298" w:lineRule="auto"/>
        <w:tabs>
          <w:tab w:leader="none" w:pos="6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information disclosed by the Searches was accurate and complete as of the date the Searches were made and has not been altered, the Searches did not fail to disclose any information which had been delivered for registration but which did not appear from the information available at the time the Searches were made or which ought to have been delivered for registration at that time but had not been so delivered and no additional matters would have been disclosed by additional searches being carried out since that time.</w:t>
      </w:r>
    </w:p>
    <w:p>
      <w:pPr>
        <w:spacing w:after="0" w:line="186"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is at the date hereof, and will be at the time of and immediately following: (a) the execution and delivery of the Indenture or any supplemental indenture to the Indenture; (b) the giving of any Guarantee; and (c) the allotment and issue, offer or sale of any other Securities, solvent.</w:t>
      </w:r>
    </w:p>
    <w:p>
      <w:pPr>
        <w:spacing w:after="0" w:line="161" w:lineRule="exact"/>
        <w:rPr>
          <w:rFonts w:ascii="Arial" w:cs="Arial" w:eastAsia="Arial" w:hAnsi="Arial"/>
          <w:sz w:val="18"/>
          <w:szCs w:val="18"/>
          <w:color w:val="auto"/>
        </w:rPr>
      </w:pPr>
    </w:p>
    <w:p>
      <w:pPr>
        <w:jc w:val="both"/>
        <w:ind w:left="640" w:hanging="632"/>
        <w:spacing w:after="0" w:line="304" w:lineRule="auto"/>
        <w:tabs>
          <w:tab w:leader="none" w:pos="6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will not be insolvent as a consequence of: (a) executing and delivering the Indenture or any supplemental indenture to the Indenture; (b) giving any Guarantee; (c) allotting and issuing, offering and/or selling any other Securities; and/or (d) doing any other act or thing referred to in, or contemplated by, the Registration Statement (including the prospectus and any supplemental prospectus forming 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3" w:right="339" w:bottom="1440" w:gutter="0" w:footer="0" w:header="0"/>
        </w:sectPr>
      </w:pPr>
    </w:p>
    <w:bookmarkStart w:id="161" w:name="page162"/>
    <w:bookmarkEnd w:id="161"/>
    <w:p>
      <w:pPr>
        <w:jc w:val="both"/>
        <w:ind w:left="632" w:hanging="632"/>
        <w:spacing w:after="0" w:line="298" w:lineRule="auto"/>
        <w:tabs>
          <w:tab w:leader="none" w:pos="622"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The Company has not at the date hereof, and will not have at the time of and immediately prior to: (a) the execution and delivery of the Indenture or any supplemental indenture to the Indenture; (b) the giving of any Guarantee; and (c) the allotment and issue, offer or sale of any other Securities, passed a voluntary winding-up resolution or a resolution to place the Company under court protection or to appoint a process adviser, and no petition has or will have been presented to, or order has or will have been made by, a court for the winding-up of the Company or to place the Company under court protection or for the appointment of a process adviser.</w:t>
      </w:r>
    </w:p>
    <w:p>
      <w:pPr>
        <w:spacing w:after="0" w:line="186" w:lineRule="exact"/>
        <w:rPr>
          <w:rFonts w:ascii="Arial" w:cs="Arial" w:eastAsia="Arial" w:hAnsi="Arial"/>
          <w:sz w:val="18"/>
          <w:szCs w:val="18"/>
          <w:color w:val="auto"/>
        </w:rPr>
      </w:pPr>
    </w:p>
    <w:p>
      <w:pPr>
        <w:jc w:val="both"/>
        <w:ind w:left="632" w:hanging="632"/>
        <w:spacing w:after="0" w:line="308" w:lineRule="auto"/>
        <w:tabs>
          <w:tab w:leader="none" w:pos="62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approving the giving of any Guarantee or the allotment and issue, offer or sale of any other Securities, there shall be no intent by the Company to give a creditor a preference which could be deemed an unfair preference in accordance with section 604 of the Companies Act.</w:t>
      </w:r>
    </w:p>
    <w:p>
      <w:pPr>
        <w:spacing w:after="0" w:line="161" w:lineRule="exact"/>
        <w:rPr>
          <w:rFonts w:ascii="Arial" w:cs="Arial" w:eastAsia="Arial" w:hAnsi="Arial"/>
          <w:sz w:val="18"/>
          <w:szCs w:val="18"/>
          <w:color w:val="auto"/>
        </w:rPr>
      </w:pPr>
    </w:p>
    <w:p>
      <w:pPr>
        <w:ind w:left="632" w:right="20" w:hanging="632"/>
        <w:spacing w:after="0" w:line="334" w:lineRule="auto"/>
        <w:tabs>
          <w:tab w:leader="none" w:pos="62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absence of fraud and the presence of good faith on the part of all parties to any document we have examined for the purposes of this Opinion and their respective officers, employees, agents and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32"/>
          </w:cols>
          <w:pgMar w:left="328" w:top="1403" w:right="3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Schedule 3</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opinions contained herein are given subject to the qualifications set out in this Schedule.</w:t>
      </w:r>
    </w:p>
    <w:p>
      <w:pPr>
        <w:spacing w:after="0" w:line="252" w:lineRule="exact"/>
        <w:rPr>
          <w:sz w:val="20"/>
          <w:szCs w:val="20"/>
          <w:color w:val="auto"/>
        </w:rPr>
      </w:pPr>
    </w:p>
    <w:p>
      <w:pPr>
        <w:ind w:left="640" w:hanging="632"/>
        <w:spacing w:after="0" w:line="334" w:lineRule="auto"/>
        <w:tabs>
          <w:tab w:leader="none" w:pos="63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search in the Companies Registration Office will not reveal whether a petition has been presented to the Irish courts for the appointment of a liquidator or an examiner.</w:t>
      </w:r>
    </w:p>
    <w:p>
      <w:pPr>
        <w:spacing w:after="0" w:line="139" w:lineRule="exact"/>
        <w:rPr>
          <w:rFonts w:ascii="Arial" w:cs="Arial" w:eastAsia="Arial" w:hAnsi="Arial"/>
          <w:sz w:val="18"/>
          <w:szCs w:val="18"/>
          <w:color w:val="auto"/>
        </w:rPr>
      </w:pPr>
    </w:p>
    <w:p>
      <w:pPr>
        <w:jc w:val="both"/>
        <w:ind w:left="640" w:hanging="632"/>
        <w:spacing w:after="0" w:line="298" w:lineRule="auto"/>
        <w:tabs>
          <w:tab w:leader="none" w:pos="63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search of the Register of Winding-up Petitions should reveal the existence of a petition for the appointment of a liquidator or an examiner but there may be a time lag between presentation and entry of particulars of the petition on the Register of Winding-up Petitions and accordingly a search of the Register of Winding-up Petitions may fail to reveal that any such petition has been presented. Furthermore in the case of certain smaller companies a petition for the appointment of an examiner may be presented to the Circuit Court and a search of the Register of Winding-up Petitions will not reveal the existence of such a petition.</w:t>
      </w:r>
    </w:p>
    <w:p>
      <w:pPr>
        <w:spacing w:after="0" w:line="186" w:lineRule="exact"/>
        <w:rPr>
          <w:rFonts w:ascii="Arial" w:cs="Arial" w:eastAsia="Arial" w:hAnsi="Arial"/>
          <w:sz w:val="18"/>
          <w:szCs w:val="18"/>
          <w:color w:val="auto"/>
        </w:rPr>
      </w:pPr>
    </w:p>
    <w:p>
      <w:pPr>
        <w:jc w:val="both"/>
        <w:ind w:left="640" w:hanging="632"/>
        <w:spacing w:after="0" w:line="304" w:lineRule="auto"/>
        <w:tabs>
          <w:tab w:leader="none" w:pos="63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search in the Companies Registration Office should reveal the appointment of a liquidator, examiner, process adviser or receiver (whether by the Irish courts or, in the case of a liquidator, process adviser or a receiver, out of court). However, similarly there may be a time lag between the appointment and the filing of particulars of the appointment and accordingly a search in the Companies Registration Office may fail to reveal any such appointment.</w:t>
      </w:r>
    </w:p>
    <w:p>
      <w:pPr>
        <w:spacing w:after="0" w:line="166" w:lineRule="exact"/>
        <w:rPr>
          <w:rFonts w:ascii="Arial" w:cs="Arial" w:eastAsia="Arial" w:hAnsi="Arial"/>
          <w:sz w:val="18"/>
          <w:szCs w:val="18"/>
          <w:color w:val="auto"/>
        </w:rPr>
      </w:pPr>
    </w:p>
    <w:p>
      <w:pPr>
        <w:jc w:val="both"/>
        <w:ind w:left="640" w:right="20" w:hanging="632"/>
        <w:spacing w:after="0" w:line="308" w:lineRule="auto"/>
        <w:tabs>
          <w:tab w:leader="none" w:pos="63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expressions </w:t>
      </w:r>
      <w:r>
        <w:rPr>
          <w:rFonts w:ascii="Arial" w:cs="Arial" w:eastAsia="Arial" w:hAnsi="Arial"/>
          <w:sz w:val="18"/>
          <w:szCs w:val="18"/>
          <w:i w:val="1"/>
          <w:iCs w:val="1"/>
          <w:color w:val="auto"/>
        </w:rPr>
        <w:t>“valid”</w:t>
      </w:r>
      <w:r>
        <w:rPr>
          <w:rFonts w:ascii="Arial" w:cs="Arial" w:eastAsia="Arial" w:hAnsi="Arial"/>
          <w:sz w:val="18"/>
          <w:szCs w:val="18"/>
          <w:color w:val="auto"/>
        </w:rPr>
        <w:t xml:space="preserve">, </w:t>
      </w:r>
      <w:r>
        <w:rPr>
          <w:rFonts w:ascii="Arial" w:cs="Arial" w:eastAsia="Arial" w:hAnsi="Arial"/>
          <w:sz w:val="18"/>
          <w:szCs w:val="18"/>
          <w:i w:val="1"/>
          <w:iCs w:val="1"/>
          <w:color w:val="auto"/>
        </w:rPr>
        <w:t>“binding</w:t>
      </w:r>
      <w:r>
        <w:rPr>
          <w:rFonts w:ascii="Arial" w:cs="Arial" w:eastAsia="Arial" w:hAnsi="Arial"/>
          <w:sz w:val="18"/>
          <w:szCs w:val="18"/>
          <w:color w:val="auto"/>
        </w:rPr>
        <w:t xml:space="preserve"> and </w:t>
      </w:r>
      <w:r>
        <w:rPr>
          <w:rFonts w:ascii="Arial" w:cs="Arial" w:eastAsia="Arial" w:hAnsi="Arial"/>
          <w:sz w:val="18"/>
          <w:szCs w:val="18"/>
          <w:i w:val="1"/>
          <w:iCs w:val="1"/>
          <w:color w:val="auto"/>
        </w:rPr>
        <w:t>“enforceable”</w:t>
      </w:r>
      <w:r>
        <w:rPr>
          <w:rFonts w:ascii="Arial" w:cs="Arial" w:eastAsia="Arial" w:hAnsi="Arial"/>
          <w:sz w:val="18"/>
          <w:szCs w:val="18"/>
          <w:color w:val="auto"/>
        </w:rPr>
        <w:t xml:space="preserve"> when used in this Opinion mean that the obligations expressed to be assumed are of a type which the courts of Ireland will treat as valid and binding. It does not mean that these obligations will necessarily be enforced in all circumstances in accordance with their terms. In particular, enforcement of obligations may be:</w:t>
      </w:r>
    </w:p>
    <w:p>
      <w:pPr>
        <w:spacing w:after="0" w:line="175" w:lineRule="exact"/>
        <w:rPr>
          <w:rFonts w:ascii="Arial" w:cs="Arial" w:eastAsia="Arial" w:hAnsi="Arial"/>
          <w:sz w:val="18"/>
          <w:szCs w:val="18"/>
          <w:color w:val="auto"/>
        </w:rPr>
      </w:pPr>
    </w:p>
    <w:p>
      <w:pPr>
        <w:ind w:left="1280" w:right="20" w:hanging="634"/>
        <w:spacing w:after="0" w:line="318" w:lineRule="auto"/>
        <w:tabs>
          <w:tab w:leader="none" w:pos="126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limited by general principles of equity, in particular, equitable remedies (such as an order for specific performance or an injunction) which are discretionary and are not available where damages are considered to be an adequate remedy;</w:t>
      </w:r>
    </w:p>
    <w:p>
      <w:pPr>
        <w:spacing w:after="0" w:line="166" w:lineRule="exact"/>
        <w:rPr>
          <w:rFonts w:ascii="Arial" w:cs="Arial" w:eastAsia="Arial" w:hAnsi="Arial"/>
          <w:sz w:val="18"/>
          <w:szCs w:val="18"/>
          <w:color w:val="auto"/>
        </w:rPr>
      </w:pPr>
    </w:p>
    <w:p>
      <w:pPr>
        <w:ind w:left="1280" w:hanging="634"/>
        <w:spacing w:after="0" w:line="318" w:lineRule="auto"/>
        <w:tabs>
          <w:tab w:leader="none" w:pos="126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subject to any limitations arising from examinership, administration, bankruptcy, insolvency, moratoria, receivership, liquidation, reorganisation, court scheme of arrangement, arrangement and similar laws affecting the rights of creditors;</w:t>
      </w:r>
    </w:p>
    <w:p>
      <w:pPr>
        <w:spacing w:after="0" w:line="166" w:lineRule="exact"/>
        <w:rPr>
          <w:rFonts w:ascii="Arial" w:cs="Arial" w:eastAsia="Arial" w:hAnsi="Arial"/>
          <w:sz w:val="18"/>
          <w:szCs w:val="18"/>
          <w:color w:val="auto"/>
        </w:rPr>
      </w:pPr>
    </w:p>
    <w:p>
      <w:pPr>
        <w:ind w:left="1280" w:right="20" w:hanging="634"/>
        <w:spacing w:after="0" w:line="318" w:lineRule="auto"/>
        <w:tabs>
          <w:tab w:leader="none" w:pos="127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limited by the provisions of the law of Ireland applicable to contracts held to have been frustrated by events happening after their execution;</w:t>
      </w:r>
    </w:p>
    <w:p>
      <w:pPr>
        <w:spacing w:after="0" w:line="166" w:lineRule="exact"/>
        <w:rPr>
          <w:rFonts w:ascii="Arial" w:cs="Arial" w:eastAsia="Arial" w:hAnsi="Arial"/>
          <w:sz w:val="18"/>
          <w:szCs w:val="18"/>
          <w:color w:val="auto"/>
        </w:rPr>
      </w:pPr>
    </w:p>
    <w:p>
      <w:pPr>
        <w:ind w:left="1280" w:hanging="634"/>
        <w:spacing w:after="0" w:line="318" w:lineRule="auto"/>
        <w:tabs>
          <w:tab w:leader="none" w:pos="126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invalidated if and to the extent that performance or observance arising in a jurisdiction outside Ireland would be unlawful, unenforceable, or contrary to public policy or to the exchange control regulations under the law of such jurisdiction;</w:t>
      </w:r>
    </w:p>
    <w:p>
      <w:pPr>
        <w:spacing w:after="0" w:line="166" w:lineRule="exact"/>
        <w:rPr>
          <w:rFonts w:ascii="Arial" w:cs="Arial" w:eastAsia="Arial" w:hAnsi="Arial"/>
          <w:sz w:val="18"/>
          <w:szCs w:val="18"/>
          <w:color w:val="auto"/>
        </w:rPr>
      </w:pPr>
    </w:p>
    <w:p>
      <w:pPr>
        <w:ind w:left="1280" w:hanging="634"/>
        <w:spacing w:after="0"/>
        <w:tabs>
          <w:tab w:leader="none" w:pos="12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invalidated by reason of fraud; and/or</w:t>
      </w:r>
    </w:p>
    <w:p>
      <w:pPr>
        <w:spacing w:after="0" w:line="252" w:lineRule="exact"/>
        <w:rPr>
          <w:rFonts w:ascii="Arial" w:cs="Arial" w:eastAsia="Arial" w:hAnsi="Arial"/>
          <w:sz w:val="18"/>
          <w:szCs w:val="18"/>
          <w:color w:val="auto"/>
        </w:rPr>
      </w:pPr>
    </w:p>
    <w:p>
      <w:pPr>
        <w:ind w:left="1280" w:hanging="634"/>
        <w:spacing w:after="0"/>
        <w:tabs>
          <w:tab w:leader="none" w:pos="12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barred under the Statutes of Limitations of Ireland or may be or become subject to the defence of set-off or counterclaim.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85" w:right="339" w:bottom="1440" w:gutter="0" w:footer="0" w:header="0"/>
        </w:sectPr>
      </w:pPr>
    </w:p>
    <w:bookmarkStart w:id="163" w:name="page164"/>
    <w:bookmarkEnd w:id="163"/>
    <w:p>
      <w:pPr>
        <w:jc w:val="both"/>
        <w:ind w:left="640" w:hanging="632"/>
        <w:spacing w:after="0" w:line="294" w:lineRule="auto"/>
        <w:tabs>
          <w:tab w:leader="none" w:pos="6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The Companies Act prohibits certain steps being taken, except with the leave of the court, against a company after the presentation of a petition for the appointment of an examiner. This prohibition continues for so long as the examiner remains appointed. An examiner may remain appointed for a maximum period of one hundred days during which time the examiner must complete a report to formulate proposals for a compromise or scheme of arrangement in relation to the company concerned. Following the submission of this report to the court, the court may extend the period of appointment by such further period as the court considers necessary to enable it to take a decision as to whether it confirms the proposals set forth by the examiner. Prohibited steps include steps taken to withhold performance of, terminate or accelerate any executory contract solely by reason of the making of a petition to appoint, or the appointment of, an examiner or because the company is unable to pay its debts, steps taken to enforce any security over a company’s property, the commencement or continuation of proceedings or execution or other legal process or the levying of distress against the company or its property and the appointment of a receiver.</w:t>
      </w:r>
    </w:p>
    <w:p>
      <w:pPr>
        <w:spacing w:after="0" w:line="177" w:lineRule="exact"/>
        <w:rPr>
          <w:rFonts w:ascii="Arial" w:cs="Arial" w:eastAsia="Arial" w:hAnsi="Arial"/>
          <w:sz w:val="18"/>
          <w:szCs w:val="18"/>
          <w:color w:val="auto"/>
        </w:rPr>
      </w:pPr>
    </w:p>
    <w:p>
      <w:pPr>
        <w:jc w:val="both"/>
        <w:ind w:left="640" w:hanging="632"/>
        <w:spacing w:after="0" w:line="304" w:lineRule="auto"/>
        <w:tabs>
          <w:tab w:leader="none" w:pos="6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Under the provisions of the Companies Act, an examiner can be appointed on a petition to the Circuit Court if certain criteria are met. It is not possible for anyone other than a party to the relevant proceedings or the solicitors on record for such parties to inspect the Circuit Court files to ascertain whether a petition for the appointment of an examiner has been made in the Circuit Court, and we have made no searches or enquiries in this regard in respect of the Company.</w:t>
      </w:r>
    </w:p>
    <w:p>
      <w:pPr>
        <w:spacing w:after="0" w:line="179" w:lineRule="exact"/>
        <w:rPr>
          <w:rFonts w:ascii="Arial" w:cs="Arial" w:eastAsia="Arial" w:hAnsi="Arial"/>
          <w:sz w:val="18"/>
          <w:szCs w:val="18"/>
          <w:color w:val="auto"/>
        </w:rPr>
      </w:pPr>
    </w:p>
    <w:p>
      <w:pPr>
        <w:jc w:val="both"/>
        <w:ind w:left="640" w:hanging="632"/>
        <w:spacing w:after="0" w:line="298" w:lineRule="auto"/>
        <w:tabs>
          <w:tab w:leader="none" w:pos="6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contractual provision conferring or imposing a remedy or an obligation consequent upon default may not be enforceable if it were construed by an Irish court as being a penalty, particularly if it involves enforcing an additional pecuniary remedy (such as a default or overdue interest) referable to such default and which does not constitute a genuine and reasonable pre-estimate of the damage likely to be suffered as a result of the default in payment of the amount in question or the termination in question; further, recovery may be limited by laws requiring mitigation of loss suffered.</w:t>
      </w:r>
    </w:p>
    <w:p>
      <w:pPr>
        <w:spacing w:after="0" w:line="172" w:lineRule="exact"/>
        <w:rPr>
          <w:rFonts w:ascii="Arial" w:cs="Arial" w:eastAsia="Arial" w:hAnsi="Arial"/>
          <w:sz w:val="18"/>
          <w:szCs w:val="18"/>
          <w:color w:val="auto"/>
        </w:rPr>
      </w:pPr>
    </w:p>
    <w:p>
      <w:pPr>
        <w:ind w:left="640" w:hanging="632"/>
        <w:spacing w:after="0" w:line="334" w:lineRule="auto"/>
        <w:tabs>
          <w:tab w:leader="none" w:pos="6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Irish court may not give effect to an indemnity given by any party to an agreement to the extent it is in respect of legal costs incurred by an unsuccessful litigant or to the extent that it is in respect of litigation costs which are not awarded by the court.</w:t>
      </w:r>
    </w:p>
    <w:p>
      <w:pPr>
        <w:spacing w:after="0" w:line="139" w:lineRule="exact"/>
        <w:rPr>
          <w:rFonts w:ascii="Arial" w:cs="Arial" w:eastAsia="Arial" w:hAnsi="Arial"/>
          <w:sz w:val="18"/>
          <w:szCs w:val="18"/>
          <w:color w:val="auto"/>
        </w:rPr>
      </w:pPr>
    </w:p>
    <w:p>
      <w:pPr>
        <w:jc w:val="both"/>
        <w:ind w:left="640" w:hanging="632"/>
        <w:spacing w:after="0" w:line="298" w:lineRule="auto"/>
        <w:tabs>
          <w:tab w:leader="none" w:pos="6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event of any proceedings being brought in an Irish court in respect of a monetary obligation expressed to be payable in a currency other than euro, an Irish court would have the power to give a judgment to pay a currency other than euro but may decline to do so in its discretion and an Irish court might not enforce the benefit of currency conversion or indemnity clauses and, with respect to a bankruptcy, liquidation, insolvency, reorganisation or similar proceeding, the laws of Ireland may require that all claims or debts be converted into euro at an exchange rate determined by the court as at a date related thereto, such as the date of commencement of a winding-up.</w:t>
      </w:r>
    </w:p>
    <w:p>
      <w:pPr>
        <w:spacing w:after="0" w:line="172" w:lineRule="exact"/>
        <w:rPr>
          <w:rFonts w:ascii="Arial" w:cs="Arial" w:eastAsia="Arial" w:hAnsi="Arial"/>
          <w:sz w:val="18"/>
          <w:szCs w:val="18"/>
          <w:color w:val="auto"/>
        </w:rPr>
      </w:pPr>
    </w:p>
    <w:p>
      <w:pPr>
        <w:ind w:left="640" w:right="20" w:hanging="632"/>
        <w:spacing w:after="0" w:line="334" w:lineRule="auto"/>
        <w:tabs>
          <w:tab w:leader="none" w:pos="63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determination or calculation of any party to an agreement or other document stated in the agreement or other document to be conclusive may be held by the courts of Ireland not to be final, conclusive or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3" w:right="339" w:bottom="1440" w:gutter="0" w:footer="0" w:header="0"/>
        </w:sectPr>
      </w:pPr>
    </w:p>
    <w:bookmarkStart w:id="164" w:name="page165"/>
    <w:bookmarkEnd w:id="164"/>
    <w:p>
      <w:pPr>
        <w:ind w:left="640" w:hanging="632"/>
        <w:spacing w:after="0" w:line="334" w:lineRule="auto"/>
        <w:tabs>
          <w:tab w:leader="none" w:pos="617"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t>The effect of terms, if any, in an agreement or other document excusing a party from a liability or duty otherwise owed are limited by law.</w:t>
      </w:r>
    </w:p>
    <w:p>
      <w:pPr>
        <w:spacing w:after="0" w:line="139" w:lineRule="exact"/>
        <w:rPr>
          <w:rFonts w:ascii="Arial" w:cs="Arial" w:eastAsia="Arial" w:hAnsi="Arial"/>
          <w:sz w:val="18"/>
          <w:szCs w:val="18"/>
          <w:color w:val="auto"/>
        </w:rPr>
      </w:pPr>
    </w:p>
    <w:p>
      <w:pPr>
        <w:ind w:left="640" w:hanging="632"/>
        <w:spacing w:after="0" w:line="334" w:lineRule="auto"/>
        <w:tabs>
          <w:tab w:leader="none" w:pos="63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Where a party is vested with a discretion or may determine a matter in its opinion, the laws of Ireland may require that such discretion is exercised reasonably or that such opinion is based upon reasonable grounds.</w:t>
      </w:r>
    </w:p>
    <w:p>
      <w:pPr>
        <w:spacing w:after="0" w:line="139"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courts of Ireland may interpret restrictively any provision purporting to allow the beneficiary of a guarantee or other suretyship to make a material amendment to the obligations to which the guarantee or suretyship relates without further reference to the guarantor or surety.</w:t>
      </w:r>
    </w:p>
    <w:p>
      <w:pPr>
        <w:spacing w:after="0" w:line="175" w:lineRule="exact"/>
        <w:rPr>
          <w:rFonts w:ascii="Arial" w:cs="Arial" w:eastAsia="Arial" w:hAnsi="Arial"/>
          <w:sz w:val="18"/>
          <w:szCs w:val="18"/>
          <w:color w:val="auto"/>
        </w:rPr>
      </w:pPr>
    </w:p>
    <w:p>
      <w:pPr>
        <w:ind w:left="640" w:hanging="632"/>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enforceability of any provision as to severability may be determined by the courts of Ireland at its discretion.</w:t>
      </w:r>
    </w:p>
    <w:p>
      <w:pPr>
        <w:spacing w:after="0" w:line="252" w:lineRule="exact"/>
        <w:rPr>
          <w:rFonts w:ascii="Arial" w:cs="Arial" w:eastAsia="Arial" w:hAnsi="Arial"/>
          <w:sz w:val="18"/>
          <w:szCs w:val="18"/>
          <w:color w:val="auto"/>
        </w:rPr>
      </w:pPr>
    </w:p>
    <w:p>
      <w:pPr>
        <w:ind w:left="640" w:hanging="632"/>
        <w:spacing w:after="0" w:line="334" w:lineRule="auto"/>
        <w:tabs>
          <w:tab w:leader="none" w:pos="63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Irish court may not give effect to any provision of an agreement which: (a) provides for a matter to be determined by future agreement or negotiation; or (b) it considers to be devoid of any meaning, vague or uncertain.</w:t>
      </w:r>
    </w:p>
    <w:p>
      <w:pPr>
        <w:spacing w:after="0" w:line="139" w:lineRule="exact"/>
        <w:rPr>
          <w:rFonts w:ascii="Arial" w:cs="Arial" w:eastAsia="Arial" w:hAnsi="Arial"/>
          <w:sz w:val="18"/>
          <w:szCs w:val="18"/>
          <w:color w:val="auto"/>
        </w:rPr>
      </w:pPr>
    </w:p>
    <w:p>
      <w:pPr>
        <w:ind w:left="640" w:hanging="632"/>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right of set-off provided for in an agreement or other document may not be enforceable in all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3" w:right="339" w:bottom="1440" w:gutter="0" w:footer="0" w:header="0"/>
        </w:sectPr>
      </w:pPr>
    </w:p>
    <w:bookmarkStart w:id="165" w:name="page166"/>
    <w:bookmarkEnd w:id="165"/>
    <w:p>
      <w:pPr>
        <w:ind w:left="5960"/>
        <w:spacing w:after="0"/>
        <w:rPr>
          <w:sz w:val="20"/>
          <w:szCs w:val="20"/>
          <w:color w:val="auto"/>
        </w:rPr>
      </w:pPr>
      <w:r>
        <w:rPr>
          <w:rFonts w:ascii="Arial" w:cs="Arial" w:eastAsia="Arial" w:hAnsi="Arial"/>
          <w:sz w:val="14"/>
          <w:szCs w:val="14"/>
          <w:b w:val="1"/>
          <w:bCs w:val="1"/>
          <w:color w:val="032C40"/>
        </w:rPr>
        <w:t>CONYERS DILL &amp; PEARMAN LIMITED</w:t>
      </w:r>
    </w:p>
    <w:p>
      <w:pPr>
        <w:spacing w:after="0" w:line="109" w:lineRule="exact"/>
        <w:rPr>
          <w:sz w:val="20"/>
          <w:szCs w:val="20"/>
          <w:color w:val="auto"/>
        </w:rPr>
      </w:pPr>
    </w:p>
    <w:p>
      <w:pPr>
        <w:ind w:left="5960"/>
        <w:spacing w:after="0"/>
        <w:rPr>
          <w:sz w:val="20"/>
          <w:szCs w:val="20"/>
          <w:color w:val="auto"/>
        </w:rPr>
      </w:pPr>
      <w:r>
        <w:rPr>
          <w:rFonts w:ascii="Arial" w:cs="Arial" w:eastAsia="Arial" w:hAnsi="Arial"/>
          <w:sz w:val="14"/>
          <w:szCs w:val="14"/>
          <w:color w:val="111111"/>
        </w:rPr>
        <w:t>Clarendon House, 2 Church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-78740</wp:posOffset>
            </wp:positionV>
            <wp:extent cx="2708910" cy="565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2708910" cy="56578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4"/>
          <w:szCs w:val="14"/>
          <w:color w:val="111111"/>
        </w:rPr>
        <w:t>Hamilton HM 11, Bermuda</w:t>
      </w:r>
    </w:p>
    <w:p>
      <w:pPr>
        <w:spacing w:after="0" w:line="94" w:lineRule="exact"/>
        <w:rPr>
          <w:sz w:val="20"/>
          <w:szCs w:val="20"/>
          <w:color w:val="auto"/>
        </w:rPr>
      </w:pPr>
    </w:p>
    <w:p>
      <w:pPr>
        <w:ind w:left="5960" w:right="2080"/>
        <w:spacing w:after="0" w:line="325" w:lineRule="auto"/>
        <w:rPr>
          <w:sz w:val="20"/>
          <w:szCs w:val="20"/>
          <w:color w:val="auto"/>
        </w:rPr>
      </w:pPr>
      <w:r>
        <w:rPr>
          <w:rFonts w:ascii="Arial" w:cs="Arial" w:eastAsia="Arial" w:hAnsi="Arial"/>
          <w:sz w:val="14"/>
          <w:szCs w:val="14"/>
          <w:color w:val="111111"/>
        </w:rPr>
        <w:t>Mail: PO Box HM 666, Hamilton HM CX, Bermuda T +1 441 295 1422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032C40"/>
        </w:rPr>
        <w:t>conyers.com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2D2A30"/>
        </w:rPr>
        <w:t>13 June 2025</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3"/>
          <w:szCs w:val="13"/>
          <w:color w:val="2D2A30"/>
        </w:rPr>
        <w:t>Matter No.: 327684</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2D2A30"/>
        </w:rPr>
        <w:t>441 298 7889</w:t>
      </w:r>
    </w:p>
    <w:p>
      <w:pPr>
        <w:spacing w:after="0" w:line="22" w:lineRule="exact"/>
        <w:rPr>
          <w:sz w:val="20"/>
          <w:szCs w:val="20"/>
          <w:color w:val="auto"/>
        </w:rPr>
      </w:pPr>
    </w:p>
    <w:p>
      <w:pPr>
        <w:ind w:left="9700"/>
        <w:spacing w:after="0"/>
        <w:rPr>
          <w:sz w:val="20"/>
          <w:szCs w:val="20"/>
          <w:color w:val="auto"/>
        </w:rPr>
      </w:pPr>
      <w:r>
        <w:rPr>
          <w:rFonts w:ascii="Arial" w:cs="Arial" w:eastAsia="Arial" w:hAnsi="Arial"/>
          <w:sz w:val="12"/>
          <w:szCs w:val="12"/>
          <w:u w:val="single" w:color="auto"/>
          <w:color w:val="68A6B9"/>
        </w:rPr>
        <w:t>sarah.lusher@conyers.com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2D2A30"/>
        </w:rPr>
        <w:t>Weatherford International Ltd.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2D2A30"/>
        </w:rPr>
        <w:t>Clarendon House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D2A30"/>
        </w:rPr>
        <w:t>2 Church Street</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2D2A30"/>
        </w:rPr>
        <w:t>Hamilton HM 11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D2A30"/>
        </w:rPr>
        <w:t>Bermuda</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2D2A30"/>
        </w:rPr>
        <w:t>Dear Sirs,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2D2A30"/>
        </w:rPr>
        <w:t>Re: Weatherford International Ltd. (the “Company”)</w:t>
      </w:r>
    </w:p>
    <w:p>
      <w:pPr>
        <w:spacing w:after="0" w:line="28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2D2A30"/>
        </w:rPr>
        <w:t>We have acted as special Bermuda legal counsel to the Company in connection with a registration statement on form S-3 (Registration No. 333-) filed with the U.S. Securities and Exchange Commission (the "</w:t>
      </w:r>
      <w:r>
        <w:rPr>
          <w:rFonts w:ascii="Arial" w:cs="Arial" w:eastAsia="Arial" w:hAnsi="Arial"/>
          <w:sz w:val="20"/>
          <w:szCs w:val="20"/>
          <w:b w:val="1"/>
          <w:bCs w:val="1"/>
          <w:color w:val="2D2A30"/>
        </w:rPr>
        <w:t>Commission</w:t>
      </w:r>
      <w:r>
        <w:rPr>
          <w:rFonts w:ascii="Arial" w:cs="Arial" w:eastAsia="Arial" w:hAnsi="Arial"/>
          <w:sz w:val="20"/>
          <w:szCs w:val="20"/>
          <w:color w:val="2D2A30"/>
        </w:rPr>
        <w:t>") on 13 June 2025 (the "</w:t>
      </w:r>
      <w:r>
        <w:rPr>
          <w:rFonts w:ascii="Arial" w:cs="Arial" w:eastAsia="Arial" w:hAnsi="Arial"/>
          <w:sz w:val="20"/>
          <w:szCs w:val="20"/>
          <w:b w:val="1"/>
          <w:bCs w:val="1"/>
          <w:color w:val="2D2A30"/>
        </w:rPr>
        <w:t>Registration Statement</w:t>
      </w:r>
      <w:r>
        <w:rPr>
          <w:rFonts w:ascii="Arial" w:cs="Arial" w:eastAsia="Arial" w:hAnsi="Arial"/>
          <w:sz w:val="20"/>
          <w:szCs w:val="20"/>
          <w:color w:val="2D2A30"/>
        </w:rPr>
        <w:t>", which term does not include any other instrument or agreement whether or not specifically referred to therein or attached as an exhibit or schedule thereto) relating to the shelf registration under the U.S. Securities Act of 1933, as amended, (the "</w:t>
      </w:r>
      <w:r>
        <w:rPr>
          <w:rFonts w:ascii="Arial" w:cs="Arial" w:eastAsia="Arial" w:hAnsi="Arial"/>
          <w:sz w:val="20"/>
          <w:szCs w:val="20"/>
          <w:b w:val="1"/>
          <w:bCs w:val="1"/>
          <w:color w:val="2D2A30"/>
        </w:rPr>
        <w:t>Securities Act</w:t>
      </w:r>
      <w:r>
        <w:rPr>
          <w:rFonts w:ascii="Arial" w:cs="Arial" w:eastAsia="Arial" w:hAnsi="Arial"/>
          <w:sz w:val="20"/>
          <w:szCs w:val="20"/>
          <w:color w:val="2D2A30"/>
        </w:rPr>
        <w:t>") of senior debt securities ("</w:t>
      </w:r>
      <w:r>
        <w:rPr>
          <w:rFonts w:ascii="Arial" w:cs="Arial" w:eastAsia="Arial" w:hAnsi="Arial"/>
          <w:sz w:val="20"/>
          <w:szCs w:val="20"/>
          <w:b w:val="1"/>
          <w:bCs w:val="1"/>
          <w:color w:val="2D2A30"/>
        </w:rPr>
        <w:t>Senior Debt Securities</w:t>
      </w:r>
      <w:r>
        <w:rPr>
          <w:rFonts w:ascii="Arial" w:cs="Arial" w:eastAsia="Arial" w:hAnsi="Arial"/>
          <w:sz w:val="20"/>
          <w:szCs w:val="20"/>
          <w:color w:val="2D2A30"/>
        </w:rPr>
        <w:t>"), subordinated debt securities ("</w:t>
      </w:r>
      <w:r>
        <w:rPr>
          <w:rFonts w:ascii="Arial" w:cs="Arial" w:eastAsia="Arial" w:hAnsi="Arial"/>
          <w:sz w:val="20"/>
          <w:szCs w:val="20"/>
          <w:b w:val="1"/>
          <w:bCs w:val="1"/>
          <w:color w:val="2D2A30"/>
        </w:rPr>
        <w:t>Subordinated Debt Securities</w:t>
      </w:r>
      <w:r>
        <w:rPr>
          <w:rFonts w:ascii="Arial" w:cs="Arial" w:eastAsia="Arial" w:hAnsi="Arial"/>
          <w:sz w:val="20"/>
          <w:szCs w:val="20"/>
          <w:color w:val="2D2A30"/>
        </w:rPr>
        <w:t>" and, together with Senior Debt Securities, "</w:t>
      </w:r>
      <w:r>
        <w:rPr>
          <w:rFonts w:ascii="Arial" w:cs="Arial" w:eastAsia="Arial" w:hAnsi="Arial"/>
          <w:sz w:val="20"/>
          <w:szCs w:val="20"/>
          <w:b w:val="1"/>
          <w:bCs w:val="1"/>
          <w:color w:val="2D2A30"/>
        </w:rPr>
        <w:t>Debt Securities</w:t>
      </w:r>
      <w:r>
        <w:rPr>
          <w:rFonts w:ascii="Arial" w:cs="Arial" w:eastAsia="Arial" w:hAnsi="Arial"/>
          <w:sz w:val="20"/>
          <w:szCs w:val="20"/>
          <w:color w:val="2D2A30"/>
        </w:rPr>
        <w:t>"), and guarantees of debt securities ("</w:t>
      </w:r>
      <w:r>
        <w:rPr>
          <w:rFonts w:ascii="Arial" w:cs="Arial" w:eastAsia="Arial" w:hAnsi="Arial"/>
          <w:sz w:val="20"/>
          <w:szCs w:val="20"/>
          <w:b w:val="1"/>
          <w:bCs w:val="1"/>
          <w:color w:val="2D2A30"/>
        </w:rPr>
        <w:t>Guarantees</w:t>
      </w:r>
      <w:r>
        <w:rPr>
          <w:rFonts w:ascii="Arial" w:cs="Arial" w:eastAsia="Arial" w:hAnsi="Arial"/>
          <w:sz w:val="20"/>
          <w:szCs w:val="20"/>
          <w:color w:val="2D2A30"/>
        </w:rPr>
        <w:t>" and each, a “</w:t>
      </w:r>
      <w:r>
        <w:rPr>
          <w:rFonts w:ascii="Arial" w:cs="Arial" w:eastAsia="Arial" w:hAnsi="Arial"/>
          <w:sz w:val="20"/>
          <w:szCs w:val="20"/>
          <w:b w:val="1"/>
          <w:bCs w:val="1"/>
          <w:color w:val="2D2A30"/>
        </w:rPr>
        <w:t>Guarantee</w:t>
      </w:r>
      <w:r>
        <w:rPr>
          <w:rFonts w:ascii="Arial" w:cs="Arial" w:eastAsia="Arial" w:hAnsi="Arial"/>
          <w:sz w:val="20"/>
          <w:szCs w:val="20"/>
          <w:color w:val="2D2A30"/>
        </w:rPr>
        <w:t>”) to be issued pursuant to an Indenture (as defined below) (collectively, the "</w:t>
      </w:r>
      <w:r>
        <w:rPr>
          <w:rFonts w:ascii="Arial" w:cs="Arial" w:eastAsia="Arial" w:hAnsi="Arial"/>
          <w:sz w:val="20"/>
          <w:szCs w:val="20"/>
          <w:b w:val="1"/>
          <w:bCs w:val="1"/>
          <w:color w:val="2D2A30"/>
        </w:rPr>
        <w:t>Securities</w:t>
      </w:r>
      <w:r>
        <w:rPr>
          <w:rFonts w:ascii="Arial" w:cs="Arial" w:eastAsia="Arial" w:hAnsi="Arial"/>
          <w:sz w:val="20"/>
          <w:szCs w:val="20"/>
          <w:color w:val="2D2A30"/>
        </w:rPr>
        <w:t>").</w:t>
      </w:r>
    </w:p>
    <w:p>
      <w:pPr>
        <w:spacing w:after="0" w:line="141" w:lineRule="exact"/>
        <w:rPr>
          <w:sz w:val="20"/>
          <w:szCs w:val="20"/>
          <w:color w:val="auto"/>
        </w:rPr>
      </w:pPr>
    </w:p>
    <w:p>
      <w:pPr>
        <w:ind w:left="640" w:hanging="632"/>
        <w:spacing w:after="0"/>
        <w:tabs>
          <w:tab w:leader="none" w:pos="64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2D2A30"/>
        </w:rPr>
        <w:t>DOCUMENTS REVIEWED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2D2A30"/>
        </w:rPr>
        <w:t>For the purposes of giving this opinion, we have examined a copy of the Registration Statement. We have also reviewed:</w:t>
      </w:r>
    </w:p>
    <w:p>
      <w:pPr>
        <w:spacing w:after="0" w:line="214" w:lineRule="exact"/>
        <w:rPr>
          <w:sz w:val="20"/>
          <w:szCs w:val="20"/>
          <w:color w:val="auto"/>
        </w:rPr>
      </w:pPr>
    </w:p>
    <w:p>
      <w:pPr>
        <w:jc w:val="both"/>
        <w:ind w:left="640" w:right="20" w:hanging="647"/>
        <w:spacing w:after="0" w:line="312" w:lineRule="auto"/>
        <w:tabs>
          <w:tab w:leader="none" w:pos="620" w:val="left"/>
        </w:tabs>
        <w:rPr>
          <w:sz w:val="20"/>
          <w:szCs w:val="20"/>
          <w:color w:val="auto"/>
        </w:rPr>
      </w:pPr>
      <w:r>
        <w:rPr>
          <w:rFonts w:ascii="Arial" w:cs="Arial" w:eastAsia="Arial" w:hAnsi="Arial"/>
          <w:sz w:val="20"/>
          <w:szCs w:val="20"/>
          <w:color w:val="2D2A30"/>
        </w:rPr>
        <w:t>1.1.</w:t>
        <w:tab/>
        <w:t>copies of the memorandum of association and the bye-laws of the Company (together, the “</w:t>
      </w:r>
      <w:r>
        <w:rPr>
          <w:rFonts w:ascii="Arial" w:cs="Arial" w:eastAsia="Arial" w:hAnsi="Arial"/>
          <w:sz w:val="20"/>
          <w:szCs w:val="20"/>
          <w:b w:val="1"/>
          <w:bCs w:val="1"/>
          <w:color w:val="2D2A30"/>
        </w:rPr>
        <w:t>Constitutional</w:t>
      </w:r>
      <w:r>
        <w:rPr>
          <w:rFonts w:ascii="Arial" w:cs="Arial" w:eastAsia="Arial" w:hAnsi="Arial"/>
          <w:sz w:val="20"/>
          <w:szCs w:val="20"/>
          <w:color w:val="2D2A30"/>
        </w:rPr>
        <w:t xml:space="preserve"> </w:t>
      </w:r>
      <w:r>
        <w:rPr>
          <w:rFonts w:ascii="Arial" w:cs="Arial" w:eastAsia="Arial" w:hAnsi="Arial"/>
          <w:sz w:val="20"/>
          <w:szCs w:val="20"/>
          <w:b w:val="1"/>
          <w:bCs w:val="1"/>
          <w:color w:val="2D2A30"/>
        </w:rPr>
        <w:t>Documents</w:t>
      </w:r>
      <w:r>
        <w:rPr>
          <w:rFonts w:ascii="Arial" w:cs="Arial" w:eastAsia="Arial" w:hAnsi="Arial"/>
          <w:sz w:val="20"/>
          <w:szCs w:val="20"/>
          <w:color w:val="2D2A30"/>
        </w:rPr>
        <w:t>”), each certified by the Secretary of the Company on 13 June 2025;</w:t>
      </w:r>
    </w:p>
    <w:p>
      <w:pPr>
        <w:spacing w:after="0" w:line="106" w:lineRule="exact"/>
        <w:rPr>
          <w:sz w:val="20"/>
          <w:szCs w:val="20"/>
          <w:color w:val="auto"/>
        </w:rPr>
      </w:pPr>
    </w:p>
    <w:p>
      <w:pPr>
        <w:jc w:val="both"/>
        <w:ind w:left="640" w:hanging="647"/>
        <w:spacing w:after="0" w:line="324" w:lineRule="auto"/>
        <w:tabs>
          <w:tab w:leader="none" w:pos="620" w:val="left"/>
        </w:tabs>
        <w:rPr>
          <w:sz w:val="20"/>
          <w:szCs w:val="20"/>
          <w:color w:val="auto"/>
        </w:rPr>
      </w:pPr>
      <w:r>
        <w:rPr>
          <w:rFonts w:ascii="Arial" w:cs="Arial" w:eastAsia="Arial" w:hAnsi="Arial"/>
          <w:sz w:val="20"/>
          <w:szCs w:val="20"/>
          <w:color w:val="2D2A30"/>
        </w:rPr>
        <w:t>1.2.</w:t>
        <w:tab/>
        <w:t>copies of unanimous written resolutions of the Company’s directors dated 11 June 2025, certified by the Secretary of the Company on 13 June 2025 ( the "</w:t>
      </w:r>
      <w:r>
        <w:rPr>
          <w:rFonts w:ascii="Arial" w:cs="Arial" w:eastAsia="Arial" w:hAnsi="Arial"/>
          <w:sz w:val="20"/>
          <w:szCs w:val="20"/>
          <w:b w:val="1"/>
          <w:bCs w:val="1"/>
          <w:color w:val="2D2A30"/>
        </w:rPr>
        <w:t>Resolutions</w:t>
      </w:r>
      <w:r>
        <w:rPr>
          <w:rFonts w:ascii="Arial" w:cs="Arial" w:eastAsia="Arial" w:hAnsi="Arial"/>
          <w:sz w:val="20"/>
          <w:szCs w:val="20"/>
          <w:color w:val="2D2A30"/>
        </w:rPr>
        <w:t>");</w:t>
      </w:r>
    </w:p>
    <w:p>
      <w:pPr>
        <w:spacing w:after="0" w:line="95" w:lineRule="exact"/>
        <w:rPr>
          <w:sz w:val="20"/>
          <w:szCs w:val="20"/>
          <w:color w:val="auto"/>
        </w:rPr>
      </w:pPr>
    </w:p>
    <w:p>
      <w:pPr>
        <w:jc w:val="both"/>
        <w:ind w:left="640" w:hanging="647"/>
        <w:spacing w:after="0" w:line="296" w:lineRule="auto"/>
        <w:tabs>
          <w:tab w:leader="none" w:pos="620" w:val="left"/>
        </w:tabs>
        <w:rPr>
          <w:sz w:val="20"/>
          <w:szCs w:val="20"/>
          <w:color w:val="auto"/>
        </w:rPr>
      </w:pPr>
      <w:r>
        <w:rPr>
          <w:rFonts w:ascii="Arial" w:cs="Arial" w:eastAsia="Arial" w:hAnsi="Arial"/>
          <w:sz w:val="20"/>
          <w:szCs w:val="20"/>
          <w:color w:val="2D2A30"/>
        </w:rPr>
        <w:t>1.3.</w:t>
        <w:tab/>
        <w:t>a copy of the form of base indenture filed as Exhibit 4.8 to the Registration Statement and made between Weatherford International plc, the Company, Weatherford International, LLC and Deutsche Bank Trust Company Americas as trustee (the “</w:t>
      </w:r>
      <w:r>
        <w:rPr>
          <w:rFonts w:ascii="Arial" w:cs="Arial" w:eastAsia="Arial" w:hAnsi="Arial"/>
          <w:sz w:val="20"/>
          <w:szCs w:val="20"/>
          <w:b w:val="1"/>
          <w:bCs w:val="1"/>
          <w:color w:val="2D2A30"/>
        </w:rPr>
        <w:t>Indenture</w:t>
      </w:r>
      <w:r>
        <w:rPr>
          <w:rFonts w:ascii="Arial" w:cs="Arial" w:eastAsia="Arial" w:hAnsi="Arial"/>
          <w:sz w:val="20"/>
          <w:szCs w:val="20"/>
          <w:color w:val="2D2A30"/>
        </w:rPr>
        <w:t>”); and</w:t>
      </w:r>
    </w:p>
    <w:p>
      <w:pPr>
        <w:sectPr>
          <w:pgSz w:w="11900" w:h="16838" w:orient="portrait"/>
          <w:cols w:equalWidth="0" w:num="1">
            <w:col w:w="11240"/>
          </w:cols>
          <w:pgMar w:left="320" w:top="198" w:right="3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right="20" w:hanging="647"/>
        <w:spacing w:after="0" w:line="314" w:lineRule="auto"/>
        <w:tabs>
          <w:tab w:leader="none" w:pos="620" w:val="left"/>
        </w:tabs>
        <w:rPr>
          <w:sz w:val="20"/>
          <w:szCs w:val="20"/>
          <w:color w:val="auto"/>
        </w:rPr>
      </w:pPr>
      <w:r>
        <w:rPr>
          <w:rFonts w:ascii="Arial" w:cs="Arial" w:eastAsia="Arial" w:hAnsi="Arial"/>
          <w:sz w:val="20"/>
          <w:szCs w:val="20"/>
          <w:color w:val="2D2A30"/>
        </w:rPr>
        <w:t>1.4.</w:t>
        <w:tab/>
        <w:t>such other documents and made such enquiries as to questions of law as we have deemed necessary in order to render the opinion set forth below.</w:t>
      </w:r>
    </w:p>
    <w:p>
      <w:pPr>
        <w:spacing w:after="0" w:line="112" w:lineRule="exact"/>
        <w:rPr>
          <w:sz w:val="20"/>
          <w:szCs w:val="20"/>
          <w:color w:val="auto"/>
        </w:rPr>
      </w:pPr>
    </w:p>
    <w:p>
      <w:pPr>
        <w:ind w:left="640" w:hanging="632"/>
        <w:spacing w:after="0"/>
        <w:tabs>
          <w:tab w:leader="none" w:pos="64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2D2A30"/>
        </w:rPr>
        <w:t>ASSUMPTIONS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2D2A30"/>
        </w:rPr>
        <w:t>We have assumed:</w:t>
      </w:r>
    </w:p>
    <w:p>
      <w:pPr>
        <w:spacing w:after="0" w:line="216" w:lineRule="exact"/>
        <w:rPr>
          <w:sz w:val="20"/>
          <w:szCs w:val="20"/>
          <w:color w:val="auto"/>
        </w:rPr>
      </w:pPr>
    </w:p>
    <w:p>
      <w:pPr>
        <w:jc w:val="both"/>
        <w:ind w:left="640" w:hanging="647"/>
        <w:spacing w:after="0" w:line="314" w:lineRule="auto"/>
        <w:tabs>
          <w:tab w:leader="none" w:pos="620" w:val="left"/>
        </w:tabs>
        <w:rPr>
          <w:sz w:val="20"/>
          <w:szCs w:val="20"/>
          <w:color w:val="auto"/>
        </w:rPr>
      </w:pPr>
      <w:r>
        <w:rPr>
          <w:rFonts w:ascii="Arial" w:cs="Arial" w:eastAsia="Arial" w:hAnsi="Arial"/>
          <w:sz w:val="20"/>
          <w:szCs w:val="20"/>
          <w:color w:val="2D2A30"/>
        </w:rPr>
        <w:t>2.1.</w:t>
        <w:tab/>
        <w:t>the genuineness and authenticity of all signatures and the conformity to the originals of all copies (whether or not certified) examined by us and the authenticity and completeness of the originals from which such copies were taken;</w:t>
      </w:r>
    </w:p>
    <w:p>
      <w:pPr>
        <w:spacing w:after="0" w:line="114"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Arial" w:cs="Arial" w:eastAsia="Arial" w:hAnsi="Arial"/>
          <w:sz w:val="20"/>
          <w:szCs w:val="20"/>
          <w:color w:val="2D2A30"/>
        </w:rPr>
        <w:t>2.2.</w:t>
        <w:tab/>
        <w:t>that where a document has been examined by us in draft form, it will be or has been executed and/or filed in the form of that draft, and where a number of drafts of a document have been examined by us all changes thereto have been marked or otherwise drawn to our attention;</w:t>
      </w:r>
    </w:p>
    <w:p>
      <w:pPr>
        <w:spacing w:after="0" w:line="125" w:lineRule="exact"/>
        <w:rPr>
          <w:sz w:val="20"/>
          <w:szCs w:val="20"/>
          <w:color w:val="auto"/>
        </w:rPr>
      </w:pPr>
    </w:p>
    <w:p>
      <w:pPr>
        <w:jc w:val="both"/>
        <w:ind w:left="640" w:hanging="647"/>
        <w:spacing w:after="0" w:line="314" w:lineRule="auto"/>
        <w:tabs>
          <w:tab w:leader="none" w:pos="620" w:val="left"/>
        </w:tabs>
        <w:rPr>
          <w:sz w:val="20"/>
          <w:szCs w:val="20"/>
          <w:color w:val="auto"/>
        </w:rPr>
      </w:pPr>
      <w:r>
        <w:rPr>
          <w:rFonts w:ascii="Arial" w:cs="Arial" w:eastAsia="Arial" w:hAnsi="Arial"/>
          <w:sz w:val="20"/>
          <w:szCs w:val="20"/>
          <w:color w:val="2D2A30"/>
        </w:rPr>
        <w:t>2.3.</w:t>
        <w:tab/>
        <w:t>the accuracy and completeness of all factual representations made in the Registration Statement and other documents reviewed by us;</w:t>
      </w:r>
    </w:p>
    <w:p>
      <w:pPr>
        <w:spacing w:after="0" w:line="114"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Arial" w:cs="Arial" w:eastAsia="Arial" w:hAnsi="Arial"/>
          <w:sz w:val="20"/>
          <w:szCs w:val="20"/>
          <w:color w:val="2D2A30"/>
        </w:rPr>
        <w:t>2.4.</w:t>
        <w:tab/>
        <w:t>that the Resolutions were passed at one or more duly convened, constituted and quorate meetings, or by unanimous written resolutions, remain in full force and effect and have not been, and will not be, rescinded or amended;</w:t>
      </w:r>
    </w:p>
    <w:p>
      <w:pPr>
        <w:spacing w:after="0" w:line="12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2D2A30"/>
        </w:rPr>
        <w:t>2.5.</w:t>
      </w:r>
      <w:r>
        <w:rPr>
          <w:sz w:val="20"/>
          <w:szCs w:val="20"/>
          <w:color w:val="auto"/>
        </w:rPr>
        <w:tab/>
      </w:r>
      <w:r>
        <w:rPr>
          <w:rFonts w:ascii="Arial" w:cs="Arial" w:eastAsia="Arial" w:hAnsi="Arial"/>
          <w:sz w:val="19"/>
          <w:szCs w:val="19"/>
          <w:color w:val="2D2A30"/>
        </w:rPr>
        <w:t>that the Company will issue the Securities in furtherance of its objects as set out in its memorandum of association;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2D2A30"/>
        </w:rPr>
        <w:t>2.6.</w:t>
      </w:r>
      <w:r>
        <w:rPr>
          <w:sz w:val="20"/>
          <w:szCs w:val="20"/>
          <w:color w:val="auto"/>
        </w:rPr>
        <w:tab/>
      </w:r>
      <w:r>
        <w:rPr>
          <w:rFonts w:ascii="Arial" w:cs="Arial" w:eastAsia="Arial" w:hAnsi="Arial"/>
          <w:sz w:val="19"/>
          <w:szCs w:val="19"/>
          <w:color w:val="2D2A30"/>
        </w:rPr>
        <w:t>that the Constitutional Documents will not be amended in any manner that would affect the opinions expressed herein;</w:t>
      </w:r>
    </w:p>
    <w:p>
      <w:pPr>
        <w:spacing w:after="0" w:line="216"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Arial" w:cs="Arial" w:eastAsia="Arial" w:hAnsi="Arial"/>
          <w:sz w:val="20"/>
          <w:szCs w:val="20"/>
          <w:color w:val="2D2A30"/>
        </w:rPr>
        <w:t>2.7.</w:t>
        <w:tab/>
        <w:t>that there is no provision of the law of any jurisdiction, other than Bermuda, which would have any implication in relation to the opinions expressed herein;</w:t>
      </w:r>
    </w:p>
    <w:p>
      <w:pPr>
        <w:spacing w:after="0" w:line="127"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Arial" w:cs="Arial" w:eastAsia="Arial" w:hAnsi="Arial"/>
          <w:sz w:val="20"/>
          <w:szCs w:val="20"/>
          <w:color w:val="2D2A30"/>
        </w:rPr>
        <w:t>2.8.</w:t>
        <w:tab/>
        <w:t>that the form and terms of any and all Securities or other securities (or other obligations, rights, currencies, commodities or other subject matter) comprising the same or subject thereto,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Constitutional Documents nor any applicable law, regulation, order or decree in Bermuda;</w:t>
      </w:r>
    </w:p>
    <w:p>
      <w:pPr>
        <w:spacing w:after="0" w:line="147"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Arial" w:cs="Arial" w:eastAsia="Arial" w:hAnsi="Arial"/>
          <w:sz w:val="20"/>
          <w:szCs w:val="20"/>
          <w:color w:val="2D2A30"/>
        </w:rPr>
        <w:t>2.9.</w:t>
        <w:tab/>
        <w:t>that all necessary corporate action will be taken to authorise and approve any issuance of Securities, the terms of the offering thereof and related matters, and that the applicable definitive purchase, underwriting or similar agreement and, if Debt Securities are to be issued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conyers.com | 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right="20"/>
        <w:spacing w:after="0" w:line="314" w:lineRule="auto"/>
        <w:rPr>
          <w:sz w:val="20"/>
          <w:szCs w:val="20"/>
          <w:color w:val="auto"/>
        </w:rPr>
      </w:pPr>
      <w:r>
        <w:rPr>
          <w:rFonts w:ascii="Arial" w:cs="Arial" w:eastAsia="Arial" w:hAnsi="Arial"/>
          <w:sz w:val="20"/>
          <w:szCs w:val="20"/>
          <w:color w:val="2D2A30"/>
        </w:rPr>
        <w:t>if the Company is to provide a guarantee thereof, the applicable indenture and any applicable supplements thereto, will be duly approved, executed and delivered by or on behalf of the Company and all other parties thereto;</w:t>
      </w:r>
    </w:p>
    <w:p>
      <w:pPr>
        <w:spacing w:after="0" w:line="114"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0"/>
          <w:szCs w:val="20"/>
          <w:color w:val="2D2A30"/>
        </w:rPr>
        <w:t>2.10.</w:t>
        <w:tab/>
        <w:t>that the applicable purchase, underwriting or similar agreement, any Debt Security, any indenture and any supplement thereto and any other agreement or other document relating to any Security will be valid and binding in accordance with its terms pursuant to its governing law;</w:t>
      </w:r>
    </w:p>
    <w:p>
      <w:pPr>
        <w:spacing w:after="0" w:line="125"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0"/>
          <w:szCs w:val="20"/>
          <w:color w:val="2D2A30"/>
        </w:rPr>
        <w:t>2.11.</w:t>
        <w:tab/>
        <w:t>that any Guarantees shall be in the same form as set out in the Indenture, that each party to the Indenture (other than the Company) has the requisite capacity, power and authority to enter into and perform its respective obligations under the Indenture and each party to the Indenture has duly executed and delivered the Indenture, and that the Indenture is valid and binding under New York Law;</w:t>
      </w:r>
    </w:p>
    <w:p>
      <w:pPr>
        <w:spacing w:after="0" w:line="142"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2D2A30"/>
        </w:rPr>
        <w:t>2.12.</w:t>
        <w:tab/>
        <w:t>that the issuance and sale of and payment for the Securities will be in accordance with the applicable purchase, underwriting or similar agreement duly approved by the Board of Directors, the Registration Statement (including the prospectus set forth therein and any applicable supplement thereto) and, if Debt Securities are to be issued, the applicable indenture and any applicable supplements thereto; and</w:t>
      </w:r>
    </w:p>
    <w:p>
      <w:pPr>
        <w:spacing w:after="0" w:line="144"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2D2A30"/>
        </w:rPr>
        <w:t>2.13.</w:t>
        <w:tab/>
        <w:t>that none of the parties to the Indenture is carrying on investment business for the purposes of the Investment Business Act 2003 (as amended).</w:t>
      </w:r>
    </w:p>
    <w:p>
      <w:pPr>
        <w:spacing w:after="0" w:line="98" w:lineRule="exact"/>
        <w:rPr>
          <w:sz w:val="20"/>
          <w:szCs w:val="20"/>
          <w:color w:val="auto"/>
        </w:rPr>
      </w:pPr>
    </w:p>
    <w:p>
      <w:pPr>
        <w:ind w:left="640" w:hanging="632"/>
        <w:spacing w:after="0"/>
        <w:tabs>
          <w:tab w:leader="none" w:pos="640" w:val="left"/>
        </w:tabs>
        <w:numPr>
          <w:ilvl w:val="0"/>
          <w:numId w:val="154"/>
        </w:numPr>
        <w:rPr>
          <w:rFonts w:ascii="Arial" w:cs="Arial" w:eastAsia="Arial" w:hAnsi="Arial"/>
          <w:sz w:val="20"/>
          <w:szCs w:val="20"/>
          <w:b w:val="1"/>
          <w:bCs w:val="1"/>
          <w:color w:val="auto"/>
        </w:rPr>
      </w:pPr>
      <w:r>
        <w:rPr>
          <w:rFonts w:ascii="Arial" w:cs="Arial" w:eastAsia="Arial" w:hAnsi="Arial"/>
          <w:sz w:val="20"/>
          <w:szCs w:val="20"/>
          <w:b w:val="1"/>
          <w:bCs w:val="1"/>
          <w:color w:val="2D2A30"/>
        </w:rPr>
        <w:t>QUALIFICATIONS</w:t>
      </w:r>
    </w:p>
    <w:p>
      <w:pPr>
        <w:spacing w:after="0" w:line="218" w:lineRule="exact"/>
        <w:rPr>
          <w:sz w:val="20"/>
          <w:szCs w:val="20"/>
          <w:color w:val="auto"/>
        </w:rPr>
      </w:pPr>
    </w:p>
    <w:p>
      <w:pPr>
        <w:ind w:left="640" w:hanging="647"/>
        <w:spacing w:after="0" w:line="314" w:lineRule="auto"/>
        <w:tabs>
          <w:tab w:leader="none" w:pos="620" w:val="left"/>
        </w:tabs>
        <w:rPr>
          <w:sz w:val="20"/>
          <w:szCs w:val="20"/>
          <w:color w:val="auto"/>
        </w:rPr>
      </w:pPr>
      <w:r>
        <w:rPr>
          <w:rFonts w:ascii="Arial" w:cs="Arial" w:eastAsia="Arial" w:hAnsi="Arial"/>
          <w:sz w:val="20"/>
          <w:szCs w:val="20"/>
          <w:color w:val="2D2A30"/>
        </w:rPr>
        <w:t>3.1.</w:t>
        <w:tab/>
        <w:t>The obligations of the Company in connection with any Security and any indenture or other agreement or document relating thereto:</w:t>
      </w:r>
    </w:p>
    <w:p>
      <w:pPr>
        <w:spacing w:after="0" w:line="114" w:lineRule="exact"/>
        <w:rPr>
          <w:sz w:val="20"/>
          <w:szCs w:val="20"/>
          <w:color w:val="auto"/>
        </w:rPr>
      </w:pPr>
    </w:p>
    <w:p>
      <w:pPr>
        <w:jc w:val="both"/>
        <w:ind w:left="1300" w:hanging="644"/>
        <w:spacing w:after="0" w:line="302" w:lineRule="auto"/>
        <w:tabs>
          <w:tab w:leader="none" w:pos="1299" w:val="left"/>
        </w:tabs>
        <w:numPr>
          <w:ilvl w:val="0"/>
          <w:numId w:val="155"/>
        </w:numPr>
        <w:rPr>
          <w:rFonts w:ascii="Arial" w:cs="Arial" w:eastAsia="Arial" w:hAnsi="Arial"/>
          <w:sz w:val="19"/>
          <w:szCs w:val="19"/>
          <w:color w:val="2D2A30"/>
        </w:rPr>
      </w:pPr>
      <w:r>
        <w:rPr>
          <w:rFonts w:ascii="Arial" w:cs="Arial" w:eastAsia="Arial" w:hAnsi="Arial"/>
          <w:sz w:val="19"/>
          <w:szCs w:val="19"/>
          <w:color w:val="2D2A30"/>
        </w:rPr>
        <w:t>will be subject to the laws from time to time in effect relating to bankruptcy, insolvency, liquidation, possessory liens, rights of set off, reorganisation, amalgamation, merger, consolidation, moratorium, bribery, corruption, money laundering, terrorist financing, proliferation financing or any other laws or legal procedures, whether of a similar nature or otherwise, generally affecting the rights of creditors as well as applicable international sanctions;</w:t>
      </w:r>
    </w:p>
    <w:p>
      <w:pPr>
        <w:spacing w:after="0" w:line="128" w:lineRule="exact"/>
        <w:rPr>
          <w:rFonts w:ascii="Arial" w:cs="Arial" w:eastAsia="Arial" w:hAnsi="Arial"/>
          <w:sz w:val="19"/>
          <w:szCs w:val="19"/>
          <w:color w:val="2D2A30"/>
        </w:rPr>
      </w:pPr>
    </w:p>
    <w:p>
      <w:pPr>
        <w:ind w:left="1300" w:hanging="644"/>
        <w:spacing w:after="0"/>
        <w:tabs>
          <w:tab w:leader="none" w:pos="1300" w:val="left"/>
        </w:tabs>
        <w:numPr>
          <w:ilvl w:val="0"/>
          <w:numId w:val="155"/>
        </w:numPr>
        <w:rPr>
          <w:rFonts w:ascii="Arial" w:cs="Arial" w:eastAsia="Arial" w:hAnsi="Arial"/>
          <w:sz w:val="20"/>
          <w:szCs w:val="20"/>
          <w:color w:val="2D2A30"/>
        </w:rPr>
      </w:pPr>
      <w:r>
        <w:rPr>
          <w:rFonts w:ascii="Arial" w:cs="Arial" w:eastAsia="Arial" w:hAnsi="Arial"/>
          <w:sz w:val="20"/>
          <w:szCs w:val="20"/>
          <w:color w:val="2D2A30"/>
        </w:rPr>
        <w:t>will be subject to statutory limitation of the time within which proceedings may be brought;</w:t>
      </w:r>
    </w:p>
    <w:p>
      <w:pPr>
        <w:spacing w:after="0" w:line="215" w:lineRule="exact"/>
        <w:rPr>
          <w:rFonts w:ascii="Arial" w:cs="Arial" w:eastAsia="Arial" w:hAnsi="Arial"/>
          <w:sz w:val="20"/>
          <w:szCs w:val="20"/>
          <w:color w:val="2D2A30"/>
        </w:rPr>
      </w:pPr>
    </w:p>
    <w:p>
      <w:pPr>
        <w:ind w:left="1300" w:right="20" w:hanging="644"/>
        <w:spacing w:after="0" w:line="300" w:lineRule="auto"/>
        <w:tabs>
          <w:tab w:leader="none" w:pos="1288" w:val="left"/>
        </w:tabs>
        <w:numPr>
          <w:ilvl w:val="0"/>
          <w:numId w:val="155"/>
        </w:numPr>
        <w:rPr>
          <w:rFonts w:ascii="Arial" w:cs="Arial" w:eastAsia="Arial" w:hAnsi="Arial"/>
          <w:sz w:val="20"/>
          <w:szCs w:val="20"/>
          <w:color w:val="2D2A30"/>
        </w:rPr>
      </w:pPr>
      <w:r>
        <w:rPr>
          <w:rFonts w:ascii="Arial" w:cs="Arial" w:eastAsia="Arial" w:hAnsi="Arial"/>
          <w:sz w:val="20"/>
          <w:szCs w:val="20"/>
          <w:color w:val="2D2A30"/>
        </w:rPr>
        <w:t>will be subject to general principles of equity and, as such, specific performance and injunctive relief, being equitable remedies, may not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conyers.com | 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right="20" w:hanging="644"/>
        <w:spacing w:after="0" w:line="314" w:lineRule="auto"/>
        <w:tabs>
          <w:tab w:leader="none" w:pos="1299" w:val="left"/>
        </w:tabs>
        <w:numPr>
          <w:ilvl w:val="0"/>
          <w:numId w:val="156"/>
        </w:numPr>
        <w:rPr>
          <w:rFonts w:ascii="Arial" w:cs="Arial" w:eastAsia="Arial" w:hAnsi="Arial"/>
          <w:sz w:val="20"/>
          <w:szCs w:val="20"/>
          <w:color w:val="2D2A30"/>
        </w:rPr>
      </w:pPr>
      <w:r>
        <w:rPr>
          <w:rFonts w:ascii="Arial" w:cs="Arial" w:eastAsia="Arial" w:hAnsi="Arial"/>
          <w:sz w:val="20"/>
          <w:szCs w:val="20"/>
          <w:color w:val="2D2A30"/>
        </w:rPr>
        <w:t>may not be given effect to by a Bermuda court if and to the extent they constitute the payment of an amount which is in the nature of a penalty; and</w:t>
      </w:r>
    </w:p>
    <w:p>
      <w:pPr>
        <w:spacing w:after="0" w:line="113" w:lineRule="exact"/>
        <w:rPr>
          <w:rFonts w:ascii="Arial" w:cs="Arial" w:eastAsia="Arial" w:hAnsi="Arial"/>
          <w:sz w:val="20"/>
          <w:szCs w:val="20"/>
          <w:color w:val="2D2A30"/>
        </w:rPr>
      </w:pPr>
    </w:p>
    <w:p>
      <w:pPr>
        <w:jc w:val="both"/>
        <w:ind w:left="1300" w:hanging="644"/>
        <w:spacing w:after="0" w:line="283" w:lineRule="auto"/>
        <w:tabs>
          <w:tab w:leader="none" w:pos="1299" w:val="left"/>
        </w:tabs>
        <w:numPr>
          <w:ilvl w:val="0"/>
          <w:numId w:val="156"/>
        </w:numPr>
        <w:rPr>
          <w:rFonts w:ascii="Arial" w:cs="Arial" w:eastAsia="Arial" w:hAnsi="Arial"/>
          <w:sz w:val="20"/>
          <w:szCs w:val="20"/>
          <w:color w:val="2D2A30"/>
        </w:rPr>
      </w:pPr>
      <w:r>
        <w:rPr>
          <w:rFonts w:ascii="Arial" w:cs="Arial" w:eastAsia="Arial" w:hAnsi="Arial"/>
          <w:sz w:val="20"/>
          <w:szCs w:val="20"/>
          <w:color w:val="2D2A30"/>
        </w:rPr>
        <w:t>may not be given effect by a Bermuda court to the extent that they are to be performed in a jurisdiction outside Bermuda and such performance would be illegal under the laws of that jurisdiction. Notwithstanding any contractual submission to the exclusive or non-exclusive jurisdiction of specific courts, a Bermuda court has inherent discretion to stay or allow proceedings in the Bermuda courts.</w:t>
      </w:r>
    </w:p>
    <w:p>
      <w:pPr>
        <w:spacing w:after="0" w:line="144"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Arial" w:cs="Arial" w:eastAsia="Arial" w:hAnsi="Arial"/>
          <w:sz w:val="20"/>
          <w:szCs w:val="20"/>
          <w:color w:val="2D2A30"/>
        </w:rPr>
        <w:t>3.2.</w:t>
        <w:tab/>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the issuance of the Securities by the Company as described in the Registration Statement and is not to be relied upon in respect of any other matter.</w:t>
      </w:r>
    </w:p>
    <w:p>
      <w:pPr>
        <w:spacing w:after="0" w:line="145" w:lineRule="exact"/>
        <w:rPr>
          <w:sz w:val="20"/>
          <w:szCs w:val="20"/>
          <w:color w:val="auto"/>
        </w:rPr>
      </w:pPr>
    </w:p>
    <w:p>
      <w:pPr>
        <w:ind w:left="640" w:hanging="632"/>
        <w:spacing w:after="0"/>
        <w:tabs>
          <w:tab w:leader="none" w:pos="640"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2D2A30"/>
        </w:rPr>
        <w:t>OPINIONS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2D2A30"/>
        </w:rPr>
        <w:t>On the basis of and subject to the foregoing we are of the opinion that:</w:t>
      </w:r>
    </w:p>
    <w:p>
      <w:pPr>
        <w:spacing w:after="0" w:line="202"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0"/>
          <w:szCs w:val="20"/>
          <w:color w:val="2D2A30"/>
        </w:rPr>
        <w:t>4.1.</w:t>
        <w:tab/>
        <w:t xml:space="preserve">The Company is duly incorporated and existing under the laws of Bermuda in good standing (meaning solely that it has not failed to make any filing with any Bermuda governmental authority </w:t>
      </w:r>
      <w:r>
        <w:rPr>
          <w:rFonts w:ascii="Arial" w:cs="Arial" w:eastAsia="Arial" w:hAnsi="Arial"/>
          <w:sz w:val="18"/>
          <w:szCs w:val="18"/>
          <w:color w:val="2D2A30"/>
        </w:rPr>
        <w:t>under the Companies Act 1981</w:t>
      </w:r>
      <w:r>
        <w:rPr>
          <w:rFonts w:ascii="Arial" w:cs="Arial" w:eastAsia="Arial" w:hAnsi="Arial"/>
          <w:sz w:val="20"/>
          <w:szCs w:val="20"/>
          <w:color w:val="2D2A30"/>
        </w:rPr>
        <w:t>, or to pay any Bermuda government fee or tax, which would make it liable to be struck off the Register of Companies and thereby cease to exist under the laws of Bermuda).</w:t>
      </w:r>
    </w:p>
    <w:p>
      <w:pPr>
        <w:spacing w:after="0" w:line="142"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Arial" w:cs="Arial" w:eastAsia="Arial" w:hAnsi="Arial"/>
          <w:sz w:val="20"/>
          <w:szCs w:val="20"/>
          <w:color w:val="2D2A30"/>
        </w:rPr>
        <w:t>4.2.</w:t>
        <w:tab/>
        <w:t>Upon the due issuance of the Debt Securities and payment of the consideration therefor, such Debt Securities will be validly issued.</w:t>
      </w:r>
    </w:p>
    <w:p>
      <w:pPr>
        <w:spacing w:after="0" w:line="127"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Arial" w:cs="Arial" w:eastAsia="Arial" w:hAnsi="Arial"/>
          <w:sz w:val="20"/>
          <w:szCs w:val="20"/>
          <w:color w:val="2D2A30"/>
        </w:rPr>
        <w:t>4.3.</w:t>
        <w:tab/>
        <w:t>When a Guarantee is endorsed, authenticated and delivered by the trustee of the relevant series of debt securities upon the issuance of such debt securities, such Guarantee will constitute the valid and binding obligations of the Company enforceable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conyers.com | 4</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2D2A30"/>
        </w:rPr>
        <w:t>We hereby consent to the filing of this opinion as an exhibit to the Registration Statement and to the references to our firm under the caption “Legal Matters” in the prospectus forming a part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2D2A30"/>
        </w:rPr>
        <w:t>Yours faithfully,</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2D2A30"/>
        </w:rPr>
        <w:t>/s/ Conyers Dill &amp; Pearman Limited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2D2A30"/>
        </w:rPr>
        <w:t>Conyers Dill &amp; Pearman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conyers.com | 5</w:t>
      </w:r>
    </w:p>
    <w:p>
      <w:pPr>
        <w:sectPr>
          <w:pgSz w:w="11900" w:h="16838" w:orient="portrait"/>
          <w:cols w:equalWidth="0" w:num="1">
            <w:col w:w="11240"/>
          </w:cols>
          <w:pgMar w:left="320" w:top="144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b w:val="1"/>
          <w:bCs w:val="1"/>
          <w:color w:val="auto"/>
        </w:rPr>
        <w:t>Exhibit 23.4</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6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2"/>
          <w:szCs w:val="22"/>
          <w:color w:val="auto"/>
        </w:rPr>
        <w:t>We consent to the use of our reports dated February 6, 2025, with respect to the consolidated financial statements of Weatherford International plc, and the effectiveness of internal control over financial reporting, incorporated herein by reference, and to the reference to our firm under the heading “Experts” in the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KPMG LLP</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13, 2025</w:t>
      </w:r>
    </w:p>
    <w:p>
      <w:pPr>
        <w:sectPr>
          <w:pgSz w:w="11900" w:h="16838" w:orient="portrait"/>
          <w:cols w:equalWidth="0" w:num="1">
            <w:col w:w="11240"/>
          </w:cols>
          <w:pgMar w:left="320" w:top="1418" w:right="339" w:bottom="1440" w:gutter="0" w:footer="0" w:header="0"/>
        </w:sectPr>
      </w:pPr>
    </w:p>
    <w:bookmarkStart w:id="171" w:name="page172"/>
    <w:bookmarkEnd w:id="171"/>
    <w:p>
      <w:pPr>
        <w:ind w:left="2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w:t>
      </w:r>
    </w:p>
    <w:p>
      <w:pPr>
        <w:ind w:left="4920"/>
        <w:spacing w:after="0" w:line="237" w:lineRule="auto"/>
        <w:rPr>
          <w:sz w:val="20"/>
          <w:szCs w:val="20"/>
          <w:color w:val="auto"/>
        </w:rPr>
      </w:pPr>
      <w:r>
        <w:rPr>
          <w:rFonts w:ascii="Times New Roman" w:cs="Times New Roman" w:eastAsia="Times New Roman" w:hAnsi="Times New Roman"/>
          <w:sz w:val="18"/>
          <w:szCs w:val="18"/>
          <w:b w:val="1"/>
          <w:bCs w:val="1"/>
          <w:color w:val="auto"/>
        </w:rPr>
        <w:t>UNITED STATES</w:t>
      </w:r>
    </w:p>
    <w:p>
      <w:pPr>
        <w:ind w:left="3680"/>
        <w:spacing w:after="0" w:line="203"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line="204"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4720"/>
        <w:spacing w:after="0" w:line="219" w:lineRule="auto"/>
        <w:rPr>
          <w:sz w:val="20"/>
          <w:szCs w:val="20"/>
          <w:color w:val="auto"/>
        </w:rPr>
      </w:pPr>
      <w:r>
        <w:rPr>
          <w:rFonts w:ascii="Times New Roman" w:cs="Times New Roman" w:eastAsia="Times New Roman" w:hAnsi="Times New Roman"/>
          <w:sz w:val="18"/>
          <w:szCs w:val="18"/>
          <w:b w:val="1"/>
          <w:bCs w:val="1"/>
          <w:color w:val="auto"/>
        </w:rPr>
        <w:t>____________________</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T-1</w:t>
      </w:r>
    </w:p>
    <w:p>
      <w:pPr>
        <w:spacing w:after="0" w:line="192" w:lineRule="exact"/>
        <w:rPr>
          <w:sz w:val="20"/>
          <w:szCs w:val="20"/>
          <w:color w:val="auto"/>
        </w:rPr>
      </w:pPr>
    </w:p>
    <w:p>
      <w:pPr>
        <w:ind w:right="220"/>
        <w:spacing w:after="0" w:line="363" w:lineRule="auto"/>
        <w:rPr>
          <w:sz w:val="20"/>
          <w:szCs w:val="20"/>
          <w:color w:val="auto"/>
        </w:rPr>
      </w:pPr>
      <w:r>
        <w:rPr>
          <w:rFonts w:ascii="Times New Roman" w:cs="Times New Roman" w:eastAsia="Times New Roman" w:hAnsi="Times New Roman"/>
          <w:sz w:val="18"/>
          <w:szCs w:val="18"/>
          <w:color w:val="auto"/>
        </w:rPr>
        <w:t>STATEMENT OF ELIGIBILITY UNDER THE TRUST INDENTURE ACT OF 1939 OF A CORPORATION DESIGNATED TO ACT AS TRUSTEE CHECK IF AN APPLICATION TO DETERMINE ELIGIBILITY OF A TRUSTEE PURSUANT TO SECTION 305(b)(2)</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jc w:val="center"/>
        <w:ind w:right="-59"/>
        <w:spacing w:after="0" w:line="219" w:lineRule="auto"/>
        <w:rPr>
          <w:sz w:val="20"/>
          <w:szCs w:val="20"/>
          <w:color w:val="auto"/>
        </w:rPr>
      </w:pPr>
      <w:r>
        <w:rPr>
          <w:rFonts w:ascii="Times New Roman" w:cs="Times New Roman" w:eastAsia="Times New Roman" w:hAnsi="Times New Roman"/>
          <w:sz w:val="18"/>
          <w:szCs w:val="18"/>
          <w:b w:val="1"/>
          <w:bCs w:val="1"/>
          <w:color w:val="auto"/>
        </w:rPr>
        <w:t>(formerly BANKERS TRUST COMPANY)</w:t>
      </w:r>
    </w:p>
    <w:p>
      <w:pPr>
        <w:jc w:val="center"/>
        <w:ind w:right="-59"/>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ectPr>
          <w:pgSz w:w="11900" w:h="16838" w:orient="portrait"/>
          <w:cols w:equalWidth="0" w:num="1">
            <w:col w:w="11200"/>
          </w:cols>
          <w:pgMar w:left="320" w:top="1012" w:right="379" w:bottom="1440" w:gutter="0" w:footer="0" w:header="0"/>
        </w:sectPr>
      </w:pP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13-4941247</w:t>
      </w:r>
    </w:p>
    <w:p>
      <w:pPr>
        <w:spacing w:after="0" w:line="18" w:lineRule="exact"/>
        <w:rPr>
          <w:sz w:val="20"/>
          <w:szCs w:val="20"/>
          <w:color w:val="auto"/>
        </w:rPr>
      </w:pPr>
    </w:p>
    <w:p>
      <w:pPr>
        <w:sectPr>
          <w:pgSz w:w="11900" w:h="16838" w:orient="portrait"/>
          <w:cols w:equalWidth="0" w:num="2">
            <w:col w:w="5880" w:space="720"/>
            <w:col w:w="4600"/>
          </w:cols>
          <w:pgMar w:left="320" w:top="1012" w:right="379" w:bottom="1440" w:gutter="0" w:footer="0" w:header="0"/>
          <w:type w:val="continuous"/>
        </w:sectPr>
      </w:pPr>
    </w:p>
    <w:p>
      <w:pPr>
        <w:spacing w:after="0" w:line="5" w:lineRule="exact"/>
        <w:rPr>
          <w:sz w:val="20"/>
          <w:szCs w:val="20"/>
          <w:color w:val="auto"/>
        </w:rPr>
      </w:pPr>
    </w:p>
    <w:p>
      <w:pPr>
        <w:ind w:left="2260"/>
        <w:spacing w:after="0" w:line="234" w:lineRule="auto"/>
        <w:rPr>
          <w:sz w:val="20"/>
          <w:szCs w:val="20"/>
          <w:color w:val="auto"/>
        </w:rPr>
      </w:pPr>
      <w:r>
        <w:rPr>
          <w:rFonts w:ascii="Times New Roman" w:cs="Times New Roman" w:eastAsia="Times New Roman" w:hAnsi="Times New Roman"/>
          <w:sz w:val="18"/>
          <w:szCs w:val="18"/>
          <w:color w:val="auto"/>
        </w:rPr>
        <w:t>(Jurisdiction of Incorporation or organization is not a U.S. national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rPr>
          <w:sz w:val="20"/>
          <w:szCs w:val="20"/>
          <w:color w:val="auto"/>
        </w:rPr>
      </w:pPr>
      <w:r>
        <w:rPr>
          <w:rFonts w:ascii="Times New Roman" w:cs="Times New Roman" w:eastAsia="Times New Roman" w:hAnsi="Times New Roman"/>
          <w:sz w:val="18"/>
          <w:szCs w:val="18"/>
          <w:color w:val="auto"/>
        </w:rPr>
        <w:t>no.)</w:t>
      </w:r>
    </w:p>
    <w:p>
      <w:pPr>
        <w:spacing w:after="0" w:line="205" w:lineRule="exact"/>
        <w:rPr>
          <w:sz w:val="20"/>
          <w:szCs w:val="20"/>
          <w:color w:val="auto"/>
        </w:rPr>
      </w:pPr>
    </w:p>
    <w:p>
      <w:pPr>
        <w:sectPr>
          <w:pgSz w:w="11900" w:h="16838" w:orient="portrait"/>
          <w:cols w:equalWidth="0" w:num="2">
            <w:col w:w="6080" w:space="520"/>
            <w:col w:w="4600"/>
          </w:cols>
          <w:pgMar w:left="320" w:top="1012" w:right="379" w:bottom="1440" w:gutter="0" w:footer="0" w:header="0"/>
          <w:type w:val="continuous"/>
        </w:sectPr>
      </w:pPr>
    </w:p>
    <w:p>
      <w:pPr>
        <w:spacing w:after="0" w:line="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1 COLUMBUS CIRCLE</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NEW YORK, NEW YORK</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10019</w:t>
      </w:r>
    </w:p>
    <w:p>
      <w:pPr>
        <w:spacing w:after="0" w:line="31" w:lineRule="exact"/>
        <w:rPr>
          <w:sz w:val="20"/>
          <w:szCs w:val="20"/>
          <w:color w:val="auto"/>
        </w:rPr>
      </w:pPr>
    </w:p>
    <w:p>
      <w:pPr>
        <w:sectPr>
          <w:pgSz w:w="11900" w:h="16838" w:orient="portrait"/>
          <w:cols w:equalWidth="0" w:num="2">
            <w:col w:w="5880" w:space="720"/>
            <w:col w:w="4600"/>
          </w:cols>
          <w:pgMar w:left="320" w:top="1012" w:right="37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0"/>
          <w:szCs w:val="20"/>
          <w:color w:val="auto"/>
        </w:rPr>
      </w:pPr>
    </w:p>
    <w:p>
      <w:pPr>
        <w:sectPr>
          <w:pgSz w:w="11900" w:h="16838" w:orient="portrait"/>
          <w:cols w:equalWidth="0" w:num="2">
            <w:col w:w="5880" w:space="720"/>
            <w:col w:w="4600"/>
          </w:cols>
          <w:pgMar w:left="320" w:top="1012" w:right="379" w:bottom="1440" w:gutter="0" w:footer="0" w:header="0"/>
          <w:type w:val="continuous"/>
        </w:sectPr>
      </w:pP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jc w:val="center"/>
        <w:ind w:right="-39"/>
        <w:spacing w:after="0" w:line="203" w:lineRule="auto"/>
        <w:rPr>
          <w:sz w:val="20"/>
          <w:szCs w:val="20"/>
          <w:color w:val="auto"/>
        </w:rPr>
      </w:pPr>
      <w:r>
        <w:rPr>
          <w:rFonts w:ascii="Times New Roman" w:cs="Times New Roman" w:eastAsia="Times New Roman" w:hAnsi="Times New Roman"/>
          <w:sz w:val="18"/>
          <w:szCs w:val="18"/>
          <w:b w:val="1"/>
          <w:bCs w:val="1"/>
          <w:color w:val="auto"/>
        </w:rPr>
        <w:t>1 Columbus Circle</w:t>
      </w:r>
    </w:p>
    <w:p>
      <w:pPr>
        <w:jc w:val="center"/>
        <w:ind w:right="-39"/>
        <w:spacing w:after="0" w:line="203" w:lineRule="auto"/>
        <w:rPr>
          <w:sz w:val="20"/>
          <w:szCs w:val="20"/>
          <w:color w:val="auto"/>
        </w:rPr>
      </w:pPr>
      <w:r>
        <w:rPr>
          <w:rFonts w:ascii="Times New Roman" w:cs="Times New Roman" w:eastAsia="Times New Roman" w:hAnsi="Times New Roman"/>
          <w:sz w:val="18"/>
          <w:szCs w:val="18"/>
          <w:b w:val="1"/>
          <w:bCs w:val="1"/>
          <w:color w:val="auto"/>
        </w:rPr>
        <w:t>New York, New York 10019</w:t>
      </w:r>
    </w:p>
    <w:p>
      <w:pPr>
        <w:jc w:val="center"/>
        <w:ind w:right="-39"/>
        <w:spacing w:after="0" w:line="220" w:lineRule="auto"/>
        <w:rPr>
          <w:sz w:val="20"/>
          <w:szCs w:val="20"/>
          <w:color w:val="auto"/>
        </w:rPr>
      </w:pPr>
      <w:r>
        <w:rPr>
          <w:rFonts w:ascii="Times New Roman" w:cs="Times New Roman" w:eastAsia="Times New Roman" w:hAnsi="Times New Roman"/>
          <w:sz w:val="18"/>
          <w:szCs w:val="18"/>
          <w:b w:val="1"/>
          <w:bCs w:val="1"/>
          <w:color w:val="auto"/>
        </w:rPr>
        <w:t>(212) 250 – 2500</w:t>
      </w:r>
    </w:p>
    <w:p>
      <w:pPr>
        <w:jc w:val="center"/>
        <w:ind w:right="-39"/>
        <w:spacing w:after="0" w:line="203" w:lineRule="auto"/>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obligor as specified in its charter)</w:t>
      </w:r>
    </w:p>
    <w:p>
      <w:pPr>
        <w:spacing w:after="0" w:line="7" w:lineRule="exact"/>
        <w:rPr>
          <w:sz w:val="20"/>
          <w:szCs w:val="20"/>
          <w:color w:val="auto"/>
        </w:rPr>
      </w:pPr>
    </w:p>
    <w:tbl>
      <w:tblPr>
        <w:tblLayout w:type="fixed"/>
        <w:tblInd w:w="2080" w:type="dxa"/>
        <w:tblCellMar>
          <w:top w:w="0" w:type="dxa"/>
          <w:left w:w="0" w:type="dxa"/>
          <w:bottom w:w="0" w:type="dxa"/>
          <w:right w:w="0" w:type="dxa"/>
        </w:tblCellMar>
      </w:tblPr>
      <w:tr>
        <w:trPr>
          <w:trHeight w:val="238"/>
        </w:trPr>
        <w:tc>
          <w:tcPr>
            <w:tcW w:w="40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16"/>
        </w:trPr>
        <w:tc>
          <w:tcPr>
            <w:tcW w:w="404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52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4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2000 St. James Place, Houston, Texas 77056</w:t>
      </w:r>
    </w:p>
    <w:p>
      <w:pPr>
        <w:jc w:val="center"/>
        <w:ind w:right="-3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Ltd.</w:t>
            </w:r>
          </w:p>
        </w:tc>
        <w:tc>
          <w:tcPr>
            <w:tcW w:w="55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LLC</w:t>
            </w:r>
          </w:p>
        </w:tc>
      </w:tr>
      <w:tr>
        <w:trPr>
          <w:trHeight w:val="225"/>
        </w:trPr>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(Exact name of co-registrant as specified in its charter)</w:t>
            </w:r>
          </w:p>
        </w:tc>
        <w:tc>
          <w:tcPr>
            <w:tcW w:w="5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(Exact name of co-registrant as specified in its charter)</w:t>
            </w:r>
          </w:p>
        </w:tc>
      </w:tr>
      <w:tr>
        <w:trPr>
          <w:trHeight w:val="234"/>
        </w:trPr>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55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225"/>
        </w:trPr>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r>
      <w:tr>
        <w:trPr>
          <w:trHeight w:val="233"/>
        </w:trPr>
        <w:tc>
          <w:tcPr>
            <w:tcW w:w="5480" w:type="dxa"/>
            <w:vAlign w:val="bottom"/>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98-0371344</w:t>
            </w:r>
          </w:p>
        </w:tc>
        <w:tc>
          <w:tcPr>
            <w:tcW w:w="5500" w:type="dxa"/>
            <w:vAlign w:val="bottom"/>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33-0430755</w:t>
            </w:r>
          </w:p>
        </w:tc>
      </w:tr>
      <w:tr>
        <w:trPr>
          <w:trHeight w:val="234"/>
        </w:trPr>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5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21"/>
        </w:trPr>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2000 St. James Place, Houston, Texas 77056</w:t>
            </w:r>
          </w:p>
        </w:tc>
        <w:tc>
          <w:tcPr>
            <w:tcW w:w="5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2000 St. James Place, Houston, Texas 77056</w:t>
            </w:r>
          </w:p>
        </w:tc>
      </w:tr>
      <w:tr>
        <w:trPr>
          <w:trHeight w:val="238"/>
        </w:trPr>
        <w:tc>
          <w:tcPr>
            <w:tcW w:w="548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(713) 836-4000</w:t>
            </w:r>
          </w:p>
        </w:tc>
        <w:tc>
          <w:tcPr>
            <w:tcW w:w="5500" w:type="dxa"/>
            <w:vAlign w:val="bottom"/>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(713) 836-4000</w:t>
            </w:r>
          </w:p>
        </w:tc>
      </w:tr>
      <w:tr>
        <w:trPr>
          <w:trHeight w:val="252"/>
        </w:trPr>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 area code,</w:t>
            </w:r>
          </w:p>
        </w:tc>
        <w:tc>
          <w:tcPr>
            <w:tcW w:w="5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 area code,</w:t>
            </w:r>
          </w:p>
        </w:tc>
      </w:tr>
      <w:tr>
        <w:trPr>
          <w:trHeight w:val="234"/>
        </w:trPr>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co-registrant’s principal executive offices)</w:t>
            </w:r>
          </w:p>
        </w:tc>
        <w:tc>
          <w:tcPr>
            <w:tcW w:w="55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of co-registrant’s principal executive offices)</w:t>
            </w:r>
          </w:p>
        </w:tc>
      </w:tr>
    </w:tbl>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Debt Securities</w:t>
      </w:r>
    </w:p>
    <w:p>
      <w:pPr>
        <w:jc w:val="center"/>
        <w:ind w:right="-39"/>
        <w:spacing w:after="0"/>
        <w:rPr>
          <w:sz w:val="20"/>
          <w:szCs w:val="20"/>
          <w:color w:val="auto"/>
        </w:rPr>
      </w:pPr>
      <w:r>
        <w:rPr>
          <w:rFonts w:ascii="Times New Roman" w:cs="Times New Roman" w:eastAsia="Times New Roman" w:hAnsi="Times New Roman"/>
          <w:sz w:val="18"/>
          <w:szCs w:val="18"/>
          <w:color w:val="auto"/>
        </w:rPr>
        <w:t>(Title of the Indenture securities)</w:t>
      </w:r>
    </w:p>
    <w:p>
      <w:pPr>
        <w:sectPr>
          <w:pgSz w:w="11900" w:h="16838" w:orient="portrait"/>
          <w:cols w:equalWidth="0" w:num="1">
            <w:col w:w="11200"/>
          </w:cols>
          <w:pgMar w:left="320" w:top="1012" w:right="379" w:bottom="1440" w:gutter="0" w:footer="0" w:header="0"/>
          <w:type w:val="continuous"/>
        </w:sectPr>
      </w:pPr>
    </w:p>
    <w:bookmarkStart w:id="172" w:name="page173"/>
    <w:bookmarkEnd w:id="17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General Information.</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Furnish the following information as to the trustee.</w:t>
      </w:r>
    </w:p>
    <w:p>
      <w:pPr>
        <w:spacing w:after="0" w:line="252" w:lineRule="exact"/>
        <w:rPr>
          <w:sz w:val="20"/>
          <w:szCs w:val="20"/>
          <w:color w:val="auto"/>
        </w:rPr>
      </w:pPr>
    </w:p>
    <w:p>
      <w:pPr>
        <w:ind w:left="440" w:hanging="432"/>
        <w:spacing w:after="0"/>
        <w:tabs>
          <w:tab w:leader="none" w:pos="4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each examining or supervising authority to which it is subject.</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418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r>
      <w:tr>
        <w:trPr>
          <w:trHeight w:val="20"/>
        </w:trPr>
        <w:tc>
          <w:tcPr>
            <w:tcW w:w="4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45"/>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Reserve Bank (2nd District)</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w:t>
            </w:r>
          </w:p>
        </w:tc>
      </w:tr>
      <w:tr>
        <w:trPr>
          <w:trHeight w:val="22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23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State Banking Department</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Albany, NY</w:t>
            </w:r>
          </w:p>
        </w:tc>
      </w:tr>
    </w:tbl>
    <w:p>
      <w:pPr>
        <w:spacing w:after="0" w:line="200" w:lineRule="exact"/>
        <w:rPr>
          <w:sz w:val="20"/>
          <w:szCs w:val="20"/>
          <w:color w:val="auto"/>
        </w:rPr>
      </w:pPr>
    </w:p>
    <w:p>
      <w:pPr>
        <w:spacing w:after="0" w:line="376" w:lineRule="exact"/>
        <w:rPr>
          <w:sz w:val="20"/>
          <w:szCs w:val="20"/>
          <w:color w:val="auto"/>
        </w:rPr>
      </w:pPr>
    </w:p>
    <w:p>
      <w:pPr>
        <w:ind w:left="360" w:right="6400" w:hanging="172"/>
        <w:spacing w:after="0" w:line="282" w:lineRule="auto"/>
        <w:tabs>
          <w:tab w:leader="none" w:pos="57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is authorized to exercise corporate trust powers. Yes.</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Affiliations with Obligor.</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If the obligor is an affiliate of the Trustee, describe each such affiliation.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 -15.</w:t>
        <w:tab/>
        <w:t>Not Applicable</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List of Exhibits.</w:t>
      </w:r>
    </w:p>
    <w:p>
      <w:pPr>
        <w:spacing w:after="0" w:line="25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Exhibit 1 - </w:t>
      </w:r>
      <w:r>
        <w:rPr>
          <w:rFonts w:ascii="Times New Roman" w:cs="Times New Roman" w:eastAsia="Times New Roman" w:hAnsi="Times New Roman"/>
          <w:sz w:val="18"/>
          <w:szCs w:val="18"/>
          <w:color w:val="auto"/>
        </w:rPr>
        <w:t>Restated Organization Certificate of Bankers Trust Company dated August 31, 1998; Certificate of Amendment of the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Bankers Trust Company dated September 25, 1998; Certificate of Amendment of the Organization Certificate of Bankers Trust Company dated December 18, 1998;Certificate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p>
      <w:pPr>
        <w:spacing w:after="0" w:line="20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Exhibit 2 -</w:t>
      </w:r>
      <w:r>
        <w:rPr>
          <w:sz w:val="20"/>
          <w:szCs w:val="20"/>
          <w:color w:val="auto"/>
        </w:rPr>
        <w:tab/>
      </w:r>
      <w:r>
        <w:rPr>
          <w:rFonts w:ascii="Times New Roman" w:cs="Times New Roman" w:eastAsia="Times New Roman" w:hAnsi="Times New Roman"/>
          <w:sz w:val="17"/>
          <w:szCs w:val="17"/>
          <w:color w:val="auto"/>
        </w:rPr>
        <w:t>Certificate of Authority to commence business, incorporated herein by reference to Exhibit 2 filed with Form T-1 Statement, Registration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333-201810.</w:t>
      </w:r>
    </w:p>
    <w:p>
      <w:pPr>
        <w:spacing w:after="0" w:line="2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3 - </w:t>
      </w:r>
      <w:r>
        <w:rPr>
          <w:rFonts w:ascii="Times New Roman" w:cs="Times New Roman" w:eastAsia="Times New Roman" w:hAnsi="Times New Roman"/>
          <w:sz w:val="18"/>
          <w:szCs w:val="18"/>
          <w:color w:val="auto"/>
        </w:rPr>
        <w:t>Authorization of the Trustee to exercise corporate trust powers, incorporated herein by reference to Exhibit 3 filed with Form T-1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No. 333-201810.</w:t>
      </w:r>
    </w:p>
    <w:p>
      <w:pPr>
        <w:spacing w:after="0" w:line="1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Exhibit 4 -</w:t>
      </w:r>
      <w:r>
        <w:rPr>
          <w:sz w:val="20"/>
          <w:szCs w:val="20"/>
          <w:color w:val="auto"/>
        </w:rPr>
        <w:tab/>
      </w:r>
      <w:r>
        <w:rPr>
          <w:rFonts w:ascii="Times New Roman" w:cs="Times New Roman" w:eastAsia="Times New Roman" w:hAnsi="Times New Roman"/>
          <w:sz w:val="17"/>
          <w:szCs w:val="17"/>
          <w:color w:val="auto"/>
        </w:rPr>
        <w:t>A copy of existing By-Laws of Deutsche Bank Trust Company Americas, dated March 2, 2023 (see attached).</w:t>
      </w:r>
    </w:p>
    <w:p>
      <w:pPr>
        <w:sectPr>
          <w:pgSz w:w="11900" w:h="16838" w:orient="portrait"/>
          <w:cols w:equalWidth="0" w:num="1">
            <w:col w:w="11220"/>
          </w:cols>
          <w:pgMar w:left="320" w:top="1008" w:right="359" w:bottom="1440" w:gutter="0" w:footer="0" w:header="0"/>
        </w:sectPr>
      </w:pPr>
    </w:p>
    <w:bookmarkStart w:id="173" w:name="page174"/>
    <w:bookmarkEnd w:id="173"/>
    <w:p>
      <w:pPr>
        <w:spacing w:after="0" w:line="5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Exhibit 5 -</w:t>
      </w:r>
      <w:r>
        <w:rPr>
          <w:sz w:val="20"/>
          <w:szCs w:val="20"/>
          <w:color w:val="auto"/>
        </w:rPr>
        <w:tab/>
      </w:r>
      <w:r>
        <w:rPr>
          <w:rFonts w:ascii="Times New Roman" w:cs="Times New Roman" w:eastAsia="Times New Roman" w:hAnsi="Times New Roman"/>
          <w:sz w:val="17"/>
          <w:szCs w:val="17"/>
          <w:color w:val="auto"/>
        </w:rPr>
        <w:t>Not applicable.</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6 - </w:t>
      </w:r>
      <w:r>
        <w:rPr>
          <w:rFonts w:ascii="Times New Roman" w:cs="Times New Roman" w:eastAsia="Times New Roman" w:hAnsi="Times New Roman"/>
          <w:sz w:val="18"/>
          <w:szCs w:val="18"/>
          <w:color w:val="auto"/>
        </w:rPr>
        <w:t>Consent of Bankers Trust Company required by Section 321(b) of the Act, incorporated herein by reference to Exhibit 6 filed with Form 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Registration No. 333-201810.</w:t>
      </w:r>
    </w:p>
    <w:p>
      <w:pPr>
        <w:spacing w:after="0" w:line="1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Exhibit 7 -</w:t>
      </w:r>
      <w:r>
        <w:rPr>
          <w:sz w:val="20"/>
          <w:szCs w:val="20"/>
          <w:color w:val="auto"/>
        </w:rPr>
        <w:tab/>
      </w:r>
      <w:r>
        <w:rPr>
          <w:rFonts w:ascii="Times New Roman" w:cs="Times New Roman" w:eastAsia="Times New Roman" w:hAnsi="Times New Roman"/>
          <w:sz w:val="17"/>
          <w:szCs w:val="17"/>
          <w:color w:val="auto"/>
        </w:rPr>
        <w:t>A copy of the latest report of condition of the trustee published pursuant to law or the requirements of its supervising or examining authority.</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Exhibit 8 -</w:t>
      </w:r>
      <w:r>
        <w:rPr>
          <w:sz w:val="20"/>
          <w:szCs w:val="20"/>
          <w:color w:val="auto"/>
        </w:rPr>
        <w:tab/>
      </w:r>
      <w:r>
        <w:rPr>
          <w:rFonts w:ascii="Times New Roman" w:cs="Times New Roman" w:eastAsia="Times New Roman" w:hAnsi="Times New Roman"/>
          <w:sz w:val="17"/>
          <w:szCs w:val="17"/>
          <w:color w:val="auto"/>
        </w:rPr>
        <w:t>Not Applicable.</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Exhibit 9 -</w:t>
      </w:r>
      <w:r>
        <w:rPr>
          <w:sz w:val="20"/>
          <w:szCs w:val="20"/>
          <w:color w:val="auto"/>
        </w:rPr>
        <w:tab/>
      </w: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1440" w:right="459" w:bottom="1440" w:gutter="0" w:footer="0" w:header="0"/>
        </w:sectPr>
      </w:pPr>
    </w:p>
    <w:bookmarkStart w:id="174" w:name="page175"/>
    <w:bookmarkEnd w:id="17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18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June, 2025.</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Irina Golovashchuk</w:t>
            </w:r>
          </w:p>
        </w:tc>
      </w:tr>
      <w:tr>
        <w:trPr>
          <w:trHeight w:val="218"/>
        </w:trPr>
        <w:tc>
          <w:tcPr>
            <w:tcW w:w="6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Irina Golovashchuk</w:t>
            </w:r>
          </w:p>
        </w:tc>
      </w:tr>
      <w:tr>
        <w:trPr>
          <w:trHeight w:val="234"/>
        </w:trPr>
        <w:tc>
          <w:tcPr>
            <w:tcW w:w="6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Vice President</w:t>
            </w:r>
          </w:p>
        </w:tc>
      </w:tr>
    </w:tbl>
    <w:p>
      <w:pPr>
        <w:sectPr>
          <w:pgSz w:w="11900" w:h="16838" w:orient="portrait"/>
          <w:cols w:equalWidth="0" w:num="1">
            <w:col w:w="11080"/>
          </w:cols>
          <w:pgMar w:left="320" w:top="1008" w:right="49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20"/>
          <w:szCs w:val="20"/>
          <w:b w:val="1"/>
          <w:bCs w:val="1"/>
          <w:color w:val="auto"/>
        </w:rPr>
        <w:t>AMENDED AND RESTATED BY-LAWS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DEUTSCHE BANK TRUST COMPANY AMERICAS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I</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STOCKHOLDERS</w:t>
      </w:r>
    </w:p>
    <w:p>
      <w:pPr>
        <w:spacing w:after="0" w:line="243" w:lineRule="exact"/>
        <w:rPr>
          <w:sz w:val="20"/>
          <w:szCs w:val="20"/>
          <w:color w:val="auto"/>
        </w:rPr>
      </w:pPr>
    </w:p>
    <w:p>
      <w:pPr>
        <w:ind w:right="100" w:firstLine="1296"/>
        <w:spacing w:after="0" w:line="258" w:lineRule="auto"/>
        <w:rPr>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t>
      </w:r>
      <w:r>
        <w:rPr>
          <w:rFonts w:ascii="Arial" w:cs="Arial" w:eastAsia="Arial" w:hAnsi="Arial"/>
          <w:sz w:val="20"/>
          <w:szCs w:val="20"/>
          <w:u w:val="single" w:color="auto"/>
          <w:color w:val="auto"/>
        </w:rPr>
        <w:t>Annual Meeting</w:t>
      </w:r>
      <w:r>
        <w:rPr>
          <w:rFonts w:ascii="Arial" w:cs="Arial" w:eastAsia="Arial" w:hAnsi="Arial"/>
          <w:sz w:val="20"/>
          <w:szCs w:val="20"/>
          <w:color w:val="auto"/>
        </w:rPr>
        <w:t>. The annual meeting of the stockholders of Deutsche Bank Trust Company Americas (the “Company”) shall be held in the City of New York within the State of New York within the first four months of the Company’s fiscal year, on such date and at such time and place as the board of directors of the Company (“Board of Directors” or “Board”) may designate in the call or in a waiver of notice thereof, for the purpose of electing directors and for the transaction of such other business as may properly be brought before the meeting.</w:t>
      </w:r>
    </w:p>
    <w:p>
      <w:pPr>
        <w:spacing w:after="0" w:line="195" w:lineRule="exact"/>
        <w:rPr>
          <w:sz w:val="20"/>
          <w:szCs w:val="20"/>
          <w:color w:val="auto"/>
        </w:rPr>
      </w:pPr>
    </w:p>
    <w:p>
      <w:pPr>
        <w:ind w:firstLine="1296"/>
        <w:spacing w:after="0" w:line="251" w:lineRule="auto"/>
        <w:rPr>
          <w:sz w:val="20"/>
          <w:szCs w:val="20"/>
          <w:color w:val="auto"/>
        </w:rPr>
      </w:pP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stockholders of the Company may be called by the Board of Directors or by the President, and shall be called by the President or by the Secretary upon the written request of the holders of record of at least twenty-five percent (25%) of the shares of stock of the Company issued and outstanding and entitled to vote, at such times. If for a period of thirteen months after the last annual meeting, there is a failure to elect a sufficient number of directors to conduct the business of the Company, the Board of Directors shall call a special meeting for the election of directors within two weeks after the expiration of such period; otherwise, holders of record of ten percent (10%) of the shares of stock of the Company entitled to vote in an election of directors may, in writing, demand the call of a special meeting at the office of the Company for the election of directors, specifying the date and month thereof, but not less than two nor more than three months from the date of such call. At any such special meeting called on demand of stockholders, the stockholders attending, in person or by proxy, and entitled to vote in an election of directors shall constitute a quorum for the purpose of electing directors, but not for the transaction of any other business.</w:t>
      </w:r>
    </w:p>
    <w:p>
      <w:pPr>
        <w:spacing w:after="0" w:line="216" w:lineRule="exact"/>
        <w:rPr>
          <w:sz w:val="20"/>
          <w:szCs w:val="20"/>
          <w:color w:val="auto"/>
        </w:rPr>
      </w:pPr>
    </w:p>
    <w:p>
      <w:pPr>
        <w:ind w:right="20" w:firstLine="1296"/>
        <w:spacing w:after="0" w:line="270" w:lineRule="auto"/>
        <w:rPr>
          <w:sz w:val="20"/>
          <w:szCs w:val="20"/>
          <w:color w:val="auto"/>
        </w:rPr>
      </w:pP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of Meetings</w:t>
      </w:r>
      <w:r>
        <w:rPr>
          <w:rFonts w:ascii="Arial" w:cs="Arial" w:eastAsia="Arial" w:hAnsi="Arial"/>
          <w:sz w:val="19"/>
          <w:szCs w:val="19"/>
          <w:color w:val="auto"/>
        </w:rPr>
        <w:t>. Notice of the time, place and purpose of every meeting of stockholders shall be delivered personally or mailed not less than 10 nor more than 50 days before the date of such meeting (or any other action) to each stockholder of record entitled to vote, at his post office address appearing upon the records of the Company or at such other address as shall be furnished in writing by him to the Secretary of the Company for such purpose. Such further notice shall be given as may be required by law or by these By-Laws. Any meeting may be held without notice if all stockholders entitled to vote are present in person or by proxy, or if notice is waived in writing, either before or after the meeting, by those not present.</w:t>
      </w:r>
    </w:p>
    <w:p>
      <w:pPr>
        <w:spacing w:after="0" w:line="186" w:lineRule="exact"/>
        <w:rPr>
          <w:sz w:val="20"/>
          <w:szCs w:val="20"/>
          <w:color w:val="auto"/>
        </w:rPr>
      </w:pPr>
    </w:p>
    <w:p>
      <w:pPr>
        <w:ind w:right="20" w:firstLine="1296"/>
        <w:spacing w:after="0" w:line="258" w:lineRule="auto"/>
        <w:rPr>
          <w:sz w:val="20"/>
          <w:szCs w:val="20"/>
          <w:color w:val="auto"/>
        </w:rPr>
      </w:pP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w:t>
      </w:r>
      <w:r>
        <w:rPr>
          <w:rFonts w:ascii="Arial" w:cs="Arial" w:eastAsia="Arial" w:hAnsi="Arial"/>
          <w:sz w:val="20"/>
          <w:szCs w:val="20"/>
          <w:u w:val="single" w:color="auto"/>
          <w:color w:val="auto"/>
        </w:rPr>
        <w:t>Quorum</w:t>
      </w:r>
      <w:r>
        <w:rPr>
          <w:rFonts w:ascii="Arial" w:cs="Arial" w:eastAsia="Arial" w:hAnsi="Arial"/>
          <w:sz w:val="20"/>
          <w:szCs w:val="20"/>
          <w:color w:val="auto"/>
        </w:rPr>
        <w:t>. The holders of record of at least a majority of the shares of the stock of the Company issued and outstanding and entitled to vote, present in person or by proxy, shall, except as otherwise provided by law, by the Company’s Organization Certificate or by these By-Laws, constitute a quorum at all meetings of the stockholders; if there be no such quorum, the holders of a majority of such shares so present or represented may adjourn the meeting from time to time until a quorum shall have been obtained.</w:t>
      </w:r>
    </w:p>
    <w:p>
      <w:pPr>
        <w:spacing w:after="0" w:line="195" w:lineRule="exact"/>
        <w:rPr>
          <w:sz w:val="20"/>
          <w:szCs w:val="20"/>
          <w:color w:val="auto"/>
        </w:rPr>
      </w:pPr>
    </w:p>
    <w:p>
      <w:pPr>
        <w:ind w:right="180" w:firstLine="1296"/>
        <w:spacing w:after="0" w:line="269" w:lineRule="auto"/>
        <w:rPr>
          <w:sz w:val="20"/>
          <w:szCs w:val="20"/>
          <w:color w:val="auto"/>
        </w:rPr>
      </w:pP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w:t>
      </w:r>
      <w:r>
        <w:rPr>
          <w:rFonts w:ascii="Arial" w:cs="Arial" w:eastAsia="Arial" w:hAnsi="Arial"/>
          <w:sz w:val="20"/>
          <w:szCs w:val="20"/>
          <w:u w:val="single" w:color="auto"/>
          <w:color w:val="auto"/>
        </w:rPr>
        <w:t>Organization of Meetings</w:t>
      </w:r>
      <w:r>
        <w:rPr>
          <w:rFonts w:ascii="Arial" w:cs="Arial" w:eastAsia="Arial" w:hAnsi="Arial"/>
          <w:sz w:val="20"/>
          <w:szCs w:val="20"/>
          <w:color w:val="auto"/>
        </w:rPr>
        <w:t>. Meetings of the stockholders shall be presided over by the Chairman of the Board or, if he is not present, by the President or, if he is not present, by a chairman to be chosen at the meeting. The Secretary of the Company, or in his absence an Assistant Secretary, shall act as secretary of the meeting, if present.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- 1 -</w:t>
      </w:r>
    </w:p>
    <w:p>
      <w:pPr>
        <w:sectPr>
          <w:pgSz w:w="11900" w:h="16838" w:orient="portrait"/>
          <w:cols w:equalWidth="0" w:num="1">
            <w:col w:w="11240"/>
          </w:cols>
          <w:pgMar w:left="320" w:top="1277" w:right="339" w:bottom="1440" w:gutter="0" w:footer="0" w:header="0"/>
        </w:sectPr>
      </w:pPr>
    </w:p>
    <w:bookmarkStart w:id="176" w:name="page177"/>
    <w:bookmarkEnd w:id="176"/>
    <w:p>
      <w:pPr>
        <w:ind w:right="140" w:firstLine="1296"/>
        <w:spacing w:after="0" w:line="274" w:lineRule="auto"/>
        <w:rPr>
          <w:sz w:val="20"/>
          <w:szCs w:val="20"/>
          <w:color w:val="auto"/>
        </w:rPr>
      </w:pP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w:t>
      </w:r>
      <w:r>
        <w:rPr>
          <w:rFonts w:ascii="Arial" w:cs="Arial" w:eastAsia="Arial" w:hAnsi="Arial"/>
          <w:sz w:val="19"/>
          <w:szCs w:val="19"/>
          <w:u w:val="single" w:color="auto"/>
          <w:color w:val="auto"/>
        </w:rPr>
        <w:t>Voting</w:t>
      </w:r>
      <w:r>
        <w:rPr>
          <w:rFonts w:ascii="Arial" w:cs="Arial" w:eastAsia="Arial" w:hAnsi="Arial"/>
          <w:sz w:val="19"/>
          <w:szCs w:val="19"/>
          <w:color w:val="auto"/>
        </w:rPr>
        <w:t>. At each meeting of stockholders, except as otherwise provided by statute, the Company’s Organization Certificate or these By-Laws, every holder of record of stock entitled to vote shall be entitled to one vote in person or by proxy for each share of such stock standing in his name on the records of the Company. Elections of directors shall be determined by a plurality of the votes cast thereat and, except as otherwise provided by statute, the Company’s Organization Certificate or these By-Laws, all other action shall be determined by a majority of the votes cast at such meeting.</w:t>
      </w:r>
    </w:p>
    <w:p>
      <w:pPr>
        <w:spacing w:after="0" w:line="184" w:lineRule="exact"/>
        <w:rPr>
          <w:sz w:val="20"/>
          <w:szCs w:val="20"/>
          <w:color w:val="auto"/>
        </w:rPr>
      </w:pPr>
    </w:p>
    <w:p>
      <w:pPr>
        <w:ind w:right="380" w:firstLine="1296"/>
        <w:spacing w:after="0" w:line="286" w:lineRule="auto"/>
        <w:rPr>
          <w:sz w:val="20"/>
          <w:szCs w:val="20"/>
          <w:color w:val="auto"/>
        </w:rPr>
      </w:pPr>
      <w:r>
        <w:rPr>
          <w:rFonts w:ascii="Arial" w:cs="Arial" w:eastAsia="Arial" w:hAnsi="Arial"/>
          <w:sz w:val="20"/>
          <w:szCs w:val="20"/>
          <w:color w:val="auto"/>
        </w:rPr>
        <w:t>At all elections of directors, the voting shall be by ballot or in such other manner as may be determined by the stockholders present in person or by proxy entitled to vote at such election.</w:t>
      </w:r>
    </w:p>
    <w:p>
      <w:pPr>
        <w:spacing w:after="0" w:line="181" w:lineRule="exact"/>
        <w:rPr>
          <w:sz w:val="20"/>
          <w:szCs w:val="20"/>
          <w:color w:val="auto"/>
        </w:rPr>
      </w:pPr>
    </w:p>
    <w:p>
      <w:pPr>
        <w:ind w:right="80" w:firstLine="1296"/>
        <w:spacing w:after="0" w:line="254" w:lineRule="auto"/>
        <w:rPr>
          <w:sz w:val="20"/>
          <w:szCs w:val="20"/>
          <w:color w:val="auto"/>
        </w:rPr>
      </w:pPr>
      <w:r>
        <w:rPr>
          <w:rFonts w:ascii="Arial" w:cs="Arial" w:eastAsia="Arial" w:hAnsi="Arial"/>
          <w:sz w:val="20"/>
          <w:szCs w:val="20"/>
          <w:u w:val="single" w:color="auto"/>
          <w:color w:val="auto"/>
        </w:rPr>
        <w:t>Section 1.07</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Action by Consent</w:t>
      </w:r>
      <w:r>
        <w:rPr>
          <w:rFonts w:ascii="Arial" w:cs="Arial" w:eastAsia="Arial" w:hAnsi="Arial"/>
          <w:sz w:val="20"/>
          <w:szCs w:val="20"/>
          <w:color w:val="auto"/>
        </w:rPr>
        <w:t>. Except as may otherwise be provided in the Company’s Organization Certificate, any action required or permitted to be taken at any meeting of stockholders may be taken without a meeting, without prior notice and without a vote if, prior to such action, a written consent or consents thereto, setting forth such action, is signed by all the holders of record of shares of the stock of the Company, issued and outstanding and entitled to vote thereon, having not less than the minimum number of votes that would be necessary to authorize or take such action at a meeting at which all shares entitled to vote thereon were present and voted.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II</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DIRECTORS</w:t>
      </w:r>
    </w:p>
    <w:p>
      <w:pPr>
        <w:spacing w:after="0" w:line="243" w:lineRule="exact"/>
        <w:rPr>
          <w:sz w:val="20"/>
          <w:szCs w:val="20"/>
          <w:color w:val="auto"/>
        </w:rPr>
      </w:pPr>
    </w:p>
    <w:p>
      <w:pPr>
        <w:ind w:right="20" w:firstLine="1296"/>
        <w:spacing w:after="0" w:line="259" w:lineRule="auto"/>
        <w:rPr>
          <w:sz w:val="20"/>
          <w:szCs w:val="20"/>
          <w:color w:val="auto"/>
        </w:rPr>
      </w:pP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w:t>
      </w:r>
      <w:r>
        <w:rPr>
          <w:rFonts w:ascii="Arial" w:cs="Arial" w:eastAsia="Arial" w:hAnsi="Arial"/>
          <w:sz w:val="20"/>
          <w:szCs w:val="20"/>
          <w:u w:val="single" w:color="auto"/>
          <w:color w:val="auto"/>
        </w:rPr>
        <w:t>Chairman of the Board</w:t>
      </w:r>
      <w:r>
        <w:rPr>
          <w:rFonts w:ascii="Arial" w:cs="Arial" w:eastAsia="Arial" w:hAnsi="Arial"/>
          <w:sz w:val="20"/>
          <w:szCs w:val="20"/>
          <w:color w:val="auto"/>
        </w:rPr>
        <w:t>. Following the election of the Board of Directors at each annual meeting, the elected Board shall appoint one of its members as Chairman. The Chairman of the Board shall preside at all meetings of the Board of Directors and of the stockholders, and he shall perform such other duties and have such other powers as from time to time may be prescribed by the Board of Directors.</w:t>
      </w:r>
    </w:p>
    <w:p>
      <w:pPr>
        <w:spacing w:after="0" w:line="209"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Lead Independent Director</w:t>
      </w:r>
      <w:r>
        <w:rPr>
          <w:rFonts w:ascii="Arial" w:cs="Arial" w:eastAsia="Arial" w:hAnsi="Arial"/>
          <w:sz w:val="19"/>
          <w:szCs w:val="19"/>
          <w:color w:val="auto"/>
        </w:rPr>
        <w:t>. Following the election of the Board of Directors at each annual meeting, the elected Board may appoint one of its independent members as its Lead Independent Director. When the Chairman of the Board is not present at a meeting of the Board of Directors, the Lead Independent Director, if there be one, shall preside.</w:t>
      </w:r>
    </w:p>
    <w:p>
      <w:pPr>
        <w:spacing w:after="0" w:line="175" w:lineRule="exact"/>
        <w:rPr>
          <w:sz w:val="20"/>
          <w:szCs w:val="20"/>
          <w:color w:val="auto"/>
        </w:rPr>
      </w:pPr>
    </w:p>
    <w:p>
      <w:pPr>
        <w:ind w:firstLine="1296"/>
        <w:spacing w:after="0" w:line="259" w:lineRule="auto"/>
        <w:rPr>
          <w:sz w:val="20"/>
          <w:szCs w:val="20"/>
          <w:color w:val="auto"/>
        </w:rPr>
      </w:pP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Director Emeritus</w:t>
      </w:r>
      <w:r>
        <w:rPr>
          <w:rFonts w:ascii="Arial" w:cs="Arial" w:eastAsia="Arial" w:hAnsi="Arial"/>
          <w:sz w:val="20"/>
          <w:szCs w:val="20"/>
          <w:color w:val="auto"/>
        </w:rPr>
        <w:t>. The Board of Directors may from time to time elect one or more Directors Emeritus. Each Director Emeritus shall be elected for a term expiring on the date of the regular meeting of the Board of Directors following the next annual meeting. No Director Emeritus shall be considered a "director" for purposes of these By-Laws or for any other purpose.</w:t>
      </w:r>
    </w:p>
    <w:p>
      <w:pPr>
        <w:spacing w:after="0" w:line="209" w:lineRule="exact"/>
        <w:rPr>
          <w:sz w:val="20"/>
          <w:szCs w:val="20"/>
          <w:color w:val="auto"/>
        </w:rPr>
      </w:pPr>
    </w:p>
    <w:p>
      <w:pPr>
        <w:ind w:right="240" w:firstLine="1296"/>
        <w:spacing w:after="0" w:line="259" w:lineRule="auto"/>
        <w:rPr>
          <w:sz w:val="20"/>
          <w:szCs w:val="20"/>
          <w:color w:val="auto"/>
        </w:rPr>
      </w:pP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w:t>
      </w:r>
      <w:r>
        <w:rPr>
          <w:rFonts w:ascii="Arial" w:cs="Arial" w:eastAsia="Arial" w:hAnsi="Arial"/>
          <w:sz w:val="20"/>
          <w:szCs w:val="20"/>
          <w:u w:val="single" w:color="auto"/>
          <w:color w:val="auto"/>
        </w:rPr>
        <w:t>Powers, Number, Quorum, Term, Vacancies, Removal</w:t>
      </w:r>
      <w:r>
        <w:rPr>
          <w:rFonts w:ascii="Arial" w:cs="Arial" w:eastAsia="Arial" w:hAnsi="Arial"/>
          <w:sz w:val="20"/>
          <w:szCs w:val="20"/>
          <w:color w:val="auto"/>
        </w:rPr>
        <w:t>. The business and affairs of the Company shall be managed by or under the direction of the Board of Directors which may exercise all such powers of the Company and do all such lawful acts and things as are not by statute or by the Company’s Organization Certificate or by these By-Laws required to be exercised or done by the stockholders.</w:t>
      </w:r>
    </w:p>
    <w:p>
      <w:pPr>
        <w:spacing w:after="0" w:line="195" w:lineRule="exact"/>
        <w:rPr>
          <w:sz w:val="20"/>
          <w:szCs w:val="20"/>
          <w:color w:val="auto"/>
        </w:rPr>
      </w:pPr>
    </w:p>
    <w:p>
      <w:pPr>
        <w:ind w:right="220" w:firstLine="1296"/>
        <w:spacing w:after="0" w:line="259" w:lineRule="auto"/>
        <w:rPr>
          <w:sz w:val="20"/>
          <w:szCs w:val="20"/>
          <w:color w:val="auto"/>
        </w:rPr>
      </w:pPr>
      <w:r>
        <w:rPr>
          <w:rFonts w:ascii="Arial" w:cs="Arial" w:eastAsia="Arial" w:hAnsi="Arial"/>
          <w:sz w:val="20"/>
          <w:szCs w:val="20"/>
          <w:color w:val="auto"/>
        </w:rPr>
        <w:t>The number of directors may be changed by a resolution passed by a majority of the members of the Board of Directors or by a vote of the holders of record of at least a majority of the shares of stock of the Company issued and outstanding and entitled to vote, but at all times the Board of Directors must consist of not less than seven nor more than thirty directors. No more than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240"/>
          </w:cols>
          <w:pgMar w:left="320" w:top="1279" w:right="339" w:bottom="1440" w:gutter="0" w:footer="0" w:header="0"/>
        </w:sectPr>
      </w:pPr>
    </w:p>
    <w:bookmarkStart w:id="177" w:name="page178"/>
    <w:bookmarkEnd w:id="177"/>
    <w:p>
      <w:pPr>
        <w:ind w:right="40"/>
        <w:spacing w:after="0" w:line="262" w:lineRule="auto"/>
        <w:rPr>
          <w:sz w:val="20"/>
          <w:szCs w:val="20"/>
          <w:color w:val="auto"/>
        </w:rPr>
      </w:pPr>
      <w:r>
        <w:rPr>
          <w:rFonts w:ascii="Arial" w:cs="Arial" w:eastAsia="Arial" w:hAnsi="Arial"/>
          <w:sz w:val="20"/>
          <w:szCs w:val="20"/>
          <w:color w:val="auto"/>
        </w:rPr>
        <w:t>one-third of the directors shall be active officers or employees of the Company. At least one-half of the directors must be citizens of the United States at the time of their election and during their continuance in office.</w:t>
      </w:r>
    </w:p>
    <w:p>
      <w:pPr>
        <w:spacing w:after="0" w:line="2" w:lineRule="exact"/>
        <w:rPr>
          <w:sz w:val="20"/>
          <w:szCs w:val="20"/>
          <w:color w:val="auto"/>
        </w:rPr>
      </w:pPr>
    </w:p>
    <w:p>
      <w:pPr>
        <w:ind w:firstLine="1296"/>
        <w:spacing w:after="0" w:line="249" w:lineRule="auto"/>
        <w:rPr>
          <w:sz w:val="20"/>
          <w:szCs w:val="20"/>
          <w:color w:val="auto"/>
        </w:rPr>
      </w:pPr>
      <w:r>
        <w:rPr>
          <w:rFonts w:ascii="Arial" w:cs="Arial" w:eastAsia="Arial" w:hAnsi="Arial"/>
          <w:sz w:val="20"/>
          <w:szCs w:val="20"/>
          <w:color w:val="auto"/>
        </w:rPr>
        <w:t>Except as otherwise required by law, rule or regulation, or by the Company’s Organization Certificate, at all meetings of the Board of Directors or any committee thereof, a majority of the entire Board of Directors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of Directors, or such committee, as applicable. Any one or more members of the Board may participate in a meeting of the Board by means of a conference telephone or video, or other similar communications equipment allowing all persons participating in the meeting to hear each other at the same time. Participation by such means shall constitute presence in person at a meeting. Whether or not a quorum shall be present at any meeting of the Board of Directors or a committee thereof, a majority of the directors present thereat may adjourn the meeting from time to time; notice of the adjourned meeting shall be given to the directors who were not present at the time of the adjournment, but if the time and place of the adjourned meeting are announced, no additional notice shall be required to be given to the directors present at the time of adjournment.</w:t>
      </w:r>
    </w:p>
    <w:p>
      <w:pPr>
        <w:spacing w:after="0" w:line="206" w:lineRule="exact"/>
        <w:rPr>
          <w:sz w:val="20"/>
          <w:szCs w:val="20"/>
          <w:color w:val="auto"/>
        </w:rPr>
      </w:pPr>
    </w:p>
    <w:p>
      <w:pPr>
        <w:ind w:right="20" w:firstLine="1296"/>
        <w:spacing w:after="0" w:line="259" w:lineRule="auto"/>
        <w:rPr>
          <w:sz w:val="20"/>
          <w:szCs w:val="20"/>
          <w:color w:val="auto"/>
        </w:rPr>
      </w:pPr>
      <w:r>
        <w:rPr>
          <w:rFonts w:ascii="Arial" w:cs="Arial" w:eastAsia="Arial" w:hAnsi="Arial"/>
          <w:sz w:val="20"/>
          <w:szCs w:val="20"/>
          <w:color w:val="auto"/>
        </w:rPr>
        <w:t>Directors shall hold office until the next annual election and until their successors shall have been elected and shall have qualified. Director vacancies not exceeding one-third of the whole number of the Board of Directors may be filled by the affirmative vote of a majority of the directors then in office, and the directors so elected shall hold office for the balance of the unexpired term.</w:t>
      </w:r>
    </w:p>
    <w:p>
      <w:pPr>
        <w:spacing w:after="0" w:line="195" w:lineRule="exact"/>
        <w:rPr>
          <w:sz w:val="20"/>
          <w:szCs w:val="20"/>
          <w:color w:val="auto"/>
        </w:rPr>
      </w:pPr>
    </w:p>
    <w:p>
      <w:pPr>
        <w:ind w:right="120" w:firstLine="1296"/>
        <w:spacing w:after="0" w:line="258" w:lineRule="auto"/>
        <w:rPr>
          <w:sz w:val="20"/>
          <w:szCs w:val="20"/>
          <w:color w:val="auto"/>
        </w:rPr>
      </w:pPr>
      <w:r>
        <w:rPr>
          <w:rFonts w:ascii="Arial" w:cs="Arial" w:eastAsia="Arial" w:hAnsi="Arial"/>
          <w:sz w:val="20"/>
          <w:szCs w:val="20"/>
          <w:color w:val="auto"/>
        </w:rPr>
        <w:t>Any one or more of the directors of the Company may be removed either with or without cause at any time by a vote of the holders of record of at least a majority of the shares of stock of the Company, issued and outstanding and entitled to vote, and thereupon the term of the director or directors who shall have been so removed shall forthwith terminate and there shall be a vacancy or vacancies in the Board of Directors, to be filled by a vote of the stockholders as provided in these By-Laws.</w:t>
      </w:r>
    </w:p>
    <w:p>
      <w:pPr>
        <w:spacing w:after="0" w:line="195" w:lineRule="exact"/>
        <w:rPr>
          <w:sz w:val="20"/>
          <w:szCs w:val="20"/>
          <w:color w:val="auto"/>
        </w:rPr>
      </w:pPr>
    </w:p>
    <w:p>
      <w:pPr>
        <w:ind w:right="100" w:firstLine="1296"/>
        <w:spacing w:after="0" w:line="254" w:lineRule="auto"/>
        <w:rPr>
          <w:sz w:val="20"/>
          <w:szCs w:val="20"/>
          <w:color w:val="auto"/>
        </w:rPr>
      </w:pP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Meetings, Notice</w:t>
      </w:r>
      <w:r>
        <w:rPr>
          <w:rFonts w:ascii="Arial" w:cs="Arial" w:eastAsia="Arial" w:hAnsi="Arial"/>
          <w:sz w:val="20"/>
          <w:szCs w:val="20"/>
          <w:color w:val="auto"/>
        </w:rPr>
        <w:t>. Meetings of the Board of Directors shall be held at such place either within or without the State of New York, as may from time to time be fixed by resolution of the Board, or as may be specified in the call or in a waiver of notice thereof. Regular meetings of the Board of Directors and its Executive Committee shall be held as often as may be required under applicable law, and special meetings may be held at any time upon the call of two directors, the Chairman of the Board or the President, by oral, telegraphic or written notice duly served on or sent or mailed to each director not less than two days before such meeting. Any meeting may be held without notice, if all directors are present, or if notice is waived in writing, either before or after the meeting, by those not present.</w:t>
      </w:r>
    </w:p>
    <w:p>
      <w:pPr>
        <w:spacing w:after="0" w:line="213" w:lineRule="exact"/>
        <w:rPr>
          <w:sz w:val="20"/>
          <w:szCs w:val="20"/>
          <w:color w:val="auto"/>
        </w:rPr>
      </w:pPr>
    </w:p>
    <w:p>
      <w:pPr>
        <w:ind w:right="100" w:firstLine="1296"/>
        <w:spacing w:after="0" w:line="254" w:lineRule="auto"/>
        <w:rPr>
          <w:sz w:val="20"/>
          <w:szCs w:val="20"/>
          <w:color w:val="auto"/>
        </w:rPr>
      </w:pP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Compensation</w:t>
      </w:r>
      <w:r>
        <w:rPr>
          <w:rFonts w:ascii="Arial" w:cs="Arial" w:eastAsia="Arial" w:hAnsi="Arial"/>
          <w:sz w:val="20"/>
          <w:szCs w:val="20"/>
          <w:color w:val="auto"/>
        </w:rPr>
        <w:t>. The Board of Directors may determine, from time to time, the amount of compensation, which shall be paid to its members. The Board of Directors shall also have power, in its discretion, to allow a fixed sum and expenses for attendance at each regular or special meeting of the Board, or of any committee of the Board. The Board of Directors shall also have power, in its discretion, to provide for and pay to directors rendering services to the Company not ordinarily rendered by directors, as such, special compensation appropriate to the value of such services, as determined by the Board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240"/>
          </w:cols>
          <w:pgMar w:left="320" w:top="1279" w:right="33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20"/>
          <w:szCs w:val="20"/>
          <w:u w:val="single" w:color="auto"/>
          <w:color w:val="auto"/>
        </w:rPr>
        <w:t>ARTICLE III</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COMMITTEES</w:t>
      </w:r>
    </w:p>
    <w:p>
      <w:pPr>
        <w:spacing w:after="0" w:line="256" w:lineRule="exact"/>
        <w:rPr>
          <w:sz w:val="20"/>
          <w:szCs w:val="20"/>
          <w:color w:val="auto"/>
        </w:rPr>
      </w:pPr>
    </w:p>
    <w:p>
      <w:pPr>
        <w:ind w:right="60" w:firstLine="1296"/>
        <w:spacing w:after="0" w:line="254" w:lineRule="auto"/>
        <w:rPr>
          <w:sz w:val="20"/>
          <w:szCs w:val="20"/>
          <w:color w:val="auto"/>
        </w:rPr>
      </w:pP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Executive Committee</w:t>
      </w:r>
      <w:r>
        <w:rPr>
          <w:rFonts w:ascii="Arial" w:cs="Arial" w:eastAsia="Arial" w:hAnsi="Arial"/>
          <w:sz w:val="20"/>
          <w:szCs w:val="20"/>
          <w:color w:val="auto"/>
        </w:rPr>
        <w:t>. There shall be an Executive Committee of the Board who shall be appointed annually by resolution adopted by the majority of the entire Board of Directors. The Chairman of the Board shall preside at meetings of the Executive Committee. In his absence, the Chief Executive Officer or, in his absence, the President or any Co-President or, in their absence, such other member of the Executive Committee as the Executive Committee from time to time may designate shall preside at such meetings.</w:t>
      </w:r>
    </w:p>
    <w:p>
      <w:pPr>
        <w:spacing w:after="0" w:line="214" w:lineRule="exact"/>
        <w:rPr>
          <w:sz w:val="20"/>
          <w:szCs w:val="20"/>
          <w:color w:val="auto"/>
        </w:rPr>
      </w:pPr>
    </w:p>
    <w:p>
      <w:pPr>
        <w:ind w:right="120" w:firstLine="1296"/>
        <w:spacing w:after="0" w:line="282" w:lineRule="auto"/>
        <w:rPr>
          <w:sz w:val="20"/>
          <w:szCs w:val="20"/>
          <w:color w:val="auto"/>
        </w:rPr>
      </w:pP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w:t>
      </w:r>
      <w:r>
        <w:rPr>
          <w:rFonts w:ascii="Arial" w:cs="Arial" w:eastAsia="Arial" w:hAnsi="Arial"/>
          <w:sz w:val="19"/>
          <w:szCs w:val="19"/>
          <w:u w:val="single" w:color="auto"/>
          <w:color w:val="auto"/>
        </w:rPr>
        <w:t>Audit and Fiduciary Committee</w:t>
      </w:r>
      <w:r>
        <w:rPr>
          <w:rFonts w:ascii="Arial" w:cs="Arial" w:eastAsia="Arial" w:hAnsi="Arial"/>
          <w:sz w:val="19"/>
          <w:szCs w:val="19"/>
          <w:color w:val="auto"/>
        </w:rPr>
        <w:t>. There shall be an Audit and Fiduciary Committee appointed annually by resolution adopted by a majority of the entire Board of Directors which shall consist of such number of independent directors, as may from time to time be fixed by the Audit and Fiduciary Committee charter adopted by the Board of Directors.</w:t>
      </w:r>
    </w:p>
    <w:p>
      <w:pPr>
        <w:spacing w:after="0" w:line="175" w:lineRule="exact"/>
        <w:rPr>
          <w:sz w:val="20"/>
          <w:szCs w:val="20"/>
          <w:color w:val="auto"/>
        </w:rPr>
      </w:pPr>
    </w:p>
    <w:p>
      <w:pPr>
        <w:ind w:right="220" w:firstLine="1296"/>
        <w:spacing w:after="0" w:line="269" w:lineRule="auto"/>
        <w:rPr>
          <w:sz w:val="20"/>
          <w:szCs w:val="20"/>
          <w:color w:val="auto"/>
        </w:rPr>
      </w:pP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w:t>
      </w:r>
      <w:r>
        <w:rPr>
          <w:rFonts w:ascii="Arial" w:cs="Arial" w:eastAsia="Arial" w:hAnsi="Arial"/>
          <w:sz w:val="20"/>
          <w:szCs w:val="20"/>
          <w:u w:val="single" w:color="auto"/>
          <w:color w:val="auto"/>
        </w:rPr>
        <w:t>Other Committees</w:t>
      </w:r>
      <w:r>
        <w:rPr>
          <w:rFonts w:ascii="Arial" w:cs="Arial" w:eastAsia="Arial" w:hAnsi="Arial"/>
          <w:sz w:val="20"/>
          <w:szCs w:val="20"/>
          <w:color w:val="auto"/>
        </w:rPr>
        <w:t>. The Board of Directors shall have the power to appoint any other Committees as may seem necessary, and from time to time to suspend or continue the powers and duties of such Committees. Each Committee appointed pursuant to this Article shall serve at the pleasure of the Board of Directors.</w:t>
      </w:r>
    </w:p>
    <w:p>
      <w:pPr>
        <w:spacing w:after="0" w:line="185" w:lineRule="exact"/>
        <w:rPr>
          <w:sz w:val="20"/>
          <w:szCs w:val="20"/>
          <w:color w:val="auto"/>
        </w:rPr>
      </w:pPr>
    </w:p>
    <w:p>
      <w:pPr>
        <w:ind w:firstLine="1296"/>
        <w:spacing w:after="0" w:line="254" w:lineRule="auto"/>
        <w:rPr>
          <w:sz w:val="20"/>
          <w:szCs w:val="20"/>
          <w:color w:val="auto"/>
        </w:rPr>
      </w:pP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w:t>
      </w:r>
      <w:r>
        <w:rPr>
          <w:rFonts w:ascii="Arial" w:cs="Arial" w:eastAsia="Arial" w:hAnsi="Arial"/>
          <w:sz w:val="20"/>
          <w:szCs w:val="20"/>
          <w:u w:val="single" w:color="auto"/>
          <w:color w:val="auto"/>
        </w:rPr>
        <w:t>Limitations</w:t>
      </w:r>
      <w:r>
        <w:rPr>
          <w:rFonts w:ascii="Arial" w:cs="Arial" w:eastAsia="Arial" w:hAnsi="Arial"/>
          <w:sz w:val="20"/>
          <w:szCs w:val="20"/>
          <w:color w:val="auto"/>
        </w:rPr>
        <w:t>. No committee shall have the authority as to the following matters: (i) the submission to stockholders of any action that needs stockholders' authorization under New York Banking Law; (ii) the filling of vacancies in the Board of Directors or in any such committee; (iii) the fixing of compensation of the directors for serving on the Board of Directors or on any committee; (iv) the amendment or repeal of these By-Laws, or the adoption of new by-laws; (v) the amendment or repeal of any resolution of the Board of Directors which by its terms shall not be so amendable or repealable; or (vi) the taking of action which is expressly required by any provision of New York Banking Law to be taken at a meeting of the Board of Directors or by a specified proportion of the directors.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ARTICLE IV</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OFFICERS</w:t>
      </w:r>
    </w:p>
    <w:p>
      <w:pPr>
        <w:spacing w:after="0" w:line="243" w:lineRule="exact"/>
        <w:rPr>
          <w:sz w:val="20"/>
          <w:szCs w:val="20"/>
          <w:color w:val="auto"/>
        </w:rPr>
      </w:pPr>
    </w:p>
    <w:p>
      <w:pPr>
        <w:ind w:right="20" w:firstLine="1296"/>
        <w:spacing w:after="0" w:line="254" w:lineRule="auto"/>
        <w:rPr>
          <w:sz w:val="20"/>
          <w:szCs w:val="20"/>
          <w:color w:val="auto"/>
        </w:rPr>
      </w:pP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w:t>
      </w:r>
      <w:r>
        <w:rPr>
          <w:rFonts w:ascii="Arial" w:cs="Arial" w:eastAsia="Arial" w:hAnsi="Arial"/>
          <w:sz w:val="20"/>
          <w:szCs w:val="20"/>
          <w:u w:val="single" w:color="auto"/>
          <w:color w:val="auto"/>
        </w:rPr>
        <w:t>Titles and Election</w:t>
      </w:r>
      <w:r>
        <w:rPr>
          <w:rFonts w:ascii="Arial" w:cs="Arial" w:eastAsia="Arial" w:hAnsi="Arial"/>
          <w:sz w:val="20"/>
          <w:szCs w:val="20"/>
          <w:color w:val="auto"/>
        </w:rPr>
        <w:t>. The officers of the Company, who shall be chosen by the Board of Directors within twenty-five days after each annual meeting of stockholders, shall be a President, Chief Executive Officer, Chief Risk Officer, Chief Financial Officer, Treasurer, Secretary, and a General Auditor. The Board of Directors from time to time may elect one or more Managing Directors, Directors, Vice Presidents, Assistant Secretaries, Assistant Treasurers and such other officers and agents as it shall deem necessary, and may define their powers and duties. Any number of offices may be held by the same person, except the offices of President and Secretary.</w:t>
      </w:r>
    </w:p>
    <w:p>
      <w:pPr>
        <w:spacing w:after="0" w:line="214" w:lineRule="exact"/>
        <w:rPr>
          <w:sz w:val="20"/>
          <w:szCs w:val="20"/>
          <w:color w:val="auto"/>
        </w:rPr>
      </w:pPr>
    </w:p>
    <w:p>
      <w:pPr>
        <w:ind w:right="140" w:firstLine="1296"/>
        <w:spacing w:after="0" w:line="286" w:lineRule="auto"/>
        <w:rPr>
          <w:sz w:val="20"/>
          <w:szCs w:val="20"/>
          <w:color w:val="auto"/>
        </w:rPr>
      </w:pP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Terms of Office</w:t>
      </w:r>
      <w:r>
        <w:rPr>
          <w:rFonts w:ascii="Arial" w:cs="Arial" w:eastAsia="Arial" w:hAnsi="Arial"/>
          <w:sz w:val="20"/>
          <w:szCs w:val="20"/>
          <w:color w:val="auto"/>
        </w:rPr>
        <w:t>. Each officer shall hold office for the term for which he is elected or appointed, and until his successor has been elected or appointed and qualified.</w:t>
      </w:r>
    </w:p>
    <w:p>
      <w:pPr>
        <w:spacing w:after="0" w:line="167" w:lineRule="exact"/>
        <w:rPr>
          <w:sz w:val="20"/>
          <w:szCs w:val="20"/>
          <w:color w:val="auto"/>
        </w:rPr>
      </w:pPr>
    </w:p>
    <w:p>
      <w:pPr>
        <w:ind w:right="160" w:firstLine="1296"/>
        <w:spacing w:after="0" w:line="286" w:lineRule="auto"/>
        <w:rPr>
          <w:sz w:val="20"/>
          <w:szCs w:val="20"/>
          <w:color w:val="auto"/>
        </w:rPr>
      </w:pPr>
      <w:r>
        <w:rPr>
          <w:rFonts w:ascii="Arial" w:cs="Arial" w:eastAsia="Arial" w:hAnsi="Arial"/>
          <w:sz w:val="20"/>
          <w:szCs w:val="20"/>
          <w:u w:val="single" w:color="auto"/>
          <w:color w:val="auto"/>
        </w:rPr>
        <w:t>Section 4.03</w:t>
      </w:r>
      <w:r>
        <w:rPr>
          <w:rFonts w:ascii="Arial" w:cs="Arial" w:eastAsia="Arial" w:hAnsi="Arial"/>
          <w:sz w:val="20"/>
          <w:szCs w:val="20"/>
          <w:color w:val="auto"/>
        </w:rPr>
        <w:t xml:space="preserve">. </w:t>
      </w:r>
      <w:r>
        <w:rPr>
          <w:rFonts w:ascii="Arial" w:cs="Arial" w:eastAsia="Arial" w:hAnsi="Arial"/>
          <w:sz w:val="20"/>
          <w:szCs w:val="20"/>
          <w:u w:val="single" w:color="auto"/>
          <w:color w:val="auto"/>
        </w:rPr>
        <w:t>Removal</w:t>
      </w:r>
      <w:r>
        <w:rPr>
          <w:rFonts w:ascii="Arial" w:cs="Arial" w:eastAsia="Arial" w:hAnsi="Arial"/>
          <w:sz w:val="20"/>
          <w:szCs w:val="20"/>
          <w:color w:val="auto"/>
        </w:rPr>
        <w:t>. Any officer may be removed, either with or without cause, at any time, by the affirmative vote of a majority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1220"/>
          </w:cols>
          <w:pgMar w:left="320" w:top="1279" w:right="359" w:bottom="1440" w:gutter="0" w:footer="0" w:header="0"/>
        </w:sectPr>
      </w:pPr>
    </w:p>
    <w:bookmarkStart w:id="179" w:name="page180"/>
    <w:bookmarkEnd w:id="179"/>
    <w:p>
      <w:pPr>
        <w:ind w:firstLine="1296"/>
        <w:spacing w:after="0" w:line="269" w:lineRule="auto"/>
        <w:rPr>
          <w:sz w:val="20"/>
          <w:szCs w:val="20"/>
          <w:color w:val="auto"/>
        </w:rPr>
      </w:pPr>
      <w:r>
        <w:rPr>
          <w:rFonts w:ascii="Arial" w:cs="Arial" w:eastAsia="Arial" w:hAnsi="Arial"/>
          <w:sz w:val="20"/>
          <w:szCs w:val="20"/>
          <w:u w:val="single" w:color="auto"/>
          <w:color w:val="auto"/>
        </w:rPr>
        <w:t>Section 4.04</w:t>
      </w:r>
      <w:r>
        <w:rPr>
          <w:rFonts w:ascii="Arial" w:cs="Arial" w:eastAsia="Arial" w:hAnsi="Arial"/>
          <w:sz w:val="20"/>
          <w:szCs w:val="20"/>
          <w:color w:val="auto"/>
        </w:rPr>
        <w:t xml:space="preserve">. </w:t>
      </w:r>
      <w:r>
        <w:rPr>
          <w:rFonts w:ascii="Arial" w:cs="Arial" w:eastAsia="Arial" w:hAnsi="Arial"/>
          <w:sz w:val="20"/>
          <w:szCs w:val="20"/>
          <w:u w:val="single" w:color="auto"/>
          <w:color w:val="auto"/>
        </w:rPr>
        <w:t>Resignations</w:t>
      </w:r>
      <w:r>
        <w:rPr>
          <w:rFonts w:ascii="Arial" w:cs="Arial" w:eastAsia="Arial" w:hAnsi="Arial"/>
          <w:sz w:val="20"/>
          <w:szCs w:val="20"/>
          <w:color w:val="auto"/>
        </w:rPr>
        <w:t>. Any officer may resign at any time by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185" w:lineRule="exact"/>
        <w:rPr>
          <w:sz w:val="20"/>
          <w:szCs w:val="20"/>
          <w:color w:val="auto"/>
        </w:rPr>
      </w:pPr>
    </w:p>
    <w:p>
      <w:pPr>
        <w:jc w:val="both"/>
        <w:ind w:right="400" w:firstLine="1296"/>
        <w:spacing w:after="0" w:line="255" w:lineRule="auto"/>
        <w:rPr>
          <w:sz w:val="20"/>
          <w:szCs w:val="20"/>
          <w:color w:val="auto"/>
        </w:rPr>
      </w:pPr>
      <w:r>
        <w:rPr>
          <w:rFonts w:ascii="Arial" w:cs="Arial" w:eastAsia="Arial" w:hAnsi="Arial"/>
          <w:sz w:val="20"/>
          <w:szCs w:val="20"/>
          <w:u w:val="single" w:color="auto"/>
          <w:color w:val="auto"/>
        </w:rPr>
        <w:t>Section 4.05</w:t>
      </w:r>
      <w:r>
        <w:rPr>
          <w:rFonts w:ascii="Arial" w:cs="Arial" w:eastAsia="Arial" w:hAnsi="Arial"/>
          <w:sz w:val="20"/>
          <w:szCs w:val="20"/>
          <w:color w:val="auto"/>
        </w:rPr>
        <w:t xml:space="preserve">. </w:t>
      </w:r>
      <w:r>
        <w:rPr>
          <w:rFonts w:ascii="Arial" w:cs="Arial" w:eastAsia="Arial" w:hAnsi="Arial"/>
          <w:sz w:val="20"/>
          <w:szCs w:val="20"/>
          <w:u w:val="single" w:color="auto"/>
          <w:color w:val="auto"/>
        </w:rPr>
        <w:t>Vacancies</w:t>
      </w:r>
      <w:r>
        <w:rPr>
          <w:rFonts w:ascii="Arial" w:cs="Arial" w:eastAsia="Arial" w:hAnsi="Arial"/>
          <w:sz w:val="20"/>
          <w:szCs w:val="20"/>
          <w:color w:val="auto"/>
        </w:rPr>
        <w:t>. If the office of any officer or agent becomes vacant by reason of death, resignation, retirement, disqualification, removal from office or otherwise, the Board of Directors may choose a successor, who shall hold office for the unexpired term in respect of which such vacancy occurred.</w:t>
      </w:r>
    </w:p>
    <w:p>
      <w:pPr>
        <w:ind w:right="80" w:firstLine="1296"/>
        <w:spacing w:after="0" w:line="250" w:lineRule="auto"/>
        <w:rPr>
          <w:sz w:val="20"/>
          <w:szCs w:val="20"/>
          <w:color w:val="auto"/>
        </w:rPr>
      </w:pPr>
      <w:r>
        <w:rPr>
          <w:rFonts w:ascii="Arial" w:cs="Arial" w:eastAsia="Arial" w:hAnsi="Arial"/>
          <w:sz w:val="20"/>
          <w:szCs w:val="20"/>
          <w:u w:val="single" w:color="auto"/>
          <w:color w:val="auto"/>
        </w:rPr>
        <w:t>Section 4.06</w:t>
      </w:r>
      <w:r>
        <w:rPr>
          <w:rFonts w:ascii="Arial" w:cs="Arial" w:eastAsia="Arial" w:hAnsi="Arial"/>
          <w:sz w:val="20"/>
          <w:szCs w:val="20"/>
          <w:color w:val="auto"/>
        </w:rPr>
        <w:t xml:space="preserve">. </w:t>
      </w:r>
      <w:r>
        <w:rPr>
          <w:rFonts w:ascii="Arial" w:cs="Arial" w:eastAsia="Arial" w:hAnsi="Arial"/>
          <w:sz w:val="20"/>
          <w:szCs w:val="20"/>
          <w:u w:val="single" w:color="auto"/>
          <w:color w:val="auto"/>
        </w:rPr>
        <w:t>President</w:t>
      </w:r>
      <w:r>
        <w:rPr>
          <w:rFonts w:ascii="Arial" w:cs="Arial" w:eastAsia="Arial" w:hAnsi="Arial"/>
          <w:sz w:val="20"/>
          <w:szCs w:val="20"/>
          <w:color w:val="auto"/>
        </w:rPr>
        <w:t>. The President shall have general authority to exercise all the powers necessary for the President of the Company. In the absence of the Chairman and the Lead Independent Director, the President shall preside at all meetings of the Board of Directors and of the stockholders. The President shall have the power to execute bonds, mortgages and other contracts, agreements and instruments of the Company, and he shall perform such other duties and have such other powers as may be incident to the office of the president of a corporation and as from time to time may otherwise be prescribed by the Board of Directors.</w:t>
      </w:r>
    </w:p>
    <w:p>
      <w:pPr>
        <w:spacing w:after="0" w:line="219" w:lineRule="exact"/>
        <w:rPr>
          <w:sz w:val="20"/>
          <w:szCs w:val="20"/>
          <w:color w:val="auto"/>
        </w:rPr>
      </w:pPr>
    </w:p>
    <w:p>
      <w:pPr>
        <w:ind w:right="80" w:firstLine="1296"/>
        <w:spacing w:after="0" w:line="267" w:lineRule="auto"/>
        <w:rPr>
          <w:sz w:val="20"/>
          <w:szCs w:val="20"/>
          <w:color w:val="auto"/>
        </w:rPr>
      </w:pP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Unless otherwise determined by the Board of Directors, the President shall be the Chief Executive Officer of the Company. The Chief Executive Officer shall exercise the powers and perform the duties usual to the chief executive officer and, subject to the control of the Board of Directors, shall have general management and control of the affairs and business of the Company; he shall appoint and discharge employees and agents of the Company (other than officers elected by the Board of Directors); he shall see that all orders and resolutions of the Board of Directors are carried into effect; he shall have the power to execute bonds, mortgages and other contracts, agreements and instruments of the Company, and he shall perform such other duties and have such other powers as may be incident to the office of the chief executive officer of a corporation and as from time to time may otherwise be prescribed by the Board of Directors.</w:t>
      </w:r>
    </w:p>
    <w:p>
      <w:pPr>
        <w:spacing w:after="0" w:line="188" w:lineRule="exact"/>
        <w:rPr>
          <w:sz w:val="20"/>
          <w:szCs w:val="20"/>
          <w:color w:val="auto"/>
        </w:rPr>
      </w:pPr>
    </w:p>
    <w:p>
      <w:pPr>
        <w:ind w:right="100" w:firstLine="1296"/>
        <w:spacing w:after="0" w:line="259" w:lineRule="auto"/>
        <w:rPr>
          <w:sz w:val="20"/>
          <w:szCs w:val="20"/>
          <w:color w:val="auto"/>
        </w:rPr>
      </w:pPr>
      <w:r>
        <w:rPr>
          <w:rFonts w:ascii="Arial" w:cs="Arial" w:eastAsia="Arial" w:hAnsi="Arial"/>
          <w:sz w:val="20"/>
          <w:szCs w:val="20"/>
          <w:u w:val="single" w:color="auto"/>
          <w:color w:val="auto"/>
        </w:rPr>
        <w:t>Section 4.08</w:t>
      </w:r>
      <w:r>
        <w:rPr>
          <w:rFonts w:ascii="Arial" w:cs="Arial" w:eastAsia="Arial" w:hAnsi="Arial"/>
          <w:sz w:val="20"/>
          <w:szCs w:val="20"/>
          <w:color w:val="auto"/>
        </w:rPr>
        <w:t xml:space="preserve">. </w:t>
      </w:r>
      <w:r>
        <w:rPr>
          <w:rFonts w:ascii="Arial" w:cs="Arial" w:eastAsia="Arial" w:hAnsi="Arial"/>
          <w:sz w:val="20"/>
          <w:szCs w:val="20"/>
          <w:u w:val="single" w:color="auto"/>
          <w:color w:val="auto"/>
        </w:rPr>
        <w:t>Chief Risk Officer</w:t>
      </w:r>
      <w:r>
        <w:rPr>
          <w:rFonts w:ascii="Arial" w:cs="Arial" w:eastAsia="Arial" w:hAnsi="Arial"/>
          <w:sz w:val="20"/>
          <w:szCs w:val="20"/>
          <w:color w:val="auto"/>
        </w:rPr>
        <w:t>. The Chief Risk Officer shall have the responsibility for the risk management and monitoring of the Company. The Chief Risk Officer shall have the power to execute bonds, notes, mortgages and other contracts, agreements and instruments of the Company, and he shall perform such other duties and have such other powers as may be incident to his office and as from time to time may otherwise be prescribed by the Board of Directors.</w:t>
      </w:r>
    </w:p>
    <w:p>
      <w:pPr>
        <w:spacing w:after="0" w:line="209" w:lineRule="exact"/>
        <w:rPr>
          <w:sz w:val="20"/>
          <w:szCs w:val="20"/>
          <w:color w:val="auto"/>
        </w:rPr>
      </w:pPr>
    </w:p>
    <w:p>
      <w:pPr>
        <w:ind w:right="140" w:firstLine="1296"/>
        <w:spacing w:after="0" w:line="255" w:lineRule="auto"/>
        <w:rPr>
          <w:sz w:val="20"/>
          <w:szCs w:val="20"/>
          <w:color w:val="auto"/>
        </w:rPr>
      </w:pPr>
      <w:r>
        <w:rPr>
          <w:rFonts w:ascii="Arial" w:cs="Arial" w:eastAsia="Arial" w:hAnsi="Arial"/>
          <w:sz w:val="20"/>
          <w:szCs w:val="20"/>
          <w:u w:val="single" w:color="auto"/>
          <w:color w:val="auto"/>
        </w:rPr>
        <w:t>Section 4.09</w:t>
      </w:r>
      <w:r>
        <w:rPr>
          <w:rFonts w:ascii="Arial" w:cs="Arial" w:eastAsia="Arial" w:hAnsi="Arial"/>
          <w:sz w:val="20"/>
          <w:szCs w:val="20"/>
          <w:color w:val="auto"/>
        </w:rPr>
        <w:t xml:space="preserve">. </w:t>
      </w:r>
      <w:r>
        <w:rPr>
          <w:rFonts w:ascii="Arial" w:cs="Arial" w:eastAsia="Arial" w:hAnsi="Arial"/>
          <w:sz w:val="20"/>
          <w:szCs w:val="20"/>
          <w:u w:val="single" w:color="auto"/>
          <w:color w:val="auto"/>
        </w:rPr>
        <w:t>Chief Financial Officer</w:t>
      </w:r>
      <w:r>
        <w:rPr>
          <w:rFonts w:ascii="Arial" w:cs="Arial" w:eastAsia="Arial" w:hAnsi="Arial"/>
          <w:sz w:val="20"/>
          <w:szCs w:val="20"/>
          <w:color w:val="auto"/>
        </w:rPr>
        <w:t>. The Chief Financial Officer shall have the responsibility for reporting to the Board of Directors on the financial condition of the Company, preparing and submitting all financial reports required by applicable law, and preparing annual financial statements of the Company and coordinating with qualified third party auditors to ensure such financial statements are audited in accordance with applicable law.</w:t>
      </w:r>
    </w:p>
    <w:p>
      <w:pPr>
        <w:spacing w:after="0" w:line="211" w:lineRule="exact"/>
        <w:rPr>
          <w:sz w:val="20"/>
          <w:szCs w:val="20"/>
          <w:color w:val="auto"/>
        </w:rPr>
      </w:pPr>
    </w:p>
    <w:p>
      <w:pPr>
        <w:ind w:firstLine="1296"/>
        <w:spacing w:after="0" w:line="254" w:lineRule="auto"/>
        <w:rPr>
          <w:sz w:val="20"/>
          <w:szCs w:val="20"/>
          <w:color w:val="auto"/>
        </w:rPr>
      </w:pPr>
      <w:r>
        <w:rPr>
          <w:rFonts w:ascii="Arial" w:cs="Arial" w:eastAsia="Arial" w:hAnsi="Arial"/>
          <w:sz w:val="20"/>
          <w:szCs w:val="20"/>
          <w:u w:val="single" w:color="auto"/>
          <w:color w:val="auto"/>
        </w:rPr>
        <w:t>Section 4.10</w:t>
      </w:r>
      <w:r>
        <w:rPr>
          <w:rFonts w:ascii="Arial" w:cs="Arial" w:eastAsia="Arial" w:hAnsi="Arial"/>
          <w:sz w:val="20"/>
          <w:szCs w:val="20"/>
          <w:color w:val="auto"/>
        </w:rPr>
        <w:t xml:space="preserve">. </w:t>
      </w:r>
      <w:r>
        <w:rPr>
          <w:rFonts w:ascii="Arial" w:cs="Arial" w:eastAsia="Arial" w:hAnsi="Arial"/>
          <w:sz w:val="20"/>
          <w:szCs w:val="20"/>
          <w:u w:val="single" w:color="auto"/>
          <w:color w:val="auto"/>
        </w:rPr>
        <w:t>Treasurer</w:t>
      </w:r>
      <w:r>
        <w:rPr>
          <w:rFonts w:ascii="Arial" w:cs="Arial" w:eastAsia="Arial" w:hAnsi="Arial"/>
          <w:sz w:val="20"/>
          <w:szCs w:val="20"/>
          <w:color w:val="auto"/>
        </w:rPr>
        <w:t>. The Treasurer shall have the custody of the corporate funds and securities and shall keep full and accurate accounts of receipts and disbursements in books belonging to the Company and shall deposit all moneys, and other valuable effects in the name and to the credit of the Company, in such depositories as may be designated by the Board of Directors. He shall disburse the funds of the Company as may be ordered by the Board, taking proper vouchers for such disbursements, and shall render to the directors whenever they may require it an account of all his transactions as Treasurer and of the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- 5 -</w:t>
      </w:r>
    </w:p>
    <w:p>
      <w:pPr>
        <w:sectPr>
          <w:pgSz w:w="11900" w:h="16838" w:orient="portrait"/>
          <w:cols w:equalWidth="0" w:num="1">
            <w:col w:w="11240"/>
          </w:cols>
          <w:pgMar w:left="320" w:top="1279" w:right="339" w:bottom="1440" w:gutter="0" w:footer="0" w:header="0"/>
        </w:sectPr>
      </w:pPr>
    </w:p>
    <w:bookmarkStart w:id="180" w:name="page181"/>
    <w:bookmarkEnd w:id="180"/>
    <w:p>
      <w:pPr>
        <w:ind w:right="20" w:firstLine="1296"/>
        <w:spacing w:after="0" w:line="254" w:lineRule="auto"/>
        <w:rPr>
          <w:sz w:val="20"/>
          <w:szCs w:val="20"/>
          <w:color w:val="auto"/>
        </w:rPr>
      </w:pP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Secretary</w:t>
      </w:r>
      <w:r>
        <w:rPr>
          <w:rFonts w:ascii="Arial" w:cs="Arial" w:eastAsia="Arial" w:hAnsi="Arial"/>
          <w:sz w:val="20"/>
          <w:szCs w:val="20"/>
          <w:color w:val="auto"/>
        </w:rPr>
        <w:t>. The Secretary shall attend all sessions of the Board of Directors and all meetings of the stockholders and record all votes and the minutes of proceedings in records or books to be kept for that purpose. He shall give, or cause to be given, notice of all meetings of the stockholders and of the Board of Directors and shall perform such other duties and have such other powers as may be incident to the office of the secretary of a corporation and as from time to time may otherwise be prescribed by the Board of Directors. The Secretary shall have and be the custodian of the stock records and all other books, records and papers of the Company (other than financial) and shall see that all books, reports, statements, certificates and other documents and records required by law are properly kept and filed.</w:t>
      </w:r>
    </w:p>
    <w:p>
      <w:pPr>
        <w:spacing w:after="0" w:line="213" w:lineRule="exact"/>
        <w:rPr>
          <w:sz w:val="20"/>
          <w:szCs w:val="20"/>
          <w:color w:val="auto"/>
        </w:rPr>
      </w:pPr>
    </w:p>
    <w:p>
      <w:pPr>
        <w:ind w:right="40" w:firstLine="1296"/>
        <w:spacing w:after="0" w:line="250" w:lineRule="auto"/>
        <w:rPr>
          <w:sz w:val="20"/>
          <w:szCs w:val="20"/>
          <w:color w:val="auto"/>
        </w:rPr>
      </w:pPr>
      <w:r>
        <w:rPr>
          <w:rFonts w:ascii="Arial" w:cs="Arial" w:eastAsia="Arial" w:hAnsi="Arial"/>
          <w:sz w:val="20"/>
          <w:szCs w:val="20"/>
          <w:u w:val="single" w:color="auto"/>
          <w:color w:val="auto"/>
        </w:rPr>
        <w:t>Section 4.12</w:t>
      </w:r>
      <w:r>
        <w:rPr>
          <w:rFonts w:ascii="Arial" w:cs="Arial" w:eastAsia="Arial" w:hAnsi="Arial"/>
          <w:sz w:val="20"/>
          <w:szCs w:val="20"/>
          <w:color w:val="auto"/>
        </w:rPr>
        <w:t xml:space="preserve">. </w:t>
      </w:r>
      <w:r>
        <w:rPr>
          <w:rFonts w:ascii="Arial" w:cs="Arial" w:eastAsia="Arial" w:hAnsi="Arial"/>
          <w:sz w:val="20"/>
          <w:szCs w:val="20"/>
          <w:u w:val="single" w:color="auto"/>
          <w:color w:val="auto"/>
        </w:rPr>
        <w:t>General Auditor</w:t>
      </w:r>
      <w:r>
        <w:rPr>
          <w:rFonts w:ascii="Arial" w:cs="Arial" w:eastAsia="Arial" w:hAnsi="Arial"/>
          <w:sz w:val="20"/>
          <w:szCs w:val="20"/>
          <w:color w:val="auto"/>
        </w:rPr>
        <w:t>. The General Auditor shall be responsible, through the Audit and Fiduciary Committee, to the Board of Directors for the determination of the program of the internal audit function and the evaluation of the adequacy of the system of internal controls. Subject to the Board of Directors, the General Auditor shall have and may exercise all the powers and shall perform all the duties usual to such office and shall have such other powers as may be prescribed or assigned to him from time to time by the Board of Directors or vested in him by law or by these By-Laws. He shall perform such other duties and shall make such investigations, examinations and reports as may be prescribed or required by the Audit and Fiduciary Committee. The General Auditor shall have unrestricted access to all records and premises of the Company and shall delegate such authority to his subordinates. He shall have the duty to report to the Audit and Fiduciary Committee on all matters concerning the internal audit program and the adequacy of the system of internal controls of the Company which he deems advisable or which the Audit and Fiduciary Committee may request.</w:t>
      </w:r>
    </w:p>
    <w:p>
      <w:pPr>
        <w:spacing w:after="0" w:line="210" w:lineRule="exact"/>
        <w:rPr>
          <w:sz w:val="20"/>
          <w:szCs w:val="20"/>
          <w:color w:val="auto"/>
        </w:rPr>
      </w:pPr>
    </w:p>
    <w:p>
      <w:pPr>
        <w:ind w:right="160" w:firstLine="1296"/>
        <w:spacing w:after="0" w:line="254" w:lineRule="auto"/>
        <w:rPr>
          <w:sz w:val="20"/>
          <w:szCs w:val="20"/>
          <w:color w:val="auto"/>
        </w:rPr>
      </w:pPr>
      <w:r>
        <w:rPr>
          <w:rFonts w:ascii="Arial" w:cs="Arial" w:eastAsia="Arial" w:hAnsi="Arial"/>
          <w:sz w:val="20"/>
          <w:szCs w:val="20"/>
          <w:u w:val="single" w:color="auto"/>
          <w:color w:val="auto"/>
        </w:rPr>
        <w:t>Section 4.13</w:t>
      </w:r>
      <w:r>
        <w:rPr>
          <w:rFonts w:ascii="Arial" w:cs="Arial" w:eastAsia="Arial" w:hAnsi="Arial"/>
          <w:sz w:val="20"/>
          <w:szCs w:val="20"/>
          <w:color w:val="auto"/>
        </w:rPr>
        <w:t xml:space="preserve">. </w:t>
      </w:r>
      <w:r>
        <w:rPr>
          <w:rFonts w:ascii="Arial" w:cs="Arial" w:eastAsia="Arial" w:hAnsi="Arial"/>
          <w:sz w:val="20"/>
          <w:szCs w:val="20"/>
          <w:u w:val="single" w:color="auto"/>
          <w:color w:val="auto"/>
        </w:rPr>
        <w:t>Managing Directors, Directors and Vice Presidents</w:t>
      </w:r>
      <w:r>
        <w:rPr>
          <w:rFonts w:ascii="Arial" w:cs="Arial" w:eastAsia="Arial" w:hAnsi="Arial"/>
          <w:sz w:val="20"/>
          <w:szCs w:val="20"/>
          <w:color w:val="auto"/>
        </w:rPr>
        <w:t>. If chosen, the Managing Directors, Directors and Vice Presidents, in the order of their seniority, shall, in the absence or disability of the President, exercise all of the powers and duties of the President. Such Managing Directors, Directors and Vice Presidents shall have the power to execute bonds, notes, mortgages and other contracts, agreements and instruments of the Company, and they shall perform such other duties and have such other powers as may be incident to their respective offices and as from time to time may be prescribed by the Board of Directors or the President.</w:t>
      </w:r>
    </w:p>
    <w:p>
      <w:pPr>
        <w:spacing w:after="0" w:line="214" w:lineRule="exact"/>
        <w:rPr>
          <w:sz w:val="20"/>
          <w:szCs w:val="20"/>
          <w:color w:val="auto"/>
        </w:rPr>
      </w:pPr>
    </w:p>
    <w:p>
      <w:pPr>
        <w:ind w:firstLine="1296"/>
        <w:spacing w:after="0" w:line="262" w:lineRule="auto"/>
        <w:rPr>
          <w:sz w:val="20"/>
          <w:szCs w:val="20"/>
          <w:color w:val="auto"/>
        </w:rPr>
      </w:pPr>
      <w:r>
        <w:rPr>
          <w:rFonts w:ascii="Arial" w:cs="Arial" w:eastAsia="Arial" w:hAnsi="Arial"/>
          <w:sz w:val="20"/>
          <w:szCs w:val="20"/>
          <w:u w:val="single" w:color="auto"/>
          <w:color w:val="auto"/>
        </w:rPr>
        <w:t>Section 4.14</w:t>
      </w:r>
      <w:r>
        <w:rPr>
          <w:rFonts w:ascii="Arial" w:cs="Arial" w:eastAsia="Arial" w:hAnsi="Arial"/>
          <w:sz w:val="20"/>
          <w:szCs w:val="20"/>
          <w:color w:val="auto"/>
        </w:rPr>
        <w:t xml:space="preserve">. </w:t>
      </w:r>
      <w:r>
        <w:rPr>
          <w:rFonts w:ascii="Arial" w:cs="Arial" w:eastAsia="Arial" w:hAnsi="Arial"/>
          <w:sz w:val="20"/>
          <w:szCs w:val="20"/>
          <w:u w:val="single" w:color="auto"/>
          <w:color w:val="auto"/>
        </w:rPr>
        <w:t>Duties of Officers may be Delegated</w:t>
      </w:r>
      <w:r>
        <w:rPr>
          <w:rFonts w:ascii="Arial" w:cs="Arial" w:eastAsia="Arial" w:hAnsi="Arial"/>
          <w:sz w:val="20"/>
          <w:szCs w:val="20"/>
          <w:color w:val="auto"/>
        </w:rPr>
        <w:t>. In case of the absence or disability of any officer of the Company, or for any other reason that the Board may deem sufficient, the Board may delegate, for the time being, the powers or duties, or any of them, of such officer to any other officer.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V</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INDEMNIFICATION OF DIRECTORS, OFFICERS AND OTHERS</w:t>
      </w:r>
    </w:p>
    <w:p>
      <w:pPr>
        <w:spacing w:after="0" w:line="256" w:lineRule="exact"/>
        <w:rPr>
          <w:sz w:val="20"/>
          <w:szCs w:val="20"/>
          <w:color w:val="auto"/>
        </w:rPr>
      </w:pPr>
    </w:p>
    <w:p>
      <w:pPr>
        <w:ind w:right="80" w:firstLine="1296"/>
        <w:spacing w:after="0" w:line="252" w:lineRule="auto"/>
        <w:rPr>
          <w:sz w:val="20"/>
          <w:szCs w:val="20"/>
          <w:color w:val="auto"/>
        </w:rPr>
      </w:pP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Power to Indemnify in Actions, Suits or Proceedings other than Those by or in the Right of the</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Company</w:t>
      </w:r>
      <w:r>
        <w:rPr>
          <w:rFonts w:ascii="Arial" w:cs="Arial" w:eastAsia="Arial" w:hAnsi="Arial"/>
          <w:sz w:val="20"/>
          <w:szCs w:val="20"/>
          <w:color w:val="auto"/>
        </w:rPr>
        <w:t>. Subject to the other provisions of this Article V, and subject to applicable law, the Company shall indemnify any person made or threatened to be made a party to an action or proceeding (other than one by or in the right of the Company to procure a judgment in its favor), whether civil or criminal, including an action by or in the right of any other corporation of any type or kind, domestic or foreign, or any partnership, joint venture, trust, employee benefit plan or other enterprise, which any director or officer of the Company served in any capacity at the request of the Company, by reason of the fact that such person, his or her testator or intestate, was a director or officer of the Company, or served such other corporation, partnership, joint venture, trust, employee benefit plan or other enterprise in any capacity, against judgments, fines,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- 6 -</w:t>
      </w:r>
    </w:p>
    <w:p>
      <w:pPr>
        <w:sectPr>
          <w:pgSz w:w="11900" w:h="16838" w:orient="portrait"/>
          <w:cols w:equalWidth="0" w:num="1">
            <w:col w:w="11220"/>
          </w:cols>
          <w:pgMar w:left="320" w:top="1279" w:right="359" w:bottom="1440" w:gutter="0" w:footer="0" w:header="0"/>
        </w:sectPr>
      </w:pPr>
    </w:p>
    <w:bookmarkStart w:id="181" w:name="page182"/>
    <w:bookmarkEnd w:id="181"/>
    <w:p>
      <w:pPr>
        <w:ind w:right="20"/>
        <w:spacing w:after="0" w:line="258" w:lineRule="auto"/>
        <w:rPr>
          <w:sz w:val="20"/>
          <w:szCs w:val="20"/>
          <w:color w:val="auto"/>
        </w:rPr>
      </w:pPr>
      <w:r>
        <w:rPr>
          <w:rFonts w:ascii="Arial" w:cs="Arial" w:eastAsia="Arial" w:hAnsi="Arial"/>
          <w:sz w:val="20"/>
          <w:szCs w:val="20"/>
          <w:color w:val="auto"/>
        </w:rPr>
        <w:t>paid in settlement and reasonable expenses, including attorneys' fees actually and necessarily incurred as a result of such action or proceeding, or any appeal therein, if such director or officer acted, in good faith, for a purpose which such person reasonably believed to be in, or, in the case of service for any other corporation or any partnership, joint venture, trust, employee benefit plan or other enterprise, not opposed to, the best interests of the Company, and had no reasonable cause to believe that such person’s conduct was unlawful.</w:t>
      </w:r>
    </w:p>
    <w:p>
      <w:pPr>
        <w:spacing w:after="0" w:line="195" w:lineRule="exact"/>
        <w:rPr>
          <w:sz w:val="20"/>
          <w:szCs w:val="20"/>
          <w:color w:val="auto"/>
        </w:rPr>
      </w:pPr>
    </w:p>
    <w:p>
      <w:pPr>
        <w:ind w:right="100" w:firstLine="1296"/>
        <w:spacing w:after="0" w:line="264" w:lineRule="auto"/>
        <w:rPr>
          <w:sz w:val="20"/>
          <w:szCs w:val="20"/>
          <w:color w:val="auto"/>
        </w:rPr>
      </w:pP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Power to Indemnify in Actions, Suits or Proceedings by or in the Right of the Company</w:t>
      </w:r>
      <w:r>
        <w:rPr>
          <w:rFonts w:ascii="Arial" w:cs="Arial" w:eastAsia="Arial" w:hAnsi="Arial"/>
          <w:sz w:val="19"/>
          <w:szCs w:val="19"/>
          <w:color w:val="auto"/>
        </w:rPr>
        <w:t>. Subject to the other provisions of this Article V, and subject to applicable law, the Company shall indemnify any person made, or threatened to be made, a party to an action by or in the right of the Company to procure a judgment in its favor by reason of the fact that such person, his or her testator or intestate, is or was a director or officer of the Company, or is or was serving at the request of the Company as a director or officer of any other corporation of any type or kind, domestic or foreign, of any partnership, joint venture, trust, employee benefit plan or other enterprise, against amounts paid in settlement and reasonable expenses, including attorneys' fees, actually and necessarily incurred by such person in connection with the defense or settlement of such action, or in connection with an appeal therein, if such director or officer acted, in good faith, for a purpose which he reasonably believed to be in, or, in the case of service for any other corporation or any partnership, joint venture, trust, employee benefit plan or other enterprise, not opposed to, the best interests of the Company, except that no indemnification under this Section 5.02 shall be made in respect of (a) a threatened action, or a pending action which is settled or otherwise disposed of, or (b) any claim, issue or matter as to which such person shall have been adjudged to be liable to the Company, unless and only to the extent that the court in which the action was brought, or, if no action was brought, any court of competent jurisdiction, determines upon application that, in view of all the circumstances of the case, the person is fairly and reasonably entitled to indemnity for such portion of the settlement amount and expenses as the court deems proper.</w:t>
      </w:r>
    </w:p>
    <w:p>
      <w:pPr>
        <w:spacing w:after="0" w:line="202" w:lineRule="exact"/>
        <w:rPr>
          <w:sz w:val="20"/>
          <w:szCs w:val="20"/>
          <w:color w:val="auto"/>
        </w:rPr>
      </w:pPr>
    </w:p>
    <w:p>
      <w:pPr>
        <w:ind w:firstLine="1296"/>
        <w:spacing w:after="0" w:line="252" w:lineRule="auto"/>
        <w:rPr>
          <w:sz w:val="20"/>
          <w:szCs w:val="20"/>
          <w:color w:val="auto"/>
        </w:rPr>
      </w:pPr>
      <w:r>
        <w:rPr>
          <w:rFonts w:ascii="Arial" w:cs="Arial" w:eastAsia="Arial" w:hAnsi="Arial"/>
          <w:sz w:val="20"/>
          <w:szCs w:val="20"/>
          <w:u w:val="single" w:color="auto"/>
          <w:color w:val="auto"/>
        </w:rPr>
        <w:t>Section 5.03</w:t>
      </w:r>
      <w:r>
        <w:rPr>
          <w:rFonts w:ascii="Arial" w:cs="Arial" w:eastAsia="Arial" w:hAnsi="Arial"/>
          <w:sz w:val="20"/>
          <w:szCs w:val="20"/>
          <w:color w:val="auto"/>
        </w:rPr>
        <w:t xml:space="preserve">. </w:t>
      </w:r>
      <w:r>
        <w:rPr>
          <w:rFonts w:ascii="Arial" w:cs="Arial" w:eastAsia="Arial" w:hAnsi="Arial"/>
          <w:sz w:val="20"/>
          <w:szCs w:val="20"/>
          <w:u w:val="single" w:color="auto"/>
          <w:color w:val="auto"/>
        </w:rPr>
        <w:t>Authorization of Indemnification</w:t>
      </w:r>
      <w:r>
        <w:rPr>
          <w:rFonts w:ascii="Arial" w:cs="Arial" w:eastAsia="Arial" w:hAnsi="Arial"/>
          <w:sz w:val="20"/>
          <w:szCs w:val="20"/>
          <w:color w:val="auto"/>
        </w:rPr>
        <w:t>. Any indemnification under this Article V (unless ordered by a court) shall be made by the Company only if authorized in the specific case (i) by the Board acting by a quorum consisting of directors who are not parties to such action or proceeding upon a finding that the director or officer has met the standard of conduct set forth in Section 5.01 or Section 5.02, as the case may be; or (ii) if a quorum is not obtainable or, even if obtainable, a quorum of disinterested directors so directs, (x) by the Board upon the opinion in writing of independent legal counsel that indemnification is proper in the circumstances because the applicable standard of conduct set forth in Section 5.01 or Section 5.02, as the case may be, has been met by such director or officer; or (y) by the stockholders upon a finding that the director or officer has met the applicable standard of conduct set forth in Section 5.01 or Section 5.02, as the case may be. A person who has been successful on the merits or otherwise, in the defense of a civil or criminal action or proceeding of the character described in Sections 5.01 or 5.02, shall be entitled to indemnification as authorized in such section.</w:t>
      </w:r>
    </w:p>
    <w:p>
      <w:pPr>
        <w:spacing w:after="0" w:line="204" w:lineRule="exact"/>
        <w:rPr>
          <w:sz w:val="20"/>
          <w:szCs w:val="20"/>
          <w:color w:val="auto"/>
        </w:rPr>
      </w:pPr>
    </w:p>
    <w:p>
      <w:pPr>
        <w:ind w:firstLine="1296"/>
        <w:spacing w:after="0" w:line="254" w:lineRule="auto"/>
        <w:rPr>
          <w:sz w:val="20"/>
          <w:szCs w:val="20"/>
          <w:color w:val="auto"/>
        </w:rPr>
      </w:pPr>
      <w:r>
        <w:rPr>
          <w:rFonts w:ascii="Arial" w:cs="Arial" w:eastAsia="Arial" w:hAnsi="Arial"/>
          <w:sz w:val="20"/>
          <w:szCs w:val="20"/>
          <w:u w:val="single" w:color="auto"/>
          <w:color w:val="auto"/>
        </w:rPr>
        <w:t>Section 5.04</w:t>
      </w:r>
      <w:r>
        <w:rPr>
          <w:rFonts w:ascii="Arial" w:cs="Arial" w:eastAsia="Arial" w:hAnsi="Arial"/>
          <w:sz w:val="20"/>
          <w:szCs w:val="20"/>
          <w:color w:val="auto"/>
        </w:rPr>
        <w:t xml:space="preserve">. </w:t>
      </w:r>
      <w:r>
        <w:rPr>
          <w:rFonts w:ascii="Arial" w:cs="Arial" w:eastAsia="Arial" w:hAnsi="Arial"/>
          <w:sz w:val="20"/>
          <w:szCs w:val="20"/>
          <w:u w:val="single" w:color="auto"/>
          <w:color w:val="auto"/>
        </w:rPr>
        <w:t>Good Faith Defined</w:t>
      </w:r>
      <w:r>
        <w:rPr>
          <w:rFonts w:ascii="Arial" w:cs="Arial" w:eastAsia="Arial" w:hAnsi="Arial"/>
          <w:sz w:val="20"/>
          <w:szCs w:val="20"/>
          <w:color w:val="auto"/>
        </w:rPr>
        <w:t>. For purposes of any determination under Section 5.03, a person shall be deemed to have acted in good faith and in a manner such person reasonably believed to be in or not opposed to the best interests of the Company, or to have had no reasonable cause to believe such person’s conduct was unlawful, if such person’s action is based on the records or books of account of the Company or another enterprise, or on information supplied to such person by the officers of the Company or another enterprise in the course of their duties, or on the advice of legal counsel for the Company or another enterprise or on information or records given or reports made to the Company or another enterprise by an independent certified public accountant or by an appraiser or other expert selected with reasonable care by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- 7 -</w:t>
      </w:r>
    </w:p>
    <w:p>
      <w:pPr>
        <w:sectPr>
          <w:pgSz w:w="11900" w:h="16838" w:orient="portrait"/>
          <w:cols w:equalWidth="0" w:num="1">
            <w:col w:w="11240"/>
          </w:cols>
          <w:pgMar w:left="320" w:top="1279" w:right="339" w:bottom="1440" w:gutter="0" w:footer="0" w:header="0"/>
        </w:sectPr>
      </w:pPr>
    </w:p>
    <w:bookmarkStart w:id="182" w:name="page183"/>
    <w:bookmarkEnd w:id="182"/>
    <w:p>
      <w:pPr>
        <w:ind w:right="40"/>
        <w:spacing w:after="0" w:line="269" w:lineRule="auto"/>
        <w:rPr>
          <w:sz w:val="20"/>
          <w:szCs w:val="20"/>
          <w:color w:val="auto"/>
        </w:rPr>
      </w:pPr>
      <w:r>
        <w:rPr>
          <w:rFonts w:ascii="Arial" w:cs="Arial" w:eastAsia="Arial" w:hAnsi="Arial"/>
          <w:sz w:val="20"/>
          <w:szCs w:val="20"/>
          <w:color w:val="auto"/>
        </w:rPr>
        <w:t>Company or another enterprise. The provisions of this Section 5.04 shall not be deemed to be exclusive or to limit in any way the circumstances in which a person may be deemed to have met the applicable standard of conduct set forth in Section 5.01 or Section 5.02, as the case may be.</w:t>
      </w:r>
    </w:p>
    <w:p>
      <w:pPr>
        <w:spacing w:after="0" w:line="18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Serving an Employee Benefit Plan on behalf of the Company</w:t>
      </w:r>
      <w:r>
        <w:rPr>
          <w:rFonts w:ascii="Arial" w:cs="Arial" w:eastAsia="Arial" w:hAnsi="Arial"/>
          <w:sz w:val="19"/>
          <w:szCs w:val="19"/>
          <w:color w:val="auto"/>
        </w:rPr>
        <w:t>. For the purpose of this Article V, the Company shall be deemed to have requested a person to serve an employee benefit plan where the performance by such person of his duties to the Company also imposes duties on, or otherwise involves services by, such person to the plan or participants or beneficiaries of the plan; excise taxes assessed on a person with respect to an employee benefit plan pursuant to applicable law shall be considered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Company.</w:t>
      </w:r>
    </w:p>
    <w:p>
      <w:pPr>
        <w:spacing w:after="0" w:line="189" w:lineRule="exact"/>
        <w:rPr>
          <w:sz w:val="20"/>
          <w:szCs w:val="20"/>
          <w:color w:val="auto"/>
        </w:rPr>
      </w:pPr>
    </w:p>
    <w:p>
      <w:pPr>
        <w:ind w:firstLine="1296"/>
        <w:spacing w:after="0" w:line="254" w:lineRule="auto"/>
        <w:rPr>
          <w:sz w:val="20"/>
          <w:szCs w:val="20"/>
          <w:color w:val="auto"/>
        </w:rPr>
      </w:pPr>
      <w:r>
        <w:rPr>
          <w:rFonts w:ascii="Arial" w:cs="Arial" w:eastAsia="Arial" w:hAnsi="Arial"/>
          <w:sz w:val="20"/>
          <w:szCs w:val="20"/>
          <w:u w:val="single" w:color="auto"/>
          <w:color w:val="auto"/>
        </w:rPr>
        <w:t>Section 5.06</w:t>
      </w:r>
      <w:r>
        <w:rPr>
          <w:rFonts w:ascii="Arial" w:cs="Arial" w:eastAsia="Arial" w:hAnsi="Arial"/>
          <w:sz w:val="20"/>
          <w:szCs w:val="20"/>
          <w:color w:val="auto"/>
        </w:rPr>
        <w:t xml:space="preserve">. </w:t>
      </w:r>
      <w:r>
        <w:rPr>
          <w:rFonts w:ascii="Arial" w:cs="Arial" w:eastAsia="Arial" w:hAnsi="Arial"/>
          <w:sz w:val="20"/>
          <w:szCs w:val="20"/>
          <w:u w:val="single" w:color="auto"/>
          <w:color w:val="auto"/>
        </w:rPr>
        <w:t>Indemnification upon Application to a Court</w:t>
      </w:r>
      <w:r>
        <w:rPr>
          <w:rFonts w:ascii="Arial" w:cs="Arial" w:eastAsia="Arial" w:hAnsi="Arial"/>
          <w:sz w:val="20"/>
          <w:szCs w:val="20"/>
          <w:color w:val="auto"/>
        </w:rPr>
        <w:t>. Notwithstanding the failure of the Company to provide indemnification and despite any contrary resolution of the Board or stockholders under Section 5.03, or in the event that no determination has been made within ninety days after receipt of the Company of a written claim therefor, upon application to a court by a director or officer, indemnification shall be awarded by a court to the extent authorized in Section 5.01 or Section 5.02. Such application shall be upon notice to the Company. Neither a contrary determination in the specific case under Section 5.03 nor the absence of any determination thereunder shall be a defense to such application or create a presumption that the director or officer seeking indemnification has not met any applicable standard of conduct.</w:t>
      </w:r>
    </w:p>
    <w:p>
      <w:pPr>
        <w:spacing w:after="0" w:line="200"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u w:val="single" w:color="auto"/>
          <w:color w:val="auto"/>
        </w:rPr>
        <w:t>Section 5.07</w:t>
      </w:r>
      <w:r>
        <w:rPr>
          <w:rFonts w:ascii="Arial" w:cs="Arial" w:eastAsia="Arial" w:hAnsi="Arial"/>
          <w:sz w:val="20"/>
          <w:szCs w:val="20"/>
          <w:color w:val="auto"/>
        </w:rPr>
        <w:t xml:space="preserve">. </w:t>
      </w:r>
      <w:r>
        <w:rPr>
          <w:rFonts w:ascii="Arial" w:cs="Arial" w:eastAsia="Arial" w:hAnsi="Arial"/>
          <w:sz w:val="20"/>
          <w:szCs w:val="20"/>
          <w:u w:val="single" w:color="auto"/>
          <w:color w:val="auto"/>
        </w:rPr>
        <w:t>Expenses Payable in Advance</w:t>
      </w:r>
      <w:r>
        <w:rPr>
          <w:rFonts w:ascii="Arial" w:cs="Arial" w:eastAsia="Arial" w:hAnsi="Arial"/>
          <w:sz w:val="20"/>
          <w:szCs w:val="20"/>
          <w:color w:val="auto"/>
        </w:rPr>
        <w:t>. Subject to the other provisions of this Article V, and subject to applicable law, expenses incurred in defending a civil or criminal action or proceeding may be paid by the Company in advance of the final disposition of such action or proceeding upon receipt of an undertaking by or on behalf of such director or officer to repay such amount (i) if it shall ultimately be determined that such person is not entitled to be indemnified by the Company as authorized in this Article V, (ii) where indemnification is granted, to the extent expenses so advanced by the Company or allowed by a court exceed the indemnification to which such person is entitled and (iii) upon such other terms and conditions, if any, as the Company deems appropriate. Any such advancement of expenses shall be made in the sole and absolute discretion of the Company only as authorized in the specific case upon a determination made, with respect to a person who is a director or officer at the time of such determination, (i) by the Board acting by a quorum consisting of directors who are not parties to such action or proceeding, or (ii) if a quorum is not obtainable or, even if obtainable, if a quorum of disinterested directors so directs, (x) by the Board upon the opinion in writing of independent legal counsel or (y) by the stockholders and, with respect to former directors and officers, by any person or persons having the authority to act on the matter on behalf of the Company. Without limiting the foregoing, the Company reserves the right in its sole and absolute discretion to revoke at any time any approval previously granted in respect of any such request for the advancement of expenses or to, in its sole and absolute discretion, impose limits or conditions in respect of any such approval.</w:t>
      </w:r>
    </w:p>
    <w:p>
      <w:pPr>
        <w:spacing w:after="0" w:line="214" w:lineRule="exact"/>
        <w:rPr>
          <w:sz w:val="20"/>
          <w:szCs w:val="20"/>
          <w:color w:val="auto"/>
        </w:rPr>
      </w:pPr>
    </w:p>
    <w:p>
      <w:pPr>
        <w:ind w:right="20" w:firstLine="1296"/>
        <w:spacing w:after="0" w:line="258" w:lineRule="auto"/>
        <w:rPr>
          <w:sz w:val="20"/>
          <w:szCs w:val="20"/>
          <w:color w:val="auto"/>
        </w:rPr>
      </w:pPr>
      <w:r>
        <w:rPr>
          <w:rFonts w:ascii="Arial" w:cs="Arial" w:eastAsia="Arial" w:hAnsi="Arial"/>
          <w:sz w:val="20"/>
          <w:szCs w:val="20"/>
          <w:u w:val="single" w:color="auto"/>
          <w:color w:val="auto"/>
        </w:rPr>
        <w:t>Section 5.08</w:t>
      </w:r>
      <w:r>
        <w:rPr>
          <w:rFonts w:ascii="Arial" w:cs="Arial" w:eastAsia="Arial" w:hAnsi="Arial"/>
          <w:sz w:val="20"/>
          <w:szCs w:val="20"/>
          <w:color w:val="auto"/>
        </w:rPr>
        <w:t xml:space="preserve">. </w:t>
      </w:r>
      <w:r>
        <w:rPr>
          <w:rFonts w:ascii="Arial" w:cs="Arial" w:eastAsia="Arial" w:hAnsi="Arial"/>
          <w:sz w:val="20"/>
          <w:szCs w:val="20"/>
          <w:u w:val="single" w:color="auto"/>
          <w:color w:val="auto"/>
        </w:rPr>
        <w:t>Nonexclusivity of Indemnification and Advancement of Expenses</w:t>
      </w:r>
      <w:r>
        <w:rPr>
          <w:rFonts w:ascii="Arial" w:cs="Arial" w:eastAsia="Arial" w:hAnsi="Arial"/>
          <w:sz w:val="20"/>
          <w:szCs w:val="20"/>
          <w:color w:val="auto"/>
        </w:rPr>
        <w:t>. The indemnification and advancement of expenses granted pursuant to, or provided by, this Article V shall not be deemed exclusive of any other rights to which a director or officer seeking indemnification or advancement of expenses may be entitled whether contained in the Company’s Organization Certificate, these By-Laws or, when authorized by the Organization Certificate or these By-Laws, (i) a resolution of stockholders, (ii) a resolution of directors, or (iii) an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- 8 -</w:t>
      </w:r>
    </w:p>
    <w:p>
      <w:pPr>
        <w:sectPr>
          <w:pgSz w:w="11900" w:h="16838" w:orient="portrait"/>
          <w:cols w:equalWidth="0" w:num="1">
            <w:col w:w="11240"/>
          </w:cols>
          <w:pgMar w:left="320" w:top="1279" w:right="339" w:bottom="1440" w:gutter="0" w:footer="0" w:header="0"/>
        </w:sectPr>
      </w:pPr>
    </w:p>
    <w:bookmarkStart w:id="183" w:name="page184"/>
    <w:bookmarkEnd w:id="183"/>
    <w:p>
      <w:pPr>
        <w:spacing w:after="0" w:line="254" w:lineRule="auto"/>
        <w:rPr>
          <w:sz w:val="20"/>
          <w:szCs w:val="20"/>
          <w:color w:val="auto"/>
        </w:rPr>
      </w:pPr>
      <w:r>
        <w:rPr>
          <w:rFonts w:ascii="Arial" w:cs="Arial" w:eastAsia="Arial" w:hAnsi="Arial"/>
          <w:sz w:val="20"/>
          <w:szCs w:val="20"/>
          <w:color w:val="auto"/>
        </w:rPr>
        <w:t>providing for such indemnification, provided that no indemnification may be made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Nothing contained in this Article V shall affect any rights to indemnification to which corporate personnel other than directors and officers may be entitled by contract or otherwise under law.</w:t>
      </w:r>
    </w:p>
    <w:p>
      <w:pPr>
        <w:spacing w:after="0" w:line="214" w:lineRule="exact"/>
        <w:rPr>
          <w:sz w:val="20"/>
          <w:szCs w:val="20"/>
          <w:color w:val="auto"/>
        </w:rPr>
      </w:pPr>
    </w:p>
    <w:p>
      <w:pPr>
        <w:ind w:right="60" w:firstLine="1296"/>
        <w:spacing w:after="0" w:line="249" w:lineRule="auto"/>
        <w:rPr>
          <w:sz w:val="20"/>
          <w:szCs w:val="20"/>
          <w:color w:val="auto"/>
        </w:rPr>
      </w:pPr>
      <w:r>
        <w:rPr>
          <w:rFonts w:ascii="Arial" w:cs="Arial" w:eastAsia="Arial" w:hAnsi="Arial"/>
          <w:sz w:val="20"/>
          <w:szCs w:val="20"/>
          <w:u w:val="single" w:color="auto"/>
          <w:color w:val="auto"/>
        </w:rPr>
        <w:t>Section 5.09</w:t>
      </w:r>
      <w:r>
        <w:rPr>
          <w:rFonts w:ascii="Arial" w:cs="Arial" w:eastAsia="Arial" w:hAnsi="Arial"/>
          <w:sz w:val="20"/>
          <w:szCs w:val="20"/>
          <w:color w:val="auto"/>
        </w:rPr>
        <w:t xml:space="preserve">. </w:t>
      </w:r>
      <w:r>
        <w:rPr>
          <w:rFonts w:ascii="Arial" w:cs="Arial" w:eastAsia="Arial" w:hAnsi="Arial"/>
          <w:sz w:val="20"/>
          <w:szCs w:val="20"/>
          <w:u w:val="single" w:color="auto"/>
          <w:color w:val="auto"/>
        </w:rPr>
        <w:t>Insurance</w:t>
      </w:r>
      <w:r>
        <w:rPr>
          <w:rFonts w:ascii="Arial" w:cs="Arial" w:eastAsia="Arial" w:hAnsi="Arial"/>
          <w:sz w:val="20"/>
          <w:szCs w:val="20"/>
          <w:color w:val="auto"/>
        </w:rPr>
        <w:t>. Subject to the other provisions of this Article V, the Company may purchase and maintain insurance (in a single contract or supplement thereto, but not in a retrospective rated contract): (i) to indemnify the Company for any obligation which it incurs as a result of the indemnification of directors and officers under the provisions of this Article V, (ii) to indemnify directors and officers in instances in which they may be indemnified by the Company under the provisions of this Article V and applicable law, and (iii) to indemnify directors and officers in instances in which they may not otherwise be indemnified by the Company under the provisions of this Article V, provided the contract of insurance covering such directors and officers provides, in a manner acceptable to the New York Superintendent of Financial Services, for a retention amount and for co-insurance. Notwithstanding the foregoing, any such insurance shall be subject to the provisions of, and the Company shall comply with the requirements set forth in, Section 7023 of the New York State Banking Law.</w:t>
      </w:r>
    </w:p>
    <w:p>
      <w:pPr>
        <w:spacing w:after="0" w:line="4" w:lineRule="exact"/>
        <w:rPr>
          <w:sz w:val="20"/>
          <w:szCs w:val="20"/>
          <w:color w:val="auto"/>
        </w:rPr>
      </w:pPr>
    </w:p>
    <w:p>
      <w:pPr>
        <w:ind w:firstLine="1296"/>
        <w:spacing w:after="0" w:line="249" w:lineRule="auto"/>
        <w:rPr>
          <w:sz w:val="20"/>
          <w:szCs w:val="20"/>
          <w:color w:val="auto"/>
        </w:rPr>
      </w:pP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w:t>
      </w:r>
      <w:r>
        <w:rPr>
          <w:rFonts w:ascii="Arial" w:cs="Arial" w:eastAsia="Arial" w:hAnsi="Arial"/>
          <w:sz w:val="20"/>
          <w:szCs w:val="20"/>
          <w:u w:val="single" w:color="auto"/>
          <w:color w:val="auto"/>
        </w:rPr>
        <w:t>Limitations on Indemnification and Insurance</w:t>
      </w:r>
      <w:r>
        <w:rPr>
          <w:rFonts w:ascii="Arial" w:cs="Arial" w:eastAsia="Arial" w:hAnsi="Arial"/>
          <w:sz w:val="20"/>
          <w:szCs w:val="20"/>
          <w:color w:val="auto"/>
        </w:rPr>
        <w:t>. All indemnification and insurance provisions contained in this Article V are subject to any limitations and prohibitions under applicable law, including but not limited to Section 7022 (with respect to indemnification, advancement or allowance) and Section 7023 (with respect to insurance) of the New York State Banking Law and the Federal Deposit Insurance Act (with respect to administrative proceedings or civil actions initiated by any federal banking agency). Notwithstanding anything contained in this Article V to the contrary, no indemnification, advancement or allowance shall be made (i)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or (ii) in any circumstance where it appears (a) that the indemnification would be inconsistent with a provision of the Company’s Organization Certificate, these By-Laws, a resolution of the Board or of the stockholders, an agreement or other proper corporate action, in effect at the time of the accrual of the alleged cause of action asserted in the threatened or pending action or proceeding in which the expenses were incurred or other amounts were paid, which prohibits or otherwise limits indemnification; or (b) if there has been a settlement approved by the court, that the indemnification would be inconsistent with any condition with respect to indemnification expressly imposed by the court in approving the settlement.</w:t>
      </w:r>
    </w:p>
    <w:p>
      <w:pPr>
        <w:spacing w:after="0" w:line="210" w:lineRule="exact"/>
        <w:rPr>
          <w:sz w:val="20"/>
          <w:szCs w:val="20"/>
          <w:color w:val="auto"/>
        </w:rPr>
      </w:pPr>
    </w:p>
    <w:p>
      <w:pPr>
        <w:ind w:right="20" w:firstLine="1296"/>
        <w:spacing w:after="0" w:line="267" w:lineRule="auto"/>
        <w:rPr>
          <w:sz w:val="20"/>
          <w:szCs w:val="20"/>
          <w:color w:val="auto"/>
        </w:rPr>
      </w:pPr>
      <w:r>
        <w:rPr>
          <w:rFonts w:ascii="Arial" w:cs="Arial" w:eastAsia="Arial" w:hAnsi="Arial"/>
          <w:sz w:val="19"/>
          <w:szCs w:val="19"/>
          <w:color w:val="auto"/>
        </w:rPr>
        <w:t>Notwithstanding anything contained in this Article V to the contrary, but subject to any requirements of applicable law, (i) except for proceedings to enforce rights to indemnification (which shall be governed by Section 5.06), the Company shall not be obligated to indemnify any director or officer (or his testators intestate) or advance expenses in connection with a proceeding (or part thereof) initiated by such person unless such proceeding (or part thereof) was authorized or consented to by the Board of Directors of the Company, (ii) with respect to indemnification or advancement of expenses relating to attorneys’ fees under this Article V, counsel for the present or former director or officer must be reasonably acceptable to the Company (and the Company may, in its sole and absolute discretion, establish a panel of approved law firms for such purpose, out of which the present or former director or officer could be required to select an approved law firm 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- 9 -</w:t>
      </w:r>
    </w:p>
    <w:p>
      <w:pPr>
        <w:sectPr>
          <w:pgSz w:w="11900" w:h="16838" w:orient="portrait"/>
          <w:cols w:equalWidth="0" w:num="1">
            <w:col w:w="11200"/>
          </w:cols>
          <w:pgMar w:left="320" w:top="1279" w:right="379" w:bottom="1440" w:gutter="0" w:footer="0" w:header="0"/>
        </w:sectPr>
      </w:pPr>
    </w:p>
    <w:bookmarkStart w:id="184" w:name="page185"/>
    <w:bookmarkEnd w:id="184"/>
    <w:p>
      <w:pPr>
        <w:ind w:right="40"/>
        <w:spacing w:after="0" w:line="251" w:lineRule="auto"/>
        <w:rPr>
          <w:sz w:val="20"/>
          <w:szCs w:val="20"/>
          <w:color w:val="auto"/>
        </w:rPr>
      </w:pPr>
      <w:r>
        <w:rPr>
          <w:rFonts w:ascii="Arial" w:cs="Arial" w:eastAsia="Arial" w:hAnsi="Arial"/>
          <w:sz w:val="20"/>
          <w:szCs w:val="20"/>
          <w:color w:val="auto"/>
        </w:rPr>
        <w:t>represent him), (iii) indemnification in respect of amounts paid in settlement shall be subject to the prior consent of the Company (not to be unreasonably withheld), (iv) any and all obligations of the Corporation under this Article V shall be subject to applicable law, (v) in no event shall any payments pursuant to this Article V be made if duplicative of any indemnification or advancement of expenses or other reimbursement available to the applicable director or officer (other than for coverage maintained by such person in his individual capacity), and (vi) no indemnification or advancement of expenses shall be provided under these By-Laws to any person in respect of any expenses, judgments, fines or amounts paid in settlement to the extent incurred by such person in his capacity or position with another entity (including, without limitation, an entity that is a stockholder of the Company or any of the branches or affiliates of such stockholder), except as expressly provided in these By-Laws in respect of such person’s capacity and position as a director or officer of the Company or such person is a director or officer of the Company serving at the request of the Company as a director, officer, employee or agent of another corporation, partnership, joint venture, trust or other enterprise.</w:t>
      </w:r>
    </w:p>
    <w:p>
      <w:pPr>
        <w:spacing w:after="0" w:line="216" w:lineRule="exact"/>
        <w:rPr>
          <w:sz w:val="20"/>
          <w:szCs w:val="20"/>
          <w:color w:val="auto"/>
        </w:rPr>
      </w:pPr>
    </w:p>
    <w:p>
      <w:pPr>
        <w:ind w:right="120" w:firstLine="1296"/>
        <w:spacing w:after="0" w:line="249" w:lineRule="auto"/>
        <w:rPr>
          <w:sz w:val="20"/>
          <w:szCs w:val="20"/>
          <w:color w:val="auto"/>
        </w:rPr>
      </w:pP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w:t>
      </w:r>
      <w:r>
        <w:rPr>
          <w:rFonts w:ascii="Arial" w:cs="Arial" w:eastAsia="Arial" w:hAnsi="Arial"/>
          <w:sz w:val="20"/>
          <w:szCs w:val="20"/>
          <w:u w:val="single" w:color="auto"/>
          <w:color w:val="auto"/>
        </w:rPr>
        <w:t>Indemnification of Other Persons</w:t>
      </w:r>
      <w:r>
        <w:rPr>
          <w:rFonts w:ascii="Arial" w:cs="Arial" w:eastAsia="Arial" w:hAnsi="Arial"/>
          <w:sz w:val="20"/>
          <w:szCs w:val="20"/>
          <w:color w:val="auto"/>
        </w:rPr>
        <w:t>. The Company may, to the extent authorized from time to time by the Board of Directors, provide rights to indemnification and to the advancement of expenses (whether pursuant to an adoption of a policy or otherwise) to employees and agents of the Company (whether similar to those conferred in this Article V upon directors and officers of the Company or on other terms and conditions authorized from time to time by the Board of Directors), as well as to employees of direct and indirect subsidiaries of the Company and to other persons (or categories of persons) approved from time to time by the Board of Directors.</w:t>
      </w:r>
    </w:p>
    <w:p>
      <w:pPr>
        <w:spacing w:after="0" w:line="4" w:lineRule="exact"/>
        <w:rPr>
          <w:sz w:val="20"/>
          <w:szCs w:val="20"/>
          <w:color w:val="auto"/>
        </w:rPr>
      </w:pPr>
    </w:p>
    <w:p>
      <w:pPr>
        <w:ind w:right="420" w:firstLine="1296"/>
        <w:spacing w:after="0" w:line="260" w:lineRule="auto"/>
        <w:rPr>
          <w:sz w:val="20"/>
          <w:szCs w:val="20"/>
          <w:color w:val="auto"/>
        </w:rPr>
      </w:pPr>
      <w:r>
        <w:rPr>
          <w:rFonts w:ascii="Arial" w:cs="Arial" w:eastAsia="Arial" w:hAnsi="Arial"/>
          <w:sz w:val="20"/>
          <w:szCs w:val="20"/>
          <w:u w:val="single" w:color="auto"/>
          <w:color w:val="auto"/>
        </w:rPr>
        <w:t>Section 5.12</w:t>
      </w:r>
      <w:r>
        <w:rPr>
          <w:rFonts w:ascii="Arial" w:cs="Arial" w:eastAsia="Arial" w:hAnsi="Arial"/>
          <w:sz w:val="20"/>
          <w:szCs w:val="20"/>
          <w:color w:val="auto"/>
        </w:rPr>
        <w:t xml:space="preserve">. </w:t>
      </w:r>
      <w:r>
        <w:rPr>
          <w:rFonts w:ascii="Arial" w:cs="Arial" w:eastAsia="Arial" w:hAnsi="Arial"/>
          <w:sz w:val="20"/>
          <w:szCs w:val="20"/>
          <w:u w:val="single" w:color="auto"/>
          <w:color w:val="auto"/>
        </w:rPr>
        <w:t>Repeal</w:t>
      </w:r>
      <w:r>
        <w:rPr>
          <w:rFonts w:ascii="Arial" w:cs="Arial" w:eastAsia="Arial" w:hAnsi="Arial"/>
          <w:sz w:val="20"/>
          <w:szCs w:val="20"/>
          <w:color w:val="auto"/>
        </w:rPr>
        <w:t>. Any repeal or modification of this Article V shall not adversely affect any rights to indemnification and to the advancement of expenses of a director, officer, employee or agent of the Company existing at the time of such repeal or modification with respect to any acts or omissions occurring prior to such repeal or modification.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VI</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CAPITAL STOCK</w:t>
      </w:r>
    </w:p>
    <w:p>
      <w:pPr>
        <w:spacing w:after="0" w:line="243" w:lineRule="exact"/>
        <w:rPr>
          <w:sz w:val="20"/>
          <w:szCs w:val="20"/>
          <w:color w:val="auto"/>
        </w:rPr>
      </w:pPr>
    </w:p>
    <w:p>
      <w:pPr>
        <w:ind w:firstLine="1296"/>
        <w:spacing w:after="0" w:line="251" w:lineRule="auto"/>
        <w:rPr>
          <w:sz w:val="20"/>
          <w:szCs w:val="20"/>
          <w:color w:val="auto"/>
        </w:rPr>
      </w:pP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Certificates</w:t>
      </w:r>
      <w:r>
        <w:rPr>
          <w:rFonts w:ascii="Arial" w:cs="Arial" w:eastAsia="Arial" w:hAnsi="Arial"/>
          <w:sz w:val="20"/>
          <w:szCs w:val="20"/>
          <w:color w:val="auto"/>
        </w:rPr>
        <w:t>. The interest of each stockholder of the Company shall be evidenced by certificates for shares of stock in such form as the Board of Directors may from time to time prescribe. The certificates of stock shall be signed by the Chairman of the Board or the President or a Managing Director or a Director or a Vice President and by the Secretary, or the Treasurer, or an Assistant Secretary, or an Assistant Treasurer, sealed with the seal of the Company or a facsimile thereof, and countersigned and registered in such manner, if any, as the Board of Directors may by resolution prescribe. Where any such certificate is countersigned by a transfer agent other than the Company or its employee, or registered by a registrar other than the Company or its employee, the signature of any such officer may be a facsimile signature. In case any officer or officers who shall have signed, or whose facsimile signature or signatures shall have been used on, any such certificate or certificates shall cease to be such officer or officers of the Company, whether because of death, resignation, retirement, disqualification, removal or otherwise, before such certificate or certificates shall have been delivered by the Company, such certificate or certificates may nevertheless be adopted by the Company and be issued and delivered as though the person or persons who signed such certificate or certificates or whose facsimile signature or signatures shall have been used thereon had not ceased to be such officer or officers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- 10 -</w:t>
      </w:r>
    </w:p>
    <w:p>
      <w:pPr>
        <w:sectPr>
          <w:pgSz w:w="11900" w:h="16838" w:orient="portrait"/>
          <w:cols w:equalWidth="0" w:num="1">
            <w:col w:w="11240"/>
          </w:cols>
          <w:pgMar w:left="320" w:top="1279" w:right="339" w:bottom="1440" w:gutter="0" w:footer="0" w:header="0"/>
        </w:sectPr>
      </w:pPr>
    </w:p>
    <w:bookmarkStart w:id="185" w:name="page186"/>
    <w:bookmarkEnd w:id="185"/>
    <w:p>
      <w:pPr>
        <w:ind w:right="20" w:firstLine="1296"/>
        <w:spacing w:after="0" w:line="259" w:lineRule="auto"/>
        <w:rPr>
          <w:sz w:val="20"/>
          <w:szCs w:val="20"/>
          <w:color w:val="auto"/>
        </w:rPr>
      </w:pP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w:t>
      </w:r>
      <w:r>
        <w:rPr>
          <w:rFonts w:ascii="Arial" w:cs="Arial" w:eastAsia="Arial" w:hAnsi="Arial"/>
          <w:sz w:val="20"/>
          <w:szCs w:val="20"/>
          <w:u w:val="single" w:color="auto"/>
          <w:color w:val="auto"/>
        </w:rPr>
        <w:t>Transfer</w:t>
      </w:r>
      <w:r>
        <w:rPr>
          <w:rFonts w:ascii="Arial" w:cs="Arial" w:eastAsia="Arial" w:hAnsi="Arial"/>
          <w:sz w:val="20"/>
          <w:szCs w:val="20"/>
          <w:color w:val="auto"/>
        </w:rPr>
        <w:t>. The shares of stock of the Company shall be transferred only upon the books of the Company by the holder thereof in person or by his attorney, upon surrender for cancellation of certificates for the same number of shares, with an assignment and power of transfer endorsed thereon or attached thereto, duly executed, with such proof of the authenticity of the signature as the Company or its agents may reasonably require.</w:t>
      </w:r>
    </w:p>
    <w:p>
      <w:pPr>
        <w:spacing w:after="0" w:line="209" w:lineRule="exact"/>
        <w:rPr>
          <w:sz w:val="20"/>
          <w:szCs w:val="20"/>
          <w:color w:val="auto"/>
        </w:rPr>
      </w:pPr>
    </w:p>
    <w:p>
      <w:pPr>
        <w:ind w:right="20" w:firstLine="1296"/>
        <w:spacing w:after="0" w:line="252" w:lineRule="auto"/>
        <w:rPr>
          <w:sz w:val="20"/>
          <w:szCs w:val="20"/>
          <w:color w:val="auto"/>
        </w:rPr>
      </w:pP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w:t>
      </w:r>
      <w:r>
        <w:rPr>
          <w:rFonts w:ascii="Arial" w:cs="Arial" w:eastAsia="Arial" w:hAnsi="Arial"/>
          <w:sz w:val="20"/>
          <w:szCs w:val="20"/>
          <w:u w:val="single" w:color="auto"/>
          <w:color w:val="auto"/>
        </w:rPr>
        <w:t>Record Dates</w:t>
      </w:r>
      <w:r>
        <w:rPr>
          <w:rFonts w:ascii="Arial" w:cs="Arial" w:eastAsia="Arial" w:hAnsi="Arial"/>
          <w:sz w:val="20"/>
          <w:szCs w:val="20"/>
          <w:color w:val="auto"/>
        </w:rPr>
        <w:t>. The Board of Directors may fix in advance a date, not less than 10 nor more than 50 days preceding the date of any meeting of stockholders, or the date for the payment of any dividend, or the date for the distribution or allotment of any rights, or the date when any change, conversion or exchange of capital stock shall go into effect, as a record date for the determination of the stockholders entitled to notice of, and to vote at, any such meeting, or entitled to receive payment of any such dividend, or to receive any distribution or allotment of such rights, or to exercise the rights in respect of any such change, conversion or exchange of capital stock, and in such case only such stockholders as shall be stockholders of record on the date so fixed shall be entitled to such notice of, and to vote at, such meeting, or to receive payment of such dividend, or to receive such distribution or allotment or rights or to exercise such rights, as the case may be, notwithstanding any transfer of any stock on the books of the Company after any such record date fixed as aforesaid.</w:t>
      </w:r>
    </w:p>
    <w:p>
      <w:pPr>
        <w:spacing w:after="0" w:line="203" w:lineRule="exact"/>
        <w:rPr>
          <w:sz w:val="20"/>
          <w:szCs w:val="20"/>
          <w:color w:val="auto"/>
        </w:rPr>
      </w:pPr>
    </w:p>
    <w:p>
      <w:pPr>
        <w:ind w:right="20" w:firstLine="1296"/>
        <w:spacing w:after="0" w:line="252" w:lineRule="auto"/>
        <w:rPr>
          <w:sz w:val="20"/>
          <w:szCs w:val="20"/>
          <w:color w:val="auto"/>
        </w:rPr>
      </w:pP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w:t>
      </w:r>
      <w:r>
        <w:rPr>
          <w:rFonts w:ascii="Arial" w:cs="Arial" w:eastAsia="Arial" w:hAnsi="Arial"/>
          <w:sz w:val="20"/>
          <w:szCs w:val="20"/>
          <w:u w:val="single" w:color="auto"/>
          <w:color w:val="auto"/>
        </w:rPr>
        <w:t>Lost Certificates</w:t>
      </w:r>
      <w:r>
        <w:rPr>
          <w:rFonts w:ascii="Arial" w:cs="Arial" w:eastAsia="Arial" w:hAnsi="Arial"/>
          <w:sz w:val="20"/>
          <w:szCs w:val="20"/>
          <w:color w:val="auto"/>
        </w:rPr>
        <w:t>. In the event that any certificate of stock is lost, stolen, destroyed or mutilated, the Board of Directors may authorize the issuance of a new certificate of the same tenor and for the same number of shares in lieu thereof. The Board may in its discretion, before the issuance of such new certificate, require the owner of the lost, stolen, destroyed or mutilated certificate or the legal representative of the owner to make an affidavit or affirmation setting forth such facts as to the loss, destruction or mutilation as it deems necessary and to give the Company a bond in such reasonable sum as it directs to indemnify the Company.</w:t>
      </w:r>
    </w:p>
    <w:p>
      <w:pPr>
        <w:jc w:val="center"/>
        <w:ind w:right="-19"/>
        <w:spacing w:after="0"/>
        <w:rPr>
          <w:sz w:val="20"/>
          <w:szCs w:val="20"/>
          <w:color w:val="auto"/>
        </w:rPr>
      </w:pPr>
      <w:r>
        <w:rPr>
          <w:rFonts w:ascii="Arial" w:cs="Arial" w:eastAsia="Arial" w:hAnsi="Arial"/>
          <w:sz w:val="20"/>
          <w:szCs w:val="20"/>
          <w:u w:val="single" w:color="auto"/>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CHECKS, NOTES, ETC.</w:t>
      </w:r>
    </w:p>
    <w:p>
      <w:pPr>
        <w:spacing w:after="0" w:line="256" w:lineRule="exact"/>
        <w:rPr>
          <w:sz w:val="20"/>
          <w:szCs w:val="20"/>
          <w:color w:val="auto"/>
        </w:rPr>
      </w:pPr>
    </w:p>
    <w:p>
      <w:pPr>
        <w:ind w:right="200" w:firstLine="1296"/>
        <w:spacing w:after="0" w:line="259" w:lineRule="auto"/>
        <w:rPr>
          <w:sz w:val="20"/>
          <w:szCs w:val="20"/>
          <w:color w:val="auto"/>
        </w:rPr>
      </w:pP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Checks, Notes, Etc</w:t>
      </w:r>
      <w:r>
        <w:rPr>
          <w:rFonts w:ascii="Arial" w:cs="Arial" w:eastAsia="Arial" w:hAnsi="Arial"/>
          <w:sz w:val="20"/>
          <w:szCs w:val="20"/>
          <w:color w:val="auto"/>
        </w:rPr>
        <w:t>. All checks and drafts on the Company's bank accounts and all bills of exchange and promissory notes, and all acceptances, obligations and other instruments for the payment of money, may be signed by the President or any Managing Director or any Director or any Vice President and may also be signed by such other officer or officers, agent or agents, as shall be thereunto authorized from time to time by the Board of Directors.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VIII</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MISCELLANEOUS PROVISIONS</w:t>
      </w:r>
    </w:p>
    <w:p>
      <w:pPr>
        <w:spacing w:after="0" w:line="243" w:lineRule="exact"/>
        <w:rPr>
          <w:sz w:val="20"/>
          <w:szCs w:val="20"/>
          <w:color w:val="auto"/>
        </w:rPr>
      </w:pPr>
    </w:p>
    <w:p>
      <w:pPr>
        <w:ind w:right="640" w:firstLine="1296"/>
        <w:spacing w:after="0" w:line="286" w:lineRule="auto"/>
        <w:rPr>
          <w:sz w:val="20"/>
          <w:szCs w:val="20"/>
          <w:color w:val="auto"/>
        </w:rPr>
      </w:pP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w:t>
      </w:r>
      <w:r>
        <w:rPr>
          <w:rFonts w:ascii="Arial" w:cs="Arial" w:eastAsia="Arial" w:hAnsi="Arial"/>
          <w:sz w:val="20"/>
          <w:szCs w:val="20"/>
          <w:u w:val="single" w:color="auto"/>
          <w:color w:val="auto"/>
        </w:rPr>
        <w:t>Fiscal Year</w:t>
      </w:r>
      <w:r>
        <w:rPr>
          <w:rFonts w:ascii="Arial" w:cs="Arial" w:eastAsia="Arial" w:hAnsi="Arial"/>
          <w:sz w:val="20"/>
          <w:szCs w:val="20"/>
          <w:color w:val="auto"/>
        </w:rPr>
        <w:t>. The fiscal year of the Company shall be from January 1 to December 31, unless changed by the Board of Directors.</w:t>
      </w:r>
    </w:p>
    <w:p>
      <w:pPr>
        <w:spacing w:after="0" w:line="18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w:t>
      </w:r>
      <w:r>
        <w:rPr>
          <w:rFonts w:ascii="Arial" w:cs="Arial" w:eastAsia="Arial" w:hAnsi="Arial"/>
          <w:sz w:val="20"/>
          <w:szCs w:val="20"/>
          <w:u w:val="single" w:color="auto"/>
          <w:color w:val="auto"/>
        </w:rPr>
        <w:t>Books</w:t>
      </w:r>
      <w:r>
        <w:rPr>
          <w:rFonts w:ascii="Arial" w:cs="Arial" w:eastAsia="Arial" w:hAnsi="Arial"/>
          <w:sz w:val="20"/>
          <w:szCs w:val="20"/>
          <w:color w:val="auto"/>
        </w:rPr>
        <w:t>. There shall be kept at such office of the Company as the Board of Directors shall determine, within or without the State of New York, correct books and records of account of all its business and transactions, minutes of the proceedings of its stockholders, Board of Directors and committees, and the stock book, containing the names and addresses of the stockholders, the number of shares held by them, respectively, and the dates when they respectively became the owners of record thereof, and in which the transfer of stock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- 11 -</w:t>
      </w:r>
    </w:p>
    <w:p>
      <w:pPr>
        <w:sectPr>
          <w:pgSz w:w="11900" w:h="16838" w:orient="portrait"/>
          <w:cols w:equalWidth="0" w:num="1">
            <w:col w:w="11220"/>
          </w:cols>
          <w:pgMar w:left="320" w:top="1279" w:right="35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shall be registered, and such other books and records as the Board of Directors may from time to time determine.</w:t>
      </w:r>
    </w:p>
    <w:p>
      <w:pPr>
        <w:spacing w:after="0" w:line="256" w:lineRule="exact"/>
        <w:rPr>
          <w:sz w:val="20"/>
          <w:szCs w:val="20"/>
          <w:color w:val="auto"/>
        </w:rPr>
      </w:pPr>
    </w:p>
    <w:p>
      <w:pPr>
        <w:ind w:firstLine="1296"/>
        <w:spacing w:after="0" w:line="262" w:lineRule="auto"/>
        <w:rPr>
          <w:sz w:val="20"/>
          <w:szCs w:val="20"/>
          <w:color w:val="auto"/>
        </w:rPr>
      </w:pP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w:t>
      </w:r>
      <w:r>
        <w:rPr>
          <w:rFonts w:ascii="Arial" w:cs="Arial" w:eastAsia="Arial" w:hAnsi="Arial"/>
          <w:sz w:val="20"/>
          <w:szCs w:val="20"/>
          <w:u w:val="single" w:color="auto"/>
          <w:color w:val="auto"/>
        </w:rPr>
        <w:t>Voting of Stock</w:t>
      </w:r>
      <w:r>
        <w:rPr>
          <w:rFonts w:ascii="Arial" w:cs="Arial" w:eastAsia="Arial" w:hAnsi="Arial"/>
          <w:sz w:val="20"/>
          <w:szCs w:val="20"/>
          <w:color w:val="auto"/>
        </w:rPr>
        <w:t>. Unless otherwise specifically authorized by the Board of Directors, all stock owned by the Company, other than stock of the Company, shall be voted, in person or by proxy, by the President or any Managing Director or any Director or any Vice President of the Company on behalf of the Company.</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ARTICLE IX</w:t>
      </w: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AMENDMENTS</w:t>
      </w:r>
    </w:p>
    <w:p>
      <w:pPr>
        <w:spacing w:after="0" w:line="256" w:lineRule="exact"/>
        <w:rPr>
          <w:sz w:val="20"/>
          <w:szCs w:val="20"/>
          <w:color w:val="auto"/>
        </w:rPr>
      </w:pPr>
    </w:p>
    <w:p>
      <w:pPr>
        <w:ind w:right="40" w:firstLine="1296"/>
        <w:spacing w:after="0" w:line="254" w:lineRule="auto"/>
        <w:rPr>
          <w:sz w:val="20"/>
          <w:szCs w:val="20"/>
          <w:color w:val="auto"/>
        </w:rPr>
      </w:pPr>
      <w:r>
        <w:rPr>
          <w:rFonts w:ascii="Arial" w:cs="Arial" w:eastAsia="Arial" w:hAnsi="Arial"/>
          <w:sz w:val="20"/>
          <w:szCs w:val="20"/>
          <w:u w:val="single" w:color="auto"/>
          <w:color w:val="auto"/>
        </w:rPr>
        <w:t>Section 9.01</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Amendments</w:t>
      </w:r>
      <w:r>
        <w:rPr>
          <w:rFonts w:ascii="Arial" w:cs="Arial" w:eastAsia="Arial" w:hAnsi="Arial"/>
          <w:sz w:val="20"/>
          <w:szCs w:val="20"/>
          <w:color w:val="auto"/>
        </w:rPr>
        <w:t>. The vote of the holders of at least a majority of the shares of stock of the Company issued and outstanding and entitled to vote shall be necessary at any meeting of stockholders to amend or repeal these By-Laws or to adopt new by-laws. These By-Laws may also be amended or repealed, or new by-laws adopted, at any meeting of the Board of Directors by the vote of at least a majority of the entire Board, provided that any by-law adopted by the Board may be amended or repealed by the stockholders in the manner set forth above.</w:t>
      </w:r>
    </w:p>
    <w:p>
      <w:pPr>
        <w:spacing w:after="0" w:line="214" w:lineRule="exact"/>
        <w:rPr>
          <w:sz w:val="20"/>
          <w:szCs w:val="20"/>
          <w:color w:val="auto"/>
        </w:rPr>
      </w:pPr>
    </w:p>
    <w:p>
      <w:pPr>
        <w:ind w:right="260" w:firstLine="1296"/>
        <w:spacing w:after="0" w:line="259" w:lineRule="auto"/>
        <w:rPr>
          <w:sz w:val="20"/>
          <w:szCs w:val="20"/>
          <w:color w:val="auto"/>
        </w:rPr>
      </w:pPr>
      <w:r>
        <w:rPr>
          <w:rFonts w:ascii="Arial" w:cs="Arial" w:eastAsia="Arial" w:hAnsi="Arial"/>
          <w:sz w:val="20"/>
          <w:szCs w:val="20"/>
          <w:color w:val="auto"/>
        </w:rPr>
        <w:t>Any proposal to amend or repeal these By-Laws or to adopt new by-laws shall be stated in the notice of the meeting of the Board of Directors or the stockholders or in the waiver of notice thereof, as the case may be, unless all of the directors or the holders of record of all of the shares of stock of the Company issued and outstanding and entitled to vote are present at such meeting.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- 12 -</w:t>
      </w:r>
    </w:p>
    <w:p>
      <w:pPr>
        <w:sectPr>
          <w:pgSz w:w="11900" w:h="16838" w:orient="portrait"/>
          <w:cols w:equalWidth="0" w:num="1">
            <w:col w:w="11140"/>
          </w:cols>
          <w:pgMar w:left="320" w:top="1279" w:right="439" w:bottom="1440"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826135</wp:posOffset>
            </wp:positionV>
            <wp:extent cx="5503545" cy="6755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503545" cy="6755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826135</wp:posOffset>
            </wp:positionV>
            <wp:extent cx="5503545" cy="7123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503545" cy="712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826135</wp:posOffset>
            </wp:positionV>
            <wp:extent cx="5503545" cy="7123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503545" cy="71234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1)"/>
      <w:numFmt w:val="decimal"/>
      <w:start w:val="713"/>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1)"/>
      <w:numFmt w:val="decimal"/>
      <w:start w:val="1"/>
    </w:lvl>
  </w:abstractNum>
  <w:abstractNum w:abstractNumId="11">
    <w:nsid w:val="6F6DD9AC"/>
    <w:multiLevelType w:val="hybridMultilevel"/>
    <w:lvl w:ilvl="0">
      <w:lvlJc w:val="left"/>
      <w:lvlText w:val="(%1)"/>
      <w:numFmt w:val="decimal"/>
      <w:start w:val="4"/>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1)"/>
      <w:numFmt w:val="upperLetter"/>
      <w:start w:val="1"/>
    </w:lvl>
  </w:abstractNum>
  <w:abstractNum w:abstractNumId="15">
    <w:nsid w:val="4C04A8AF"/>
    <w:multiLevelType w:val="hybridMultilevel"/>
    <w:lvl w:ilvl="0">
      <w:lvlJc w:val="left"/>
      <w:lvlText w:val="(%1)"/>
      <w:numFmt w:val="lowerLetter"/>
      <w:start w:val="2"/>
    </w:lvl>
  </w:abstractNum>
  <w:abstractNum w:abstractNumId="16">
    <w:nsid w:val="1716703B"/>
    <w:multiLevelType w:val="hybridMultilevel"/>
    <w:lvl w:ilvl="0">
      <w:lvlJc w:val="left"/>
      <w:lvlText w:val="(%1)"/>
      <w:numFmt w:val="lowerLetter"/>
      <w:start w:val="2"/>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lvl w:ilvl="1">
      <w:lvlJc w:val="left"/>
      <w:lvlText w:val="%2"/>
      <w:numFmt w:val="decimal"/>
      <w:start w:val="107"/>
    </w:lvl>
  </w:abstractNum>
  <w:abstractNum w:abstractNumId="29">
    <w:nsid w:val="26F324BA"/>
    <w:multiLevelType w:val="hybridMultilevel"/>
    <w:lvl w:ilvl="0">
      <w:lvlJc w:val="left"/>
      <w:lvlText w:val="(%1)"/>
      <w:numFmt w:val="decimal"/>
      <w:start w:val="1"/>
    </w:lvl>
    <w:lvl w:ilvl="1">
      <w:lvlJc w:val="left"/>
      <w:lvlText w:val="(%2)"/>
      <w:numFmt w:val="lowerRoman"/>
      <w:start w:val="1"/>
    </w:lvl>
  </w:abstractNum>
  <w:abstractNum w:abstractNumId="30">
    <w:nsid w:val="7F01579B"/>
    <w:multiLevelType w:val="hybridMultilevel"/>
    <w:lvl w:ilvl="0">
      <w:lvlJc w:val="left"/>
      <w:lvlText w:val="(%1)"/>
      <w:numFmt w:val="decimal"/>
      <w:start w:val="2"/>
    </w:lvl>
    <w:lvl w:ilvl="1">
      <w:lvlJc w:val="left"/>
      <w:lvlText w:val="(%2)"/>
      <w:numFmt w:val="lowerRoman"/>
      <w:start w:val="1"/>
    </w:lvl>
  </w:abstractNum>
  <w:abstractNum w:abstractNumId="31">
    <w:nsid w:val="49DA307D"/>
    <w:multiLevelType w:val="hybridMultilevel"/>
    <w:lvl w:ilvl="0">
      <w:lvlJc w:val="left"/>
      <w:lvlText w:val="(%1)"/>
      <w:numFmt w:val="decimal"/>
      <w:start w:val="5"/>
    </w:lvl>
    <w:lvl w:ilvl="1">
      <w:lvlJc w:val="left"/>
      <w:lvlText w:val="(%2)"/>
      <w:numFmt w:val="lowerRoman"/>
      <w:start w:val="1"/>
    </w:lvl>
  </w:abstractNum>
  <w:abstractNum w:abstractNumId="32">
    <w:nsid w:val="7055A5F5"/>
    <w:multiLevelType w:val="hybridMultilevel"/>
    <w:lvl w:ilvl="0">
      <w:lvlJc w:val="left"/>
      <w:lvlText w:val="(%1)"/>
      <w:numFmt w:val="decimal"/>
      <w:start w:val="1"/>
    </w:lvl>
  </w:abstractNum>
  <w:abstractNum w:abstractNumId="33">
    <w:nsid w:val="5FB8370B"/>
    <w:multiLevelType w:val="hybridMultilevel"/>
    <w:lvl w:ilvl="0">
      <w:lvlJc w:val="left"/>
      <w:lvlText w:val="%1."/>
      <w:numFmt w:val="decimal"/>
      <w:start w:val="1"/>
    </w:lvl>
  </w:abstractNum>
  <w:abstractNum w:abstractNumId="34">
    <w:nsid w:val="50801EE1"/>
    <w:multiLevelType w:val="hybridMultilevel"/>
    <w:lvl w:ilvl="0">
      <w:lvlJc w:val="left"/>
      <w:lvlText w:val="%1."/>
      <w:numFmt w:val="decimal"/>
      <w:start w:val="2"/>
    </w:lvl>
  </w:abstractNum>
  <w:abstractNum w:abstractNumId="35">
    <w:nsid w:val="488AC1A"/>
    <w:multiLevelType w:val="hybridMultilevel"/>
    <w:lvl w:ilvl="0">
      <w:lvlJc w:val="left"/>
      <w:lvlText w:val="%1."/>
      <w:numFmt w:val="decimal"/>
      <w:start w:val="3"/>
    </w:lvl>
  </w:abstractNum>
  <w:abstractNum w:abstractNumId="36">
    <w:nsid w:val="5FB8011C"/>
    <w:multiLevelType w:val="hybridMultilevel"/>
    <w:lvl w:ilvl="0">
      <w:lvlJc w:val="left"/>
      <w:lvlText w:val="%1."/>
      <w:numFmt w:val="decimal"/>
      <w:start w:val="4"/>
    </w:lvl>
  </w:abstractNum>
  <w:abstractNum w:abstractNumId="37">
    <w:nsid w:val="6AA78F7F"/>
    <w:multiLevelType w:val="hybridMultilevel"/>
    <w:lvl w:ilvl="0">
      <w:lvlJc w:val="left"/>
      <w:lvlText w:val="%1."/>
      <w:numFmt w:val="decimal"/>
      <w:start w:val="5"/>
    </w:lvl>
  </w:abstractNum>
  <w:abstractNum w:abstractNumId="38">
    <w:nsid w:val="7672BD23"/>
    <w:multiLevelType w:val="hybridMultilevel"/>
    <w:lvl w:ilvl="0">
      <w:lvlJc w:val="left"/>
      <w:lvlText w:val="%1."/>
      <w:numFmt w:val="decimal"/>
      <w:start w:val="6"/>
    </w:lvl>
  </w:abstractNum>
  <w:abstractNum w:abstractNumId="39">
    <w:nsid w:val="6FC75AF8"/>
    <w:multiLevelType w:val="hybridMultilevel"/>
    <w:lvl w:ilvl="0">
      <w:lvlJc w:val="left"/>
      <w:lvlText w:val="%1."/>
      <w:numFmt w:val="decimal"/>
      <w:start w:val="7"/>
    </w:lvl>
  </w:abstractNum>
  <w:abstractNum w:abstractNumId="40">
    <w:nsid w:val="6A5F7029"/>
    <w:multiLevelType w:val="hybridMultilevel"/>
    <w:lvl w:ilvl="0">
      <w:lvlJc w:val="left"/>
      <w:lvlText w:val="%1."/>
      <w:numFmt w:val="decimal"/>
      <w:start w:val="8"/>
    </w:lvl>
  </w:abstractNum>
  <w:abstractNum w:abstractNumId="41">
    <w:nsid w:val="7D5E18F8"/>
    <w:multiLevelType w:val="hybridMultilevel"/>
    <w:lvl w:ilvl="0">
      <w:lvlJc w:val="left"/>
      <w:lvlText w:val="%1."/>
      <w:numFmt w:val="decimal"/>
      <w:start w:val="9"/>
    </w:lvl>
  </w:abstractNum>
  <w:abstractNum w:abstractNumId="42">
    <w:nsid w:val="5F3534A4"/>
    <w:multiLevelType w:val="hybridMultilevel"/>
    <w:lvl w:ilvl="0">
      <w:lvlJc w:val="left"/>
      <w:lvlText w:val="%1"/>
      <w:numFmt w:val="lowerLetter"/>
      <w:start w:val="1"/>
    </w:lvl>
    <w:lvl w:ilvl="1">
      <w:lvlJc w:val="left"/>
      <w:lvlText w:val="%2."/>
      <w:numFmt w:val="decimal"/>
      <w:start w:val="10"/>
    </w:lvl>
  </w:abstractNum>
  <w:abstractNum w:abstractNumId="43">
    <w:nsid w:val="73A1821B"/>
    <w:multiLevelType w:val="hybridMultilevel"/>
    <w:lvl w:ilvl="0">
      <w:lvlJc w:val="left"/>
      <w:lvlText w:val="(%1)"/>
      <w:numFmt w:val="lowerLetter"/>
      <w:start w:val="1"/>
    </w:lvl>
    <w:lvl w:ilvl="1">
      <w:lvlJc w:val="left"/>
      <w:lvlText w:val="%2"/>
      <w:numFmt w:val="decimal"/>
      <w:start w:val="1"/>
    </w:lvl>
  </w:abstractNum>
  <w:abstractNum w:abstractNumId="44">
    <w:nsid w:val="7DE67713"/>
    <w:multiLevelType w:val="hybridMultilevel"/>
    <w:lvl w:ilvl="0">
      <w:lvlJc w:val="left"/>
      <w:lvlText w:val="(%1)"/>
      <w:numFmt w:val="lowerLetter"/>
      <w:start w:val="2"/>
    </w:lvl>
    <w:lvl w:ilvl="1">
      <w:lvlJc w:val="left"/>
      <w:lvlText w:val="(%2)"/>
      <w:numFmt w:val="lowerLetter"/>
    </w:lvl>
    <w:lvl w:ilvl="2">
      <w:lvlJc w:val="left"/>
      <w:lvlText w:val="%3."/>
      <w:numFmt w:val="decimal"/>
      <w:start w:val="11"/>
    </w:lvl>
  </w:abstractNum>
  <w:abstractNum w:abstractNumId="45">
    <w:nsid w:val="555C55B5"/>
    <w:multiLevelType w:val="hybridMultilevel"/>
    <w:lvl w:ilvl="0">
      <w:lvlJc w:val="left"/>
      <w:lvlText w:val="%1."/>
      <w:numFmt w:val="decimal"/>
      <w:start w:val="12"/>
    </w:lvl>
  </w:abstractNum>
  <w:abstractNum w:abstractNumId="46">
    <w:nsid w:val="3FA62ACA"/>
    <w:multiLevelType w:val="hybridMultilevel"/>
    <w:lvl w:ilvl="0">
      <w:lvlJc w:val="left"/>
      <w:lvlText w:val="%1."/>
      <w:numFmt w:val="decimal"/>
      <w:start w:val="13"/>
    </w:lvl>
  </w:abstractNum>
  <w:abstractNum w:abstractNumId="47">
    <w:nsid w:val="14FCE74E"/>
    <w:multiLevelType w:val="hybridMultilevel"/>
    <w:lvl w:ilvl="0">
      <w:lvlJc w:val="left"/>
      <w:lvlText w:val="%1."/>
      <w:numFmt w:val="decimal"/>
      <w:start w:val="14"/>
    </w:lvl>
  </w:abstractNum>
  <w:abstractNum w:abstractNumId="48">
    <w:nsid w:val="6A3DD3E8"/>
    <w:multiLevelType w:val="hybridMultilevel"/>
    <w:lvl w:ilvl="0">
      <w:lvlJc w:val="left"/>
      <w:lvlText w:val="%1."/>
      <w:numFmt w:val="decimal"/>
      <w:start w:val="15"/>
    </w:lvl>
  </w:abstractNum>
  <w:abstractNum w:abstractNumId="49">
    <w:nsid w:val="71C91298"/>
    <w:multiLevelType w:val="hybridMultilevel"/>
    <w:lvl w:ilvl="0">
      <w:lvlJc w:val="left"/>
      <w:lvlText w:val="%1."/>
      <w:numFmt w:val="decimal"/>
      <w:start w:val="16"/>
    </w:lvl>
  </w:abstractNum>
  <w:abstractNum w:abstractNumId="50">
    <w:nsid w:val="9DAF632"/>
    <w:multiLevelType w:val="hybridMultilevel"/>
    <w:lvl w:ilvl="0">
      <w:lvlJc w:val="left"/>
      <w:lvlText w:val="%1."/>
      <w:numFmt w:val="decimal"/>
      <w:start w:val="17"/>
    </w:lvl>
  </w:abstractNum>
  <w:abstractNum w:abstractNumId="51">
    <w:nsid w:val="53299938"/>
    <w:multiLevelType w:val="hybridMultilevel"/>
    <w:lvl w:ilvl="0">
      <w:lvlJc w:val="left"/>
      <w:lvlText w:val="%1."/>
      <w:numFmt w:val="decimal"/>
      <w:start w:val="18"/>
    </w:lvl>
  </w:abstractNum>
  <w:abstractNum w:abstractNumId="52">
    <w:nsid w:val="1FBFE8E0"/>
    <w:multiLevelType w:val="hybridMultilevel"/>
    <w:lvl w:ilvl="0">
      <w:lvlJc w:val="left"/>
      <w:lvlText w:val="%1"/>
      <w:numFmt w:val="lowerLetter"/>
      <w:start w:val="1"/>
    </w:lvl>
    <w:lvl w:ilvl="1">
      <w:lvlJc w:val="left"/>
      <w:lvlText w:val="%2."/>
      <w:numFmt w:val="decimal"/>
      <w:start w:val="19"/>
    </w:lvl>
    <w:lvl w:ilvl="2">
      <w:lvlJc w:val="left"/>
      <w:lvlText w:val="%3"/>
      <w:numFmt w:val="lowerRoman"/>
      <w:start w:val="1"/>
    </w:lvl>
  </w:abstractNum>
  <w:abstractNum w:abstractNumId="53">
    <w:nsid w:val="5092CA7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4">
    <w:nsid w:val="1D545C4D"/>
    <w:multiLevelType w:val="hybridMultilevel"/>
    <w:lvl w:ilvl="0">
      <w:lvlJc w:val="left"/>
      <w:lvlText w:val="%1."/>
      <w:numFmt w:val="decimal"/>
      <w:start w:val="20"/>
    </w:lvl>
  </w:abstractNum>
  <w:abstractNum w:abstractNumId="55">
    <w:nsid w:val="59ADEA3D"/>
    <w:multiLevelType w:val="hybridMultilevel"/>
    <w:lvl w:ilvl="0">
      <w:lvlJc w:val="left"/>
      <w:lvlText w:val="%1"/>
      <w:numFmt w:val="lowerLetter"/>
      <w:start w:val="1"/>
    </w:lvl>
    <w:lvl w:ilvl="1">
      <w:lvlJc w:val="left"/>
      <w:lvlText w:val="%2."/>
      <w:numFmt w:val="decimal"/>
      <w:start w:val="21"/>
    </w:lvl>
    <w:lvl w:ilvl="2">
      <w:lvlJc w:val="left"/>
      <w:lvlText w:val="%3"/>
      <w:numFmt w:val="lowerRoman"/>
      <w:start w:val="1"/>
    </w:lvl>
  </w:abstractNum>
  <w:abstractNum w:abstractNumId="56">
    <w:nsid w:val="288F1A3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7">
    <w:nsid w:val="2A155DBC"/>
    <w:multiLevelType w:val="hybridMultilevel"/>
    <w:lvl w:ilvl="0">
      <w:lvlJc w:val="left"/>
      <w:lvlText w:val="(%1)"/>
      <w:numFmt w:val="lowerLetter"/>
      <w:start w:val="2"/>
    </w:lvl>
  </w:abstractNum>
  <w:abstractNum w:abstractNumId="58">
    <w:nsid w:val="1D9F6E5F"/>
    <w:multiLevelType w:val="hybridMultilevel"/>
    <w:lvl w:ilvl="0">
      <w:lvlJc w:val="left"/>
      <w:lvlText w:val="(%1)"/>
      <w:numFmt w:val="lowerLetter"/>
      <w:start w:val="4"/>
    </w:lvl>
    <w:lvl w:ilvl="1">
      <w:lvlJc w:val="left"/>
      <w:lvlText w:val="%2."/>
      <w:numFmt w:val="decimal"/>
      <w:start w:val="22"/>
    </w:lvl>
  </w:abstractNum>
  <w:abstractNum w:abstractNumId="59">
    <w:nsid w:val="97E1B4E"/>
    <w:multiLevelType w:val="hybridMultilevel"/>
    <w:lvl w:ilvl="0">
      <w:lvlJc w:val="left"/>
      <w:lvlText w:val="%1."/>
      <w:numFmt w:val="decimal"/>
      <w:start w:val="23"/>
    </w:lvl>
  </w:abstractNum>
  <w:abstractNum w:abstractNumId="60">
    <w:nsid w:val="51088277"/>
    <w:multiLevelType w:val="hybridMultilevel"/>
    <w:lvl w:ilvl="0">
      <w:lvlJc w:val="left"/>
      <w:lvlText w:val="%1."/>
      <w:numFmt w:val="decimal"/>
      <w:start w:val="24"/>
    </w:lvl>
  </w:abstractNum>
  <w:abstractNum w:abstractNumId="61">
    <w:nsid w:val="1CA0C5FA"/>
    <w:multiLevelType w:val="hybridMultilevel"/>
    <w:lvl w:ilvl="0">
      <w:lvlJc w:val="left"/>
      <w:lvlText w:val="%1."/>
      <w:numFmt w:val="decimal"/>
      <w:start w:val="25"/>
    </w:lvl>
  </w:abstractNum>
  <w:abstractNum w:abstractNumId="62">
    <w:nsid w:val="53584BCB"/>
    <w:multiLevelType w:val="hybridMultilevel"/>
    <w:lvl w:ilvl="0">
      <w:lvlJc w:val="left"/>
      <w:lvlText w:val="%1."/>
      <w:numFmt w:val="decimal"/>
      <w:start w:val="26"/>
    </w:lvl>
  </w:abstractNum>
  <w:abstractNum w:abstractNumId="63">
    <w:nsid w:val="415E286C"/>
    <w:multiLevelType w:val="hybridMultilevel"/>
    <w:lvl w:ilvl="0">
      <w:lvlJc w:val="left"/>
      <w:lvlText w:val="%1"/>
      <w:numFmt w:val="lowerLetter"/>
      <w:start w:val="1"/>
    </w:lvl>
    <w:lvl w:ilvl="1">
      <w:lvlJc w:val="left"/>
      <w:lvlText w:val="(%2)"/>
      <w:numFmt w:val="lowerLetter"/>
      <w:start w:val="1"/>
    </w:lvl>
  </w:abstractNum>
  <w:abstractNum w:abstractNumId="64">
    <w:nsid w:val="7C58FD05"/>
    <w:multiLevelType w:val="hybridMultilevel"/>
    <w:lvl w:ilvl="0">
      <w:lvlJc w:val="left"/>
      <w:lvlText w:val="(%1)"/>
      <w:numFmt w:val="lowerLetter"/>
      <w:start w:val="35"/>
    </w:lvl>
    <w:lvl w:ilvl="1">
      <w:lvlJc w:val="left"/>
      <w:lvlText w:val="(%2)"/>
      <w:numFmt w:val="lowerLetter"/>
      <w:start w:val="2"/>
    </w:lvl>
  </w:abstractNum>
  <w:abstractNum w:abstractNumId="65">
    <w:nsid w:val="23D86AAC"/>
    <w:multiLevelType w:val="hybridMultilevel"/>
    <w:lvl w:ilvl="0">
      <w:lvlJc w:val="left"/>
      <w:lvlText w:val="%1."/>
      <w:numFmt w:val="decimal"/>
      <w:start w:val="27"/>
    </w:lvl>
  </w:abstractNum>
  <w:abstractNum w:abstractNumId="66">
    <w:nsid w:val="45E6D486"/>
    <w:multiLevelType w:val="hybridMultilevel"/>
    <w:lvl w:ilvl="0">
      <w:lvlJc w:val="left"/>
      <w:lvlText w:val="%1."/>
      <w:numFmt w:val="decimal"/>
      <w:start w:val="28"/>
    </w:lvl>
  </w:abstractNum>
  <w:abstractNum w:abstractNumId="67">
    <w:nsid w:val="5C10FE21"/>
    <w:multiLevelType w:val="hybridMultilevel"/>
    <w:lvl w:ilvl="0">
      <w:lvlJc w:val="left"/>
      <w:lvlText w:val="%1."/>
      <w:numFmt w:val="decimal"/>
      <w:start w:val="29"/>
    </w:lvl>
  </w:abstractNum>
  <w:abstractNum w:abstractNumId="68">
    <w:nsid w:val="E7FFA2B"/>
    <w:multiLevelType w:val="hybridMultilevel"/>
    <w:lvl w:ilvl="0">
      <w:lvlJc w:val="left"/>
      <w:lvlText w:val="%1."/>
      <w:numFmt w:val="decimal"/>
      <w:start w:val="30"/>
    </w:lvl>
  </w:abstractNum>
  <w:abstractNum w:abstractNumId="69">
    <w:nsid w:val="3C5991AA"/>
    <w:multiLevelType w:val="hybridMultilevel"/>
    <w:lvl w:ilvl="0">
      <w:lvlJc w:val="left"/>
      <w:lvlText w:val="(%1)"/>
      <w:numFmt w:val="decimal"/>
      <w:start w:val="1"/>
    </w:lvl>
  </w:abstractNum>
  <w:abstractNum w:abstractNumId="70">
    <w:nsid w:val="4BD8591A"/>
    <w:multiLevelType w:val="hybridMultilevel"/>
    <w:lvl w:ilvl="0">
      <w:lvlJc w:val="left"/>
      <w:lvlText w:val="(%1)"/>
      <w:numFmt w:val="upperLetter"/>
      <w:start w:val="1"/>
    </w:lvl>
  </w:abstractNum>
  <w:abstractNum w:abstractNumId="71">
    <w:nsid w:val="78DF6A55"/>
    <w:multiLevelType w:val="hybridMultilevel"/>
    <w:lvl w:ilvl="0">
      <w:lvlJc w:val="left"/>
      <w:lvlText w:val="(%1)"/>
      <w:numFmt w:val="upperLetter"/>
      <w:start w:val="2"/>
    </w:lvl>
  </w:abstractNum>
  <w:abstractNum w:abstractNumId="72">
    <w:nsid w:val="39B7AAA2"/>
    <w:multiLevelType w:val="hybridMultilevel"/>
    <w:lvl w:ilvl="0">
      <w:lvlJc w:val="left"/>
      <w:lvlText w:val="(%1)"/>
      <w:numFmt w:val="lowerRoman"/>
      <w:start w:val="1"/>
    </w:lvl>
  </w:abstractNum>
  <w:abstractNum w:abstractNumId="73">
    <w:nsid w:val="2B0D8DBE"/>
    <w:multiLevelType w:val="hybridMultilevel"/>
    <w:lvl w:ilvl="0">
      <w:lvlJc w:val="left"/>
      <w:lvlText w:val="(%1)"/>
      <w:numFmt w:val="decimal"/>
      <w:start w:val="1"/>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decimal"/>
      <w:start w:val="1"/>
    </w:lvl>
  </w:abstractNum>
  <w:abstractNum w:abstractNumId="76">
    <w:nsid w:val="69E373"/>
    <w:multiLevelType w:val="hybridMultilevel"/>
    <w:lvl w:ilvl="0">
      <w:lvlJc w:val="left"/>
      <w:lvlText w:val="(%1)"/>
      <w:numFmt w:val="decimal"/>
      <w:start w:val="1"/>
    </w:lvl>
  </w:abstractNum>
  <w:abstractNum w:abstractNumId="77">
    <w:nsid w:val="2C27173B"/>
    <w:multiLevelType w:val="hybridMultilevel"/>
    <w:lvl w:ilvl="0">
      <w:lvlJc w:val="left"/>
      <w:lvlText w:val="(%1)"/>
      <w:numFmt w:val="decimal"/>
      <w:start w:val="1"/>
    </w:lvl>
  </w:abstractNum>
  <w:abstractNum w:abstractNumId="78">
    <w:nsid w:val="4C9B0904"/>
    <w:multiLevelType w:val="hybridMultilevel"/>
    <w:lvl w:ilvl="0">
      <w:lvlJc w:val="left"/>
      <w:lvlText w:val="(%1)"/>
      <w:numFmt w:val="decimal"/>
      <w:start w:val="3"/>
    </w:lvl>
  </w:abstractNum>
  <w:abstractNum w:abstractNumId="79">
    <w:nsid w:val="6AA7B75C"/>
    <w:multiLevelType w:val="hybridMultilevel"/>
    <w:lvl w:ilvl="0">
      <w:lvlJc w:val="left"/>
      <w:lvlText w:val="(%1)"/>
      <w:numFmt w:val="decimal"/>
      <w:start w:val="15"/>
    </w:lvl>
  </w:abstractNum>
  <w:abstractNum w:abstractNumId="80">
    <w:nsid w:val="1DF029D3"/>
    <w:multiLevelType w:val="hybridMultilevel"/>
    <w:lvl w:ilvl="0">
      <w:lvlJc w:val="left"/>
      <w:lvlText w:val="(%1)"/>
      <w:numFmt w:val="lowerLetter"/>
      <w:start w:val="1"/>
    </w:lvl>
  </w:abstractNum>
  <w:abstractNum w:abstractNumId="81">
    <w:nsid w:val="5675FF36"/>
    <w:multiLevelType w:val="hybridMultilevel"/>
    <w:lvl w:ilvl="0">
      <w:lvlJc w:val="left"/>
      <w:lvlText w:val="(%1)"/>
      <w:numFmt w:val="lowerLetter"/>
      <w:start w:val="4"/>
    </w:lvl>
  </w:abstractNum>
  <w:abstractNum w:abstractNumId="82">
    <w:nsid w:val="3DD15094"/>
    <w:multiLevelType w:val="hybridMultilevel"/>
    <w:lvl w:ilvl="0">
      <w:lvlJc w:val="left"/>
      <w:lvlText w:val="(%1)"/>
      <w:numFmt w:val="lowerRoman"/>
      <w:start w:val="1"/>
    </w:lvl>
  </w:abstractNum>
  <w:abstractNum w:abstractNumId="83">
    <w:nsid w:val="3DB012B3"/>
    <w:multiLevelType w:val="hybridMultilevel"/>
    <w:lvl w:ilvl="0">
      <w:lvlJc w:val="left"/>
      <w:lvlText w:val="(%1)"/>
      <w:numFmt w:val="decimal"/>
      <w:start w:val="1"/>
    </w:lvl>
  </w:abstractNum>
  <w:abstractNum w:abstractNumId="84">
    <w:nsid w:val="2708C9AF"/>
    <w:multiLevelType w:val="hybridMultilevel"/>
    <w:lvl w:ilvl="0">
      <w:lvlJc w:val="left"/>
      <w:lvlText w:val="%1)"/>
      <w:numFmt w:val="decimal"/>
      <w:start w:val="307"/>
    </w:lvl>
  </w:abstractNum>
  <w:abstractNum w:abstractNumId="85">
    <w:nsid w:val="5B25ACE2"/>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6">
    <w:nsid w:val="175DFCF0"/>
    <w:multiLevelType w:val="hybridMultilevel"/>
    <w:lvl w:ilvl="0">
      <w:lvlJc w:val="left"/>
      <w:lvlText w:val="(%1)"/>
      <w:numFmt w:val="lowerRoman"/>
      <w:start w:val="3"/>
    </w:lvl>
  </w:abstractNum>
  <w:abstractNum w:abstractNumId="87">
    <w:nsid w:val="4F97E3E4"/>
    <w:multiLevelType w:val="hybridMultilevel"/>
    <w:lvl w:ilvl="0">
      <w:lvlJc w:val="left"/>
      <w:lvlText w:val="(%1)"/>
      <w:numFmt w:val="decimal"/>
      <w:start w:val="2"/>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lowerLetter"/>
      <w:start w:val="3"/>
    </w:lvl>
  </w:abstractNum>
  <w:abstractNum w:abstractNumId="90">
    <w:nsid w:val="5915FF32"/>
    <w:multiLevelType w:val="hybridMultilevel"/>
    <w:lvl w:ilvl="0">
      <w:lvlJc w:val="left"/>
      <w:lvlText w:val="(%1)"/>
      <w:numFmt w:val="lowerLetter"/>
      <w:start w:val="1"/>
    </w:lvl>
    <w:lvl w:ilvl="1">
      <w:lvlJc w:val="left"/>
      <w:lvlText w:val="(%2)"/>
      <w:numFmt w:val="lowerLetter"/>
    </w:lvl>
    <w:lvl w:ilvl="2">
      <w:lvlJc w:val="left"/>
      <w:lvlText w:val="(%3)"/>
      <w:numFmt w:val="decimal"/>
      <w:start w:val="1"/>
    </w:lvl>
  </w:abstractNum>
  <w:abstractNum w:abstractNumId="91">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92">
    <w:nsid w:val="519E3149"/>
    <w:multiLevelType w:val="hybridMultilevel"/>
    <w:lvl w:ilvl="0">
      <w:lvlJc w:val="left"/>
      <w:lvlText w:val="%1"/>
      <w:numFmt w:val="lowerLetter"/>
      <w:start w:val="1"/>
    </w:lvl>
    <w:lvl w:ilvl="1">
      <w:lvlJc w:val="left"/>
      <w:lvlText w:val="(%2)"/>
      <w:numFmt w:val="lowerLetter"/>
      <w:start w:val="1"/>
    </w:lvl>
  </w:abstractNum>
  <w:abstractNum w:abstractNumId="93">
    <w:nsid w:val="2C6E4AFD"/>
    <w:multiLevelType w:val="hybridMultilevel"/>
    <w:lvl w:ilvl="0">
      <w:lvlJc w:val="left"/>
      <w:lvlText w:val="(%1)"/>
      <w:numFmt w:val="lowerLetter"/>
      <w:start w:val="35"/>
    </w:lvl>
    <w:lvl w:ilvl="1">
      <w:lvlJc w:val="left"/>
      <w:lvlText w:val="%2"/>
      <w:numFmt w:val="lowerLetter"/>
      <w:start w:val="1"/>
    </w:lvl>
  </w:abstractNum>
  <w:abstractNum w:abstractNumId="94">
    <w:nsid w:val="17A1B582"/>
    <w:multiLevelType w:val="hybridMultilevel"/>
    <w:lvl w:ilvl="0">
      <w:lvlJc w:val="left"/>
      <w:lvlText w:val="(%1)"/>
      <w:numFmt w:val="lowerLetter"/>
      <w:start w:val="2"/>
    </w:lvl>
  </w:abstractNum>
  <w:abstractNum w:abstractNumId="95">
    <w:nsid w:val="4DF72E4E"/>
    <w:multiLevelType w:val="hybridMultilevel"/>
    <w:lvl w:ilvl="0">
      <w:lvlJc w:val="left"/>
      <w:lvlText w:val="(%1)"/>
      <w:numFmt w:val="decimal"/>
      <w:start w:val="1"/>
    </w:lvl>
  </w:abstractNum>
  <w:abstractNum w:abstractNumId="96">
    <w:nsid w:val="5046B5A9"/>
    <w:multiLevelType w:val="hybridMultilevel"/>
    <w:lvl w:ilvl="0">
      <w:lvlJc w:val="left"/>
      <w:lvlText w:val="(%1)"/>
      <w:numFmt w:val="decimal"/>
      <w:start w:val="6"/>
    </w:lvl>
  </w:abstractNum>
  <w:abstractNum w:abstractNumId="97">
    <w:nsid w:val="5D888A08"/>
    <w:multiLevelType w:val="hybridMultilevel"/>
    <w:lvl w:ilvl="0">
      <w:lvlJc w:val="left"/>
      <w:lvlText w:val="(%1)"/>
      <w:numFmt w:val="decimal"/>
      <w:start w:val="1"/>
    </w:lvl>
    <w:lvl w:ilvl="1">
      <w:lvlJc w:val="left"/>
      <w:lvlText w:val="(%2)"/>
      <w:numFmt w:val="upperLetter"/>
      <w:start w:val="1"/>
    </w:lvl>
  </w:abstractNum>
  <w:abstractNum w:abstractNumId="98">
    <w:nsid w:val="2A082C70"/>
    <w:multiLevelType w:val="hybridMultilevel"/>
    <w:lvl w:ilvl="0">
      <w:lvlJc w:val="left"/>
      <w:lvlText w:val="(%1)"/>
      <w:numFmt w:val="decimal"/>
      <w:start w:val="1"/>
    </w:lvl>
  </w:abstractNum>
  <w:abstractNum w:abstractNumId="99">
    <w:nsid w:val="5EC6AFD4"/>
    <w:multiLevelType w:val="hybridMultilevel"/>
    <w:lvl w:ilvl="0">
      <w:lvlJc w:val="left"/>
      <w:lvlText w:val="(%1)"/>
      <w:numFmt w:val="lowerRoman"/>
      <w:start w:val="1"/>
    </w:lvl>
  </w:abstractNum>
  <w:abstractNum w:abstractNumId="100">
    <w:nsid w:val="19E21BB2"/>
    <w:multiLevelType w:val="hybridMultilevel"/>
    <w:lvl w:ilvl="0">
      <w:lvlJc w:val="left"/>
      <w:lvlText w:val="(%1)"/>
      <w:numFmt w:val="decimal"/>
      <w:start w:val="1"/>
    </w:lvl>
  </w:abstractNum>
  <w:abstractNum w:abstractNumId="101">
    <w:nsid w:val="75E0858A"/>
    <w:multiLevelType w:val="hybridMultilevel"/>
    <w:lvl w:ilvl="0">
      <w:lvlJc w:val="left"/>
      <w:lvlText w:val="(%1)"/>
      <w:numFmt w:val="decimal"/>
      <w:start w:val="1"/>
    </w:lvl>
  </w:abstractNum>
  <w:abstractNum w:abstractNumId="102">
    <w:nsid w:val="57A61A29"/>
    <w:multiLevelType w:val="hybridMultilevel"/>
    <w:lvl w:ilvl="0">
      <w:lvlJc w:val="left"/>
      <w:lvlText w:val="(%1)"/>
      <w:numFmt w:val="decimal"/>
      <w:start w:val="1"/>
    </w:lvl>
  </w:abstractNum>
  <w:abstractNum w:abstractNumId="103">
    <w:nsid w:val="5399C654"/>
    <w:multiLevelType w:val="hybridMultilevel"/>
    <w:lvl w:ilvl="0">
      <w:lvlJc w:val="left"/>
      <w:lvlText w:val="(%1)"/>
      <w:numFmt w:val="decimal"/>
      <w:start w:val="2"/>
    </w:lvl>
  </w:abstractNum>
  <w:abstractNum w:abstractNumId="104">
    <w:nsid w:val="20EE1348"/>
    <w:multiLevelType w:val="hybridMultilevel"/>
    <w:lvl w:ilvl="0">
      <w:lvlJc w:val="left"/>
      <w:lvlText w:val="(%1)"/>
      <w:numFmt w:val="lowerLetter"/>
      <w:start w:val="1"/>
    </w:lvl>
    <w:lvl w:ilvl="1">
      <w:lvlJc w:val="left"/>
      <w:lvlText w:val="(%2)"/>
      <w:numFmt w:val="decimal"/>
      <w:start w:val="1"/>
    </w:lvl>
  </w:abstractNum>
  <w:abstractNum w:abstractNumId="105">
    <w:nsid w:val="4427069A"/>
    <w:multiLevelType w:val="hybridMultilevel"/>
    <w:lvl w:ilvl="0">
      <w:lvlJc w:val="left"/>
      <w:lvlText w:val="(%1)"/>
      <w:numFmt w:val="lowerLetter"/>
      <w:start w:val="1"/>
    </w:lvl>
  </w:abstractNum>
  <w:abstractNum w:abstractNumId="106">
    <w:nsid w:val="B37E80A"/>
    <w:multiLevelType w:val="hybridMultilevel"/>
    <w:lvl w:ilvl="0">
      <w:lvlJc w:val="left"/>
      <w:lvlText w:val="(%1)"/>
      <w:numFmt w:val="lowerLetter"/>
      <w:start w:val="6"/>
    </w:lvl>
  </w:abstractNum>
  <w:abstractNum w:abstractNumId="107">
    <w:nsid w:val="2157F6BC"/>
    <w:multiLevelType w:val="hybridMultilevel"/>
    <w:lvl w:ilvl="0">
      <w:lvlJc w:val="left"/>
      <w:lvlText w:val="(%1)"/>
      <w:numFmt w:val="lowerLetter"/>
      <w:start w:val="16"/>
    </w:lvl>
  </w:abstractNum>
  <w:abstractNum w:abstractNumId="108">
    <w:nsid w:val="704E1DD5"/>
    <w:multiLevelType w:val="hybridMultilevel"/>
    <w:lvl w:ilvl="0">
      <w:lvlJc w:val="left"/>
      <w:lvlText w:val="(%1)"/>
      <w:numFmt w:val="decimal"/>
      <w:start w:val="1"/>
    </w:lvl>
  </w:abstractNum>
  <w:abstractNum w:abstractNumId="109">
    <w:nsid w:val="57D2F10E"/>
    <w:multiLevelType w:val="hybridMultilevel"/>
    <w:lvl w:ilvl="0">
      <w:lvlJc w:val="left"/>
      <w:lvlText w:val="(%1)"/>
      <w:numFmt w:val="lowerLetter"/>
      <w:start w:val="1"/>
    </w:lvl>
  </w:abstractNum>
  <w:abstractNum w:abstractNumId="110">
    <w:nsid w:val="BFFAE18"/>
    <w:multiLevelType w:val="hybridMultilevel"/>
    <w:lvl w:ilvl="0">
      <w:lvlJc w:val="left"/>
      <w:lvlText w:val="(%1)"/>
      <w:numFmt w:val="lowerLetter"/>
      <w:start w:val="3"/>
    </w:lvl>
    <w:lvl w:ilvl="1">
      <w:lvlJc w:val="left"/>
      <w:lvlText w:val="(%2)"/>
      <w:numFmt w:val="decimal"/>
      <w:start w:val="1"/>
    </w:lvl>
  </w:abstractNum>
  <w:abstractNum w:abstractNumId="111">
    <w:nsid w:val="E3E47A8"/>
    <w:multiLevelType w:val="hybridMultilevel"/>
    <w:lvl w:ilvl="0">
      <w:lvlJc w:val="left"/>
      <w:lvlText w:val="(%1)"/>
      <w:numFmt w:val="lowerLetter"/>
      <w:start w:val="5"/>
    </w:lvl>
  </w:abstractNum>
  <w:abstractNum w:abstractNumId="112">
    <w:nsid w:val="2E48F044"/>
    <w:multiLevelType w:val="hybridMultilevel"/>
    <w:lvl w:ilvl="0">
      <w:lvlJc w:val="left"/>
      <w:lvlText w:val="(%1)"/>
      <w:numFmt w:val="lowerLetter"/>
      <w:start w:val="1"/>
    </w:lvl>
  </w:abstractNum>
  <w:abstractNum w:abstractNumId="113">
    <w:nsid w:val="49D0FEAC"/>
    <w:multiLevelType w:val="hybridMultilevel"/>
    <w:lvl w:ilvl="0">
      <w:lvlJc w:val="left"/>
      <w:lvlText w:val="(%1)"/>
      <w:numFmt w:val="lowerLetter"/>
      <w:start w:val="1"/>
    </w:lvl>
  </w:abstractNum>
  <w:abstractNum w:abstractNumId="114">
    <w:nsid w:val="4BEE5A5B"/>
    <w:multiLevelType w:val="hybridMultilevel"/>
    <w:lvl w:ilvl="0">
      <w:lvlJc w:val="left"/>
      <w:lvlText w:val="(%1)"/>
      <w:numFmt w:val="lowerLetter"/>
      <w:start w:val="1"/>
    </w:lvl>
    <w:lvl w:ilvl="1">
      <w:lvlJc w:val="left"/>
      <w:lvlText w:val="(%2)"/>
      <w:numFmt w:val="lowerRoman"/>
      <w:start w:val="1"/>
    </w:lvl>
  </w:abstractNum>
  <w:abstractNum w:abstractNumId="115">
    <w:nsid w:val="5551B9F3"/>
    <w:multiLevelType w:val="hybridMultilevel"/>
    <w:lvl w:ilvl="0">
      <w:lvlJc w:val="left"/>
      <w:lvlText w:val="(%1)"/>
      <w:numFmt w:val="lowerLetter"/>
      <w:start w:val="3"/>
    </w:lvl>
  </w:abstractNum>
  <w:abstractNum w:abstractNumId="116">
    <w:nsid w:val="24F6AB8E"/>
    <w:multiLevelType w:val="hybridMultilevel"/>
    <w:lvl w:ilvl="0">
      <w:lvlJc w:val="left"/>
      <w:lvlText w:val="(%1)"/>
      <w:numFmt w:val="lowerLetter"/>
      <w:start w:val="1"/>
    </w:lvl>
  </w:abstractNum>
  <w:abstractNum w:abstractNumId="117">
    <w:nsid w:val="634C574C"/>
    <w:multiLevelType w:val="hybridMultilevel"/>
    <w:lvl w:ilvl="0">
      <w:lvlJc w:val="left"/>
      <w:lvlText w:val="(%1)"/>
      <w:numFmt w:val="decimal"/>
      <w:start w:val="1"/>
    </w:lvl>
  </w:abstractNum>
  <w:abstractNum w:abstractNumId="118">
    <w:nsid w:val="24E99DD7"/>
    <w:multiLevelType w:val="hybridMultilevel"/>
    <w:lvl w:ilvl="0">
      <w:lvlJc w:val="left"/>
      <w:lvlText w:val="(%1)"/>
      <w:numFmt w:val="lowerLetter"/>
      <w:start w:val="1"/>
    </w:lvl>
  </w:abstractNum>
  <w:abstractNum w:abstractNumId="119">
    <w:nsid w:val="2A31B62D"/>
    <w:multiLevelType w:val="hybridMultilevel"/>
    <w:lvl w:ilvl="0">
      <w:lvlJc w:val="left"/>
      <w:lvlText w:val="(%1)"/>
      <w:numFmt w:val="lowerLetter"/>
      <w:start w:val="2"/>
    </w:lvl>
  </w:abstractNum>
  <w:abstractNum w:abstractNumId="120">
    <w:nsid w:val="1849C29B"/>
    <w:multiLevelType w:val="hybridMultilevel"/>
    <w:lvl w:ilvl="0">
      <w:lvlJc w:val="left"/>
      <w:lvlText w:val="(%1)"/>
      <w:numFmt w:val="lowerLetter"/>
      <w:start w:val="1"/>
    </w:lvl>
  </w:abstractNum>
  <w:abstractNum w:abstractNumId="121">
    <w:nsid w:val="7DFF9D09"/>
    <w:multiLevelType w:val="hybridMultilevel"/>
    <w:lvl w:ilvl="0">
      <w:lvlJc w:val="left"/>
      <w:lvlText w:val="(%1)"/>
      <w:numFmt w:val="decimal"/>
      <w:start w:val="1"/>
    </w:lvl>
  </w:abstractNum>
  <w:abstractNum w:abstractNumId="122">
    <w:nsid w:val="754342"/>
    <w:multiLevelType w:val="hybridMultilevel"/>
    <w:lvl w:ilvl="0">
      <w:lvlJc w:val="left"/>
      <w:lvlText w:val="(%1)"/>
      <w:numFmt w:val="decimal"/>
      <w:start w:val="2"/>
    </w:lvl>
  </w:abstractNum>
  <w:abstractNum w:abstractNumId="123">
    <w:nsid w:val="69E7F3E5"/>
    <w:multiLevelType w:val="hybridMultilevel"/>
    <w:lvl w:ilvl="0">
      <w:lvlJc w:val="left"/>
      <w:lvlText w:val="(%1)"/>
      <w:numFmt w:val="decimal"/>
      <w:start w:val="16"/>
    </w:lvl>
  </w:abstractNum>
  <w:abstractNum w:abstractNumId="124">
    <w:nsid w:val="2A6DE806"/>
    <w:multiLevelType w:val="hybridMultilevel"/>
    <w:lvl w:ilvl="0">
      <w:lvlJc w:val="left"/>
      <w:lvlText w:val="(%1)"/>
      <w:numFmt w:val="decimal"/>
      <w:start w:val="1"/>
    </w:lvl>
  </w:abstractNum>
  <w:abstractNum w:abstractNumId="125">
    <w:nsid w:val="1816F8C4"/>
    <w:multiLevelType w:val="hybridMultilevel"/>
    <w:lvl w:ilvl="0">
      <w:lvlJc w:val="left"/>
      <w:lvlText w:val="(%1)"/>
      <w:numFmt w:val="decimal"/>
      <w:start w:val="3"/>
    </w:lvl>
  </w:abstractNum>
  <w:abstractNum w:abstractNumId="126">
    <w:nsid w:val="37DF2233"/>
    <w:multiLevelType w:val="hybridMultilevel"/>
    <w:lvl w:ilvl="0">
      <w:lvlJc w:val="left"/>
      <w:lvlText w:val="(%1)"/>
      <w:numFmt w:val="decimal"/>
      <w:start w:val="1"/>
    </w:lvl>
  </w:abstractNum>
  <w:abstractNum w:abstractNumId="127">
    <w:nsid w:val="7AB49DAF"/>
    <w:multiLevelType w:val="hybridMultilevel"/>
    <w:lvl w:ilvl="0">
      <w:lvlJc w:val="left"/>
      <w:lvlText w:val="(%1)"/>
      <w:numFmt w:val="lowerLetter"/>
      <w:start w:val="1"/>
    </w:lvl>
    <w:lvl w:ilvl="1">
      <w:lvlJc w:val="left"/>
      <w:lvlText w:val="(%2)"/>
      <w:numFmt w:val="decimal"/>
      <w:start w:val="1"/>
    </w:lvl>
  </w:abstractNum>
  <w:abstractNum w:abstractNumId="128">
    <w:nsid w:val="759F82CD"/>
    <w:multiLevelType w:val="hybridMultilevel"/>
    <w:lvl w:ilvl="0">
      <w:lvlJc w:val="left"/>
      <w:lvlText w:val="(%1)"/>
      <w:numFmt w:val="decimal"/>
      <w:start w:val="6"/>
    </w:lvl>
  </w:abstractNum>
  <w:abstractNum w:abstractNumId="129">
    <w:nsid w:val="61E74EA3"/>
    <w:multiLevelType w:val="hybridMultilevel"/>
    <w:lvl w:ilvl="0">
      <w:lvlJc w:val="left"/>
      <w:lvlText w:val="(%1)"/>
      <w:numFmt w:val="lowerLetter"/>
      <w:start w:val="2"/>
    </w:lvl>
    <w:lvl w:ilvl="1">
      <w:lvlJc w:val="left"/>
      <w:lvlText w:val="(%2)"/>
      <w:numFmt w:val="decimal"/>
      <w:start w:val="1"/>
    </w:lvl>
  </w:abstractNum>
  <w:abstractNum w:abstractNumId="130">
    <w:nsid w:val="597B4D84"/>
    <w:multiLevelType w:val="hybridMultilevel"/>
    <w:lvl w:ilvl="0">
      <w:lvlJc w:val="left"/>
      <w:lvlText w:val="%1"/>
      <w:numFmt w:val="lowerRoman"/>
      <w:start w:val="1"/>
    </w:lvl>
    <w:lvl w:ilvl="1">
      <w:lvlJc w:val="left"/>
      <w:lvlText w:val="(%2)"/>
      <w:numFmt w:val="decimal"/>
      <w:start w:val="1"/>
    </w:lvl>
  </w:abstractNum>
  <w:abstractNum w:abstractNumId="131">
    <w:nsid w:val="F819E7F"/>
    <w:multiLevelType w:val="hybridMultilevel"/>
    <w:lvl w:ilvl="0">
      <w:lvlJc w:val="left"/>
      <w:lvlText w:val="(%1)"/>
      <w:numFmt w:val="lowerRoman"/>
      <w:start w:val="10"/>
    </w:lvl>
    <w:lvl w:ilvl="1">
      <w:lvlJc w:val="left"/>
      <w:lvlText w:val="(%2)"/>
      <w:numFmt w:val="decimal"/>
      <w:start w:val="2"/>
    </w:lvl>
  </w:abstractNum>
  <w:abstractNum w:abstractNumId="132">
    <w:nsid w:val="57C7D42D"/>
    <w:multiLevelType w:val="hybridMultilevel"/>
    <w:lvl w:ilvl="0">
      <w:lvlJc w:val="left"/>
      <w:lvlText w:val="(%1)"/>
      <w:numFmt w:val="decimal"/>
      <w:start w:val="1"/>
    </w:lvl>
  </w:abstractNum>
  <w:abstractNum w:abstractNumId="133">
    <w:nsid w:val="312167AD"/>
    <w:multiLevelType w:val="hybridMultilevel"/>
    <w:lvl w:ilvl="0">
      <w:lvlJc w:val="left"/>
      <w:lvlText w:val="(%1)"/>
      <w:numFmt w:val="lowerLetter"/>
      <w:start w:val="1"/>
    </w:lvl>
  </w:abstractNum>
  <w:abstractNum w:abstractNumId="134">
    <w:nsid w:val="631B64D4"/>
    <w:multiLevelType w:val="hybridMultilevel"/>
    <w:lvl w:ilvl="0">
      <w:lvlJc w:val="left"/>
      <w:lvlText w:val="(%1)"/>
      <w:numFmt w:val="lowerLetter"/>
      <w:start w:val="3"/>
    </w:lvl>
  </w:abstractNum>
  <w:abstractNum w:abstractNumId="135">
    <w:nsid w:val="78B5E776"/>
    <w:multiLevelType w:val="hybridMultilevel"/>
    <w:lvl w:ilvl="0">
      <w:lvlJc w:val="left"/>
      <w:lvlText w:val="(%1)"/>
      <w:numFmt w:val="lowerLetter"/>
      <w:start w:val="1"/>
    </w:lvl>
  </w:abstractNum>
  <w:abstractNum w:abstractNumId="136">
    <w:nsid w:val="75486E47"/>
    <w:multiLevelType w:val="hybridMultilevel"/>
    <w:lvl w:ilvl="0">
      <w:lvlJc w:val="left"/>
      <w:lvlText w:val="%1."/>
      <w:numFmt w:val="decimal"/>
      <w:start w:val="1"/>
    </w:lvl>
  </w:abstractNum>
  <w:abstractNum w:abstractNumId="137">
    <w:nsid w:val="6E534CDE"/>
    <w:multiLevelType w:val="hybridMultilevel"/>
    <w:lvl w:ilvl="0">
      <w:lvlJc w:val="left"/>
      <w:lvlText w:val="%1."/>
      <w:numFmt w:val="decimal"/>
      <w:start w:val="5"/>
    </w:lvl>
  </w:abstractNum>
  <w:abstractNum w:abstractNumId="138">
    <w:nsid w:val="1A0DDE32"/>
    <w:multiLevelType w:val="hybridMultilevel"/>
    <w:lvl w:ilvl="0">
      <w:lvlJc w:val="left"/>
      <w:lvlText w:val="(%1)"/>
      <w:numFmt w:val="lowerLetter"/>
      <w:start w:val="1"/>
    </w:lvl>
  </w:abstractNum>
  <w:abstractNum w:abstractNumId="139">
    <w:nsid w:val="65968C1C"/>
    <w:multiLevelType w:val="hybridMultilevel"/>
    <w:lvl w:ilvl="0">
      <w:lvlJc w:val="left"/>
      <w:lvlText w:val="(%1)"/>
      <w:numFmt w:val="lowerLetter"/>
      <w:start w:val="3"/>
    </w:lvl>
  </w:abstractNum>
  <w:abstractNum w:abstractNumId="140">
    <w:nsid w:val="46263DEC"/>
    <w:multiLevelType w:val="hybridMultilevel"/>
    <w:lvl w:ilvl="0">
      <w:lvlJc w:val="left"/>
      <w:lvlText w:val="%1."/>
      <w:numFmt w:val="decimal"/>
      <w:start w:val="1"/>
    </w:lvl>
  </w:abstractNum>
  <w:abstractNum w:abstractNumId="141">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2">
    <w:nsid w:val="73D4D3C4"/>
    <w:multiLevelType w:val="hybridMultilevel"/>
    <w:lvl w:ilvl="0">
      <w:lvlJc w:val="left"/>
      <w:lvlText w:val="%1."/>
      <w:numFmt w:val="decimal"/>
      <w:start w:val="5"/>
    </w:lvl>
  </w:abstractNum>
  <w:abstractNum w:abstractNumId="143">
    <w:nsid w:val="746F2E30"/>
    <w:multiLevelType w:val="hybridMultilevel"/>
    <w:lvl w:ilvl="0">
      <w:lvlJc w:val="left"/>
      <w:lvlText w:val="%1."/>
      <w:numFmt w:val="decimal"/>
      <w:start w:val="1"/>
    </w:lvl>
  </w:abstractNum>
  <w:abstractNum w:abstractNumId="144">
    <w:nsid w:val="6FDE8AF6"/>
    <w:multiLevelType w:val="hybridMultilevel"/>
    <w:lvl w:ilvl="0">
      <w:lvlJc w:val="left"/>
      <w:lvlText w:val="%1."/>
      <w:numFmt w:val="decimal"/>
      <w:start w:val="11"/>
    </w:lvl>
  </w:abstractNum>
  <w:abstractNum w:abstractNumId="145">
    <w:nsid w:val="3FC32E20"/>
    <w:multiLevelType w:val="hybridMultilevel"/>
    <w:lvl w:ilvl="0">
      <w:lvlJc w:val="left"/>
      <w:lvlText w:val="%1."/>
      <w:numFmt w:val="decimal"/>
      <w:start w:val="18"/>
    </w:lvl>
  </w:abstractNum>
  <w:abstractNum w:abstractNumId="146">
    <w:nsid w:val="49C0E823"/>
    <w:multiLevelType w:val="hybridMultilevel"/>
    <w:lvl w:ilvl="0">
      <w:lvlJc w:val="left"/>
      <w:lvlText w:val="%1."/>
      <w:numFmt w:val="decimal"/>
      <w:start w:val="26"/>
    </w:lvl>
  </w:abstractNum>
  <w:abstractNum w:abstractNumId="147">
    <w:nsid w:val="14D53685"/>
    <w:multiLevelType w:val="hybridMultilevel"/>
    <w:lvl w:ilvl="0">
      <w:lvlJc w:val="left"/>
      <w:lvlText w:val="%1."/>
      <w:numFmt w:val="decimal"/>
      <w:start w:val="32"/>
    </w:lvl>
  </w:abstractNum>
  <w:abstractNum w:abstractNumId="148">
    <w:nsid w:val="230F856C"/>
    <w:multiLevelType w:val="hybridMultilevel"/>
    <w:lvl w:ilvl="0">
      <w:lvlJc w:val="left"/>
      <w:lvlText w:val="%1."/>
      <w:numFmt w:val="decimal"/>
      <w:start w:val="1"/>
    </w:lvl>
    <w:lvl w:ilvl="1">
      <w:lvlJc w:val="left"/>
      <w:lvlText w:val="(%2)"/>
      <w:numFmt w:val="lowerLetter"/>
      <w:start w:val="1"/>
    </w:lvl>
  </w:abstractNum>
  <w:abstractNum w:abstractNumId="149">
    <w:nsid w:val="6EAA85FB"/>
    <w:multiLevelType w:val="hybridMultilevel"/>
    <w:lvl w:ilvl="0">
      <w:lvlJc w:val="left"/>
      <w:lvlText w:val="%1."/>
      <w:numFmt w:val="decimal"/>
      <w:start w:val="5"/>
    </w:lvl>
  </w:abstractNum>
  <w:abstractNum w:abstractNumId="150">
    <w:nsid w:val="3F06ECB2"/>
    <w:multiLevelType w:val="hybridMultilevel"/>
    <w:lvl w:ilvl="0">
      <w:lvlJc w:val="left"/>
      <w:lvlText w:val="%1."/>
      <w:numFmt w:val="decimal"/>
      <w:start w:val="11"/>
    </w:lvl>
  </w:abstractNum>
  <w:abstractNum w:abstractNumId="151">
    <w:nsid w:val="3B594807"/>
    <w:multiLevelType w:val="hybridMultilevel"/>
    <w:lvl w:ilvl="0">
      <w:lvlJc w:val="left"/>
      <w:lvlText w:val="%1."/>
      <w:numFmt w:val="decimal"/>
      <w:start w:val="1"/>
    </w:lvl>
  </w:abstractNum>
  <w:abstractNum w:abstractNumId="152">
    <w:nsid w:val="6CAA2304"/>
    <w:multiLevelType w:val="hybridMultilevel"/>
    <w:lvl w:ilvl="0">
      <w:lvlJc w:val="left"/>
      <w:lvlText w:val="%1."/>
      <w:numFmt w:val="decimal"/>
      <w:start w:val="2"/>
    </w:lvl>
  </w:abstractNum>
  <w:abstractNum w:abstractNumId="153">
    <w:nsid w:val="3F7C2FF4"/>
    <w:multiLevelType w:val="hybridMultilevel"/>
    <w:lvl w:ilvl="0">
      <w:lvlJc w:val="left"/>
      <w:lvlText w:val="%1."/>
      <w:numFmt w:val="decimal"/>
      <w:start w:val="3"/>
    </w:lvl>
  </w:abstractNum>
  <w:abstractNum w:abstractNumId="154">
    <w:nsid w:val="25413BEC"/>
    <w:multiLevelType w:val="hybridMultilevel"/>
    <w:lvl w:ilvl="0">
      <w:lvlJc w:val="left"/>
      <w:lvlText w:val="(%1)"/>
      <w:numFmt w:val="lowerLetter"/>
      <w:start w:val="1"/>
    </w:lvl>
  </w:abstractNum>
  <w:abstractNum w:abstractNumId="155">
    <w:nsid w:val="17180B0B"/>
    <w:multiLevelType w:val="hybridMultilevel"/>
    <w:lvl w:ilvl="0">
      <w:lvlJc w:val="left"/>
      <w:lvlText w:val="(%1)"/>
      <w:numFmt w:val="lowerLetter"/>
      <w:start w:val="4"/>
    </w:lvl>
  </w:abstractNum>
  <w:abstractNum w:abstractNumId="156">
    <w:nsid w:val="579328B9"/>
    <w:multiLevelType w:val="hybridMultilevel"/>
    <w:lvl w:ilvl="0">
      <w:lvlJc w:val="left"/>
      <w:lvlText w:val="%1."/>
      <w:numFmt w:val="decimal"/>
      <w:start w:val="4"/>
    </w:lvl>
  </w:abstractNum>
  <w:abstractNum w:abstractNumId="157">
    <w:nsid w:val="5D205E20"/>
    <w:multiLevelType w:val="hybridMultilevel"/>
    <w:lvl w:ilvl="0">
      <w:lvlJc w:val="left"/>
      <w:lvlText w:val="(%1)"/>
      <w:numFmt w:val="lowerLetter"/>
      <w:start w:val="1"/>
    </w:lvl>
  </w:abstractNum>
  <w:abstractNum w:abstractNumId="158">
    <w:nsid w:val="11CCA8B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8" Type="http://schemas.openxmlformats.org/officeDocument/2006/relationships/image" Target="media/image2.png"/><Relationship Id="rId19" Type="http://schemas.openxmlformats.org/officeDocument/2006/relationships/image" Target="media/image3.png"/><Relationship Id="rId21" Type="http://schemas.openxmlformats.org/officeDocument/2006/relationships/image" Target="media/image4.png"/><Relationship Id="rId23" Type="http://schemas.openxmlformats.org/officeDocument/2006/relationships/image" Target="media/image5.png"/><Relationship Id="rId26"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jpeg"/><Relationship Id="rId72" Type="http://schemas.openxmlformats.org/officeDocument/2006/relationships/image" Target="media/image51.jpeg"/><Relationship Id="rId73" Type="http://schemas.openxmlformats.org/officeDocument/2006/relationships/image" Target="media/image52.jpeg"/><Relationship Id="rId74" Type="http://schemas.openxmlformats.org/officeDocument/2006/relationships/image" Target="media/image53.jpeg"/><Relationship Id="rId75" Type="http://schemas.openxmlformats.org/officeDocument/2006/relationships/image" Target="media/image54.jpeg"/><Relationship Id="rId76" Type="http://schemas.openxmlformats.org/officeDocument/2006/relationships/image" Target="media/image55.jpeg"/><Relationship Id="rId77" Type="http://schemas.openxmlformats.org/officeDocument/2006/relationships/image" Target="media/image56.jpeg"/><Relationship Id="rId78" Type="http://schemas.openxmlformats.org/officeDocument/2006/relationships/image" Target="media/image57.jpeg"/><Relationship Id="rId79" Type="http://schemas.openxmlformats.org/officeDocument/2006/relationships/image" Target="media/image58.jpeg"/><Relationship Id="rId80" Type="http://schemas.openxmlformats.org/officeDocument/2006/relationships/image" Target="media/image59.jpeg"/><Relationship Id="rId81" Type="http://schemas.openxmlformats.org/officeDocument/2006/relationships/image" Target="media/image60.jpeg"/><Relationship Id="rId82" Type="http://schemas.openxmlformats.org/officeDocument/2006/relationships/image" Target="media/image61.jpeg"/><Relationship Id="rId83" Type="http://schemas.openxmlformats.org/officeDocument/2006/relationships/image" Target="media/image62.jpeg"/><Relationship Id="rId84" Type="http://schemas.openxmlformats.org/officeDocument/2006/relationships/image" Target="media/image63.jpeg"/><Relationship Id="rId85" Type="http://schemas.openxmlformats.org/officeDocument/2006/relationships/image" Target="media/image64.jpeg"/><Relationship Id="rId86" Type="http://schemas.openxmlformats.org/officeDocument/2006/relationships/image" Target="media/image65.jpeg"/><Relationship Id="rId87" Type="http://schemas.openxmlformats.org/officeDocument/2006/relationships/image" Target="media/image66.jpeg"/><Relationship Id="rId88" Type="http://schemas.openxmlformats.org/officeDocument/2006/relationships/image" Target="media/image67.jpeg"/><Relationship Id="rId89" Type="http://schemas.openxmlformats.org/officeDocument/2006/relationships/image" Target="media/image68.jpeg"/><Relationship Id="rId9" Type="http://schemas.openxmlformats.org/officeDocument/2006/relationships/hyperlink" Target="https://www.sec.gov/ix?doc=/Archives/edgar/data/0001603923/000160392325000050/wfrd-20241231.htm" TargetMode="External"/><Relationship Id="rId10" Type="http://schemas.openxmlformats.org/officeDocument/2006/relationships/hyperlink" Target="https://www.sec.gov/ix?doc=/Archives/edgar/data/0001603923/000160392325000091/wfrd-20250423.htm" TargetMode="External"/><Relationship Id="rId11" Type="http://schemas.openxmlformats.org/officeDocument/2006/relationships/hyperlink" Target="https://www.sec.gov/ix?doc=/Archives/edgar/data/0001603923/000160392325000089/wfrd-20250331.htm" TargetMode="External"/><Relationship Id="rId12" Type="http://schemas.openxmlformats.org/officeDocument/2006/relationships/hyperlink" Target="https://www.sec.gov/ix?doc=/Archives/edgar/data/0001603923/000160392325000046/wfrd-20250205.htm" TargetMode="External"/><Relationship Id="rId13" Type="http://schemas.openxmlformats.org/officeDocument/2006/relationships/hyperlink" Target="https://www.sec.gov/ix?doc=/Archives/edgar/data/0001603923/000160392325000081/wfrd-20250422.htm" TargetMode="External"/><Relationship Id="rId14" Type="http://schemas.openxmlformats.org/officeDocument/2006/relationships/hyperlink" Target="https://www.sec.gov/ix?doc=/Archives/edgar/data/0001603923/000160392325000082/wft-20250421.htm" TargetMode="External"/><Relationship Id="rId15" Type="http://schemas.openxmlformats.org/officeDocument/2006/relationships/hyperlink" Target="https://www.sec.gov/ix?doc=/Archives/edgar/data/0001603923/000160392325000123/wft-20250611.htm" TargetMode="External"/><Relationship Id="rId16" Type="http://schemas.openxmlformats.org/officeDocument/2006/relationships/hyperlink" Target="https://www.sec.gov/Archives/edgar/data/1603923/000110465921042795/tm2110708d1_1012b.htm" TargetMode="External"/><Relationship Id="rId17" Type="http://schemas.openxmlformats.org/officeDocument/2006/relationships/hyperlink" Target="https://www.sec.gov/Archives/edgar/data/1603923/000160392322000051/exhibit41descriptionofsecu.htm" TargetMode="External"/><Relationship Id="rId20" Type="http://schemas.openxmlformats.org/officeDocument/2006/relationships/hyperlink" Target="https://www.sec.gov/Archives/edgar/data/1603923/000110465919073841/tm1925198d1_ex3-1.htm" TargetMode="External"/><Relationship Id="rId22" Type="http://schemas.openxmlformats.org/officeDocument/2006/relationships/hyperlink" Target="https://www.sec.gov/Archives/edgar/data/1170565/000095012902002692/h95792a1sv4za.txt" TargetMode="External"/><Relationship Id="rId24" Type="http://schemas.openxmlformats.org/officeDocument/2006/relationships/hyperlink" Target="https://www.sec.gov/Archives/edgar/data/32908/000119312517040410/d343393dex34.htm" TargetMode="External"/><Relationship Id="rId25" Type="http://schemas.openxmlformats.org/officeDocument/2006/relationships/hyperlink" Target="https://www.sec.gov/Archives/edgar/data/1170565/000095012906005514/h36261exv4w1.htm" TargetMode="External"/><Relationship Id="rId27" Type="http://schemas.openxmlformats.org/officeDocument/2006/relationships/hyperlink" Target="https://www.sec.gov/Archives/edgar/data/32908/000145309014000026/wfts-3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2025-06-13T15:59:15Z</dcterms:created>
  <dcterms:modified xsi:type="dcterms:W3CDTF">2025-06-13T15:59:15Z</dcterms:modified>
</cp:coreProperties>
</file>