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5959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959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Saligram Girish</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7"/>
                <w:szCs w:val="17"/>
                <w:color w:val="0000FF"/>
              </w:rPr>
              <w:t>2000 ST. JAMES PLACE</w:t>
            </w:r>
          </w:p>
        </w:tc>
        <w:tc>
          <w:tcPr>
            <w:tcW w:w="154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5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100" w:type="dxa"/>
            <w:vAlign w:val="bottom"/>
          </w:tcPr>
          <w:p>
            <w:pPr>
              <w:ind w:left="220"/>
              <w:spacing w:after="0"/>
              <w:rPr>
                <w:sz w:val="20"/>
                <w:szCs w:val="20"/>
                <w:color w:val="auto"/>
              </w:rPr>
            </w:pPr>
            <w:r>
              <w:rPr>
                <w:rFonts w:ascii="Arial" w:cs="Arial" w:eastAsia="Arial" w:hAnsi="Arial"/>
                <w:sz w:val="17"/>
                <w:szCs w:val="17"/>
                <w:color w:val="0000FF"/>
              </w:rPr>
              <w:t>TX</w:t>
            </w:r>
          </w:p>
        </w:tc>
        <w:tc>
          <w:tcPr>
            <w:tcW w:w="1540" w:type="dxa"/>
            <w:vAlign w:val="bottom"/>
          </w:tcPr>
          <w:p>
            <w:pPr>
              <w:ind w:left="340"/>
              <w:spacing w:after="0"/>
              <w:rPr>
                <w:sz w:val="20"/>
                <w:szCs w:val="20"/>
                <w:color w:val="auto"/>
              </w:rPr>
            </w:pPr>
            <w:r>
              <w:rPr>
                <w:rFonts w:ascii="Arial" w:cs="Arial" w:eastAsia="Arial" w:hAnsi="Arial"/>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Weatherford International plc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WFRD</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10/12/2023</w:t>
            </w:r>
          </w:p>
        </w:tc>
        <w:tc>
          <w:tcPr>
            <w:tcW w:w="1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5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10/12/2023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56,497</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802,156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10/12/2023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22,231</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94.4</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779,925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42,105</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Spousal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82,895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56,497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10/12/2023</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56,497</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80"/>
              <w:spacing w:after="0" w:line="12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1"/>
              <w:spacing w:after="0" w:line="143" w:lineRule="exact"/>
              <w:rPr>
                <w:sz w:val="20"/>
                <w:szCs w:val="20"/>
                <w:color w:val="auto"/>
              </w:rPr>
            </w:pPr>
            <w:r>
              <w:rPr>
                <w:rFonts w:ascii="Arial" w:cs="Arial" w:eastAsia="Arial" w:hAnsi="Arial"/>
                <w:sz w:val="13"/>
                <w:szCs w:val="13"/>
                <w:color w:val="0000FF"/>
                <w:w w:val="92"/>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0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vesting of the last installment of restricted share units ("RSUs") granted on November 17, 2020 pursuant to the Issuer's Second Amended and Restated 2019 Equity Incentive Plan (the "2019 EIP"). These RSUs vested in three equal installments on each of October 12, 2021, 2022 and 2023. RSUs convert into ordinary shares on a one-for-one basis.</w:t>
      </w:r>
    </w:p>
    <w:p>
      <w:pPr>
        <w:spacing w:after="0" w:line="24" w:lineRule="exact"/>
        <w:rPr>
          <w:rFonts w:ascii="Arial" w:cs="Arial" w:eastAsia="Arial" w:hAnsi="Arial"/>
          <w:sz w:val="13"/>
          <w:szCs w:val="13"/>
          <w:color w:val="008000"/>
        </w:rPr>
      </w:pPr>
    </w:p>
    <w:p>
      <w:pPr>
        <w:ind w:left="40" w:right="16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RSUs to satisfy the reporting person's tax withholding obligations upon vesting, pursuant to the award agreement and the 2019 EIP under which the award was granted.</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in a spousal lifetime access trust, of which the reporting person's spouse is the trustee and beneficiary.</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in a trust, of which the reporting person and his spouse are the grantors, trustees and beneficiaries.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Christine M. Morrison by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10/13/2023</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Power of Attorney</w:t>
            </w:r>
          </w:p>
        </w:tc>
        <w:tc>
          <w:tcPr>
            <w:tcW w:w="4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2023-10-13T17:55:58Z</dcterms:created>
  <dcterms:modified xsi:type="dcterms:W3CDTF">2023-10-13T17:55:58Z</dcterms:modified>
</cp:coreProperties>
</file>