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4958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95808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300"/>
            <w:col w:w="852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Weatherholt Scott C</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01/04/2023</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8"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88"/>
        <w:spacing w:after="0"/>
        <w:rPr>
          <w:sz w:val="20"/>
          <w:szCs w:val="20"/>
          <w:color w:val="auto"/>
        </w:rPr>
      </w:pPr>
      <w:r>
        <w:rPr>
          <w:rFonts w:ascii="Times New Roman" w:cs="Times New Roman" w:eastAsia="Times New Roman" w:hAnsi="Times New Roman"/>
          <w:sz w:val="17"/>
          <w:szCs w:val="17"/>
          <w:color w:val="0000FF"/>
        </w:rPr>
        <w:t>EVP, GC &amp; CCO</w:t>
      </w:r>
    </w:p>
    <w:p>
      <w:pPr>
        <w:spacing w:after="0" w:line="308" w:lineRule="exact"/>
        <w:rPr>
          <w:sz w:val="24"/>
          <w:szCs w:val="24"/>
          <w:color w:val="auto"/>
        </w:rPr>
      </w:pPr>
    </w:p>
    <w:p>
      <w:pPr>
        <w:sectPr>
          <w:pgSz w:w="11900" w:h="16838" w:orient="portrait"/>
          <w:cols w:equalWidth="0" w:num="3">
            <w:col w:w="3180" w:space="720"/>
            <w:col w:w="3220" w:space="612"/>
            <w:col w:w="3348"/>
          </w:cols>
          <w:pgMar w:left="460" w:top="218"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77056</w:t>
            </w:r>
          </w:p>
        </w:tc>
      </w:tr>
      <w:tr>
        <w:trPr>
          <w:trHeight w:val="150"/>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1"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838" w:orient="portrait"/>
          <w:cols w:equalWidth="0" w:num="2">
            <w:col w:w="3760" w:space="140"/>
            <w:col w:w="718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jc w:val="right"/>
              <w:ind w:right="131"/>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01/04/2023</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4"/>
              </w:rPr>
              <w:t>35,585</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63,271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01/04/2023</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4"/>
              </w:rPr>
              <w:t>14,174</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49,097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35,585</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01/04/2023</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35,585</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31"/>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-2014855</wp:posOffset>
            </wp:positionV>
            <wp:extent cx="29210" cy="2019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99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the last installment of restricted share units ("RSUs") granted on January 4, 2021 pursuant to Issuer's Second Amended and Restated 2019 Equity Incentive Plan (the "2019 EIP"). The RSUs vest in two equal installments over the two-year period from the date of grant.</w:t>
      </w:r>
    </w:p>
    <w:p>
      <w:pPr>
        <w:spacing w:after="0" w:line="17" w:lineRule="exact"/>
        <w:rPr>
          <w:rFonts w:ascii="Times New Roman" w:cs="Times New Roman" w:eastAsia="Times New Roman" w:hAnsi="Times New Roman"/>
          <w:sz w:val="13"/>
          <w:szCs w:val="13"/>
          <w:color w:val="008000"/>
        </w:rPr>
      </w:pPr>
    </w:p>
    <w:p>
      <w:pPr>
        <w:ind w:left="40" w:right="4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RSUs to satisfy the reporting person's tax withholding obligations upon vesting, pursuant to the award agreement and associated equity incentive plan under which the award was granted.</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Jonathan B. Wolens by Power</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01/06/2023</w:t>
            </w:r>
          </w:p>
        </w:tc>
        <w:tc>
          <w:tcPr>
            <w:tcW w:w="0" w:type="dxa"/>
            <w:vAlign w:val="bottom"/>
          </w:tcPr>
          <w:p>
            <w:pPr>
              <w:spacing w:after="0"/>
              <w:rPr>
                <w:sz w:val="1"/>
                <w:szCs w:val="1"/>
                <w:color w:val="auto"/>
              </w:rPr>
            </w:pPr>
          </w:p>
        </w:tc>
      </w:tr>
      <w:tr>
        <w:trPr>
          <w:trHeight w:val="88"/>
        </w:trPr>
        <w:tc>
          <w:tcPr>
            <w:tcW w:w="7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6"/>
              </w:rPr>
              <w:t>of Attorney</w:t>
            </w:r>
          </w:p>
        </w:tc>
        <w:tc>
          <w:tcPr>
            <w:tcW w:w="14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780" w:type="dxa"/>
            <w:vAlign w:val="bottom"/>
            <w:tcBorders>
              <w:bottom w:val="single" w:sz="8" w:color="auto"/>
            </w:tcBorders>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942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2023-01-06T17:26:11Z</dcterms:created>
  <dcterms:modified xsi:type="dcterms:W3CDTF">2023-01-06T17:26:11Z</dcterms:modified>
</cp:coreProperties>
</file>