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3)*</w:t>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4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4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4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600" w:firstLine="8"/>
        <w:spacing w:after="0" w:line="224" w:lineRule="exact"/>
        <w:tabs>
          <w:tab w:leader="none" w:pos="5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0"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2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Opps Xb Holdco Ltd.</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2,872,389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its capacity as the direct owner of 2,872,389 shares of common stock, par value $0.001 per share of the Issuer (“Common Stock”).</w:t>
      </w:r>
    </w:p>
    <w:p>
      <w:pPr>
        <w:spacing w:after="0" w:line="225" w:lineRule="exact"/>
        <w:rPr>
          <w:rFonts w:ascii="Arial" w:cs="Arial" w:eastAsia="Arial" w:hAnsi="Arial"/>
          <w:sz w:val="18"/>
          <w:szCs w:val="18"/>
          <w:color w:val="auto"/>
        </w:rPr>
      </w:pPr>
    </w:p>
    <w:p>
      <w:pPr>
        <w:ind w:left="580" w:right="180" w:hanging="572"/>
        <w:spacing w:after="0" w:line="26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calculations of percentage ownership herein are based on a total of 70,608,639 shares of Common Stock issued and outstanding as of October 21, 2022, as reported by the Issuer on its Form 10-Q filed with the United States Securities Exchange Commission (the “SEC”) on October 26, 2022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3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Cascade Investment Fund I,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577,288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577,288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577,288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(0.8%) Less than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3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its capacity as the direct owner of 577,288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4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Opportunities Fund Xb Holdings (Delaware),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104,430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104,430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104,430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Less than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its capacity as the direct owner of 104,430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5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Fund GP,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681,718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681,718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681,718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right="140" w:hanging="572"/>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Opportunities Fund Xb Holdings (Delaware), L.P. and Oaktree Cascade Investment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6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Fund GP I,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3,554,107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Fund GP, LLC and the sole shareholder of Oaktree Opps Xb Holdco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7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I,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3,554,107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6260" w:type="dxa"/>
            <w:vAlign w:val="bottom"/>
            <w:tcBorders>
              <w:right w:val="single" w:sz="8" w:color="auto"/>
            </w:tcBorders>
          </w:tcPr>
          <w:p>
            <w:pPr>
              <w:ind w:left="220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8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OCM Holdings I,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6260" w:type="dxa"/>
            <w:vAlign w:val="bottom"/>
            <w:tcBorders>
              <w:bottom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2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5</w:t>
            </w:r>
          </w:p>
        </w:tc>
        <w:tc>
          <w:tcPr>
            <w:tcW w:w="460" w:type="dxa"/>
            <w:vAlign w:val="bottom"/>
            <w:tcBorders>
              <w:right w:val="single" w:sz="8" w:color="auto"/>
            </w:tcBorders>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460" w:type="dxa"/>
            <w:vAlign w:val="bottom"/>
            <w:tcBorders>
              <w:right w:val="single" w:sz="8" w:color="auto"/>
            </w:tcBorders>
          </w:tcPr>
          <w:p>
            <w:pPr>
              <w:spacing w:after="0"/>
              <w:rPr>
                <w:sz w:val="9"/>
                <w:szCs w:val="9"/>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26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626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460" w:type="dxa"/>
            <w:vAlign w:val="bottom"/>
            <w:tcBorders>
              <w:right w:val="single" w:sz="8" w:color="auto"/>
            </w:tcBorders>
          </w:tcPr>
          <w:p>
            <w:pPr>
              <w:spacing w:after="0"/>
              <w:rPr>
                <w:sz w:val="6"/>
                <w:szCs w:val="6"/>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vMerge w:val="continue"/>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26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626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460" w:type="dxa"/>
            <w:vAlign w:val="bottom"/>
            <w:tcBorders>
              <w:right w:val="single" w:sz="8" w:color="auto"/>
            </w:tcBorders>
          </w:tcPr>
          <w:p>
            <w:pPr>
              <w:spacing w:after="0"/>
              <w:rPr>
                <w:sz w:val="5"/>
                <w:szCs w:val="5"/>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626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3,554,107 (1)</w:t>
            </w: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4"/>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9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Holdings,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3,554,107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10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L.P.</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2,872,389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sole director of Oaktree Opps Xb Holdco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11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GP,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2,872,389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12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Atlas OCM Holdings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2,872,389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in its capacity as the sole managing member of Oaktree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13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3,554,107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14 of 26</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Holdings GP, LLC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3,554,107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B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15 of 26</w:t>
            </w:r>
          </w:p>
        </w:tc>
        <w:tc>
          <w:tcPr>
            <w:tcW w:w="0" w:type="dxa"/>
            <w:vAlign w:val="bottom"/>
          </w:tcPr>
          <w:p>
            <w:pPr>
              <w:spacing w:after="0"/>
              <w:rPr>
                <w:sz w:val="1"/>
                <w:szCs w:val="1"/>
                <w:color w:val="auto"/>
              </w:rPr>
            </w:pPr>
          </w:p>
        </w:tc>
      </w:tr>
      <w:tr>
        <w:trPr>
          <w:trHeight w:val="49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Brookfield Corporation</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3,554,107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3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A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16 of 26</w:t>
            </w:r>
          </w:p>
        </w:tc>
        <w:tc>
          <w:tcPr>
            <w:tcW w:w="0" w:type="dxa"/>
            <w:vAlign w:val="bottom"/>
          </w:tcPr>
          <w:p>
            <w:pPr>
              <w:spacing w:after="0"/>
              <w:rPr>
                <w:sz w:val="1"/>
                <w:szCs w:val="1"/>
                <w:color w:val="auto"/>
              </w:rPr>
            </w:pPr>
          </w:p>
        </w:tc>
      </w:tr>
      <w:tr>
        <w:trPr>
          <w:trHeight w:val="49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Brookfield Asset Management ULC</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British Columbia, Canada</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2,872,389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2,872,389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B units of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G48833118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17 of 26</w:t>
            </w:r>
          </w:p>
        </w:tc>
        <w:tc>
          <w:tcPr>
            <w:tcW w:w="0" w:type="dxa"/>
            <w:vAlign w:val="bottom"/>
          </w:tcPr>
          <w:p>
            <w:pPr>
              <w:spacing w:after="0"/>
              <w:rPr>
                <w:sz w:val="1"/>
                <w:szCs w:val="1"/>
                <w:color w:val="auto"/>
              </w:rPr>
            </w:pPr>
          </w:p>
        </w:tc>
      </w:tr>
      <w:tr>
        <w:trPr>
          <w:trHeight w:val="49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BAM Partners Trust</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3,554,107 (1)</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3,554,107 (1)</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3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in its capacity as the sole owner of Class B Limited Voting Shares of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7" w:name="page18"/>
    <w:bookmarkEnd w:id="17"/>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18 of 26</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tabs>
          <w:tab w:leader="none" w:pos="1120" w:val="left"/>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Weatherford International plc</w:t>
      </w:r>
    </w:p>
    <w:p>
      <w:pPr>
        <w:spacing w:after="0" w:line="221" w:lineRule="exact"/>
        <w:rPr>
          <w:sz w:val="20"/>
          <w:szCs w:val="20"/>
          <w:color w:val="auto"/>
        </w:rPr>
      </w:pPr>
    </w:p>
    <w:p>
      <w:pPr>
        <w:ind w:left="1700" w:hanging="558"/>
        <w:spacing w:after="0"/>
        <w:tabs>
          <w:tab w:leader="none" w:pos="1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2000 St. James Place</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Houston, Texas 77056</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(a)-(c) Name of Person Filing; Address of Principal Business Office; and Citizenship</w:t>
      </w:r>
    </w:p>
    <w:p>
      <w:pPr>
        <w:spacing w:after="0" w:line="229" w:lineRule="exact"/>
        <w:rPr>
          <w:sz w:val="20"/>
          <w:szCs w:val="20"/>
          <w:color w:val="auto"/>
        </w:rPr>
      </w:pPr>
    </w:p>
    <w:p>
      <w:pPr>
        <w:ind w:left="1140" w:right="600"/>
        <w:spacing w:after="0" w:line="277" w:lineRule="auto"/>
        <w:rPr>
          <w:sz w:val="20"/>
          <w:szCs w:val="20"/>
          <w:color w:val="auto"/>
        </w:rPr>
      </w:pPr>
      <w:r>
        <w:rPr>
          <w:rFonts w:ascii="Arial" w:cs="Arial" w:eastAsia="Arial" w:hAnsi="Arial"/>
          <w:sz w:val="18"/>
          <w:szCs w:val="18"/>
          <w:color w:val="auto"/>
        </w:rPr>
        <w:t>This Schedule 13G is filed jointly by each of the following persons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pursuant to a joint filing agreement attached hereto as Exhibit 1:</w:t>
      </w:r>
    </w:p>
    <w:p>
      <w:pPr>
        <w:spacing w:after="0" w:line="170" w:lineRule="exact"/>
        <w:rPr>
          <w:sz w:val="20"/>
          <w:szCs w:val="20"/>
          <w:color w:val="auto"/>
        </w:rPr>
      </w:pPr>
    </w:p>
    <w:p>
      <w:pPr>
        <w:ind w:left="1700" w:right="74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Opps Xb Holdco Ltd., a Cayman Islands exempted company (“</w:t>
      </w:r>
      <w:r>
        <w:rPr>
          <w:rFonts w:ascii="Arial" w:cs="Arial" w:eastAsia="Arial" w:hAnsi="Arial"/>
          <w:sz w:val="18"/>
          <w:szCs w:val="18"/>
          <w:b w:val="1"/>
          <w:bCs w:val="1"/>
          <w:i w:val="1"/>
          <w:iCs w:val="1"/>
          <w:color w:val="auto"/>
        </w:rPr>
        <w:t>Xb Holdco</w:t>
      </w:r>
      <w:r>
        <w:rPr>
          <w:rFonts w:ascii="Arial" w:cs="Arial" w:eastAsia="Arial" w:hAnsi="Arial"/>
          <w:sz w:val="18"/>
          <w:szCs w:val="18"/>
          <w:color w:val="auto"/>
        </w:rPr>
        <w:t>”), in its capacity as the direct owner of 2,872,389 shares of Common Stock;</w:t>
      </w:r>
    </w:p>
    <w:p>
      <w:pPr>
        <w:spacing w:after="0" w:line="170" w:lineRule="exact"/>
        <w:rPr>
          <w:rFonts w:ascii="Arial" w:cs="Arial" w:eastAsia="Arial" w:hAnsi="Arial"/>
          <w:sz w:val="18"/>
          <w:szCs w:val="18"/>
          <w:color w:val="auto"/>
        </w:rPr>
      </w:pPr>
    </w:p>
    <w:p>
      <w:pPr>
        <w:ind w:left="1700" w:right="2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Cascade Investment Fund I, L.P., a Delaware limited partnership (“</w:t>
      </w:r>
      <w:r>
        <w:rPr>
          <w:rFonts w:ascii="Arial" w:cs="Arial" w:eastAsia="Arial" w:hAnsi="Arial"/>
          <w:sz w:val="18"/>
          <w:szCs w:val="18"/>
          <w:b w:val="1"/>
          <w:bCs w:val="1"/>
          <w:i w:val="1"/>
          <w:iCs w:val="1"/>
          <w:color w:val="auto"/>
        </w:rPr>
        <w:t>Cascade</w:t>
      </w:r>
      <w:r>
        <w:rPr>
          <w:rFonts w:ascii="Arial" w:cs="Arial" w:eastAsia="Arial" w:hAnsi="Arial"/>
          <w:sz w:val="18"/>
          <w:szCs w:val="18"/>
          <w:color w:val="auto"/>
        </w:rPr>
        <w:t>”), in its capacity as the direct owner of 577,288 Shares;</w:t>
      </w:r>
    </w:p>
    <w:p>
      <w:pPr>
        <w:spacing w:after="0" w:line="170" w:lineRule="exact"/>
        <w:rPr>
          <w:rFonts w:ascii="Arial" w:cs="Arial" w:eastAsia="Arial" w:hAnsi="Arial"/>
          <w:sz w:val="18"/>
          <w:szCs w:val="18"/>
          <w:color w:val="auto"/>
        </w:rPr>
      </w:pPr>
    </w:p>
    <w:p>
      <w:pPr>
        <w:ind w:left="1700" w:right="22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Opportunities Fund Xb Holdings (Delaware), L.P., a Delaware limited partnership (“</w:t>
      </w:r>
      <w:r>
        <w:rPr>
          <w:rFonts w:ascii="Arial" w:cs="Arial" w:eastAsia="Arial" w:hAnsi="Arial"/>
          <w:sz w:val="18"/>
          <w:szCs w:val="18"/>
          <w:b w:val="1"/>
          <w:bCs w:val="1"/>
          <w:i w:val="1"/>
          <w:iCs w:val="1"/>
          <w:color w:val="auto"/>
        </w:rPr>
        <w:t>Xb Holdings</w:t>
      </w:r>
      <w:r>
        <w:rPr>
          <w:rFonts w:ascii="Arial" w:cs="Arial" w:eastAsia="Arial" w:hAnsi="Arial"/>
          <w:sz w:val="18"/>
          <w:szCs w:val="18"/>
          <w:color w:val="auto"/>
        </w:rPr>
        <w:t>”), in its capacity as the direct owner of 104,430 shares of Common Stock;</w:t>
      </w:r>
    </w:p>
    <w:p>
      <w:pPr>
        <w:spacing w:after="0" w:line="170" w:lineRule="exact"/>
        <w:rPr>
          <w:rFonts w:ascii="Arial" w:cs="Arial" w:eastAsia="Arial" w:hAnsi="Arial"/>
          <w:sz w:val="18"/>
          <w:szCs w:val="18"/>
          <w:color w:val="auto"/>
        </w:rPr>
      </w:pPr>
    </w:p>
    <w:p>
      <w:pPr>
        <w:ind w:left="170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Fund GP, LLC, a Delaware limited liability company (“</w:t>
      </w:r>
      <w:r>
        <w:rPr>
          <w:rFonts w:ascii="Arial" w:cs="Arial" w:eastAsia="Arial" w:hAnsi="Arial"/>
          <w:sz w:val="18"/>
          <w:szCs w:val="18"/>
          <w:b w:val="1"/>
          <w:bCs w:val="1"/>
          <w:i w:val="1"/>
          <w:iCs w:val="1"/>
          <w:color w:val="auto"/>
        </w:rPr>
        <w:t>Fund GP</w:t>
      </w:r>
      <w:r>
        <w:rPr>
          <w:rFonts w:ascii="Arial" w:cs="Arial" w:eastAsia="Arial" w:hAnsi="Arial"/>
          <w:sz w:val="18"/>
          <w:szCs w:val="18"/>
          <w:color w:val="auto"/>
        </w:rPr>
        <w:t>”), in its capacity as the general partner of Cascade and Xb Holdings;</w:t>
      </w:r>
    </w:p>
    <w:p>
      <w:pPr>
        <w:spacing w:after="0" w:line="170" w:lineRule="exact"/>
        <w:rPr>
          <w:rFonts w:ascii="Arial" w:cs="Arial" w:eastAsia="Arial" w:hAnsi="Arial"/>
          <w:sz w:val="18"/>
          <w:szCs w:val="18"/>
          <w:color w:val="auto"/>
        </w:rPr>
      </w:pPr>
    </w:p>
    <w:p>
      <w:pPr>
        <w:ind w:left="1700" w:right="38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Fund GP I, L.P., a Delaware limited partnership (“</w:t>
      </w:r>
      <w:r>
        <w:rPr>
          <w:rFonts w:ascii="Arial" w:cs="Arial" w:eastAsia="Arial" w:hAnsi="Arial"/>
          <w:sz w:val="18"/>
          <w:szCs w:val="18"/>
          <w:b w:val="1"/>
          <w:bCs w:val="1"/>
          <w:i w:val="1"/>
          <w:iCs w:val="1"/>
          <w:color w:val="auto"/>
        </w:rPr>
        <w:t>GP I</w:t>
      </w:r>
      <w:r>
        <w:rPr>
          <w:rFonts w:ascii="Arial" w:cs="Arial" w:eastAsia="Arial" w:hAnsi="Arial"/>
          <w:sz w:val="18"/>
          <w:szCs w:val="18"/>
          <w:color w:val="auto"/>
        </w:rPr>
        <w:t>”), in its capacity as the managing member of Fund GP, the sole shareholder of Xb Holdco is the direct owner of 3,554,107 shares of Common Stock;</w:t>
      </w:r>
    </w:p>
    <w:p>
      <w:pPr>
        <w:spacing w:after="0" w:line="170" w:lineRule="exact"/>
        <w:rPr>
          <w:rFonts w:ascii="Arial" w:cs="Arial" w:eastAsia="Arial" w:hAnsi="Arial"/>
          <w:sz w:val="18"/>
          <w:szCs w:val="18"/>
          <w:color w:val="auto"/>
        </w:rPr>
      </w:pPr>
    </w:p>
    <w:p>
      <w:pPr>
        <w:ind w:left="1700" w:hanging="558"/>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w:t>
      </w:r>
      <w:r>
        <w:rPr>
          <w:rFonts w:ascii="Arial" w:cs="Arial" w:eastAsia="Arial" w:hAnsi="Arial"/>
          <w:sz w:val="18"/>
          <w:szCs w:val="18"/>
          <w:b w:val="1"/>
          <w:bCs w:val="1"/>
          <w:i w:val="1"/>
          <w:iCs w:val="1"/>
          <w:color w:val="auto"/>
        </w:rPr>
        <w:t>Capital I</w:t>
      </w:r>
      <w:r>
        <w:rPr>
          <w:rFonts w:ascii="Arial" w:cs="Arial" w:eastAsia="Arial" w:hAnsi="Arial"/>
          <w:sz w:val="18"/>
          <w:szCs w:val="18"/>
          <w:color w:val="auto"/>
        </w:rPr>
        <w:t>”), in its capacity as the general partner of GP I;</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 in its capacity as the general partner of Capital I;</w:t>
      </w:r>
    </w:p>
    <w:p>
      <w:pPr>
        <w:spacing w:after="0" w:line="236" w:lineRule="exact"/>
        <w:rPr>
          <w:rFonts w:ascii="Arial" w:cs="Arial" w:eastAsia="Arial" w:hAnsi="Arial"/>
          <w:sz w:val="17"/>
          <w:szCs w:val="17"/>
          <w:color w:val="auto"/>
        </w:rPr>
      </w:pPr>
    </w:p>
    <w:p>
      <w:pPr>
        <w:ind w:left="1700" w:right="8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Holdings, LLC, a Delaware limited liability company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in its capacity as the managing member of Holdings I; and</w:t>
      </w:r>
    </w:p>
    <w:p>
      <w:pPr>
        <w:spacing w:after="0" w:line="170" w:lineRule="exact"/>
        <w:rPr>
          <w:rFonts w:ascii="Arial" w:cs="Arial" w:eastAsia="Arial" w:hAnsi="Arial"/>
          <w:sz w:val="18"/>
          <w:szCs w:val="18"/>
          <w:color w:val="auto"/>
        </w:rPr>
      </w:pPr>
    </w:p>
    <w:p>
      <w:pPr>
        <w:ind w:left="1700" w:right="50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Management, L.P., a Delaware limited partnership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in its capacity as the sole director of Xb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8" w:name="page19"/>
    <w:bookmarkEnd w:id="18"/>
    <w:p>
      <w:pPr>
        <w:spacing w:after="0"/>
        <w:tabs>
          <w:tab w:leader="none" w:pos="488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19 of 26</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660" w:right="240" w:hanging="558"/>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Oaktree Capital Management GP, LLC, a Delaware limited liability company (“</w:t>
      </w:r>
      <w:r>
        <w:rPr>
          <w:rFonts w:ascii="Arial" w:cs="Arial" w:eastAsia="Arial" w:hAnsi="Arial"/>
          <w:sz w:val="18"/>
          <w:szCs w:val="18"/>
          <w:b w:val="1"/>
          <w:bCs w:val="1"/>
          <w:i w:val="1"/>
          <w:iCs w:val="1"/>
          <w:color w:val="auto"/>
        </w:rPr>
        <w:t>Management GP</w:t>
      </w:r>
      <w:r>
        <w:rPr>
          <w:rFonts w:ascii="Arial" w:cs="Arial" w:eastAsia="Arial" w:hAnsi="Arial"/>
          <w:sz w:val="18"/>
          <w:szCs w:val="18"/>
          <w:color w:val="auto"/>
        </w:rPr>
        <w:t>”), in its capacity as the general partner of Management;</w:t>
      </w:r>
    </w:p>
    <w:p>
      <w:pPr>
        <w:spacing w:after="0" w:line="170" w:lineRule="exact"/>
        <w:rPr>
          <w:rFonts w:ascii="Arial" w:cs="Arial" w:eastAsia="Arial" w:hAnsi="Arial"/>
          <w:sz w:val="18"/>
          <w:szCs w:val="18"/>
          <w:color w:val="auto"/>
        </w:rPr>
      </w:pPr>
    </w:p>
    <w:p>
      <w:pPr>
        <w:ind w:left="1660" w:right="660" w:hanging="558"/>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Atlas OCM Holdings LLC, a Delaware limited liability company (“</w:t>
      </w:r>
      <w:r>
        <w:rPr>
          <w:rFonts w:ascii="Arial" w:cs="Arial" w:eastAsia="Arial" w:hAnsi="Arial"/>
          <w:sz w:val="18"/>
          <w:szCs w:val="18"/>
          <w:b w:val="1"/>
          <w:bCs w:val="1"/>
          <w:i w:val="1"/>
          <w:iCs w:val="1"/>
          <w:color w:val="auto"/>
        </w:rPr>
        <w:t>Atlas</w:t>
      </w:r>
      <w:r>
        <w:rPr>
          <w:rFonts w:ascii="Arial" w:cs="Arial" w:eastAsia="Arial" w:hAnsi="Arial"/>
          <w:sz w:val="18"/>
          <w:szCs w:val="18"/>
          <w:color w:val="auto"/>
        </w:rPr>
        <w:t>”), in its capacity as the sole managing member of Management GP;</w:t>
      </w:r>
    </w:p>
    <w:p>
      <w:pPr>
        <w:spacing w:after="0" w:line="170" w:lineRule="exact"/>
        <w:rPr>
          <w:rFonts w:ascii="Arial" w:cs="Arial" w:eastAsia="Arial" w:hAnsi="Arial"/>
          <w:sz w:val="18"/>
          <w:szCs w:val="18"/>
          <w:color w:val="auto"/>
        </w:rPr>
      </w:pPr>
    </w:p>
    <w:p>
      <w:pPr>
        <w:ind w:left="1660" w:hanging="558"/>
        <w:spacing w:after="0"/>
        <w:tabs>
          <w:tab w:leader="none" w:pos="1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Oaktree Capital Group, LLC, a Delaware limited liability company (“</w:t>
      </w:r>
      <w:r>
        <w:rPr>
          <w:rFonts w:ascii="Arial" w:cs="Arial" w:eastAsia="Arial" w:hAnsi="Arial"/>
          <w:sz w:val="16"/>
          <w:szCs w:val="16"/>
          <w:b w:val="1"/>
          <w:bCs w:val="1"/>
          <w:i w:val="1"/>
          <w:iCs w:val="1"/>
          <w:color w:val="auto"/>
        </w:rPr>
        <w:t>OCG</w:t>
      </w:r>
      <w:r>
        <w:rPr>
          <w:rFonts w:ascii="Arial" w:cs="Arial" w:eastAsia="Arial" w:hAnsi="Arial"/>
          <w:sz w:val="16"/>
          <w:szCs w:val="16"/>
          <w:color w:val="auto"/>
        </w:rPr>
        <w:t>”), in its capacity as the managing member of Holdings;</w:t>
      </w:r>
    </w:p>
    <w:p>
      <w:pPr>
        <w:spacing w:after="0" w:line="248" w:lineRule="exact"/>
        <w:rPr>
          <w:rFonts w:ascii="Arial" w:cs="Arial" w:eastAsia="Arial" w:hAnsi="Arial"/>
          <w:sz w:val="16"/>
          <w:szCs w:val="16"/>
          <w:color w:val="auto"/>
        </w:rPr>
      </w:pPr>
    </w:p>
    <w:p>
      <w:pPr>
        <w:ind w:left="1660" w:right="460" w:hanging="558"/>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w:t>
      </w:r>
      <w:r>
        <w:rPr>
          <w:rFonts w:ascii="Arial" w:cs="Arial" w:eastAsia="Arial" w:hAnsi="Arial"/>
          <w:sz w:val="18"/>
          <w:szCs w:val="18"/>
          <w:b w:val="1"/>
          <w:bCs w:val="1"/>
          <w:i w:val="1"/>
          <w:iCs w:val="1"/>
          <w:color w:val="auto"/>
        </w:rPr>
        <w:t>OCGH GP</w:t>
      </w:r>
      <w:r>
        <w:rPr>
          <w:rFonts w:ascii="Arial" w:cs="Arial" w:eastAsia="Arial" w:hAnsi="Arial"/>
          <w:sz w:val="18"/>
          <w:szCs w:val="18"/>
          <w:color w:val="auto"/>
        </w:rPr>
        <w:t>”), in its capacity as the indirect owner of the class B units of each of OCG and Atlas;</w:t>
      </w:r>
    </w:p>
    <w:p>
      <w:pPr>
        <w:spacing w:after="0" w:line="170" w:lineRule="exact"/>
        <w:rPr>
          <w:rFonts w:ascii="Arial" w:cs="Arial" w:eastAsia="Arial" w:hAnsi="Arial"/>
          <w:sz w:val="18"/>
          <w:szCs w:val="18"/>
          <w:color w:val="auto"/>
        </w:rPr>
      </w:pPr>
    </w:p>
    <w:p>
      <w:pPr>
        <w:ind w:left="1660" w:right="160" w:hanging="558"/>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Brookfield Corporation (f/k/a Brookfield Asset Management Inc.), an Ontario corporation (“</w:t>
      </w:r>
      <w:r>
        <w:rPr>
          <w:rFonts w:ascii="Arial" w:cs="Arial" w:eastAsia="Arial" w:hAnsi="Arial"/>
          <w:sz w:val="18"/>
          <w:szCs w:val="18"/>
          <w:b w:val="1"/>
          <w:bCs w:val="1"/>
          <w:i w:val="1"/>
          <w:iCs w:val="1"/>
          <w:color w:val="auto"/>
        </w:rPr>
        <w:t>BAM</w:t>
      </w:r>
      <w:r>
        <w:rPr>
          <w:rFonts w:ascii="Arial" w:cs="Arial" w:eastAsia="Arial" w:hAnsi="Arial"/>
          <w:sz w:val="18"/>
          <w:szCs w:val="18"/>
          <w:color w:val="auto"/>
        </w:rPr>
        <w:t>”), in its capacity as the indirect owner of the class A units of each of OCG and Atlas; and</w:t>
      </w:r>
    </w:p>
    <w:p>
      <w:pPr>
        <w:spacing w:after="0" w:line="170" w:lineRule="exact"/>
        <w:rPr>
          <w:rFonts w:ascii="Arial" w:cs="Arial" w:eastAsia="Arial" w:hAnsi="Arial"/>
          <w:sz w:val="18"/>
          <w:szCs w:val="18"/>
          <w:color w:val="auto"/>
        </w:rPr>
      </w:pPr>
    </w:p>
    <w:p>
      <w:pPr>
        <w:ind w:left="1660" w:right="220" w:hanging="558"/>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Brookfield Asset Management ULC, a British Columbia corporation (“</w:t>
      </w:r>
      <w:r>
        <w:rPr>
          <w:rFonts w:ascii="Arial" w:cs="Arial" w:eastAsia="Arial" w:hAnsi="Arial"/>
          <w:sz w:val="18"/>
          <w:szCs w:val="18"/>
          <w:b w:val="1"/>
          <w:bCs w:val="1"/>
          <w:i w:val="1"/>
          <w:iCs w:val="1"/>
          <w:color w:val="auto"/>
        </w:rPr>
        <w:t>Brookfield ULC</w:t>
      </w:r>
      <w:r>
        <w:rPr>
          <w:rFonts w:ascii="Arial" w:cs="Arial" w:eastAsia="Arial" w:hAnsi="Arial"/>
          <w:sz w:val="18"/>
          <w:szCs w:val="18"/>
          <w:color w:val="auto"/>
        </w:rPr>
        <w:t>”), in its capacity as the indirect owner of class A units of Atlas OCM, in its capacity as such; and</w:t>
      </w:r>
    </w:p>
    <w:p>
      <w:pPr>
        <w:spacing w:after="0" w:line="170" w:lineRule="exact"/>
        <w:rPr>
          <w:rFonts w:ascii="Arial" w:cs="Arial" w:eastAsia="Arial" w:hAnsi="Arial"/>
          <w:sz w:val="18"/>
          <w:szCs w:val="18"/>
          <w:color w:val="auto"/>
        </w:rPr>
      </w:pPr>
    </w:p>
    <w:p>
      <w:pPr>
        <w:ind w:left="1660" w:right="500" w:hanging="558"/>
        <w:spacing w:after="0" w:line="277" w:lineRule="auto"/>
        <w:tabs>
          <w:tab w:leader="none" w:pos="1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BAM Partners Trust, a trust formed under the laws of Ontario (“</w:t>
      </w:r>
      <w:r>
        <w:rPr>
          <w:rFonts w:ascii="Arial" w:cs="Arial" w:eastAsia="Arial" w:hAnsi="Arial"/>
          <w:sz w:val="18"/>
          <w:szCs w:val="18"/>
          <w:b w:val="1"/>
          <w:bCs w:val="1"/>
          <w:i w:val="1"/>
          <w:iCs w:val="1"/>
          <w:color w:val="auto"/>
        </w:rPr>
        <w:t>BAM Partners</w:t>
      </w:r>
      <w:r>
        <w:rPr>
          <w:rFonts w:ascii="Arial" w:cs="Arial" w:eastAsia="Arial" w:hAnsi="Arial"/>
          <w:sz w:val="18"/>
          <w:szCs w:val="18"/>
          <w:color w:val="auto"/>
        </w:rPr>
        <w:t>”), in its capacity as the sole owner of Class B Limited Voting Shares of BAM.</w:t>
      </w:r>
    </w:p>
    <w:p>
      <w:pPr>
        <w:spacing w:after="0" w:line="170" w:lineRule="exact"/>
        <w:rPr>
          <w:sz w:val="20"/>
          <w:szCs w:val="20"/>
          <w:color w:val="auto"/>
        </w:rPr>
      </w:pPr>
    </w:p>
    <w:p>
      <w:pPr>
        <w:ind w:left="1100" w:right="60"/>
        <w:spacing w:after="0" w:line="259" w:lineRule="auto"/>
        <w:rPr>
          <w:sz w:val="20"/>
          <w:szCs w:val="20"/>
          <w:color w:val="auto"/>
        </w:rPr>
      </w:pPr>
      <w:r>
        <w:rPr>
          <w:rFonts w:ascii="Arial" w:cs="Arial" w:eastAsia="Arial" w:hAnsi="Arial"/>
          <w:sz w:val="18"/>
          <w:szCs w:val="18"/>
          <w:color w:val="auto"/>
        </w:rPr>
        <w:t>The principal business address of each of the Oaktree Reporting Persons 333 S. Grand Avenue, 28th Floor, Los Angeles, CA 90071. The principal business address of Brookfield Corporation and BAM Partners Trust is Brookfield Place, Suite 100, 181 Bay Street, PO Box 762, Toronto, Ontario, Canada M5J 2T3. The principal business address of BAM ULC is 1055 West Georgia Street, Suite 1500, Royal Centre, P.O. Box 11117, Vancouver, British Columbia, Canada V6E 4N7.</w:t>
      </w:r>
    </w:p>
    <w:p>
      <w:pPr>
        <w:spacing w:after="0" w:line="210" w:lineRule="exact"/>
        <w:rPr>
          <w:sz w:val="20"/>
          <w:szCs w:val="20"/>
          <w:color w:val="auto"/>
        </w:rPr>
      </w:pPr>
    </w:p>
    <w:p>
      <w:pPr>
        <w:ind w:left="1660" w:hanging="558"/>
        <w:spacing w:after="0"/>
        <w:tabs>
          <w:tab w:leader="none" w:pos="1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83"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Common Shares, $0.001 par value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75" w:lineRule="exact"/>
        <w:rPr>
          <w:rFonts w:ascii="Arial" w:cs="Arial" w:eastAsia="Arial" w:hAnsi="Arial"/>
          <w:sz w:val="18"/>
          <w:szCs w:val="18"/>
          <w:b w:val="1"/>
          <w:bCs w:val="1"/>
          <w:color w:val="auto"/>
        </w:rPr>
      </w:pPr>
    </w:p>
    <w:p>
      <w:pPr>
        <w:ind w:left="1660" w:hanging="558"/>
        <w:spacing w:after="0"/>
        <w:tabs>
          <w:tab w:leader="none" w:pos="1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G48833118</w:t>
      </w:r>
    </w:p>
    <w:p>
      <w:pPr>
        <w:spacing w:after="0" w:line="252" w:lineRule="exact"/>
        <w:rPr>
          <w:sz w:val="20"/>
          <w:szCs w:val="20"/>
          <w:color w:val="auto"/>
        </w:rPr>
      </w:pPr>
    </w:p>
    <w:p>
      <w:pPr>
        <w:ind w:left="1100" w:right="680" w:hanging="113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SS.240.13D-1(B) OR 240.13D-2(B) OR (C), CHECK WHETHER THE PERSON FILING IS A:</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19" w:name="page20"/>
    <w:bookmarkEnd w:id="19"/>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20 of 26</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56" w:lineRule="exact"/>
        <w:rPr>
          <w:sz w:val="20"/>
          <w:szCs w:val="20"/>
          <w:color w:val="auto"/>
        </w:rPr>
      </w:pPr>
    </w:p>
    <w:p>
      <w:pPr>
        <w:ind w:left="1140" w:right="220"/>
        <w:spacing w:after="0" w:line="277" w:lineRule="auto"/>
        <w:rPr>
          <w:sz w:val="20"/>
          <w:szCs w:val="20"/>
          <w:color w:val="auto"/>
        </w:rPr>
      </w:pPr>
      <w:r>
        <w:rPr>
          <w:rFonts w:ascii="Arial" w:cs="Arial" w:eastAsia="Arial" w:hAnsi="Arial"/>
          <w:sz w:val="18"/>
          <w:szCs w:val="18"/>
          <w:color w:val="auto"/>
        </w:rPr>
        <w:t>The responses of the Reporting Persons to Rows 5-9 and 11 in each of their respective cover pages to this Schedule 13G are incorporated herein by reference.</w:t>
      </w:r>
    </w:p>
    <w:p>
      <w:pPr>
        <w:spacing w:after="0" w:line="170" w:lineRule="exact"/>
        <w:rPr>
          <w:sz w:val="20"/>
          <w:szCs w:val="20"/>
          <w:color w:val="auto"/>
        </w:rPr>
      </w:pPr>
    </w:p>
    <w:p>
      <w:pPr>
        <w:ind w:left="1140" w:right="320"/>
        <w:spacing w:after="0" w:line="277" w:lineRule="auto"/>
        <w:rPr>
          <w:sz w:val="20"/>
          <w:szCs w:val="20"/>
          <w:color w:val="auto"/>
        </w:rPr>
      </w:pPr>
      <w:r>
        <w:rPr>
          <w:rFonts w:ascii="Arial" w:cs="Arial" w:eastAsia="Arial" w:hAnsi="Arial"/>
          <w:sz w:val="18"/>
          <w:szCs w:val="18"/>
          <w:color w:val="auto"/>
        </w:rPr>
        <w:t>Xb Holdco directly holds 2,872,389 Shares, constituting approximately 4.1% of the total issued and outstanding Shares and has the sole power to vote and dispose of such shares.</w:t>
      </w:r>
    </w:p>
    <w:p>
      <w:pPr>
        <w:spacing w:after="0" w:line="170" w:lineRule="exact"/>
        <w:rPr>
          <w:sz w:val="20"/>
          <w:szCs w:val="20"/>
          <w:color w:val="auto"/>
        </w:rPr>
      </w:pPr>
    </w:p>
    <w:p>
      <w:pPr>
        <w:ind w:left="1140" w:right="160"/>
        <w:spacing w:after="0" w:line="277" w:lineRule="auto"/>
        <w:rPr>
          <w:sz w:val="20"/>
          <w:szCs w:val="20"/>
          <w:color w:val="auto"/>
        </w:rPr>
      </w:pPr>
      <w:r>
        <w:rPr>
          <w:rFonts w:ascii="Arial" w:cs="Arial" w:eastAsia="Arial" w:hAnsi="Arial"/>
          <w:sz w:val="18"/>
          <w:szCs w:val="18"/>
          <w:color w:val="auto"/>
        </w:rPr>
        <w:t>Cascade directly holds 577,288 Shares, constituting less than 1% of the total issued and outstanding Shares and has the sole power to vote and dispose of such shares.</w:t>
      </w:r>
    </w:p>
    <w:p>
      <w:pPr>
        <w:spacing w:after="0" w:line="170"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Xb Holdings directly holds 104,430 Shares, constituting less than 1% of the total issued and outstanding Shares and has the sole power to vote and dispose of such shares.</w:t>
      </w:r>
    </w:p>
    <w:p>
      <w:pPr>
        <w:spacing w:after="0" w:line="170" w:lineRule="exact"/>
        <w:rPr>
          <w:sz w:val="20"/>
          <w:szCs w:val="20"/>
          <w:color w:val="auto"/>
        </w:rPr>
      </w:pPr>
    </w:p>
    <w:p>
      <w:pPr>
        <w:ind w:left="1140" w:right="180"/>
        <w:spacing w:after="0" w:line="263" w:lineRule="auto"/>
        <w:rPr>
          <w:sz w:val="20"/>
          <w:szCs w:val="20"/>
          <w:color w:val="auto"/>
        </w:rPr>
      </w:pPr>
      <w:r>
        <w:rPr>
          <w:rFonts w:ascii="Arial" w:cs="Arial" w:eastAsia="Arial" w:hAnsi="Arial"/>
          <w:sz w:val="18"/>
          <w:szCs w:val="18"/>
          <w:color w:val="auto"/>
        </w:rPr>
        <w:t>Fund GP, in its capacity as the general partner of Cascade and Xb Holdings, has the ability to direct the management of Cascade’s and Xb Holdings’ business, including the power to vote and dispose of securities held by Cascade and Xb Holdings; therefore Fund GP may be deemed to beneficially own the Shares held by Cascade and Xb Holdings.</w:t>
      </w:r>
    </w:p>
    <w:p>
      <w:pPr>
        <w:spacing w:after="0" w:line="184" w:lineRule="exact"/>
        <w:rPr>
          <w:sz w:val="20"/>
          <w:szCs w:val="20"/>
          <w:color w:val="auto"/>
        </w:rPr>
      </w:pPr>
    </w:p>
    <w:p>
      <w:pPr>
        <w:ind w:left="1140" w:right="20"/>
        <w:spacing w:after="0" w:line="255" w:lineRule="auto"/>
        <w:rPr>
          <w:sz w:val="20"/>
          <w:szCs w:val="20"/>
          <w:color w:val="auto"/>
        </w:rPr>
      </w:pPr>
      <w:r>
        <w:rPr>
          <w:rFonts w:ascii="Arial" w:cs="Arial" w:eastAsia="Arial" w:hAnsi="Arial"/>
          <w:sz w:val="18"/>
          <w:szCs w:val="18"/>
          <w:color w:val="auto"/>
        </w:rPr>
        <w:t>GP I, in its capacity as the sole shareholder of Xb Holdco, has the ability to appoint and remove the directors and direct the management of the business of Xb Holdco, including the power to direct the decisions of Xb Holdco regarding the vote and disposition of securities held by Xb Holdco. Additionally, GP I, in its capacity as the managing member of Fund GP, has the ability to direct the management of Fund GP’s business, including the power to direct the decisions of Fund GP regarding the vote and disposition of securities held by Cascade and Xb Holdings. Therefore, GP I may be deemed to have indirect beneficial ownership of the Shares held by Xb Holdco, Cascade and Xb Holdings.</w:t>
      </w:r>
    </w:p>
    <w:p>
      <w:pPr>
        <w:spacing w:after="0" w:line="192" w:lineRule="exact"/>
        <w:rPr>
          <w:sz w:val="20"/>
          <w:szCs w:val="20"/>
          <w:color w:val="auto"/>
        </w:rPr>
      </w:pPr>
    </w:p>
    <w:p>
      <w:pPr>
        <w:ind w:left="1140" w:right="180"/>
        <w:spacing w:after="0" w:line="311" w:lineRule="auto"/>
        <w:rPr>
          <w:sz w:val="20"/>
          <w:szCs w:val="20"/>
          <w:color w:val="auto"/>
        </w:rPr>
      </w:pPr>
      <w:r>
        <w:rPr>
          <w:rFonts w:ascii="Arial" w:cs="Arial" w:eastAsia="Arial" w:hAnsi="Arial"/>
          <w:sz w:val="16"/>
          <w:szCs w:val="16"/>
          <w:color w:val="auto"/>
        </w:rPr>
        <w:t>Capital I, in its capacity as the general partner of GP I, has the ability to direct the management of GP I’s business, including the power to direct the decisions of GP I regarding the vote and disposition of securities held by Xb Holdco, Cascade and Xb Holdings; therefore, Capital I may be deemed to have indirect beneficial ownership of the Shares held by Xb Holdco, Cascade and Xb Holdings.</w:t>
      </w:r>
    </w:p>
    <w:p>
      <w:pPr>
        <w:spacing w:after="0" w:line="149" w:lineRule="exact"/>
        <w:rPr>
          <w:sz w:val="20"/>
          <w:szCs w:val="20"/>
          <w:color w:val="auto"/>
        </w:rPr>
      </w:pPr>
    </w:p>
    <w:p>
      <w:pPr>
        <w:ind w:left="1140" w:right="140"/>
        <w:spacing w:after="0" w:line="311" w:lineRule="auto"/>
        <w:rPr>
          <w:sz w:val="20"/>
          <w:szCs w:val="20"/>
          <w:color w:val="auto"/>
        </w:rPr>
      </w:pPr>
      <w:r>
        <w:rPr>
          <w:rFonts w:ascii="Arial" w:cs="Arial" w:eastAsia="Arial" w:hAnsi="Arial"/>
          <w:sz w:val="16"/>
          <w:szCs w:val="16"/>
          <w:color w:val="auto"/>
        </w:rPr>
        <w:t>Holdings I, in its capacity as the general partner of Capital I, has the ability to direct the management of Capital I’s business, including the power to direct the decisions of Capital I regarding the vote and disposition of securities held by Xb Holdco, Cascade and Xb Holdings; therefore, Holdings I may be deemed to have indirect beneficial ownership of the Shares held by Xb Holdco, Cascade and Xb Holdings.</w:t>
      </w:r>
    </w:p>
    <w:p>
      <w:pPr>
        <w:spacing w:after="0" w:line="149" w:lineRule="exact"/>
        <w:rPr>
          <w:sz w:val="20"/>
          <w:szCs w:val="20"/>
          <w:color w:val="auto"/>
        </w:rPr>
      </w:pPr>
    </w:p>
    <w:p>
      <w:pPr>
        <w:ind w:left="1140" w:right="40"/>
        <w:spacing w:after="0" w:line="259" w:lineRule="auto"/>
        <w:rPr>
          <w:sz w:val="20"/>
          <w:szCs w:val="20"/>
          <w:color w:val="auto"/>
        </w:rPr>
      </w:pPr>
      <w:r>
        <w:rPr>
          <w:rFonts w:ascii="Arial" w:cs="Arial" w:eastAsia="Arial" w:hAnsi="Arial"/>
          <w:sz w:val="18"/>
          <w:szCs w:val="18"/>
          <w:color w:val="auto"/>
        </w:rPr>
        <w:t>Holdings, in its capacity as the managing member of Holdings I, has the ability to direct the management of Holding I’s business, including the power to direct the decisions of Holdings I regarding the vote and disposition of securities held by Xb Holdco, Cascade and Xb Holdings; therefore, Holdings may be deemed to have indirect beneficial ownership of the Shares held by Xb Holdco, Cascade and Xb Holdings.</w:t>
      </w:r>
    </w:p>
    <w:p>
      <w:pPr>
        <w:spacing w:after="0" w:line="187" w:lineRule="exact"/>
        <w:rPr>
          <w:sz w:val="20"/>
          <w:szCs w:val="20"/>
          <w:color w:val="auto"/>
        </w:rPr>
      </w:pPr>
    </w:p>
    <w:p>
      <w:pPr>
        <w:ind w:left="1140"/>
        <w:spacing w:after="0" w:line="263" w:lineRule="auto"/>
        <w:rPr>
          <w:sz w:val="20"/>
          <w:szCs w:val="20"/>
          <w:color w:val="auto"/>
        </w:rPr>
      </w:pPr>
      <w:r>
        <w:rPr>
          <w:rFonts w:ascii="Arial" w:cs="Arial" w:eastAsia="Arial" w:hAnsi="Arial"/>
          <w:sz w:val="18"/>
          <w:szCs w:val="18"/>
          <w:color w:val="auto"/>
        </w:rPr>
        <w:t>Management, in its capacity as the sole director of Xb Holdco has the ability to direct the management of Xb Holdco including the power to direct the decisions of Xb Holdco regarding the vote and disposition of securities held by Xb Holdco; therefore, Management may be deemed to have indirect beneficial ownership of the Shares held by Xb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0" w:name="page21"/>
    <w:bookmarkEnd w:id="20"/>
    <w:p>
      <w:pPr>
        <w:spacing w:after="0"/>
        <w:tabs>
          <w:tab w:leader="none" w:pos="488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21 of 26</w:t>
      </w:r>
    </w:p>
    <w:p>
      <w:pPr>
        <w:sectPr>
          <w:pgSz w:w="11900" w:h="16838" w:orient="portrait"/>
          <w:cols w:equalWidth="0" w:num="1">
            <w:col w:w="11200"/>
          </w:cols>
          <w:pgMar w:left="360" w:top="823"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100" w:right="80"/>
        <w:spacing w:after="0" w:line="286" w:lineRule="auto"/>
        <w:rPr>
          <w:sz w:val="20"/>
          <w:szCs w:val="20"/>
          <w:color w:val="auto"/>
        </w:rPr>
      </w:pPr>
      <w:r>
        <w:rPr>
          <w:rFonts w:ascii="Arial" w:cs="Arial" w:eastAsia="Arial" w:hAnsi="Arial"/>
          <w:sz w:val="17"/>
          <w:szCs w:val="17"/>
          <w:color w:val="auto"/>
        </w:rPr>
        <w:t>Management GP, in its capacity as the general partner of Management, has the ability to direct the management of Management’s business, including the power to direct the decisions of Management regarding the vote and disposition of securities held by Xb Holdco; therefore, Management GP may be deemed to have indirect beneficial ownership of the Shares held by Xb Holdco.</w:t>
      </w:r>
    </w:p>
    <w:p>
      <w:pPr>
        <w:spacing w:after="0" w:line="165" w:lineRule="exact"/>
        <w:rPr>
          <w:sz w:val="20"/>
          <w:szCs w:val="20"/>
          <w:color w:val="auto"/>
        </w:rPr>
      </w:pPr>
    </w:p>
    <w:p>
      <w:pPr>
        <w:ind w:left="1100"/>
        <w:spacing w:after="0" w:line="286" w:lineRule="auto"/>
        <w:rPr>
          <w:sz w:val="20"/>
          <w:szCs w:val="20"/>
          <w:color w:val="auto"/>
        </w:rPr>
      </w:pPr>
      <w:r>
        <w:rPr>
          <w:rFonts w:ascii="Arial" w:cs="Arial" w:eastAsia="Arial" w:hAnsi="Arial"/>
          <w:sz w:val="17"/>
          <w:szCs w:val="17"/>
          <w:color w:val="auto"/>
        </w:rPr>
        <w:t>Atlas, in its capacity as the sole managing member of Management GP, has the ability to direct the management of Management GP’s business, including the power to direct the decisions of Management GP regarding the vote and disposition of securities held by Xb Holdco; therefore, Management GP may be deemed to have indirect beneficial ownership of the Shares held by Xb Holdco.</w:t>
      </w:r>
    </w:p>
    <w:p>
      <w:pPr>
        <w:spacing w:after="0" w:line="165" w:lineRule="exact"/>
        <w:rPr>
          <w:sz w:val="20"/>
          <w:szCs w:val="20"/>
          <w:color w:val="auto"/>
        </w:rPr>
      </w:pPr>
    </w:p>
    <w:p>
      <w:pPr>
        <w:jc w:val="both"/>
        <w:ind w:left="1100" w:right="260"/>
        <w:spacing w:after="0" w:line="311" w:lineRule="auto"/>
        <w:rPr>
          <w:sz w:val="20"/>
          <w:szCs w:val="20"/>
          <w:color w:val="auto"/>
        </w:rPr>
      </w:pPr>
      <w:r>
        <w:rPr>
          <w:rFonts w:ascii="Arial" w:cs="Arial" w:eastAsia="Arial" w:hAnsi="Arial"/>
          <w:sz w:val="16"/>
          <w:szCs w:val="16"/>
          <w:color w:val="auto"/>
        </w:rPr>
        <w:t>OCG, in its capacity as the managing member of Holdings, has the ability to direct the management of Holdings’ business, including the power to direct the decisions of Holdings regarding the vote and disposition of securities held by Xb Holdco, Cascade and Xb Holdings; therefore, OCG may be deemed to have indirect beneficial ownership of the Shares held by Xb Holdco, Cascade and Xb Holdings.</w:t>
      </w:r>
    </w:p>
    <w:p>
      <w:pPr>
        <w:spacing w:after="0" w:line="149" w:lineRule="exact"/>
        <w:rPr>
          <w:sz w:val="20"/>
          <w:szCs w:val="20"/>
          <w:color w:val="auto"/>
        </w:rPr>
      </w:pPr>
    </w:p>
    <w:p>
      <w:pPr>
        <w:ind w:left="1100" w:right="60"/>
        <w:spacing w:after="0" w:line="259" w:lineRule="auto"/>
        <w:rPr>
          <w:sz w:val="20"/>
          <w:szCs w:val="20"/>
          <w:color w:val="auto"/>
        </w:rPr>
      </w:pPr>
      <w:r>
        <w:rPr>
          <w:rFonts w:ascii="Arial" w:cs="Arial" w:eastAsia="Arial" w:hAnsi="Arial"/>
          <w:sz w:val="18"/>
          <w:szCs w:val="18"/>
          <w:color w:val="auto"/>
        </w:rPr>
        <w:t>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Xb Holdco, Cascade and Xb Holdings; therefore, OCGH GP may be deemed to have indirect beneficial ownership of the Shares held by Xb Holdco, Cascade and Xb Holdings.</w:t>
      </w:r>
    </w:p>
    <w:p>
      <w:pPr>
        <w:spacing w:after="0" w:line="187" w:lineRule="exact"/>
        <w:rPr>
          <w:sz w:val="20"/>
          <w:szCs w:val="20"/>
          <w:color w:val="auto"/>
        </w:rPr>
      </w:pPr>
    </w:p>
    <w:p>
      <w:pPr>
        <w:ind w:left="1100" w:right="60"/>
        <w:spacing w:after="0" w:line="291" w:lineRule="auto"/>
        <w:rPr>
          <w:sz w:val="20"/>
          <w:szCs w:val="20"/>
          <w:color w:val="auto"/>
        </w:rPr>
      </w:pPr>
      <w:r>
        <w:rPr>
          <w:rFonts w:ascii="Arial" w:cs="Arial" w:eastAsia="Arial" w:hAnsi="Arial"/>
          <w:sz w:val="16"/>
          <w:szCs w:val="16"/>
          <w:color w:val="auto"/>
        </w:rPr>
        <w:t xml:space="preserve">On December 9, 2022, Brookfield Corporation (f/k/a Brookfield Asset Management Inc.) completed a plan of arrangement pursuant to the </w:t>
      </w:r>
      <w:r>
        <w:rPr>
          <w:rFonts w:ascii="Arial" w:cs="Arial" w:eastAsia="Arial" w:hAnsi="Arial"/>
          <w:sz w:val="16"/>
          <w:szCs w:val="16"/>
          <w:i w:val="1"/>
          <w:iCs w:val="1"/>
          <w:color w:val="auto"/>
        </w:rPr>
        <w:t xml:space="preserve">Business Corporations Act </w:t>
      </w:r>
      <w:r>
        <w:rPr>
          <w:rFonts w:ascii="Arial" w:cs="Arial" w:eastAsia="Arial" w:hAnsi="Arial"/>
          <w:sz w:val="16"/>
          <w:szCs w:val="16"/>
          <w:color w:val="auto"/>
        </w:rPr>
        <w:t>(Ontario) (the “Arrangement”) pursuant to which, among other things, Brookfield's historical asset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was transferred to Brookfield Asset Management ULC (“Brookfield ULC”). Following the Brookfield Arrangement, Brookfield ULC is deemed a beneficial owner of the shares directly or indirectly held by Atlas OCM Holdings, and accordingly, has been added as a reporting person in this Schedule 13G. Schedule A hereto sets forth the directors and officers of Brookfield ULC as of the date hereof. Brookfield is deemed a beneficial owner of the reported shares directly or indirectly held by OCG and Holdings, and as a result of its 75% interest in Brookfield ULC, Brookfield is also deemed a beneficial owner of the reported shares beneficially owned by Brookfield ULC.</w:t>
      </w:r>
    </w:p>
    <w:p>
      <w:pPr>
        <w:spacing w:after="0" w:line="166" w:lineRule="exact"/>
        <w:rPr>
          <w:sz w:val="20"/>
          <w:szCs w:val="20"/>
          <w:color w:val="auto"/>
        </w:rPr>
      </w:pPr>
    </w:p>
    <w:p>
      <w:pPr>
        <w:ind w:left="1100" w:right="40"/>
        <w:spacing w:after="0" w:line="259" w:lineRule="auto"/>
        <w:rPr>
          <w:sz w:val="20"/>
          <w:szCs w:val="20"/>
          <w:color w:val="auto"/>
        </w:rPr>
      </w:pPr>
      <w:r>
        <w:rPr>
          <w:rFonts w:ascii="Arial" w:cs="Arial" w:eastAsia="Arial" w:hAnsi="Arial"/>
          <w:sz w:val="18"/>
          <w:szCs w:val="18"/>
          <w:color w:val="auto"/>
        </w:rPr>
        <w:t>Brookfield,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Xb Holdco, Cascade and Xb Holdings; therefore Brookfield may be deemed to have indirect beneficial ownership of the Shares held by Xb Holdco, Cascade and Xb Holdings.</w:t>
      </w:r>
    </w:p>
    <w:p>
      <w:pPr>
        <w:spacing w:after="0" w:line="187" w:lineRule="exact"/>
        <w:rPr>
          <w:sz w:val="20"/>
          <w:szCs w:val="20"/>
          <w:color w:val="auto"/>
        </w:rPr>
      </w:pPr>
    </w:p>
    <w:p>
      <w:pPr>
        <w:ind w:left="1100" w:right="60"/>
        <w:spacing w:after="0" w:line="259" w:lineRule="auto"/>
        <w:rPr>
          <w:sz w:val="20"/>
          <w:szCs w:val="20"/>
          <w:color w:val="auto"/>
        </w:rPr>
      </w:pPr>
      <w:r>
        <w:rPr>
          <w:rFonts w:ascii="Arial" w:cs="Arial" w:eastAsia="Arial" w:hAnsi="Arial"/>
          <w:sz w:val="18"/>
          <w:szCs w:val="18"/>
          <w:color w:val="auto"/>
        </w:rPr>
        <w:t>BAM Partners, in its capacity as the sole owner of Class B Limited Voting Shares of BAM, has the ability to appoint and remove certain directors of Brookfield and, as such, may indirectly control the decisions of Brookfield regarding the vote and disposition of securities held by Xb Holdco, Cascade and Xb Holdings; therefore BAM Partners may be deemed to have indirect beneficial ownership of the Shares held by Xb Holdco, Cascade and Xb Holdings.</w:t>
      </w:r>
    </w:p>
    <w:p>
      <w:pPr>
        <w:spacing w:after="0" w:line="187" w:lineRule="exact"/>
        <w:rPr>
          <w:sz w:val="20"/>
          <w:szCs w:val="20"/>
          <w:color w:val="auto"/>
        </w:rPr>
      </w:pPr>
    </w:p>
    <w:p>
      <w:pPr>
        <w:ind w:left="1100" w:right="40"/>
        <w:spacing w:after="0" w:line="279"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and except to the extent of its pecuniary interest, such beneficial ownership is expressly disclaimed by each Reporting Person.</w:t>
      </w:r>
    </w:p>
    <w:p>
      <w:pPr>
        <w:spacing w:after="0" w:line="171" w:lineRule="exact"/>
        <w:rPr>
          <w:sz w:val="20"/>
          <w:szCs w:val="20"/>
          <w:color w:val="auto"/>
        </w:rPr>
      </w:pPr>
    </w:p>
    <w:p>
      <w:pPr>
        <w:ind w:left="1100" w:right="160"/>
        <w:spacing w:after="0" w:line="277" w:lineRule="auto"/>
        <w:rPr>
          <w:sz w:val="20"/>
          <w:szCs w:val="20"/>
          <w:color w:val="auto"/>
        </w:rPr>
      </w:pPr>
      <w:r>
        <w:rPr>
          <w:rFonts w:ascii="Arial" w:cs="Arial" w:eastAsia="Arial" w:hAnsi="Arial"/>
          <w:sz w:val="18"/>
          <w:szCs w:val="18"/>
          <w:color w:val="auto"/>
        </w:rPr>
        <w:t>All ownership percentages of the securities reported in this Statement are based on 70,608,639 Shares outstanding as of October 21, 2022, as reported by the Issuer on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323215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823" w:right="339" w:bottom="1440" w:gutter="0" w:footer="0" w:header="0"/>
          <w:type w:val="continuous"/>
        </w:sectPr>
      </w:pPr>
    </w:p>
    <w:bookmarkStart w:id="21" w:name="page22"/>
    <w:bookmarkEnd w:id="21"/>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G48833118</w:t>
            </w: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22 of 26</w:t>
            </w:r>
          </w:p>
        </w:tc>
      </w:tr>
      <w:tr>
        <w:trPr>
          <w:trHeight w:val="64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10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240" w:type="dxa"/>
            <w:vAlign w:val="bottom"/>
          </w:tcPr>
          <w:p>
            <w:pPr>
              <w:spacing w:after="0"/>
              <w:rPr>
                <w:sz w:val="24"/>
                <w:szCs w:val="24"/>
                <w:color w:val="auto"/>
              </w:rPr>
            </w:pPr>
          </w:p>
        </w:tc>
      </w:tr>
    </w:tbl>
    <w:p>
      <w:pPr>
        <w:spacing w:after="0" w:line="229" w:lineRule="exact"/>
        <w:rPr>
          <w:sz w:val="20"/>
          <w:szCs w:val="20"/>
          <w:color w:val="auto"/>
        </w:rPr>
      </w:pPr>
    </w:p>
    <w:p>
      <w:pPr>
        <w:ind w:left="114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1140" w:right="9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256" w:lineRule="exact"/>
        <w:rPr>
          <w:sz w:val="20"/>
          <w:szCs w:val="20"/>
          <w:color w:val="auto"/>
        </w:rPr>
      </w:pPr>
    </w:p>
    <w:p>
      <w:pPr>
        <w:jc w:val="both"/>
        <w:ind w:left="1140" w:right="16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2" w:name="page23"/>
    <w:bookmarkEnd w:id="22"/>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23 of 26</w:t>
      </w:r>
    </w:p>
    <w:p>
      <w:pPr>
        <w:sectPr>
          <w:pgSz w:w="11900" w:h="16838" w:orient="portrait"/>
          <w:cols w:equalWidth="0" w:num="1">
            <w:col w:w="11220"/>
          </w:cols>
          <w:pgMar w:left="32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OPPS XB HOLDCO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Capital Management,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CASCADE INVESTMENT FUND I GP,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I,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OPPORTUNITIES FUND Xb HOLDINGS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(DELAWARE), L.P.</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I,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FUND GP,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I,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3" w:name="page24"/>
    <w:bookmarkEnd w:id="23"/>
    <w:p>
      <w:pPr>
        <w:spacing w:after="0"/>
        <w:tabs>
          <w:tab w:leader="none" w:pos="488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24 of 26</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FUND GP I, L.P.</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CAPITAL I, L.P.</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OCM HOLDINGS I, LLC</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HOLDINGS, LLC</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CAPITAL MANAGEMENT, L.P.</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OAKTREE CAPITAL MANAGEMENT GP, LLC</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Atlas OCM Holdings, LLC</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211"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348615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4" w:name="page25"/>
    <w:bookmarkEnd w:id="24"/>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25 of 26</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ATLAS OCM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HOLDINGS GP,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Swati Mandava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ASSET MANAGEMENT ULC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BAM PARTNERS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BAM Class B Partners Inc.</w:t>
            </w:r>
          </w:p>
        </w:tc>
        <w:tc>
          <w:tcPr>
            <w:tcW w:w="1120" w:type="dxa"/>
            <w:vAlign w:val="bottom"/>
          </w:tcPr>
          <w:p>
            <w:pPr>
              <w:spacing w:after="0"/>
              <w:rPr>
                <w:sz w:val="18"/>
                <w:szCs w:val="18"/>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Kathy Sarpash</w:t>
            </w:r>
          </w:p>
        </w:tc>
        <w:tc>
          <w:tcPr>
            <w:tcW w:w="112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Kathy Sarpash</w:t>
            </w:r>
          </w:p>
        </w:tc>
        <w:tc>
          <w:tcPr>
            <w:tcW w:w="112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Secretary</w:t>
            </w:r>
          </w:p>
        </w:tc>
        <w:tc>
          <w:tcPr>
            <w:tcW w:w="1120" w:type="dxa"/>
            <w:vAlign w:val="bottom"/>
          </w:tcPr>
          <w:p>
            <w:pPr>
              <w:spacing w:after="0"/>
              <w:rPr>
                <w:sz w:val="20"/>
                <w:szCs w:val="20"/>
                <w:color w:val="auto"/>
              </w:rPr>
            </w:pPr>
          </w:p>
        </w:tc>
      </w:tr>
      <w:tr>
        <w:trPr>
          <w:trHeight w:val="547"/>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type w:val="continuous"/>
        </w:sectPr>
      </w:pPr>
    </w:p>
    <w:bookmarkStart w:id="25" w:name="page26"/>
    <w:bookmarkEnd w:id="25"/>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26 of 26</w:t>
      </w:r>
    </w:p>
    <w:p>
      <w:pPr>
        <w:sectPr>
          <w:pgSz w:w="11900" w:h="16838" w:orient="portrait"/>
          <w:cols w:equalWidth="0" w:num="1">
            <w:col w:w="11220"/>
          </w:cols>
          <w:pgMar w:left="32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u w:val="single" w:color="auto"/>
          <w:color w:val="0000EE"/>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Rule 13d-1(k)(1) promulgated under the Securities Exchange Act of 1934, as amended, each of the undersigned acknowledges and agrees that the foregoing statement on this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OPPS XB HOLDCO LTD.</w:t>
      </w:r>
    </w:p>
    <w:p>
      <w:pPr>
        <w:sectPr>
          <w:pgSz w:w="11900" w:h="16838" w:orient="portrait"/>
          <w:cols w:equalWidth="0" w:num="1">
            <w:col w:w="11240"/>
          </w:cols>
          <w:pgMar w:left="320" w:top="796" w:right="339" w:bottom="1440" w:gutter="0" w:footer="0" w:header="0"/>
        </w:sectPr>
      </w:pP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CASCADE INVESTMENT FUND I GP, L.P.</w:t>
      </w:r>
    </w:p>
    <w:p>
      <w:pPr>
        <w:sectPr>
          <w:pgSz w:w="11900" w:h="16838" w:orient="portrait"/>
          <w:cols w:equalWidth="0" w:num="1">
            <w:col w:w="11240"/>
          </w:cols>
          <w:pgMar w:left="320" w:top="796" w:right="339" w:bottom="1440" w:gutter="0" w:footer="0" w:header="0"/>
          <w:type w:val="continuous"/>
        </w:sect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spacing w:after="0" w:line="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Fund GP 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OPPORTUNITIES FUND Xb HOLDINGS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(DELAWARE), L.P.</w:t>
      </w:r>
    </w:p>
    <w:p>
      <w:pPr>
        <w:sectPr>
          <w:pgSz w:w="11900" w:h="16838" w:orient="portrait"/>
          <w:cols w:equalWidth="0" w:num="1">
            <w:col w:w="11240"/>
          </w:cols>
          <w:pgMar w:left="320" w:top="796" w:right="339" w:bottom="1440" w:gutter="0" w:footer="0" w:header="0"/>
          <w:type w:val="continuous"/>
        </w:sectPr>
      </w:pP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spacing w:after="0" w:line="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Fund GP 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OAKTREE FUND GP, LLC</w:t>
      </w:r>
    </w:p>
    <w:p>
      <w:pPr>
        <w:sectPr>
          <w:pgSz w:w="11900" w:h="16838" w:orient="portrait"/>
          <w:cols w:equalWidth="0" w:num="1">
            <w:col w:w="11240"/>
          </w:cols>
          <w:pgMar w:left="320" w:top="796" w:right="339" w:bottom="1440" w:gutter="0" w:footer="0" w:header="0"/>
          <w:type w:val="continuous"/>
        </w:sect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5900" w:space="300"/>
            <w:col w:w="5040"/>
          </w:cols>
          <w:pgMar w:left="320" w:top="796" w:right="339" w:bottom="1440" w:gutter="0" w:footer="0" w:header="0"/>
          <w:type w:val="continuous"/>
        </w:sectPr>
      </w:pP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7" w:name="page28"/>
    <w:bookmarkEnd w:id="27"/>
    <w:p>
      <w:pPr>
        <w:spacing w:after="0"/>
        <w:tabs>
          <w:tab w:leader="none" w:pos="488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24 of 26</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FUND GP I, L.P.</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CAPITAL I, L.P.</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OCM HOLDINGS I, LLC</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HOLDINGS, LLC</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OAKTREE CAPITAL MANAGEMENT, L.P.</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OAKTREE CAPITAL MANAGEMENT GP, LLC</w:t>
      </w:r>
    </w:p>
    <w:p>
      <w:pPr>
        <w:spacing w:after="0" w:line="237"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Atlas OCM Holdings, LLC</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211"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14605</wp:posOffset>
            </wp:positionV>
            <wp:extent cx="24942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348615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8" w:name="page29"/>
    <w:bookmarkEnd w:id="28"/>
    <w:p>
      <w:pPr>
        <w:ind w:left="40"/>
        <w:spacing w:after="0"/>
        <w:tabs>
          <w:tab w:leader="none" w:pos="492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G48833118</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25 of 26</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ATLAS OCM HOLDINGS,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HOLDINGS GP,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Swati Mandava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ASSET MANAGEMENT ULC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Kathy Sarpash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Legal &amp; Regulatory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BAM PARTNERS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BAM Class B Partners Inc.</w:t>
            </w:r>
          </w:p>
        </w:tc>
        <w:tc>
          <w:tcPr>
            <w:tcW w:w="1120" w:type="dxa"/>
            <w:vAlign w:val="bottom"/>
          </w:tcPr>
          <w:p>
            <w:pPr>
              <w:spacing w:after="0"/>
              <w:rPr>
                <w:sz w:val="18"/>
                <w:szCs w:val="18"/>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Kathy Sarpash</w:t>
            </w:r>
          </w:p>
        </w:tc>
        <w:tc>
          <w:tcPr>
            <w:tcW w:w="112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Kathy Sarpash</w:t>
            </w:r>
          </w:p>
        </w:tc>
        <w:tc>
          <w:tcPr>
            <w:tcW w:w="1120" w:type="dxa"/>
            <w:vAlign w:val="bottom"/>
          </w:tcPr>
          <w:p>
            <w:pPr>
              <w:spacing w:after="0"/>
              <w:rPr>
                <w:sz w:val="16"/>
                <w:szCs w:val="16"/>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Secretary</w:t>
            </w:r>
          </w:p>
        </w:tc>
        <w:tc>
          <w:tcPr>
            <w:tcW w:w="1120" w:type="dxa"/>
            <w:vAlign w:val="bottom"/>
          </w:tcPr>
          <w:p>
            <w:pPr>
              <w:spacing w:after="0"/>
              <w:rPr>
                <w:sz w:val="20"/>
                <w:szCs w:val="20"/>
                <w:color w:val="auto"/>
              </w:rPr>
            </w:pPr>
          </w:p>
        </w:tc>
      </w:tr>
      <w:tr>
        <w:trPr>
          <w:trHeight w:val="547"/>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2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2023-02-14T20:41:33Z</dcterms:created>
  <dcterms:modified xsi:type="dcterms:W3CDTF">2023-02-14T20:41:33Z</dcterms:modified>
</cp:coreProperties>
</file>