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6,873,910.00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7,289,595.00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7,289,595.00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TEXAS,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7289595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6873910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7289595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WEATHERFORD INTERNATIONAL PUBLIC LIMITED COMPANY. No one person's interest in the common stock of WEATHERFORD INTERNATIONAL PUBLIC LIMITED COMPANY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BlackRock Life Limited BlackRock Advisors, LLC Aperio Group,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SpiderRock Advisors, LLC BlackRock Asset Management Canada Limited BlackRock Investment Management (Australia) Limited BlackRock Advisors (UK) Limited BlackRock Fund Managers Ltd *Entity beneficially owns 5% or greater of the outstanding shares of the security class being reported on this Schedule 13G. In accordance with SEC Release 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 in accordance with such release. Explanatory note: This is a Schedule 13G amendment filing. Due to technical issues, this filing on the EDGAR system is being reflected as an initial filing.</w:t>
      </w:r>
    </w:p>
    <w:p>
      <w:pPr>
        <w:sectPr>
          <w:pgSz w:w="11900" w:h="16841" w:orient="portrait"/>
          <w:cols w:equalWidth="0" w:num="2">
            <w:col w:w="620" w:space="300"/>
            <w:col w:w="10220"/>
          </w:cols>
          <w:pgMar w:left="360" w:top="111"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2025-01-08T18:47:18Z</dcterms:created>
  <dcterms:modified xsi:type="dcterms:W3CDTF">2025-01-08T18:47:18Z</dcterms:modified>
</cp:coreProperties>
</file>