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409575</wp:posOffset>
            </wp:positionH>
            <wp:positionV relativeFrom="page">
              <wp:posOffset>831215</wp:posOffset>
            </wp:positionV>
            <wp:extent cx="69945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4525" cy="8255"/>
                    </a:xfrm>
                    <a:prstGeom prst="rect">
                      <a:avLst/>
                    </a:prstGeom>
                    <a:noFill/>
                  </pic:spPr>
                </pic:pic>
              </a:graphicData>
            </a:graphic>
          </wp:anchor>
        </w:drawing>
        <w:t>UNITED STATES</w:t>
      </w:r>
    </w:p>
    <w:p>
      <w:pPr>
        <w:spacing w:after="0" w:line="27" w:lineRule="exact"/>
        <w:rPr>
          <w:sz w:val="24"/>
          <w:szCs w:val="24"/>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19" w:lineRule="exact"/>
        <w:rPr>
          <w:sz w:val="24"/>
          <w:szCs w:val="24"/>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30" w:lineRule="exact"/>
        <w:rPr>
          <w:sz w:val="24"/>
          <w:szCs w:val="24"/>
          <w:color w:val="auto"/>
        </w:rPr>
      </w:pPr>
    </w:p>
    <w:p>
      <w:pPr>
        <w:ind w:left="340"/>
        <w:spacing w:after="0"/>
        <w:tabs>
          <w:tab w:leader="none" w:pos="5400" w:val="left"/>
        </w:tabs>
        <w:rPr>
          <w:sz w:val="20"/>
          <w:szCs w:val="20"/>
          <w:color w:val="auto"/>
        </w:rPr>
      </w:pPr>
      <w:r>
        <w:rPr>
          <w:rFonts w:ascii="Times New Roman" w:cs="Times New Roman" w:eastAsia="Times New Roman" w:hAnsi="Times New Roman"/>
          <w:sz w:val="18"/>
          <w:szCs w:val="18"/>
          <w:color w:val="auto"/>
        </w:rPr>
        <w:t>(Mark One)</w:t>
      </w:r>
      <w:r>
        <w:rPr>
          <w:sz w:val="20"/>
          <w:szCs w:val="20"/>
          <w:color w:val="auto"/>
        </w:rPr>
        <w:tab/>
      </w:r>
      <w:r>
        <w:rPr>
          <w:rFonts w:ascii="Times New Roman" w:cs="Times New Roman" w:eastAsia="Times New Roman" w:hAnsi="Times New Roman"/>
          <w:sz w:val="17"/>
          <w:szCs w:val="17"/>
          <w:b w:val="1"/>
          <w:bCs w:val="1"/>
          <w:color w:val="auto"/>
        </w:rPr>
        <w:t>Form 10-Q</w:t>
      </w:r>
    </w:p>
    <w:p>
      <w:pPr>
        <w:spacing w:after="0" w:line="125" w:lineRule="exact"/>
        <w:rPr>
          <w:sz w:val="24"/>
          <w:szCs w:val="24"/>
          <w:color w:val="auto"/>
        </w:rPr>
      </w:pPr>
    </w:p>
    <w:p>
      <w:pPr>
        <w:ind w:left="820" w:hanging="351"/>
        <w:spacing w:after="0"/>
        <w:tabs>
          <w:tab w:leader="none" w:pos="82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68" w:lineRule="exact"/>
        <w:rPr>
          <w:sz w:val="24"/>
          <w:szCs w:val="24"/>
          <w:color w:val="auto"/>
        </w:rPr>
      </w:pPr>
    </w:p>
    <w:p>
      <w:pPr>
        <w:ind w:left="820"/>
        <w:spacing w:after="0"/>
        <w:tabs>
          <w:tab w:leader="none" w:pos="3680" w:val="left"/>
        </w:tabs>
        <w:rPr>
          <w:sz w:val="20"/>
          <w:szCs w:val="20"/>
          <w:color w:val="auto"/>
        </w:rPr>
      </w:pPr>
      <w:r>
        <w:rPr>
          <w:rFonts w:ascii="Times New Roman" w:cs="Times New Roman" w:eastAsia="Times New Roman" w:hAnsi="Times New Roman"/>
          <w:sz w:val="18"/>
          <w:szCs w:val="18"/>
          <w:color w:val="auto"/>
        </w:rPr>
        <w:t>For the quarterly period ended</w:t>
      </w:r>
      <w:r>
        <w:rPr>
          <w:sz w:val="20"/>
          <w:szCs w:val="20"/>
          <w:color w:val="auto"/>
        </w:rPr>
        <w:tab/>
      </w:r>
      <w:r>
        <w:rPr>
          <w:rFonts w:ascii="Times New Roman" w:cs="Times New Roman" w:eastAsia="Times New Roman" w:hAnsi="Times New Roman"/>
          <w:sz w:val="17"/>
          <w:szCs w:val="17"/>
          <w:color w:val="auto"/>
        </w:rPr>
        <w:t>March 31, 2022</w:t>
      </w:r>
    </w:p>
    <w:p>
      <w:pPr>
        <w:spacing w:after="0" w:line="5"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8"/>
          <w:szCs w:val="18"/>
          <w:color w:val="auto"/>
        </w:rPr>
        <w:t>or</w:t>
      </w:r>
    </w:p>
    <w:p>
      <w:pPr>
        <w:spacing w:after="0" w:line="19" w:lineRule="exact"/>
        <w:rPr>
          <w:sz w:val="24"/>
          <w:szCs w:val="24"/>
          <w:color w:val="auto"/>
        </w:rPr>
      </w:pPr>
    </w:p>
    <w:p>
      <w:pPr>
        <w:ind w:left="820" w:hanging="351"/>
        <w:spacing w:after="0"/>
        <w:tabs>
          <w:tab w:leader="none" w:pos="82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60"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8"/>
          <w:szCs w:val="18"/>
          <w:color w:val="auto"/>
        </w:rPr>
        <w:t>For the transition period from __________________________________to __________________________________</w:t>
      </w:r>
    </w:p>
    <w:p>
      <w:pPr>
        <w:spacing w:after="0" w:line="5" w:lineRule="exact"/>
        <w:rPr>
          <w:sz w:val="24"/>
          <w:szCs w:val="24"/>
          <w:color w:val="auto"/>
        </w:rPr>
      </w:pPr>
    </w:p>
    <w:tbl>
      <w:tblPr>
        <w:tblLayout w:type="fixed"/>
        <w:tblInd w:w="820" w:type="dxa"/>
        <w:tblCellMar>
          <w:top w:w="0" w:type="dxa"/>
          <w:left w:w="0" w:type="dxa"/>
          <w:bottom w:w="0" w:type="dxa"/>
          <w:right w:w="0" w:type="dxa"/>
        </w:tblCellMar>
      </w:tblPr>
      <w:tr>
        <w:trPr>
          <w:trHeight w:val="232"/>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Commission file number</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001-36504</w:t>
            </w:r>
          </w:p>
        </w:tc>
      </w:tr>
    </w:tbl>
    <w:p>
      <w:pPr>
        <w:spacing w:after="0" w:line="68"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1"/>
          <w:szCs w:val="21"/>
          <w:b w:val="1"/>
          <w:bCs w:val="1"/>
          <w:color w:val="auto"/>
        </w:rPr>
        <w:t>Weatherford International plc</w:t>
      </w:r>
    </w:p>
    <w:p>
      <w:pPr>
        <w:spacing w:after="0" w:line="64"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36" w:lineRule="exact"/>
        <w:rPr>
          <w:sz w:val="24"/>
          <w:szCs w:val="24"/>
          <w:color w:val="auto"/>
        </w:rPr>
      </w:pPr>
    </w:p>
    <w:tbl>
      <w:tblPr>
        <w:tblLayout w:type="fixed"/>
        <w:tblInd w:w="360" w:type="dxa"/>
        <w:tblCellMar>
          <w:top w:w="0" w:type="dxa"/>
          <w:left w:w="0" w:type="dxa"/>
          <w:bottom w:w="0" w:type="dxa"/>
          <w:right w:w="0" w:type="dxa"/>
        </w:tblCellMar>
      </w:tblPr>
      <w:tr>
        <w:trPr>
          <w:trHeight w:val="233"/>
        </w:trPr>
        <w:tc>
          <w:tcPr>
            <w:tcW w:w="72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Ireland</w:t>
            </w:r>
          </w:p>
        </w:tc>
        <w:tc>
          <w:tcPr>
            <w:tcW w:w="3620" w:type="dxa"/>
            <w:vAlign w:val="bottom"/>
          </w:tcPr>
          <w:p>
            <w:pPr>
              <w:jc w:val="right"/>
              <w:ind w:right="1291"/>
              <w:spacing w:after="0"/>
              <w:rPr>
                <w:sz w:val="20"/>
                <w:szCs w:val="20"/>
                <w:color w:val="auto"/>
              </w:rPr>
            </w:pPr>
            <w:r>
              <w:rPr>
                <w:rFonts w:ascii="Times New Roman" w:cs="Times New Roman" w:eastAsia="Times New Roman" w:hAnsi="Times New Roman"/>
                <w:sz w:val="18"/>
                <w:szCs w:val="18"/>
                <w:b w:val="1"/>
                <w:bCs w:val="1"/>
                <w:color w:val="auto"/>
              </w:rPr>
              <w:t>98-0606750</w:t>
            </w:r>
          </w:p>
        </w:tc>
      </w:tr>
      <w:tr>
        <w:trPr>
          <w:trHeight w:val="225"/>
        </w:trPr>
        <w:tc>
          <w:tcPr>
            <w:tcW w:w="6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(State or Other Jurisdiction of Incorporation or Organization)</w:t>
            </w:r>
          </w:p>
        </w:tc>
        <w:tc>
          <w:tcPr>
            <w:tcW w:w="420" w:type="dxa"/>
            <w:vAlign w:val="bottom"/>
          </w:tcPr>
          <w:p>
            <w:pPr>
              <w:spacing w:after="0"/>
              <w:rPr>
                <w:sz w:val="19"/>
                <w:szCs w:val="19"/>
                <w:color w:val="auto"/>
              </w:rPr>
            </w:pPr>
          </w:p>
        </w:tc>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(I.R.S. Employer Identification No.)</w:t>
            </w:r>
          </w:p>
        </w:tc>
      </w:tr>
      <w:tr>
        <w:trPr>
          <w:trHeight w:val="472"/>
        </w:trPr>
        <w:tc>
          <w:tcPr>
            <w:tcW w:w="724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2000 St. James Place , Houston   , Texas</w:t>
            </w:r>
          </w:p>
        </w:tc>
        <w:tc>
          <w:tcPr>
            <w:tcW w:w="3620" w:type="dxa"/>
            <w:vAlign w:val="bottom"/>
          </w:tcPr>
          <w:p>
            <w:pPr>
              <w:jc w:val="right"/>
              <w:ind w:right="1511"/>
              <w:spacing w:after="0"/>
              <w:rPr>
                <w:sz w:val="20"/>
                <w:szCs w:val="20"/>
                <w:color w:val="auto"/>
              </w:rPr>
            </w:pPr>
            <w:r>
              <w:rPr>
                <w:rFonts w:ascii="Times New Roman" w:cs="Times New Roman" w:eastAsia="Times New Roman" w:hAnsi="Times New Roman"/>
                <w:sz w:val="18"/>
                <w:szCs w:val="18"/>
                <w:b w:val="1"/>
                <w:bCs w:val="1"/>
                <w:color w:val="auto"/>
              </w:rPr>
              <w:t>77056</w:t>
            </w:r>
          </w:p>
        </w:tc>
      </w:tr>
      <w:tr>
        <w:trPr>
          <w:trHeight w:val="225"/>
        </w:trPr>
        <w:tc>
          <w:tcPr>
            <w:tcW w:w="6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(Address of Principal Executive Offices)</w:t>
            </w:r>
          </w:p>
        </w:tc>
        <w:tc>
          <w:tcPr>
            <w:tcW w:w="420" w:type="dxa"/>
            <w:vAlign w:val="bottom"/>
          </w:tcPr>
          <w:p>
            <w:pPr>
              <w:spacing w:after="0"/>
              <w:rPr>
                <w:sz w:val="19"/>
                <w:szCs w:val="19"/>
                <w:color w:val="auto"/>
              </w:rPr>
            </w:pPr>
          </w:p>
        </w:tc>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53"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713.836.4000</w:t>
      </w:r>
    </w:p>
    <w:p>
      <w:pPr>
        <w:spacing w:after="0" w:line="138" w:lineRule="exact"/>
        <w:rPr>
          <w:sz w:val="24"/>
          <w:szCs w:val="24"/>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568960</wp:posOffset>
            </wp:positionH>
            <wp:positionV relativeFrom="paragraph">
              <wp:posOffset>16510</wp:posOffset>
            </wp:positionV>
            <wp:extent cx="62661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66180" cy="8255"/>
                    </a:xfrm>
                    <a:prstGeom prst="rect">
                      <a:avLst/>
                    </a:prstGeom>
                    <a:noFill/>
                  </pic:spPr>
                </pic:pic>
              </a:graphicData>
            </a:graphic>
          </wp:anchor>
        </w:drawing>
      </w:r>
    </w:p>
    <w:p>
      <w:pPr>
        <w:spacing w:after="0" w:line="14" w:lineRule="exact"/>
        <w:rPr>
          <w:sz w:val="24"/>
          <w:szCs w:val="24"/>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98"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23" w:lineRule="exact"/>
        <w:rPr>
          <w:sz w:val="24"/>
          <w:szCs w:val="24"/>
          <w:color w:val="auto"/>
        </w:rPr>
      </w:pPr>
    </w:p>
    <w:tbl>
      <w:tblPr>
        <w:tblLayout w:type="fixed"/>
        <w:tblInd w:w="320" w:type="dxa"/>
        <w:tblCellMar>
          <w:top w:w="0" w:type="dxa"/>
          <w:left w:w="0" w:type="dxa"/>
          <w:bottom w:w="0" w:type="dxa"/>
          <w:right w:w="0" w:type="dxa"/>
        </w:tblCellMar>
      </w:tblPr>
      <w:tr>
        <w:trPr>
          <w:trHeight w:val="233"/>
        </w:trPr>
        <w:tc>
          <w:tcPr>
            <w:tcW w:w="394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7"/>
              </w:rPr>
              <w:t>Title of each class</w:t>
            </w:r>
          </w:p>
        </w:tc>
        <w:tc>
          <w:tcPr>
            <w:tcW w:w="254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6"/>
              </w:rPr>
              <w:t>Trading Symbol(s)</w:t>
            </w:r>
          </w:p>
        </w:tc>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Name of each exchange on which registered</w:t>
            </w:r>
          </w:p>
        </w:tc>
      </w:tr>
      <w:tr>
        <w:trPr>
          <w:trHeight w:val="225"/>
        </w:trPr>
        <w:tc>
          <w:tcPr>
            <w:tcW w:w="394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8"/>
              </w:rPr>
              <w:t>Ordinary shares, $0.001 par value per share</w:t>
            </w:r>
          </w:p>
        </w:tc>
        <w:tc>
          <w:tcPr>
            <w:tcW w:w="254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9"/>
              </w:rPr>
              <w:t>WFRD</w:t>
            </w: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The Nasdaq Global Select Market</w:t>
            </w:r>
          </w:p>
        </w:tc>
      </w:tr>
    </w:tbl>
    <w:p>
      <w:pPr>
        <w:spacing w:after="0" w:line="361" w:lineRule="exact"/>
        <w:rPr>
          <w:sz w:val="24"/>
          <w:szCs w:val="24"/>
          <w:color w:val="auto"/>
        </w:rPr>
      </w:pPr>
    </w:p>
    <w:p>
      <w:pPr>
        <w:jc w:val="both"/>
        <w:ind w:right="60" w:firstLine="319"/>
        <w:spacing w:after="0" w:line="254"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207" w:lineRule="exact"/>
        <w:tabs>
          <w:tab w:leader="none" w:pos="3360" w:val="left"/>
        </w:tabs>
        <w:rPr>
          <w:sz w:val="20"/>
          <w:szCs w:val="20"/>
          <w:color w:val="auto"/>
        </w:rPr>
      </w:pPr>
      <w:r>
        <w:rPr>
          <w:rFonts w:ascii="Times New Roman" w:cs="Times New Roman" w:eastAsia="Times New Roman" w:hAnsi="Times New Roman"/>
          <w:sz w:val="18"/>
          <w:szCs w:val="18"/>
          <w:color w:val="auto"/>
        </w:rPr>
        <w:t>requirements for the past 90 days.</w:t>
      </w:r>
      <w:r>
        <w:rPr>
          <w:sz w:val="20"/>
          <w:szCs w:val="20"/>
          <w:color w:val="auto"/>
        </w:rPr>
        <w:tab/>
      </w: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98" w:lineRule="exact"/>
        <w:rPr>
          <w:sz w:val="24"/>
          <w:szCs w:val="24"/>
          <w:color w:val="auto"/>
        </w:rPr>
      </w:pPr>
    </w:p>
    <w:p>
      <w:pPr>
        <w:jc w:val="both"/>
        <w:ind w:right="60" w:firstLine="398"/>
        <w:spacing w:after="0" w:line="254"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w:t>
      </w:r>
    </w:p>
    <w:p>
      <w:pPr>
        <w:spacing w:after="0" w:line="207" w:lineRule="exact"/>
        <w:tabs>
          <w:tab w:leader="none" w:pos="2040" w:val="left"/>
        </w:tabs>
        <w:rPr>
          <w:sz w:val="20"/>
          <w:szCs w:val="20"/>
          <w:color w:val="auto"/>
        </w:rPr>
      </w:pPr>
      <w:r>
        <w:rPr>
          <w:rFonts w:ascii="Times New Roman" w:cs="Times New Roman" w:eastAsia="Times New Roman" w:hAnsi="Times New Roman"/>
          <w:sz w:val="18"/>
          <w:szCs w:val="18"/>
          <w:color w:val="auto"/>
        </w:rPr>
        <w:t>files).</w:t>
      </w:r>
      <w:r>
        <w:rPr>
          <w:sz w:val="20"/>
          <w:szCs w:val="20"/>
          <w:color w:val="auto"/>
        </w:rPr>
        <w:tab/>
      </w: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45" w:lineRule="exact"/>
        <w:rPr>
          <w:sz w:val="24"/>
          <w:szCs w:val="24"/>
          <w:color w:val="auto"/>
        </w:rPr>
      </w:pPr>
    </w:p>
    <w:p>
      <w:pPr>
        <w:jc w:val="both"/>
        <w:ind w:right="60" w:firstLine="319"/>
        <w:spacing w:after="0" w:line="260"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6" w:lineRule="exact"/>
        <w:rPr>
          <w:sz w:val="24"/>
          <w:szCs w:val="24"/>
          <w:color w:val="auto"/>
        </w:rPr>
      </w:pPr>
    </w:p>
    <w:tbl>
      <w:tblPr>
        <w:tblLayout w:type="fixed"/>
        <w:tblInd w:w="1400" w:type="dxa"/>
        <w:tblCellMar>
          <w:top w:w="0" w:type="dxa"/>
          <w:left w:w="0" w:type="dxa"/>
          <w:bottom w:w="0" w:type="dxa"/>
          <w:right w:w="0" w:type="dxa"/>
        </w:tblCellMar>
      </w:tblPr>
      <w:tr>
        <w:trPr>
          <w:trHeight w:val="26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80" w:type="dxa"/>
            <w:vAlign w:val="bottom"/>
          </w:tcPr>
          <w:p>
            <w:pPr>
              <w:ind w:left="1340"/>
              <w:spacing w:after="0" w:line="181" w:lineRule="exact"/>
              <w:rPr>
                <w:sz w:val="20"/>
                <w:szCs w:val="20"/>
                <w:color w:val="auto"/>
              </w:rPr>
            </w:pPr>
            <w:r>
              <w:rPr>
                <w:rFonts w:ascii="MS PGothic" w:cs="MS PGothic" w:eastAsia="MS PGothic" w:hAnsi="MS PGothic"/>
                <w:sz w:val="18"/>
                <w:szCs w:val="18"/>
                <w:color w:val="auto"/>
              </w:rPr>
              <w:t>☐</w:t>
            </w:r>
          </w:p>
        </w:tc>
        <w:tc>
          <w:tcPr>
            <w:tcW w:w="29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Accelerated filer</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2"/>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80" w:type="dxa"/>
            <w:vAlign w:val="bottom"/>
          </w:tcPr>
          <w:p>
            <w:pPr>
              <w:ind w:left="1340"/>
              <w:spacing w:after="0" w:line="181" w:lineRule="exact"/>
              <w:rPr>
                <w:sz w:val="20"/>
                <w:szCs w:val="20"/>
                <w:color w:val="auto"/>
              </w:rPr>
            </w:pPr>
            <w:r>
              <w:rPr>
                <w:rFonts w:ascii="MS PGothic" w:cs="MS PGothic" w:eastAsia="MS PGothic" w:hAnsi="MS PGothic"/>
                <w:sz w:val="18"/>
                <w:szCs w:val="18"/>
                <w:color w:val="auto"/>
              </w:rPr>
              <w:t>☑</w:t>
            </w:r>
          </w:p>
        </w:tc>
        <w:tc>
          <w:tcPr>
            <w:tcW w:w="29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8"/>
        </w:trPr>
        <w:tc>
          <w:tcPr>
            <w:tcW w:w="29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9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Emerging growth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2" w:lineRule="exact"/>
        <w:rPr>
          <w:sz w:val="24"/>
          <w:szCs w:val="24"/>
          <w:color w:val="auto"/>
        </w:rPr>
      </w:pPr>
    </w:p>
    <w:p>
      <w:pPr>
        <w:ind w:right="60"/>
        <w:spacing w:after="0" w:line="223"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4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0" w:lineRule="exact"/>
        <w:rPr>
          <w:sz w:val="24"/>
          <w:szCs w:val="24"/>
          <w:color w:val="auto"/>
        </w:rPr>
      </w:pPr>
    </w:p>
    <w:p>
      <w:pPr>
        <w:ind w:right="60"/>
        <w:spacing w:after="0" w:line="221"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all documents and reports required to be filed by Section 12, 13 or 15(d) of the Securities Exchange Act of 1934 subsequent to the distribution of securities under a plan confirmed by a court.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2"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April 21, 2022, there were 70,522,700 Weatherford ordinary shares,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575945</wp:posOffset>
            </wp:positionV>
            <wp:extent cx="716026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00"/>
          </w:cols>
          <w:pgMar w:left="320" w:top="1314" w:right="279" w:bottom="1440" w:gutter="0" w:footer="0" w:header="0"/>
        </w:sectPr>
      </w:pPr>
    </w:p>
    <w:bookmarkStart w:id="1" w:name="page2"/>
    <w:bookmarkEnd w:id="1"/>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Weatherford International public limited company</w:t>
      </w:r>
    </w:p>
    <w:p>
      <w:pPr>
        <w:spacing w:after="0" w:line="5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Form 10-Q for the First Quarter and Three Months Ended March 31, 2022</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40" w:type="dxa"/>
            <w:vAlign w:val="bottom"/>
            <w:gridSpan w:val="4"/>
          </w:tcPr>
          <w:p>
            <w:pPr>
              <w:ind w:left="15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77"/>
        </w:trPr>
        <w:tc>
          <w:tcPr>
            <w:tcW w:w="340" w:type="dxa"/>
            <w:vAlign w:val="bottom"/>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7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40" w:type="dxa"/>
            <w:vAlign w:val="bottom"/>
            <w:tcBorders>
              <w:bottom w:val="single" w:sz="8" w:color="CCEEFF"/>
            </w:tcBorders>
          </w:tcPr>
          <w:p>
            <w:pPr>
              <w:spacing w:after="0"/>
              <w:rPr>
                <w:sz w:val="24"/>
                <w:szCs w:val="24"/>
                <w:color w:val="auto"/>
              </w:rPr>
            </w:pPr>
          </w:p>
        </w:tc>
        <w:tc>
          <w:tcPr>
            <w:tcW w:w="302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100" w:type="dxa"/>
            <w:vAlign w:val="bottom"/>
            <w:tcBorders>
              <w:bottom w:val="single" w:sz="8" w:color="auto"/>
            </w:tcBorders>
          </w:tcPr>
          <w:p>
            <w:pPr>
              <w:spacing w:after="0"/>
              <w:rPr>
                <w:sz w:val="24"/>
                <w:szCs w:val="24"/>
                <w:color w:val="auto"/>
              </w:rPr>
            </w:pPr>
          </w:p>
        </w:tc>
      </w:tr>
      <w:tr>
        <w:trPr>
          <w:trHeight w:val="186"/>
        </w:trPr>
        <w:tc>
          <w:tcPr>
            <w:tcW w:w="340" w:type="dxa"/>
            <w:vAlign w:val="bottom"/>
            <w:tcBorders>
              <w:right w:val="single" w:sz="8" w:color="CCEEFF"/>
            </w:tcBorders>
          </w:tcPr>
          <w:p>
            <w:pPr>
              <w:spacing w:after="0"/>
              <w:rPr>
                <w:sz w:val="16"/>
                <w:szCs w:val="16"/>
                <w:color w:val="auto"/>
              </w:rPr>
            </w:pPr>
          </w:p>
        </w:tc>
        <w:tc>
          <w:tcPr>
            <w:tcW w:w="9940" w:type="dxa"/>
            <w:vAlign w:val="bottom"/>
            <w:gridSpan w:val="16"/>
            <w:shd w:val="clear" w:color="auto" w:fill="CCEEFF"/>
          </w:tcPr>
          <w:p>
            <w:pPr>
              <w:spacing w:after="0" w:line="166" w:lineRule="exact"/>
              <w:rPr>
                <w:sz w:val="20"/>
                <w:szCs w:val="20"/>
                <w:color w:val="auto"/>
              </w:rPr>
            </w:pPr>
            <w:r>
              <w:rPr>
                <w:rFonts w:ascii="Times New Roman" w:cs="Times New Roman" w:eastAsia="Times New Roman" w:hAnsi="Times New Roman"/>
                <w:sz w:val="18"/>
                <w:szCs w:val="18"/>
                <w:b w:val="1"/>
                <w:bCs w:val="1"/>
                <w:color w:val="0000FF"/>
              </w:rPr>
              <w:t>PART I – FINANCIAL INFORMATION</w:t>
            </w: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6"/>
        </w:trPr>
        <w:tc>
          <w:tcPr>
            <w:tcW w:w="340" w:type="dxa"/>
            <w:vAlign w:val="bottom"/>
          </w:tcPr>
          <w:p>
            <w:pPr>
              <w:spacing w:after="0"/>
              <w:rPr>
                <w:sz w:val="17"/>
                <w:szCs w:val="17"/>
                <w:color w:val="auto"/>
              </w:rPr>
            </w:pPr>
          </w:p>
        </w:tc>
        <w:tc>
          <w:tcPr>
            <w:tcW w:w="2080" w:type="dxa"/>
            <w:vAlign w:val="bottom"/>
            <w:tcBorders>
              <w:top w:val="single" w:sz="8" w:color="0000FF"/>
              <w:bottom w:val="single" w:sz="8" w:color="0000FF"/>
            </w:tcBorders>
            <w:gridSpan w:val="7"/>
          </w:tcPr>
          <w:p>
            <w:pPr>
              <w:spacing w:after="0" w:line="186" w:lineRule="exact"/>
              <w:rPr>
                <w:sz w:val="20"/>
                <w:szCs w:val="20"/>
                <w:color w:val="auto"/>
              </w:rPr>
            </w:pPr>
            <w:r>
              <w:rPr>
                <w:rFonts w:ascii="Times New Roman" w:cs="Times New Roman" w:eastAsia="Times New Roman" w:hAnsi="Times New Roman"/>
                <w:sz w:val="18"/>
                <w:szCs w:val="18"/>
                <w:color w:val="0000FF"/>
                <w:w w:val="97"/>
              </w:rPr>
              <w:t>Item 1. Financial Statements.</w:t>
            </w:r>
          </w:p>
        </w:tc>
        <w:tc>
          <w:tcPr>
            <w:tcW w:w="1020" w:type="dxa"/>
            <w:vAlign w:val="bottom"/>
            <w:tcBorders>
              <w:top w:val="single" w:sz="8" w:color="0000FF"/>
            </w:tcBorders>
            <w:gridSpan w:val="5"/>
          </w:tcPr>
          <w:p>
            <w:pPr>
              <w:spacing w:after="0"/>
              <w:rPr>
                <w:sz w:val="17"/>
                <w:szCs w:val="17"/>
                <w:color w:val="auto"/>
              </w:rPr>
            </w:pPr>
          </w:p>
        </w:tc>
        <w:tc>
          <w:tcPr>
            <w:tcW w:w="6840" w:type="dxa"/>
            <w:vAlign w:val="bottom"/>
            <w:tcBorders>
              <w:top w:val="single" w:sz="8" w:color="CCEEFF"/>
            </w:tcBorders>
            <w:gridSpan w:val="4"/>
          </w:tcPr>
          <w:p>
            <w:pPr>
              <w:spacing w:after="0"/>
              <w:rPr>
                <w:sz w:val="17"/>
                <w:szCs w:val="17"/>
                <w:color w:val="auto"/>
              </w:rPr>
            </w:pPr>
          </w:p>
        </w:tc>
        <w:tc>
          <w:tcPr>
            <w:tcW w:w="580" w:type="dxa"/>
            <w:vAlign w:val="bottom"/>
            <w:tcBorders>
              <w:top w:val="single" w:sz="8" w:color="CCEEFF"/>
            </w:tcBorders>
            <w:gridSpan w:val="2"/>
          </w:tcPr>
          <w:p>
            <w:pPr>
              <w:spacing w:after="0"/>
              <w:rPr>
                <w:sz w:val="17"/>
                <w:szCs w:val="17"/>
                <w:color w:val="auto"/>
              </w:rPr>
            </w:pPr>
          </w:p>
        </w:tc>
        <w:tc>
          <w:tcPr>
            <w:tcW w:w="100" w:type="dxa"/>
            <w:vAlign w:val="bottom"/>
            <w:tcBorders>
              <w:top w:val="single" w:sz="8" w:color="CCEEFF"/>
              <w:bottom w:val="single" w:sz="8" w:color="0000FF"/>
            </w:tcBorders>
          </w:tcPr>
          <w:p>
            <w:pPr>
              <w:jc w:val="center"/>
              <w:spacing w:after="0" w:line="186" w:lineRule="exact"/>
              <w:rPr>
                <w:sz w:val="20"/>
                <w:szCs w:val="20"/>
                <w:color w:val="auto"/>
              </w:rPr>
            </w:pPr>
            <w:r>
              <w:rPr>
                <w:rFonts w:ascii="Times New Roman" w:cs="Times New Roman" w:eastAsia="Times New Roman" w:hAnsi="Times New Roman"/>
                <w:sz w:val="18"/>
                <w:szCs w:val="18"/>
                <w:color w:val="0000FF"/>
              </w:rPr>
              <w:t>2</w:t>
            </w:r>
          </w:p>
        </w:tc>
        <w:tc>
          <w:tcPr>
            <w:tcW w:w="4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340" w:type="dxa"/>
            <w:vAlign w:val="bottom"/>
            <w:tcBorders>
              <w:right w:val="single" w:sz="8" w:color="CCEEFF"/>
            </w:tcBorders>
          </w:tcPr>
          <w:p>
            <w:pPr>
              <w:spacing w:after="0"/>
              <w:rPr>
                <w:sz w:val="18"/>
                <w:szCs w:val="18"/>
                <w:color w:val="auto"/>
              </w:rPr>
            </w:pPr>
          </w:p>
        </w:tc>
        <w:tc>
          <w:tcPr>
            <w:tcW w:w="9940" w:type="dxa"/>
            <w:vAlign w:val="bottom"/>
            <w:gridSpan w:val="16"/>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960" w:type="dxa"/>
            <w:vAlign w:val="bottom"/>
            <w:gridSpan w:val="5"/>
            <w:shd w:val="clear" w:color="auto" w:fill="CCEEFF"/>
          </w:tcPr>
          <w:p>
            <w:pPr>
              <w:jc w:val="center"/>
              <w:ind w:left="211"/>
              <w:spacing w:after="0" w:line="196" w:lineRule="exact"/>
              <w:rPr>
                <w:sz w:val="20"/>
                <w:szCs w:val="20"/>
                <w:color w:val="auto"/>
              </w:rPr>
            </w:pPr>
            <w:r>
              <w:rPr>
                <w:rFonts w:ascii="Times New Roman" w:cs="Times New Roman" w:eastAsia="Times New Roman" w:hAnsi="Times New Roman"/>
                <w:sz w:val="18"/>
                <w:szCs w:val="18"/>
                <w:color w:val="0000FF"/>
                <w:w w:val="99"/>
              </w:rPr>
              <w:t>16</w:t>
            </w:r>
          </w:p>
        </w:tc>
        <w:tc>
          <w:tcPr>
            <w:tcW w:w="100" w:type="dxa"/>
            <w:vAlign w:val="bottom"/>
            <w:shd w:val="clear" w:color="auto" w:fill="CCEEFF"/>
          </w:tcPr>
          <w:p>
            <w:pPr>
              <w:spacing w:after="0"/>
              <w:rPr>
                <w:sz w:val="18"/>
                <w:szCs w:val="18"/>
                <w:color w:val="auto"/>
              </w:rPr>
            </w:pPr>
          </w:p>
        </w:tc>
      </w:tr>
      <w:tr>
        <w:trPr>
          <w:trHeight w:val="196"/>
        </w:trPr>
        <w:tc>
          <w:tcPr>
            <w:tcW w:w="340" w:type="dxa"/>
            <w:vAlign w:val="bottom"/>
          </w:tcPr>
          <w:p>
            <w:pPr>
              <w:spacing w:after="0"/>
              <w:rPr>
                <w:sz w:val="17"/>
                <w:szCs w:val="17"/>
                <w:color w:val="auto"/>
              </w:rPr>
            </w:pPr>
          </w:p>
        </w:tc>
        <w:tc>
          <w:tcPr>
            <w:tcW w:w="4880" w:type="dxa"/>
            <w:vAlign w:val="bottom"/>
            <w:tcBorders>
              <w:top w:val="single" w:sz="8" w:color="0000FF"/>
              <w:bottom w:val="single" w:sz="8" w:color="0000FF"/>
            </w:tcBorders>
            <w:gridSpan w:val="14"/>
          </w:tcPr>
          <w:p>
            <w:pPr>
              <w:spacing w:after="0" w:line="186" w:lineRule="exact"/>
              <w:rPr>
                <w:sz w:val="20"/>
                <w:szCs w:val="20"/>
                <w:color w:val="auto"/>
              </w:rPr>
            </w:pPr>
            <w:r>
              <w:rPr>
                <w:rFonts w:ascii="Times New Roman" w:cs="Times New Roman" w:eastAsia="Times New Roman" w:hAnsi="Times New Roman"/>
                <w:sz w:val="18"/>
                <w:szCs w:val="18"/>
                <w:color w:val="0000FF"/>
                <w:w w:val="97"/>
              </w:rPr>
              <w:t>Item 3. Quantitative and Qualitative Disclosures About Market Risk.</w:t>
            </w:r>
          </w:p>
        </w:tc>
        <w:tc>
          <w:tcPr>
            <w:tcW w:w="2040" w:type="dxa"/>
            <w:vAlign w:val="bottom"/>
            <w:tcBorders>
              <w:top w:val="single" w:sz="8" w:color="0000FF"/>
            </w:tcBorders>
          </w:tcPr>
          <w:p>
            <w:pPr>
              <w:spacing w:after="0"/>
              <w:rPr>
                <w:sz w:val="17"/>
                <w:szCs w:val="17"/>
                <w:color w:val="auto"/>
              </w:rPr>
            </w:pPr>
          </w:p>
        </w:tc>
        <w:tc>
          <w:tcPr>
            <w:tcW w:w="302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180" w:type="dxa"/>
            <w:vAlign w:val="bottom"/>
            <w:tcBorders>
              <w:top w:val="single" w:sz="8" w:color="0000FF"/>
              <w:bottom w:val="single" w:sz="8" w:color="0000FF"/>
            </w:tcBorders>
            <w:gridSpan w:val="3"/>
          </w:tcPr>
          <w:p>
            <w:pPr>
              <w:jc w:val="center"/>
              <w:spacing w:after="0" w:line="186" w:lineRule="exact"/>
              <w:rPr>
                <w:sz w:val="20"/>
                <w:szCs w:val="20"/>
                <w:color w:val="auto"/>
              </w:rPr>
            </w:pPr>
            <w:r>
              <w:rPr>
                <w:rFonts w:ascii="Times New Roman" w:cs="Times New Roman" w:eastAsia="Times New Roman" w:hAnsi="Times New Roman"/>
                <w:sz w:val="18"/>
                <w:szCs w:val="18"/>
                <w:color w:val="0000FF"/>
                <w:w w:val="99"/>
              </w:rPr>
              <w:t>25</w:t>
            </w:r>
          </w:p>
        </w:tc>
        <w:tc>
          <w:tcPr>
            <w:tcW w:w="2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340" w:type="dxa"/>
            <w:vAlign w:val="bottom"/>
            <w:tcBorders>
              <w:right w:val="single" w:sz="8" w:color="CCEEFF"/>
            </w:tcBorders>
          </w:tcPr>
          <w:p>
            <w:pPr>
              <w:spacing w:after="0"/>
              <w:rPr>
                <w:sz w:val="18"/>
                <w:szCs w:val="18"/>
                <w:color w:val="auto"/>
              </w:rPr>
            </w:pPr>
          </w:p>
        </w:tc>
        <w:tc>
          <w:tcPr>
            <w:tcW w:w="9940" w:type="dxa"/>
            <w:vAlign w:val="bottom"/>
            <w:gridSpan w:val="16"/>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rPr>
              <w:t>Item 4. Controls and Procedures.</w:t>
            </w:r>
          </w:p>
        </w:tc>
        <w:tc>
          <w:tcPr>
            <w:tcW w:w="960" w:type="dxa"/>
            <w:vAlign w:val="bottom"/>
            <w:gridSpan w:val="5"/>
            <w:shd w:val="clear" w:color="auto" w:fill="CCEEFF"/>
          </w:tcPr>
          <w:p>
            <w:pPr>
              <w:jc w:val="center"/>
              <w:ind w:left="211"/>
              <w:spacing w:after="0" w:line="196" w:lineRule="exact"/>
              <w:rPr>
                <w:sz w:val="20"/>
                <w:szCs w:val="20"/>
                <w:color w:val="auto"/>
              </w:rPr>
            </w:pPr>
            <w:r>
              <w:rPr>
                <w:rFonts w:ascii="Times New Roman" w:cs="Times New Roman" w:eastAsia="Times New Roman" w:hAnsi="Times New Roman"/>
                <w:sz w:val="18"/>
                <w:szCs w:val="18"/>
                <w:color w:val="0000FF"/>
                <w:w w:val="99"/>
              </w:rPr>
              <w:t>25</w:t>
            </w:r>
          </w:p>
        </w:tc>
        <w:tc>
          <w:tcPr>
            <w:tcW w:w="100" w:type="dxa"/>
            <w:vAlign w:val="bottom"/>
            <w:shd w:val="clear" w:color="auto" w:fill="CCEEFF"/>
          </w:tcPr>
          <w:p>
            <w:pPr>
              <w:spacing w:after="0"/>
              <w:rPr>
                <w:sz w:val="18"/>
                <w:szCs w:val="18"/>
                <w:color w:val="auto"/>
              </w:rPr>
            </w:pPr>
          </w:p>
        </w:tc>
      </w:tr>
      <w:tr>
        <w:trPr>
          <w:trHeight w:val="252"/>
        </w:trPr>
        <w:tc>
          <w:tcPr>
            <w:tcW w:w="340" w:type="dxa"/>
            <w:vAlign w:val="bottom"/>
          </w:tcPr>
          <w:p>
            <w:pPr>
              <w:spacing w:after="0"/>
              <w:rPr>
                <w:sz w:val="21"/>
                <w:szCs w:val="21"/>
                <w:color w:val="auto"/>
              </w:rPr>
            </w:pPr>
          </w:p>
        </w:tc>
        <w:tc>
          <w:tcPr>
            <w:tcW w:w="1080" w:type="dxa"/>
            <w:vAlign w:val="bottom"/>
            <w:tcBorders>
              <w:top w:val="single" w:sz="8" w:color="0000FF"/>
            </w:tcBorders>
            <w:gridSpan w:val="2"/>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44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48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7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40" w:type="dxa"/>
            <w:vAlign w:val="bottom"/>
            <w:tcBorders>
              <w:top w:val="single" w:sz="8" w:color="CCEEFF"/>
            </w:tcBorders>
          </w:tcPr>
          <w:p>
            <w:pPr>
              <w:spacing w:after="0"/>
              <w:rPr>
                <w:sz w:val="21"/>
                <w:szCs w:val="21"/>
                <w:color w:val="auto"/>
              </w:rPr>
            </w:pPr>
          </w:p>
        </w:tc>
        <w:tc>
          <w:tcPr>
            <w:tcW w:w="3020" w:type="dxa"/>
            <w:vAlign w:val="bottom"/>
            <w:tcBorders>
              <w:top w:val="single" w:sz="8" w:color="CCEEFF"/>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r>
      <w:tr>
        <w:trPr>
          <w:trHeight w:val="206"/>
        </w:trPr>
        <w:tc>
          <w:tcPr>
            <w:tcW w:w="340" w:type="dxa"/>
            <w:vAlign w:val="bottom"/>
            <w:tcBorders>
              <w:right w:val="single" w:sz="8" w:color="CCEEFF"/>
            </w:tcBorders>
          </w:tcPr>
          <w:p>
            <w:pPr>
              <w:spacing w:after="0"/>
              <w:rPr>
                <w:sz w:val="17"/>
                <w:szCs w:val="17"/>
                <w:color w:val="auto"/>
              </w:rPr>
            </w:pPr>
          </w:p>
        </w:tc>
        <w:tc>
          <w:tcPr>
            <w:tcW w:w="2820" w:type="dxa"/>
            <w:vAlign w:val="bottom"/>
            <w:tcBorders>
              <w:bottom w:val="single" w:sz="8" w:color="0000FF"/>
            </w:tcBorders>
            <w:gridSpan w:val="10"/>
            <w:shd w:val="clear" w:color="auto" w:fill="CCEEFF"/>
          </w:tcPr>
          <w:p>
            <w:pPr>
              <w:spacing w:after="0" w:line="186" w:lineRule="exact"/>
              <w:rPr>
                <w:sz w:val="20"/>
                <w:szCs w:val="20"/>
                <w:color w:val="auto"/>
              </w:rPr>
            </w:pPr>
            <w:r>
              <w:rPr>
                <w:rFonts w:ascii="Times New Roman" w:cs="Times New Roman" w:eastAsia="Times New Roman" w:hAnsi="Times New Roman"/>
                <w:sz w:val="18"/>
                <w:szCs w:val="18"/>
                <w:b w:val="1"/>
                <w:bCs w:val="1"/>
                <w:color w:val="0000FF"/>
                <w:w w:val="96"/>
              </w:rPr>
              <w:t>PART II – OTHER INFORMATION</w:t>
            </w:r>
          </w:p>
        </w:tc>
        <w:tc>
          <w:tcPr>
            <w:tcW w:w="7120" w:type="dxa"/>
            <w:vAlign w:val="bottom"/>
            <w:tcBorders>
              <w:bottom w:val="single" w:sz="8" w:color="CCEEFF"/>
            </w:tcBorders>
            <w:gridSpan w:val="6"/>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9940" w:type="dxa"/>
            <w:vAlign w:val="bottom"/>
            <w:gridSpan w:val="16"/>
          </w:tcPr>
          <w:p>
            <w:pPr>
              <w:spacing w:after="0" w:line="186" w:lineRule="exact"/>
              <w:rPr>
                <w:sz w:val="20"/>
                <w:szCs w:val="20"/>
                <w:color w:val="auto"/>
              </w:rPr>
            </w:pPr>
            <w:r>
              <w:rPr>
                <w:rFonts w:ascii="Times New Roman" w:cs="Times New Roman" w:eastAsia="Times New Roman" w:hAnsi="Times New Roman"/>
                <w:sz w:val="18"/>
                <w:szCs w:val="18"/>
                <w:color w:val="0000FF"/>
              </w:rPr>
              <w:t>Item 1. Legal Proceedings.</w:t>
            </w:r>
          </w:p>
        </w:tc>
        <w:tc>
          <w:tcPr>
            <w:tcW w:w="960" w:type="dxa"/>
            <w:vAlign w:val="bottom"/>
            <w:gridSpan w:val="5"/>
          </w:tcPr>
          <w:p>
            <w:pPr>
              <w:jc w:val="center"/>
              <w:ind w:left="211"/>
              <w:spacing w:after="0" w:line="186" w:lineRule="exact"/>
              <w:rPr>
                <w:sz w:val="20"/>
                <w:szCs w:val="20"/>
                <w:color w:val="auto"/>
              </w:rPr>
            </w:pPr>
            <w:r>
              <w:rPr>
                <w:rFonts w:ascii="Times New Roman" w:cs="Times New Roman" w:eastAsia="Times New Roman" w:hAnsi="Times New Roman"/>
                <w:sz w:val="18"/>
                <w:szCs w:val="18"/>
                <w:color w:val="0000FF"/>
                <w:w w:val="99"/>
              </w:rPr>
              <w:t>26</w:t>
            </w:r>
          </w:p>
        </w:tc>
        <w:tc>
          <w:tcPr>
            <w:tcW w:w="100" w:type="dxa"/>
            <w:vAlign w:val="bottom"/>
          </w:tcPr>
          <w:p>
            <w:pPr>
              <w:spacing w:after="0"/>
              <w:rPr>
                <w:sz w:val="17"/>
                <w:szCs w:val="17"/>
                <w:color w:val="auto"/>
              </w:rPr>
            </w:pPr>
          </w:p>
        </w:tc>
      </w:tr>
      <w:tr>
        <w:trPr>
          <w:trHeight w:val="216"/>
        </w:trPr>
        <w:tc>
          <w:tcPr>
            <w:tcW w:w="340" w:type="dxa"/>
            <w:vAlign w:val="bottom"/>
            <w:tcBorders>
              <w:right w:val="single" w:sz="8" w:color="CCEEFF"/>
            </w:tcBorders>
          </w:tcPr>
          <w:p>
            <w:pPr>
              <w:spacing w:after="0"/>
              <w:rPr>
                <w:sz w:val="18"/>
                <w:szCs w:val="18"/>
                <w:color w:val="auto"/>
              </w:rPr>
            </w:pPr>
          </w:p>
        </w:tc>
        <w:tc>
          <w:tcPr>
            <w:tcW w:w="1620" w:type="dxa"/>
            <w:vAlign w:val="bottom"/>
            <w:tcBorders>
              <w:top w:val="single" w:sz="8" w:color="0000FF"/>
              <w:bottom w:val="single" w:sz="8" w:color="0000FF"/>
            </w:tcBorders>
            <w:gridSpan w:val="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w w:val="97"/>
              </w:rPr>
              <w:t>Item 1A. Risk Factors.</w:t>
            </w:r>
          </w:p>
        </w:tc>
        <w:tc>
          <w:tcPr>
            <w:tcW w:w="280" w:type="dxa"/>
            <w:vAlign w:val="bottom"/>
            <w:tcBorders>
              <w:top w:val="single" w:sz="8" w:color="0000FF"/>
              <w:bottom w:val="single" w:sz="8" w:color="CCEEFF"/>
            </w:tcBorders>
            <w:gridSpan w:val="2"/>
            <w:shd w:val="clear" w:color="auto" w:fill="CCEEFF"/>
          </w:tcPr>
          <w:p>
            <w:pPr>
              <w:spacing w:after="0"/>
              <w:rPr>
                <w:sz w:val="18"/>
                <w:szCs w:val="18"/>
                <w:color w:val="auto"/>
              </w:rPr>
            </w:pPr>
          </w:p>
        </w:tc>
        <w:tc>
          <w:tcPr>
            <w:tcW w:w="8040" w:type="dxa"/>
            <w:vAlign w:val="bottom"/>
            <w:tcBorders>
              <w:bottom w:val="single" w:sz="8" w:color="CCEEFF"/>
            </w:tcBorders>
            <w:gridSpan w:val="10"/>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0000FF"/>
              <w:bottom w:val="single" w:sz="8" w:color="0000FF"/>
            </w:tcBorders>
            <w:gridSpan w:val="3"/>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0000FF"/>
                <w:w w:val="99"/>
              </w:rPr>
              <w:t>26</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196"/>
        </w:trPr>
        <w:tc>
          <w:tcPr>
            <w:tcW w:w="340" w:type="dxa"/>
            <w:vAlign w:val="bottom"/>
          </w:tcPr>
          <w:p>
            <w:pPr>
              <w:spacing w:after="0"/>
              <w:rPr>
                <w:sz w:val="17"/>
                <w:szCs w:val="17"/>
                <w:color w:val="auto"/>
              </w:rPr>
            </w:pPr>
          </w:p>
        </w:tc>
        <w:tc>
          <w:tcPr>
            <w:tcW w:w="9940" w:type="dxa"/>
            <w:vAlign w:val="bottom"/>
            <w:gridSpan w:val="16"/>
          </w:tcPr>
          <w:p>
            <w:pPr>
              <w:spacing w:after="0" w:line="186" w:lineRule="exact"/>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960" w:type="dxa"/>
            <w:vAlign w:val="bottom"/>
            <w:gridSpan w:val="5"/>
          </w:tcPr>
          <w:p>
            <w:pPr>
              <w:jc w:val="center"/>
              <w:ind w:left="211"/>
              <w:spacing w:after="0" w:line="186" w:lineRule="exact"/>
              <w:rPr>
                <w:sz w:val="20"/>
                <w:szCs w:val="20"/>
                <w:color w:val="auto"/>
              </w:rPr>
            </w:pPr>
            <w:r>
              <w:rPr>
                <w:rFonts w:ascii="Times New Roman" w:cs="Times New Roman" w:eastAsia="Times New Roman" w:hAnsi="Times New Roman"/>
                <w:sz w:val="18"/>
                <w:szCs w:val="18"/>
                <w:color w:val="0000FF"/>
                <w:w w:val="99"/>
              </w:rPr>
              <w:t>27</w:t>
            </w:r>
          </w:p>
        </w:tc>
        <w:tc>
          <w:tcPr>
            <w:tcW w:w="100" w:type="dxa"/>
            <w:vAlign w:val="bottom"/>
          </w:tcPr>
          <w:p>
            <w:pPr>
              <w:spacing w:after="0"/>
              <w:rPr>
                <w:sz w:val="17"/>
                <w:szCs w:val="17"/>
                <w:color w:val="auto"/>
              </w:rPr>
            </w:pPr>
          </w:p>
        </w:tc>
      </w:tr>
      <w:tr>
        <w:trPr>
          <w:trHeight w:val="216"/>
        </w:trPr>
        <w:tc>
          <w:tcPr>
            <w:tcW w:w="340" w:type="dxa"/>
            <w:vAlign w:val="bottom"/>
            <w:tcBorders>
              <w:right w:val="single" w:sz="8" w:color="CCEEFF"/>
            </w:tcBorders>
          </w:tcPr>
          <w:p>
            <w:pPr>
              <w:spacing w:after="0"/>
              <w:rPr>
                <w:sz w:val="18"/>
                <w:szCs w:val="18"/>
                <w:color w:val="auto"/>
              </w:rPr>
            </w:pPr>
          </w:p>
        </w:tc>
        <w:tc>
          <w:tcPr>
            <w:tcW w:w="520" w:type="dxa"/>
            <w:vAlign w:val="bottom"/>
            <w:tcBorders>
              <w:top w:val="single" w:sz="8" w:color="0000FF"/>
              <w:bottom w:val="single" w:sz="8" w:color="0000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w w:val="97"/>
              </w:rPr>
              <w:t>Item 3.</w:t>
            </w:r>
          </w:p>
        </w:tc>
        <w:tc>
          <w:tcPr>
            <w:tcW w:w="2360" w:type="dxa"/>
            <w:vAlign w:val="bottom"/>
            <w:tcBorders>
              <w:top w:val="single" w:sz="8" w:color="0000FF"/>
              <w:bottom w:val="single" w:sz="8" w:color="0000FF"/>
            </w:tcBorders>
            <w:gridSpan w:val="10"/>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FF"/>
                <w:w w:val="97"/>
              </w:rPr>
              <w:t>Defaults Upon Senior Securities.</w:t>
            </w:r>
          </w:p>
        </w:tc>
        <w:tc>
          <w:tcPr>
            <w:tcW w:w="1980" w:type="dxa"/>
            <w:vAlign w:val="bottom"/>
            <w:tcBorders>
              <w:top w:val="single" w:sz="8" w:color="0000FF"/>
              <w:bottom w:val="single" w:sz="8" w:color="CCEEFF"/>
            </w:tcBorders>
            <w:gridSpan w:val="2"/>
            <w:shd w:val="clear" w:color="auto" w:fill="CCEEFF"/>
          </w:tcPr>
          <w:p>
            <w:pPr>
              <w:spacing w:after="0"/>
              <w:rPr>
                <w:sz w:val="18"/>
                <w:szCs w:val="18"/>
                <w:color w:val="auto"/>
              </w:rPr>
            </w:pPr>
          </w:p>
        </w:tc>
        <w:tc>
          <w:tcPr>
            <w:tcW w:w="5080" w:type="dxa"/>
            <w:vAlign w:val="bottom"/>
            <w:tcBorders>
              <w:bottom w:val="single" w:sz="8" w:color="CCEEFF"/>
            </w:tcBorders>
            <w:gridSpan w:val="3"/>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0000FF"/>
              <w:bottom w:val="single" w:sz="8" w:color="0000FF"/>
            </w:tcBorders>
            <w:gridSpan w:val="3"/>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0000FF"/>
                <w:w w:val="99"/>
              </w:rPr>
              <w:t>27</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196"/>
        </w:trPr>
        <w:tc>
          <w:tcPr>
            <w:tcW w:w="340" w:type="dxa"/>
            <w:vAlign w:val="bottom"/>
          </w:tcPr>
          <w:p>
            <w:pPr>
              <w:spacing w:after="0"/>
              <w:rPr>
                <w:sz w:val="17"/>
                <w:szCs w:val="17"/>
                <w:color w:val="auto"/>
              </w:rPr>
            </w:pPr>
          </w:p>
        </w:tc>
        <w:tc>
          <w:tcPr>
            <w:tcW w:w="520" w:type="dxa"/>
            <w:vAlign w:val="bottom"/>
          </w:tcPr>
          <w:p>
            <w:pPr>
              <w:spacing w:after="0" w:line="186" w:lineRule="exact"/>
              <w:rPr>
                <w:sz w:val="20"/>
                <w:szCs w:val="20"/>
                <w:color w:val="auto"/>
              </w:rPr>
            </w:pPr>
            <w:r>
              <w:rPr>
                <w:rFonts w:ascii="Times New Roman" w:cs="Times New Roman" w:eastAsia="Times New Roman" w:hAnsi="Times New Roman"/>
                <w:sz w:val="18"/>
                <w:szCs w:val="18"/>
                <w:color w:val="0000FF"/>
                <w:w w:val="97"/>
              </w:rPr>
              <w:t>Item 4.</w:t>
            </w:r>
          </w:p>
        </w:tc>
        <w:tc>
          <w:tcPr>
            <w:tcW w:w="9420" w:type="dxa"/>
            <w:vAlign w:val="bottom"/>
            <w:gridSpan w:val="15"/>
          </w:tcPr>
          <w:p>
            <w:pPr>
              <w:ind w:left="20"/>
              <w:spacing w:after="0" w:line="186" w:lineRule="exact"/>
              <w:rPr>
                <w:sz w:val="20"/>
                <w:szCs w:val="20"/>
                <w:color w:val="auto"/>
              </w:rPr>
            </w:pPr>
            <w:r>
              <w:rPr>
                <w:rFonts w:ascii="Times New Roman" w:cs="Times New Roman" w:eastAsia="Times New Roman" w:hAnsi="Times New Roman"/>
                <w:sz w:val="18"/>
                <w:szCs w:val="18"/>
                <w:color w:val="0000FF"/>
              </w:rPr>
              <w:t>Mine Safety Disclosures</w:t>
            </w:r>
            <w:r>
              <w:rPr>
                <w:rFonts w:ascii="Times New Roman" w:cs="Times New Roman" w:eastAsia="Times New Roman" w:hAnsi="Times New Roman"/>
                <w:sz w:val="18"/>
                <w:szCs w:val="18"/>
                <w:color w:val="000000"/>
              </w:rPr>
              <w:t>.</w:t>
            </w:r>
          </w:p>
        </w:tc>
        <w:tc>
          <w:tcPr>
            <w:tcW w:w="960" w:type="dxa"/>
            <w:vAlign w:val="bottom"/>
            <w:gridSpan w:val="5"/>
          </w:tcPr>
          <w:p>
            <w:pPr>
              <w:jc w:val="center"/>
              <w:ind w:left="211"/>
              <w:spacing w:after="0" w:line="186" w:lineRule="exact"/>
              <w:rPr>
                <w:sz w:val="20"/>
                <w:szCs w:val="20"/>
                <w:color w:val="auto"/>
              </w:rPr>
            </w:pPr>
            <w:r>
              <w:rPr>
                <w:rFonts w:ascii="Times New Roman" w:cs="Times New Roman" w:eastAsia="Times New Roman" w:hAnsi="Times New Roman"/>
                <w:sz w:val="18"/>
                <w:szCs w:val="18"/>
                <w:color w:val="0000FF"/>
                <w:w w:val="99"/>
              </w:rPr>
              <w:t>27</w:t>
            </w:r>
          </w:p>
        </w:tc>
        <w:tc>
          <w:tcPr>
            <w:tcW w:w="100" w:type="dxa"/>
            <w:vAlign w:val="bottom"/>
          </w:tcPr>
          <w:p>
            <w:pPr>
              <w:spacing w:after="0"/>
              <w:rPr>
                <w:sz w:val="17"/>
                <w:szCs w:val="17"/>
                <w:color w:val="auto"/>
              </w:rPr>
            </w:pPr>
          </w:p>
        </w:tc>
      </w:tr>
      <w:tr>
        <w:trPr>
          <w:trHeight w:val="216"/>
        </w:trPr>
        <w:tc>
          <w:tcPr>
            <w:tcW w:w="340" w:type="dxa"/>
            <w:vAlign w:val="bottom"/>
            <w:tcBorders>
              <w:right w:val="single" w:sz="8" w:color="CCEEFF"/>
            </w:tcBorders>
          </w:tcPr>
          <w:p>
            <w:pPr>
              <w:spacing w:after="0"/>
              <w:rPr>
                <w:sz w:val="18"/>
                <w:szCs w:val="18"/>
                <w:color w:val="auto"/>
              </w:rPr>
            </w:pPr>
          </w:p>
        </w:tc>
        <w:tc>
          <w:tcPr>
            <w:tcW w:w="520" w:type="dxa"/>
            <w:vAlign w:val="bottom"/>
            <w:tcBorders>
              <w:top w:val="single" w:sz="8" w:color="0000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w w:val="97"/>
              </w:rPr>
              <w:t>Item 5.</w:t>
            </w:r>
          </w:p>
        </w:tc>
        <w:tc>
          <w:tcPr>
            <w:tcW w:w="1760" w:type="dxa"/>
            <w:vAlign w:val="bottom"/>
            <w:tcBorders>
              <w:top w:val="single" w:sz="8" w:color="0000FF"/>
            </w:tcBorders>
            <w:gridSpan w:val="7"/>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660" w:type="dxa"/>
            <w:vAlign w:val="bottom"/>
            <w:gridSpan w:val="8"/>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tcBorders>
              <w:top w:val="single" w:sz="8" w:color="0000FF"/>
            </w:tcBorders>
            <w:gridSpan w:val="3"/>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0000FF"/>
                <w:w w:val="99"/>
              </w:rPr>
              <w:t>27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6"/>
        </w:trPr>
        <w:tc>
          <w:tcPr>
            <w:tcW w:w="340" w:type="dxa"/>
            <w:vAlign w:val="bottom"/>
          </w:tcPr>
          <w:p>
            <w:pPr>
              <w:spacing w:after="0"/>
              <w:rPr>
                <w:sz w:val="17"/>
                <w:szCs w:val="17"/>
                <w:color w:val="auto"/>
              </w:rPr>
            </w:pPr>
          </w:p>
        </w:tc>
        <w:tc>
          <w:tcPr>
            <w:tcW w:w="520" w:type="dxa"/>
            <w:vAlign w:val="bottom"/>
            <w:tcBorders>
              <w:top w:val="single" w:sz="8" w:color="0000FF"/>
            </w:tcBorders>
          </w:tcPr>
          <w:p>
            <w:pPr>
              <w:spacing w:after="0" w:line="186" w:lineRule="exact"/>
              <w:rPr>
                <w:sz w:val="20"/>
                <w:szCs w:val="20"/>
                <w:color w:val="auto"/>
              </w:rPr>
            </w:pPr>
            <w:r>
              <w:rPr>
                <w:rFonts w:ascii="Times New Roman" w:cs="Times New Roman" w:eastAsia="Times New Roman" w:hAnsi="Times New Roman"/>
                <w:sz w:val="18"/>
                <w:szCs w:val="18"/>
                <w:color w:val="0000FF"/>
                <w:w w:val="97"/>
              </w:rPr>
              <w:t>Item 6.</w:t>
            </w:r>
          </w:p>
        </w:tc>
        <w:tc>
          <w:tcPr>
            <w:tcW w:w="1360" w:type="dxa"/>
            <w:vAlign w:val="bottom"/>
            <w:tcBorders>
              <w:top w:val="single" w:sz="8" w:color="0000FF"/>
            </w:tcBorders>
            <w:gridSpan w:val="4"/>
          </w:tcPr>
          <w:p>
            <w:pPr>
              <w:ind w:left="20"/>
              <w:spacing w:after="0" w:line="186" w:lineRule="exact"/>
              <w:rPr>
                <w:sz w:val="20"/>
                <w:szCs w:val="20"/>
                <w:color w:val="auto"/>
              </w:rPr>
            </w:pPr>
            <w:r>
              <w:rPr>
                <w:rFonts w:ascii="Times New Roman" w:cs="Times New Roman" w:eastAsia="Times New Roman" w:hAnsi="Times New Roman"/>
                <w:sz w:val="18"/>
                <w:szCs w:val="18"/>
                <w:color w:val="0000FF"/>
              </w:rPr>
              <w:t>Exhibits.</w:t>
            </w:r>
          </w:p>
        </w:tc>
        <w:tc>
          <w:tcPr>
            <w:tcW w:w="8060" w:type="dxa"/>
            <w:vAlign w:val="bottom"/>
            <w:tcBorders>
              <w:top w:val="single" w:sz="8" w:color="CCEEFF"/>
            </w:tcBorders>
            <w:gridSpan w:val="11"/>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180" w:type="dxa"/>
            <w:vAlign w:val="bottom"/>
            <w:tcBorders>
              <w:top w:val="single" w:sz="8" w:color="0000FF"/>
            </w:tcBorders>
            <w:gridSpan w:val="3"/>
          </w:tcPr>
          <w:p>
            <w:pPr>
              <w:jc w:val="center"/>
              <w:spacing w:after="0" w:line="186" w:lineRule="exact"/>
              <w:rPr>
                <w:sz w:val="20"/>
                <w:szCs w:val="20"/>
                <w:color w:val="auto"/>
              </w:rPr>
            </w:pPr>
            <w:r>
              <w:rPr>
                <w:rFonts w:ascii="Times New Roman" w:cs="Times New Roman" w:eastAsia="Times New Roman" w:hAnsi="Times New Roman"/>
                <w:sz w:val="18"/>
                <w:szCs w:val="18"/>
                <w:color w:val="0000FF"/>
                <w:w w:val="99"/>
              </w:rPr>
              <w:t>27</w:t>
            </w:r>
          </w:p>
        </w:tc>
        <w:tc>
          <w:tcPr>
            <w:tcW w:w="2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340" w:type="dxa"/>
            <w:vAlign w:val="bottom"/>
            <w:tcBorders>
              <w:right w:val="single" w:sz="8" w:color="CCEEFF"/>
            </w:tcBorders>
          </w:tcPr>
          <w:p>
            <w:pPr>
              <w:spacing w:after="0"/>
              <w:rPr>
                <w:sz w:val="18"/>
                <w:szCs w:val="18"/>
                <w:color w:val="auto"/>
              </w:rPr>
            </w:pPr>
          </w:p>
        </w:tc>
        <w:tc>
          <w:tcPr>
            <w:tcW w:w="1180" w:type="dxa"/>
            <w:vAlign w:val="bottom"/>
            <w:tcBorders>
              <w:top w:val="single" w:sz="8" w:color="0000FF"/>
            </w:tcBorders>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8760" w:type="dxa"/>
            <w:vAlign w:val="bottom"/>
            <w:gridSpan w:val="13"/>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tcBorders>
              <w:top w:val="single" w:sz="8" w:color="0000FF"/>
            </w:tcBorders>
            <w:gridSpan w:val="3"/>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0000FF"/>
                <w:w w:val="99"/>
              </w:rPr>
              <w:t>29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891"/>
        </w:trPr>
        <w:tc>
          <w:tcPr>
            <w:tcW w:w="34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5840" w:type="dxa"/>
            <w:vAlign w:val="bottom"/>
            <w:tcBorders>
              <w:top w:val="single" w:sz="8" w:color="CCEEFF"/>
            </w:tcBorders>
            <w:gridSpan w:val="13"/>
          </w:tcPr>
          <w:p>
            <w:pPr>
              <w:jc w:val="right"/>
              <w:ind w:right="1440"/>
              <w:spacing w:after="0"/>
              <w:rPr>
                <w:sz w:val="20"/>
                <w:szCs w:val="20"/>
                <w:color w:val="auto"/>
              </w:rPr>
            </w:pPr>
            <w:r>
              <w:rPr>
                <w:rFonts w:ascii="Times New Roman" w:cs="Times New Roman" w:eastAsia="Times New Roman" w:hAnsi="Times New Roman"/>
                <w:sz w:val="18"/>
                <w:szCs w:val="18"/>
                <w:color w:val="auto"/>
              </w:rPr>
              <w:t>1</w:t>
            </w:r>
          </w:p>
        </w:tc>
        <w:tc>
          <w:tcPr>
            <w:tcW w:w="302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2"/>
        </w:trPr>
        <w:tc>
          <w:tcPr>
            <w:tcW w:w="34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40" w:type="dxa"/>
            <w:vAlign w:val="bottom"/>
            <w:tcBorders>
              <w:bottom w:val="single" w:sz="8" w:color="9A9A9A"/>
            </w:tcBorders>
          </w:tcPr>
          <w:p>
            <w:pPr>
              <w:spacing w:after="0"/>
              <w:rPr>
                <w:sz w:val="9"/>
                <w:szCs w:val="9"/>
                <w:color w:val="auto"/>
              </w:rPr>
            </w:pPr>
          </w:p>
        </w:tc>
        <w:tc>
          <w:tcPr>
            <w:tcW w:w="30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1288"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73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844"/>
        </w:trPr>
        <w:tc>
          <w:tcPr>
            <w:tcW w:w="160" w:type="dxa"/>
            <w:vAlign w:val="bottom"/>
            <w:tcBorders>
              <w:top w:val="single" w:sz="8" w:color="0000FF"/>
            </w:tcBorders>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6040" w:type="dxa"/>
            <w:vAlign w:val="bottom"/>
          </w:tcPr>
          <w:p>
            <w:pPr>
              <w:jc w:val="center"/>
              <w:ind w:left="2291"/>
              <w:spacing w:after="0"/>
              <w:rPr>
                <w:sz w:val="20"/>
                <w:szCs w:val="20"/>
                <w:color w:val="auto"/>
              </w:rPr>
            </w:pPr>
            <w:r>
              <w:rPr>
                <w:rFonts w:ascii="Times New Roman" w:cs="Times New Roman" w:eastAsia="Times New Roman" w:hAnsi="Times New Roman"/>
                <w:sz w:val="18"/>
                <w:szCs w:val="18"/>
                <w:b w:val="1"/>
                <w:bCs w:val="1"/>
                <w:color w:val="auto"/>
                <w:w w:val="97"/>
              </w:rPr>
              <w:t xml:space="preserve">PART I </w:t>
            </w:r>
            <w:r>
              <w:rPr>
                <w:rFonts w:ascii="Times New Roman" w:cs="Times New Roman" w:eastAsia="Times New Roman" w:hAnsi="Times New Roman"/>
                <w:sz w:val="18"/>
                <w:szCs w:val="18"/>
                <w:color w:val="auto"/>
                <w:w w:val="97"/>
              </w:rPr>
              <w:t>–</w:t>
            </w:r>
            <w:r>
              <w:rPr>
                <w:rFonts w:ascii="Times New Roman" w:cs="Times New Roman" w:eastAsia="Times New Roman" w:hAnsi="Times New Roman"/>
                <w:sz w:val="18"/>
                <w:szCs w:val="18"/>
                <w:b w:val="1"/>
                <w:bCs w:val="1"/>
                <w:color w:val="auto"/>
                <w:w w:val="97"/>
              </w:rPr>
              <w:t xml:space="preserve"> FINANCIAL INFORMATION</w:t>
            </w: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66"/>
        </w:trPr>
        <w:tc>
          <w:tcPr>
            <w:tcW w:w="7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4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430"/>
        </w:trPr>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780" w:type="dxa"/>
            <w:vAlign w:val="bottom"/>
            <w:gridSpan w:val="3"/>
          </w:tcPr>
          <w:p>
            <w:pPr>
              <w:jc w:val="center"/>
              <w:ind w:left="531"/>
              <w:spacing w:after="0"/>
              <w:rPr>
                <w:sz w:val="20"/>
                <w:szCs w:val="20"/>
                <w:color w:val="auto"/>
              </w:rPr>
            </w:pPr>
            <w:r>
              <w:rPr>
                <w:rFonts w:ascii="Times New Roman" w:cs="Times New Roman" w:eastAsia="Times New Roman" w:hAnsi="Times New Roman"/>
                <w:sz w:val="18"/>
                <w:szCs w:val="18"/>
                <w:b w:val="1"/>
                <w:bCs w:val="1"/>
                <w:color w:val="auto"/>
                <w:w w:val="97"/>
              </w:rPr>
              <w:t>WEATHERFORD INTERNATIONAL PLC AND SUBSIDIARIES</w:t>
            </w:r>
          </w:p>
        </w:tc>
        <w:tc>
          <w:tcPr>
            <w:tcW w:w="5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4"/>
        </w:trPr>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780" w:type="dxa"/>
            <w:vAlign w:val="bottom"/>
            <w:gridSpan w:val="3"/>
          </w:tcPr>
          <w:p>
            <w:pPr>
              <w:jc w:val="center"/>
              <w:ind w:left="531"/>
              <w:spacing w:after="0"/>
              <w:rPr>
                <w:sz w:val="20"/>
                <w:szCs w:val="20"/>
                <w:color w:val="auto"/>
              </w:rPr>
            </w:pPr>
            <w:r>
              <w:rPr>
                <w:rFonts w:ascii="Times New Roman" w:cs="Times New Roman" w:eastAsia="Times New Roman" w:hAnsi="Times New Roman"/>
                <w:sz w:val="18"/>
                <w:szCs w:val="18"/>
                <w:b w:val="1"/>
                <w:bCs w:val="1"/>
                <w:color w:val="auto"/>
                <w:w w:val="97"/>
              </w:rPr>
              <w:t>CONDENSED CONSOLIDATED STATEMENTS OF OPERATIONS (UNAUDITED)</w:t>
            </w:r>
          </w:p>
        </w:tc>
        <w:tc>
          <w:tcPr>
            <w:tcW w:w="5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7"/>
        </w:trPr>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80" w:type="dxa"/>
            <w:vAlign w:val="bottom"/>
            <w:gridSpan w:val="3"/>
          </w:tcPr>
          <w:p>
            <w:pPr>
              <w:jc w:val="right"/>
              <w:ind w:right="851"/>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3"/>
        </w:trPr>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2"/>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00" w:type="dxa"/>
            <w:vAlign w:val="bottom"/>
            <w:tcBorders>
              <w:bottom w:val="single" w:sz="8" w:color="auto"/>
            </w:tcBorders>
          </w:tcPr>
          <w:p>
            <w:pPr>
              <w:spacing w:after="0"/>
              <w:rPr>
                <w:sz w:val="20"/>
                <w:szCs w:val="20"/>
                <w:color w:val="auto"/>
              </w:rPr>
            </w:pPr>
          </w:p>
        </w:tc>
      </w:tr>
      <w:tr>
        <w:trPr>
          <w:trHeight w:val="219"/>
        </w:trPr>
        <w:tc>
          <w:tcPr>
            <w:tcW w:w="160" w:type="dxa"/>
            <w:vAlign w:val="bottom"/>
          </w:tcPr>
          <w:p>
            <w:pPr>
              <w:spacing w:after="0"/>
              <w:rPr>
                <w:sz w:val="19"/>
                <w:szCs w:val="19"/>
                <w:color w:val="auto"/>
              </w:rPr>
            </w:pPr>
          </w:p>
        </w:tc>
        <w:tc>
          <w:tcPr>
            <w:tcW w:w="7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(Dollars and shares in millions, except per share amounts)</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8"/>
                <w:szCs w:val="18"/>
                <w:b w:val="1"/>
                <w:bCs w:val="1"/>
                <w:color w:val="auto"/>
              </w:rPr>
              <w:t>2022</w:t>
            </w:r>
          </w:p>
        </w:tc>
        <w:tc>
          <w:tcPr>
            <w:tcW w:w="5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9"/>
        </w:trPr>
        <w:tc>
          <w:tcPr>
            <w:tcW w:w="160" w:type="dxa"/>
            <w:vAlign w:val="bottom"/>
          </w:tcPr>
          <w:p>
            <w:pPr>
              <w:spacing w:after="0"/>
              <w:rPr>
                <w:sz w:val="19"/>
                <w:szCs w:val="19"/>
                <w:color w:val="auto"/>
              </w:rPr>
            </w:pPr>
          </w:p>
        </w:tc>
        <w:tc>
          <w:tcPr>
            <w:tcW w:w="7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6"/>
        </w:trPr>
        <w:tc>
          <w:tcPr>
            <w:tcW w:w="160" w:type="dxa"/>
            <w:vAlign w:val="bottom"/>
          </w:tcPr>
          <w:p>
            <w:pPr>
              <w:spacing w:after="0"/>
              <w:rPr>
                <w:sz w:val="19"/>
                <w:szCs w:val="19"/>
                <w:color w:val="auto"/>
              </w:rPr>
            </w:pPr>
          </w:p>
        </w:tc>
        <w:tc>
          <w:tcPr>
            <w:tcW w:w="71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Services</w:t>
            </w:r>
          </w:p>
        </w:tc>
        <w:tc>
          <w:tcPr>
            <w:tcW w:w="4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54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r>
      <w:tr>
        <w:trPr>
          <w:trHeight w:val="226"/>
        </w:trPr>
        <w:tc>
          <w:tcPr>
            <w:tcW w:w="160" w:type="dxa"/>
            <w:vAlign w:val="bottom"/>
          </w:tcPr>
          <w:p>
            <w:pPr>
              <w:spacing w:after="0"/>
              <w:rPr>
                <w:sz w:val="19"/>
                <w:szCs w:val="19"/>
                <w:color w:val="auto"/>
              </w:rPr>
            </w:pPr>
          </w:p>
        </w:tc>
        <w:tc>
          <w:tcPr>
            <w:tcW w:w="7140" w:type="dxa"/>
            <w:vAlign w:val="bottom"/>
            <w:tcBorders>
              <w:bottom w:val="single" w:sz="8" w:color="auto"/>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Products</w:t>
            </w: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5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r>
      <w:tr>
        <w:trPr>
          <w:trHeight w:val="219"/>
        </w:trPr>
        <w:tc>
          <w:tcPr>
            <w:tcW w:w="160" w:type="dxa"/>
            <w:vAlign w:val="bottom"/>
          </w:tcPr>
          <w:p>
            <w:pPr>
              <w:spacing w:after="0"/>
              <w:rPr>
                <w:sz w:val="19"/>
                <w:szCs w:val="19"/>
                <w:color w:val="auto"/>
              </w:rPr>
            </w:pPr>
          </w:p>
        </w:tc>
        <w:tc>
          <w:tcPr>
            <w:tcW w:w="7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5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w:t>
            </w:r>
          </w:p>
        </w:tc>
      </w:tr>
      <w:tr>
        <w:trPr>
          <w:trHeight w:val="219"/>
        </w:trPr>
        <w:tc>
          <w:tcPr>
            <w:tcW w:w="160" w:type="dxa"/>
            <w:vAlign w:val="bottom"/>
          </w:tcPr>
          <w:p>
            <w:pPr>
              <w:spacing w:after="0"/>
              <w:rPr>
                <w:sz w:val="19"/>
                <w:szCs w:val="19"/>
                <w:color w:val="auto"/>
              </w:rPr>
            </w:pPr>
          </w:p>
        </w:tc>
        <w:tc>
          <w:tcPr>
            <w:tcW w:w="7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6"/>
        </w:trPr>
        <w:tc>
          <w:tcPr>
            <w:tcW w:w="160" w:type="dxa"/>
            <w:vAlign w:val="bottom"/>
          </w:tcPr>
          <w:p>
            <w:pPr>
              <w:spacing w:after="0"/>
              <w:rPr>
                <w:sz w:val="19"/>
                <w:szCs w:val="19"/>
                <w:color w:val="auto"/>
              </w:rPr>
            </w:pPr>
          </w:p>
        </w:tc>
        <w:tc>
          <w:tcPr>
            <w:tcW w:w="71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Cost of Services</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5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r>
      <w:tr>
        <w:trPr>
          <w:trHeight w:val="226"/>
        </w:trPr>
        <w:tc>
          <w:tcPr>
            <w:tcW w:w="160" w:type="dxa"/>
            <w:vAlign w:val="bottom"/>
          </w:tcPr>
          <w:p>
            <w:pPr>
              <w:spacing w:after="0"/>
              <w:rPr>
                <w:sz w:val="19"/>
                <w:szCs w:val="19"/>
                <w:color w:val="auto"/>
              </w:rPr>
            </w:pPr>
          </w:p>
        </w:tc>
        <w:tc>
          <w:tcPr>
            <w:tcW w:w="71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Cost of Products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5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26"/>
        </w:trPr>
        <w:tc>
          <w:tcPr>
            <w:tcW w:w="160" w:type="dxa"/>
            <w:vAlign w:val="bottom"/>
          </w:tcPr>
          <w:p>
            <w:pPr>
              <w:spacing w:after="0"/>
              <w:rPr>
                <w:sz w:val="19"/>
                <w:szCs w:val="19"/>
                <w:color w:val="auto"/>
              </w:rPr>
            </w:pPr>
          </w:p>
        </w:tc>
        <w:tc>
          <w:tcPr>
            <w:tcW w:w="71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5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6"/>
        </w:trPr>
        <w:tc>
          <w:tcPr>
            <w:tcW w:w="160" w:type="dxa"/>
            <w:vAlign w:val="bottom"/>
          </w:tcPr>
          <w:p>
            <w:pPr>
              <w:spacing w:after="0"/>
              <w:rPr>
                <w:sz w:val="19"/>
                <w:szCs w:val="19"/>
                <w:color w:val="auto"/>
              </w:rPr>
            </w:pPr>
          </w:p>
        </w:tc>
        <w:tc>
          <w:tcPr>
            <w:tcW w:w="71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5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C2C2C"/>
              </w:rPr>
              <w:t>188</w:t>
            </w:r>
          </w:p>
        </w:tc>
      </w:tr>
      <w:tr>
        <w:trPr>
          <w:trHeight w:val="226"/>
        </w:trPr>
        <w:tc>
          <w:tcPr>
            <w:tcW w:w="160" w:type="dxa"/>
            <w:vAlign w:val="bottom"/>
          </w:tcPr>
          <w:p>
            <w:pPr>
              <w:spacing w:after="0"/>
              <w:rPr>
                <w:sz w:val="19"/>
                <w:szCs w:val="19"/>
                <w:color w:val="auto"/>
              </w:rPr>
            </w:pPr>
          </w:p>
        </w:tc>
        <w:tc>
          <w:tcPr>
            <w:tcW w:w="71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Restructuring Charges</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5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160" w:type="dxa"/>
            <w:vAlign w:val="bottom"/>
          </w:tcPr>
          <w:p>
            <w:pPr>
              <w:spacing w:after="0"/>
              <w:rPr>
                <w:sz w:val="19"/>
                <w:szCs w:val="19"/>
                <w:color w:val="auto"/>
              </w:rPr>
            </w:pPr>
          </w:p>
        </w:tc>
        <w:tc>
          <w:tcPr>
            <w:tcW w:w="7140" w:type="dxa"/>
            <w:vAlign w:val="bottom"/>
            <w:tcBorders>
              <w:bottom w:val="single" w:sz="8" w:color="auto"/>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Charges, Net</w:t>
            </w: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5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160" w:type="dxa"/>
            <w:vAlign w:val="bottom"/>
          </w:tcPr>
          <w:p>
            <w:pPr>
              <w:spacing w:after="0"/>
              <w:rPr>
                <w:sz w:val="19"/>
                <w:szCs w:val="19"/>
                <w:color w:val="auto"/>
              </w:rPr>
            </w:pPr>
          </w:p>
        </w:tc>
        <w:tc>
          <w:tcPr>
            <w:tcW w:w="7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5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w:t>
            </w:r>
          </w:p>
        </w:tc>
      </w:tr>
      <w:tr>
        <w:trPr>
          <w:trHeight w:val="219"/>
        </w:trPr>
        <w:tc>
          <w:tcPr>
            <w:tcW w:w="160" w:type="dxa"/>
            <w:vAlign w:val="bottom"/>
          </w:tcPr>
          <w:p>
            <w:pPr>
              <w:spacing w:after="0"/>
              <w:rPr>
                <w:sz w:val="19"/>
                <w:szCs w:val="19"/>
                <w:color w:val="auto"/>
              </w:rPr>
            </w:pPr>
          </w:p>
        </w:tc>
        <w:tc>
          <w:tcPr>
            <w:tcW w:w="714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5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46"/>
        </w:trPr>
        <w:tc>
          <w:tcPr>
            <w:tcW w:w="160" w:type="dxa"/>
            <w:vAlign w:val="bottom"/>
          </w:tcPr>
          <w:p>
            <w:pPr>
              <w:spacing w:after="0"/>
              <w:rPr>
                <w:sz w:val="21"/>
                <w:szCs w:val="21"/>
                <w:color w:val="auto"/>
              </w:rPr>
            </w:pPr>
          </w:p>
        </w:tc>
        <w:tc>
          <w:tcPr>
            <w:tcW w:w="71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Interest Expense, Net</w:t>
            </w: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5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6"/>
        </w:trPr>
        <w:tc>
          <w:tcPr>
            <w:tcW w:w="160" w:type="dxa"/>
            <w:vAlign w:val="bottom"/>
          </w:tcPr>
          <w:p>
            <w:pPr>
              <w:spacing w:after="0"/>
              <w:rPr>
                <w:sz w:val="19"/>
                <w:szCs w:val="19"/>
                <w:color w:val="auto"/>
              </w:rPr>
            </w:pPr>
          </w:p>
        </w:tc>
        <w:tc>
          <w:tcPr>
            <w:tcW w:w="7140" w:type="dxa"/>
            <w:vAlign w:val="bottom"/>
            <w:tcBorders>
              <w:bottom w:val="single" w:sz="8" w:color="auto"/>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Expense, Net</w:t>
            </w: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5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C2C2C"/>
              </w:rPr>
              <w:t>(4)</w:t>
            </w:r>
          </w:p>
        </w:tc>
      </w:tr>
      <w:tr>
        <w:trPr>
          <w:trHeight w:val="219"/>
        </w:trPr>
        <w:tc>
          <w:tcPr>
            <w:tcW w:w="160" w:type="dxa"/>
            <w:vAlign w:val="bottom"/>
          </w:tcPr>
          <w:p>
            <w:pPr>
              <w:spacing w:after="0"/>
              <w:rPr>
                <w:sz w:val="19"/>
                <w:szCs w:val="19"/>
                <w:color w:val="auto"/>
              </w:rPr>
            </w:pPr>
          </w:p>
        </w:tc>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5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26"/>
        </w:trPr>
        <w:tc>
          <w:tcPr>
            <w:tcW w:w="160" w:type="dxa"/>
            <w:vAlign w:val="bottom"/>
          </w:tcPr>
          <w:p>
            <w:pPr>
              <w:spacing w:after="0"/>
              <w:rPr>
                <w:sz w:val="19"/>
                <w:szCs w:val="19"/>
                <w:color w:val="auto"/>
              </w:rPr>
            </w:pPr>
          </w:p>
        </w:tc>
        <w:tc>
          <w:tcPr>
            <w:tcW w:w="714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5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9"/>
        </w:trPr>
        <w:tc>
          <w:tcPr>
            <w:tcW w:w="160" w:type="dxa"/>
            <w:vAlign w:val="bottom"/>
          </w:tcPr>
          <w:p>
            <w:pPr>
              <w:spacing w:after="0"/>
              <w:rPr>
                <w:sz w:val="19"/>
                <w:szCs w:val="19"/>
                <w:color w:val="auto"/>
              </w:rPr>
            </w:pPr>
          </w:p>
        </w:tc>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5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26"/>
        </w:trPr>
        <w:tc>
          <w:tcPr>
            <w:tcW w:w="160" w:type="dxa"/>
            <w:vAlign w:val="bottom"/>
          </w:tcPr>
          <w:p>
            <w:pPr>
              <w:spacing w:after="0"/>
              <w:rPr>
                <w:sz w:val="19"/>
                <w:szCs w:val="19"/>
                <w:color w:val="auto"/>
              </w:rPr>
            </w:pPr>
          </w:p>
        </w:tc>
        <w:tc>
          <w:tcPr>
            <w:tcW w:w="714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5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9"/>
        </w:trPr>
        <w:tc>
          <w:tcPr>
            <w:tcW w:w="160" w:type="dxa"/>
            <w:vAlign w:val="bottom"/>
          </w:tcPr>
          <w:p>
            <w:pPr>
              <w:spacing w:after="0"/>
              <w:rPr>
                <w:sz w:val="19"/>
                <w:szCs w:val="19"/>
                <w:color w:val="auto"/>
              </w:rPr>
            </w:pPr>
          </w:p>
        </w:tc>
        <w:tc>
          <w:tcPr>
            <w:tcW w:w="7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Net Loss Attributable to Weatherford</w:t>
            </w:r>
          </w:p>
        </w:tc>
        <w:tc>
          <w:tcPr>
            <w:tcW w:w="4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5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0"/>
        </w:trPr>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79"/>
        </w:trPr>
        <w:tc>
          <w:tcPr>
            <w:tcW w:w="160" w:type="dxa"/>
            <w:vAlign w:val="bottom"/>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26"/>
        </w:trPr>
        <w:tc>
          <w:tcPr>
            <w:tcW w:w="160" w:type="dxa"/>
            <w:vAlign w:val="bottom"/>
          </w:tcPr>
          <w:p>
            <w:pPr>
              <w:spacing w:after="0"/>
              <w:rPr>
                <w:sz w:val="19"/>
                <w:szCs w:val="19"/>
                <w:color w:val="auto"/>
              </w:rPr>
            </w:pPr>
          </w:p>
        </w:tc>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&amp; Diluted Loss per Share</w:t>
            </w:r>
          </w:p>
        </w:tc>
        <w:tc>
          <w:tcPr>
            <w:tcW w:w="4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54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26"/>
        </w:trPr>
        <w:tc>
          <w:tcPr>
            <w:tcW w:w="160" w:type="dxa"/>
            <w:vAlign w:val="bottom"/>
          </w:tcPr>
          <w:p>
            <w:pPr>
              <w:spacing w:after="0"/>
              <w:rPr>
                <w:sz w:val="19"/>
                <w:szCs w:val="19"/>
                <w:color w:val="auto"/>
              </w:rPr>
            </w:pPr>
          </w:p>
        </w:tc>
        <w:tc>
          <w:tcPr>
            <w:tcW w:w="7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&amp; Diluted Weighted Average Shares Outstanding</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5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5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69850</wp:posOffset>
            </wp:positionV>
            <wp:extent cx="716026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780"/>
          </w:cols>
          <w:pgMar w:left="640" w:top="450" w:right="4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71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823"/>
        </w:trPr>
        <w:tc>
          <w:tcPr>
            <w:tcW w:w="50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7500" w:type="dxa"/>
            <w:vAlign w:val="bottom"/>
            <w:gridSpan w:val="3"/>
          </w:tcPr>
          <w:p>
            <w:pPr>
              <w:jc w:val="center"/>
              <w:ind w:left="811"/>
              <w:spacing w:after="0"/>
              <w:rPr>
                <w:sz w:val="20"/>
                <w:szCs w:val="20"/>
                <w:color w:val="auto"/>
              </w:rPr>
            </w:pPr>
            <w:r>
              <w:rPr>
                <w:rFonts w:ascii="Times New Roman" w:cs="Times New Roman" w:eastAsia="Times New Roman" w:hAnsi="Times New Roman"/>
                <w:sz w:val="18"/>
                <w:szCs w:val="18"/>
                <w:b w:val="1"/>
                <w:bCs w:val="1"/>
                <w:color w:val="auto"/>
                <w:w w:val="97"/>
              </w:rPr>
              <w:t>WEATHERFORD INTERNATIONAL PLC AND SUBSIDIARIES</w:t>
            </w: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2"/>
        </w:trPr>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500" w:type="dxa"/>
            <w:vAlign w:val="bottom"/>
            <w:gridSpan w:val="3"/>
          </w:tcPr>
          <w:p>
            <w:pPr>
              <w:jc w:val="center"/>
              <w:ind w:left="831"/>
              <w:spacing w:after="0"/>
              <w:rPr>
                <w:sz w:val="20"/>
                <w:szCs w:val="20"/>
                <w:color w:val="auto"/>
              </w:rPr>
            </w:pPr>
            <w:r>
              <w:rPr>
                <w:rFonts w:ascii="Times New Roman" w:cs="Times New Roman" w:eastAsia="Times New Roman" w:hAnsi="Times New Roman"/>
                <w:sz w:val="18"/>
                <w:szCs w:val="18"/>
                <w:b w:val="1"/>
                <w:bCs w:val="1"/>
                <w:color w:val="auto"/>
                <w:w w:val="97"/>
              </w:rPr>
              <w:t>CONDENSED CONSOLIDATED STATEMENTS OF COMPREHENSIVE LOSS</w:t>
            </w: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860" w:type="dxa"/>
            <w:vAlign w:val="bottom"/>
          </w:tcPr>
          <w:p>
            <w:pPr>
              <w:jc w:val="center"/>
              <w:ind w:left="2451"/>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44"/>
        </w:trPr>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960" w:type="dxa"/>
            <w:vAlign w:val="bottom"/>
            <w:gridSpan w:val="3"/>
          </w:tcPr>
          <w:p>
            <w:pPr>
              <w:jc w:val="right"/>
              <w:ind w:right="771"/>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3"/>
        </w:trPr>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2"/>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40" w:type="dxa"/>
            <w:vAlign w:val="bottom"/>
            <w:tcBorders>
              <w:bottom w:val="single" w:sz="8" w:color="auto"/>
            </w:tcBorders>
          </w:tcPr>
          <w:p>
            <w:pPr>
              <w:spacing w:after="0"/>
              <w:rPr>
                <w:sz w:val="20"/>
                <w:szCs w:val="20"/>
                <w:color w:val="auto"/>
              </w:rPr>
            </w:pPr>
          </w:p>
        </w:tc>
      </w:tr>
      <w:tr>
        <w:trPr>
          <w:trHeight w:val="219"/>
        </w:trPr>
        <w:tc>
          <w:tcPr>
            <w:tcW w:w="500" w:type="dxa"/>
            <w:vAlign w:val="bottom"/>
          </w:tcPr>
          <w:p>
            <w:pPr>
              <w:spacing w:after="0"/>
              <w:rPr>
                <w:sz w:val="19"/>
                <w:szCs w:val="19"/>
                <w:color w:val="auto"/>
              </w:rPr>
            </w:pPr>
          </w:p>
        </w:tc>
        <w:tc>
          <w:tcPr>
            <w:tcW w:w="66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2022</w:t>
            </w:r>
          </w:p>
        </w:tc>
        <w:tc>
          <w:tcPr>
            <w:tcW w:w="5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9"/>
        </w:trPr>
        <w:tc>
          <w:tcPr>
            <w:tcW w:w="500" w:type="dxa"/>
            <w:vAlign w:val="bottom"/>
          </w:tcPr>
          <w:p>
            <w:pPr>
              <w:spacing w:after="0"/>
              <w:rPr>
                <w:sz w:val="19"/>
                <w:szCs w:val="19"/>
                <w:color w:val="auto"/>
              </w:rPr>
            </w:pPr>
          </w:p>
        </w:tc>
        <w:tc>
          <w:tcPr>
            <w:tcW w:w="6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54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26"/>
        </w:trPr>
        <w:tc>
          <w:tcPr>
            <w:tcW w:w="500" w:type="dxa"/>
            <w:vAlign w:val="bottom"/>
          </w:tcPr>
          <w:p>
            <w:pPr>
              <w:spacing w:after="0"/>
              <w:rPr>
                <w:sz w:val="19"/>
                <w:szCs w:val="19"/>
                <w:color w:val="auto"/>
              </w:rPr>
            </w:pPr>
          </w:p>
        </w:tc>
        <w:tc>
          <w:tcPr>
            <w:tcW w:w="66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9"/>
        </w:trPr>
        <w:tc>
          <w:tcPr>
            <w:tcW w:w="500" w:type="dxa"/>
            <w:vAlign w:val="bottom"/>
          </w:tcPr>
          <w:p>
            <w:pPr>
              <w:spacing w:after="0"/>
              <w:rPr>
                <w:sz w:val="19"/>
                <w:szCs w:val="19"/>
                <w:color w:val="auto"/>
              </w:rPr>
            </w:pPr>
          </w:p>
        </w:tc>
        <w:tc>
          <w:tcPr>
            <w:tcW w:w="662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5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19"/>
        </w:trPr>
        <w:tc>
          <w:tcPr>
            <w:tcW w:w="500" w:type="dxa"/>
            <w:vAlign w:val="bottom"/>
          </w:tcPr>
          <w:p>
            <w:pPr>
              <w:spacing w:after="0"/>
              <w:rPr>
                <w:sz w:val="19"/>
                <w:szCs w:val="19"/>
                <w:color w:val="auto"/>
              </w:rPr>
            </w:pPr>
          </w:p>
        </w:tc>
        <w:tc>
          <w:tcPr>
            <w:tcW w:w="66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5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4"/>
        </w:trPr>
        <w:tc>
          <w:tcPr>
            <w:tcW w:w="500" w:type="dxa"/>
            <w:vAlign w:val="bottom"/>
          </w:tcPr>
          <w:p>
            <w:pPr>
              <w:spacing w:after="0"/>
              <w:rPr>
                <w:sz w:val="20"/>
                <w:szCs w:val="20"/>
                <w:color w:val="auto"/>
              </w:rPr>
            </w:pPr>
          </w:p>
        </w:tc>
        <w:tc>
          <w:tcPr>
            <w:tcW w:w="662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 Attributable to Weatherford</w:t>
            </w: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540" w:type="dxa"/>
            <w:vAlign w:val="bottom"/>
            <w:tcBorders>
              <w:bottom w:val="single" w:sz="8" w:color="auto"/>
            </w:tcBorders>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0"/>
        </w:trPr>
        <w:tc>
          <w:tcPr>
            <w:tcW w:w="500" w:type="dxa"/>
            <w:vAlign w:val="bottom"/>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58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59"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69850</wp:posOffset>
            </wp:positionV>
            <wp:extent cx="716026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440"/>
          </w:cols>
          <w:pgMar w:left="640" w:top="450" w:right="8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260" w:type="dxa"/>
            <w:vAlign w:val="bottom"/>
          </w:tcPr>
          <w:p>
            <w:pPr>
              <w:spacing w:after="0"/>
              <w:rPr>
                <w:sz w:val="17"/>
                <w:szCs w:val="17"/>
                <w:color w:val="auto"/>
              </w:rPr>
            </w:pPr>
          </w:p>
        </w:tc>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823"/>
        </w:trPr>
        <w:tc>
          <w:tcPr>
            <w:tcW w:w="26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7940" w:type="dxa"/>
            <w:vAlign w:val="bottom"/>
            <w:gridSpan w:val="3"/>
          </w:tcPr>
          <w:p>
            <w:pPr>
              <w:jc w:val="center"/>
              <w:ind w:left="371"/>
              <w:spacing w:after="0"/>
              <w:rPr>
                <w:sz w:val="20"/>
                <w:szCs w:val="20"/>
                <w:color w:val="auto"/>
              </w:rPr>
            </w:pPr>
            <w:r>
              <w:rPr>
                <w:rFonts w:ascii="Times New Roman" w:cs="Times New Roman" w:eastAsia="Times New Roman" w:hAnsi="Times New Roman"/>
                <w:sz w:val="18"/>
                <w:szCs w:val="18"/>
                <w:b w:val="1"/>
                <w:bCs w:val="1"/>
                <w:color w:val="auto"/>
                <w:w w:val="97"/>
              </w:rPr>
              <w:t>WEATHERFORD INTERNATIONAL PLC AND SUBSIDIARIES</w:t>
            </w: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34"/>
        </w:trPr>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380" w:type="dxa"/>
            <w:vAlign w:val="bottom"/>
          </w:tcPr>
          <w:p>
            <w:pPr>
              <w:jc w:val="center"/>
              <w:ind w:left="1951"/>
              <w:spacing w:after="0"/>
              <w:rPr>
                <w:sz w:val="20"/>
                <w:szCs w:val="20"/>
                <w:color w:val="auto"/>
              </w:rPr>
            </w:pPr>
            <w:r>
              <w:rPr>
                <w:rFonts w:ascii="Times New Roman" w:cs="Times New Roman" w:eastAsia="Times New Roman" w:hAnsi="Times New Roman"/>
                <w:sz w:val="18"/>
                <w:szCs w:val="18"/>
                <w:b w:val="1"/>
                <w:bCs w:val="1"/>
                <w:color w:val="auto"/>
                <w:w w:val="98"/>
              </w:rPr>
              <w:t>CONDENSED CONSOLIDATED BALANCE SHEETS</w:t>
            </w: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51"/>
        </w:trPr>
        <w:tc>
          <w:tcPr>
            <w:tcW w:w="79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(Dollars and shares in millions, except par value)</w:t>
            </w: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w w:val="97"/>
              </w:rPr>
              <w:t>December 31, 2021</w:t>
            </w:r>
          </w:p>
        </w:tc>
      </w:tr>
      <w:tr>
        <w:trPr>
          <w:trHeight w:val="219"/>
        </w:trPr>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63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r>
      <w:tr>
        <w:trPr>
          <w:trHeight w:val="219"/>
        </w:trPr>
        <w:tc>
          <w:tcPr>
            <w:tcW w:w="7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26"/>
        </w:trPr>
        <w:tc>
          <w:tcPr>
            <w:tcW w:w="79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r>
      <w:tr>
        <w:trPr>
          <w:trHeight w:val="226"/>
        </w:trPr>
        <w:tc>
          <w:tcPr>
            <w:tcW w:w="79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173"/>
        </w:trPr>
        <w:tc>
          <w:tcPr>
            <w:tcW w:w="7900" w:type="dxa"/>
            <w:vAlign w:val="bottom"/>
            <w:gridSpan w:val="3"/>
          </w:tcPr>
          <w:p>
            <w:pPr>
              <w:ind w:left="100"/>
              <w:spacing w:after="0" w:line="173" w:lineRule="exact"/>
              <w:rPr>
                <w:sz w:val="20"/>
                <w:szCs w:val="20"/>
                <w:color w:val="auto"/>
              </w:rPr>
            </w:pPr>
            <w:r>
              <w:rPr>
                <w:rFonts w:ascii="Times New Roman" w:cs="Times New Roman" w:eastAsia="Times New Roman" w:hAnsi="Times New Roman"/>
                <w:sz w:val="18"/>
                <w:szCs w:val="18"/>
                <w:color w:val="auto"/>
                <w:w w:val="98"/>
              </w:rPr>
              <w:t>Accounts Receivable, Net of Allowance for Credit Losses of $35 at March 31, 2022 and $31 at December 31,</w:t>
            </w: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239"/>
        </w:trPr>
        <w:tc>
          <w:tcPr>
            <w:tcW w:w="1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2021</w:t>
            </w:r>
          </w:p>
        </w:tc>
        <w:tc>
          <w:tcPr>
            <w:tcW w:w="6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r>
      <w:tr>
        <w:trPr>
          <w:trHeight w:val="226"/>
        </w:trPr>
        <w:tc>
          <w:tcPr>
            <w:tcW w:w="79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Inventories, Net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r>
      <w:tr>
        <w:trPr>
          <w:trHeight w:val="226"/>
        </w:trPr>
        <w:tc>
          <w:tcPr>
            <w:tcW w:w="79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w:t>
            </w:r>
          </w:p>
        </w:tc>
      </w:tr>
      <w:tr>
        <w:trPr>
          <w:trHeight w:val="219"/>
        </w:trPr>
        <w:tc>
          <w:tcPr>
            <w:tcW w:w="7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2,911</w:t>
            </w:r>
          </w:p>
        </w:tc>
      </w:tr>
      <w:tr>
        <w:trPr>
          <w:trHeight w:val="173"/>
        </w:trPr>
        <w:tc>
          <w:tcPr>
            <w:tcW w:w="7900" w:type="dxa"/>
            <w:vAlign w:val="bottom"/>
            <w:gridSpan w:val="3"/>
          </w:tcPr>
          <w:p>
            <w:pPr>
              <w:ind w:left="100"/>
              <w:spacing w:after="0" w:line="173" w:lineRule="exact"/>
              <w:rPr>
                <w:sz w:val="20"/>
                <w:szCs w:val="20"/>
                <w:color w:val="auto"/>
              </w:rPr>
            </w:pPr>
            <w:r>
              <w:rPr>
                <w:rFonts w:ascii="Times New Roman" w:cs="Times New Roman" w:eastAsia="Times New Roman" w:hAnsi="Times New Roman"/>
                <w:sz w:val="18"/>
                <w:szCs w:val="18"/>
                <w:color w:val="auto"/>
              </w:rPr>
              <w:t>Property, Plant and Equipment, Net of Accumulated Depreciation of $661 at March 31, 2022 and $623 at</w:t>
            </w: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239"/>
        </w:trPr>
        <w:tc>
          <w:tcPr>
            <w:tcW w:w="79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December 31, 2021</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w:t>
            </w:r>
          </w:p>
        </w:tc>
      </w:tr>
      <w:tr>
        <w:trPr>
          <w:trHeight w:val="173"/>
        </w:trPr>
        <w:tc>
          <w:tcPr>
            <w:tcW w:w="7900" w:type="dxa"/>
            <w:vAlign w:val="bottom"/>
            <w:gridSpan w:val="3"/>
            <w:shd w:val="clear" w:color="auto" w:fill="CCEEFF"/>
          </w:tcPr>
          <w:p>
            <w:pPr>
              <w:ind w:left="100"/>
              <w:spacing w:after="0" w:line="173" w:lineRule="exact"/>
              <w:rPr>
                <w:sz w:val="20"/>
                <w:szCs w:val="20"/>
                <w:color w:val="auto"/>
              </w:rPr>
            </w:pPr>
            <w:r>
              <w:rPr>
                <w:rFonts w:ascii="Times New Roman" w:cs="Times New Roman" w:eastAsia="Times New Roman" w:hAnsi="Times New Roman"/>
                <w:sz w:val="18"/>
                <w:szCs w:val="18"/>
                <w:color w:val="auto"/>
              </w:rPr>
              <w:t>Intangible Assets, Net of Accumulated Amortization of $367 at March 31, 2022 and $328 at December 31,</w:t>
            </w: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239"/>
        </w:trPr>
        <w:tc>
          <w:tcPr>
            <w:tcW w:w="15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2021</w:t>
            </w:r>
          </w:p>
        </w:tc>
        <w:tc>
          <w:tcPr>
            <w:tcW w:w="63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2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r>
      <w:tr>
        <w:trPr>
          <w:trHeight w:val="226"/>
        </w:trPr>
        <w:tc>
          <w:tcPr>
            <w:tcW w:w="79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26"/>
        </w:trPr>
        <w:tc>
          <w:tcPr>
            <w:tcW w:w="7900" w:type="dxa"/>
            <w:vAlign w:val="bottom"/>
            <w:tcBorders>
              <w:bottom w:val="single" w:sz="8" w:color="auto"/>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Non-Current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9"/>
        </w:trPr>
        <w:tc>
          <w:tcPr>
            <w:tcW w:w="79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4,684</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4,774</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19"/>
        </w:trPr>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26"/>
        </w:trPr>
        <w:tc>
          <w:tcPr>
            <w:tcW w:w="79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6"/>
        </w:trPr>
        <w:tc>
          <w:tcPr>
            <w:tcW w:w="79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Short-term Borrowings and Current Portion of Finance Leases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6"/>
        </w:trPr>
        <w:tc>
          <w:tcPr>
            <w:tcW w:w="79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26"/>
        </w:trPr>
        <w:tc>
          <w:tcPr>
            <w:tcW w:w="79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Accrued Salaries and Benefits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26"/>
        </w:trPr>
        <w:tc>
          <w:tcPr>
            <w:tcW w:w="79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Income Taxes Payable</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26"/>
        </w:trPr>
        <w:tc>
          <w:tcPr>
            <w:tcW w:w="79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6"/>
        </w:trPr>
        <w:tc>
          <w:tcPr>
            <w:tcW w:w="79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w:t>
            </w:r>
          </w:p>
        </w:tc>
      </w:tr>
      <w:tr>
        <w:trPr>
          <w:trHeight w:val="219"/>
        </w:trPr>
        <w:tc>
          <w:tcPr>
            <w:tcW w:w="7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w:t>
            </w:r>
          </w:p>
        </w:tc>
      </w:tr>
      <w:tr>
        <w:trPr>
          <w:trHeight w:val="226"/>
        </w:trPr>
        <w:tc>
          <w:tcPr>
            <w:tcW w:w="79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w:t>
            </w:r>
          </w:p>
        </w:tc>
      </w:tr>
      <w:tr>
        <w:trPr>
          <w:trHeight w:val="226"/>
        </w:trPr>
        <w:tc>
          <w:tcPr>
            <w:tcW w:w="79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26"/>
        </w:trPr>
        <w:tc>
          <w:tcPr>
            <w:tcW w:w="79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Non-current Taxes Payable</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26"/>
        </w:trPr>
        <w:tc>
          <w:tcPr>
            <w:tcW w:w="7900" w:type="dxa"/>
            <w:vAlign w:val="bottom"/>
            <w:tcBorders>
              <w:bottom w:val="single" w:sz="8" w:color="auto"/>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19"/>
        </w:trPr>
        <w:tc>
          <w:tcPr>
            <w:tcW w:w="7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4,278</w:t>
            </w:r>
          </w:p>
        </w:tc>
      </w:tr>
      <w:tr>
        <w:trPr>
          <w:trHeight w:val="159"/>
        </w:trPr>
        <w:tc>
          <w:tcPr>
            <w:tcW w:w="7900" w:type="dxa"/>
            <w:vAlign w:val="bottom"/>
            <w:gridSpan w:val="3"/>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r>
      <w:tr>
        <w:trPr>
          <w:trHeight w:val="226"/>
        </w:trPr>
        <w:tc>
          <w:tcPr>
            <w:tcW w:w="79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173"/>
        </w:trPr>
        <w:tc>
          <w:tcPr>
            <w:tcW w:w="7900" w:type="dxa"/>
            <w:vAlign w:val="bottom"/>
            <w:gridSpan w:val="3"/>
            <w:shd w:val="clear" w:color="auto" w:fill="CCEEFF"/>
          </w:tcPr>
          <w:p>
            <w:pPr>
              <w:ind w:left="100"/>
              <w:spacing w:after="0" w:line="173" w:lineRule="exact"/>
              <w:rPr>
                <w:sz w:val="20"/>
                <w:szCs w:val="20"/>
                <w:color w:val="auto"/>
              </w:rPr>
            </w:pPr>
            <w:r>
              <w:rPr>
                <w:rFonts w:ascii="Times New Roman" w:cs="Times New Roman" w:eastAsia="Times New Roman" w:hAnsi="Times New Roman"/>
                <w:sz w:val="18"/>
                <w:szCs w:val="18"/>
                <w:color w:val="auto"/>
                <w:w w:val="98"/>
              </w:rPr>
              <w:t>Ordinary Shares - Par Value $0.001; Authorized 1,356 shares, Issued and Outstanding 70 shares at March 31,</w:t>
            </w: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239"/>
        </w:trPr>
        <w:tc>
          <w:tcPr>
            <w:tcW w:w="79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2022 and December 31, 2021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79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2,908</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2,904</w:t>
            </w:r>
          </w:p>
        </w:tc>
      </w:tr>
      <w:tr>
        <w:trPr>
          <w:trHeight w:val="226"/>
        </w:trPr>
        <w:tc>
          <w:tcPr>
            <w:tcW w:w="79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Retained Deficit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w:t>
            </w:r>
          </w:p>
        </w:tc>
      </w:tr>
      <w:tr>
        <w:trPr>
          <w:trHeight w:val="226"/>
        </w:trPr>
        <w:tc>
          <w:tcPr>
            <w:tcW w:w="79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9"/>
        </w:trPr>
        <w:tc>
          <w:tcPr>
            <w:tcW w:w="7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Weatherford Shareholders’ Equity</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r>
      <w:tr>
        <w:trPr>
          <w:trHeight w:val="226"/>
        </w:trPr>
        <w:tc>
          <w:tcPr>
            <w:tcW w:w="79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9"/>
        </w:trPr>
        <w:tc>
          <w:tcPr>
            <w:tcW w:w="7900" w:type="dxa"/>
            <w:vAlign w:val="bottom"/>
            <w:tcBorders>
              <w:bottom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r>
      <w:tr>
        <w:trPr>
          <w:trHeight w:val="219"/>
        </w:trPr>
        <w:tc>
          <w:tcPr>
            <w:tcW w:w="79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4,684</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4,774</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5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69850</wp:posOffset>
            </wp:positionV>
            <wp:extent cx="716026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20"/>
          </w:cols>
          <w:pgMar w:left="380" w:top="450" w:right="3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WEATHERFORD INTERNATIONAL PLC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117"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millions)</w:t>
            </w: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5"/>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14"/>
        </w:trPr>
        <w:tc>
          <w:tcPr>
            <w:tcW w:w="7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Loss</w:t>
            </w:r>
          </w:p>
        </w:tc>
        <w:tc>
          <w:tcPr>
            <w:tcW w:w="38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38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r>
      <w:tr>
        <w:trPr>
          <w:trHeight w:val="210"/>
        </w:trPr>
        <w:tc>
          <w:tcPr>
            <w:tcW w:w="7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Operating Activities:</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5"/>
        </w:trPr>
        <w:tc>
          <w:tcPr>
            <w:tcW w:w="7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r>
      <w:tr>
        <w:trPr>
          <w:trHeight w:val="210"/>
        </w:trPr>
        <w:tc>
          <w:tcPr>
            <w:tcW w:w="7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Asset Write-downs and Other Charges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5"/>
        </w:trPr>
        <w:tc>
          <w:tcPr>
            <w:tcW w:w="7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Inventory Charges</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0"/>
        </w:trPr>
        <w:tc>
          <w:tcPr>
            <w:tcW w:w="7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Gain on Disposition of Assets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5"/>
        </w:trPr>
        <w:tc>
          <w:tcPr>
            <w:tcW w:w="7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Deferred Income Tax Provision</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0"/>
        </w:trPr>
        <w:tc>
          <w:tcPr>
            <w:tcW w:w="7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Share-Based Compensation</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5"/>
        </w:trPr>
        <w:tc>
          <w:tcPr>
            <w:tcW w:w="7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Changes in Operating Assets and Liabilities, Net:</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0"/>
        </w:trPr>
        <w:tc>
          <w:tcPr>
            <w:tcW w:w="7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Receivable</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15"/>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Inventories</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0"/>
        </w:trPr>
        <w:tc>
          <w:tcPr>
            <w:tcW w:w="7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2"/>
        </w:trPr>
        <w:tc>
          <w:tcPr>
            <w:tcW w:w="75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Assets and Liabilities, Net</w:t>
            </w: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3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07"/>
        </w:trPr>
        <w:tc>
          <w:tcPr>
            <w:tcW w:w="7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(Used in) Operating Activities</w:t>
            </w: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w:t>
            </w:r>
          </w:p>
        </w:tc>
      </w:tr>
      <w:tr>
        <w:trPr>
          <w:trHeight w:val="207"/>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0"/>
        </w:trPr>
        <w:tc>
          <w:tcPr>
            <w:tcW w:w="7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Capital Expenditures for Property, Plant and Equipment</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5"/>
        </w:trPr>
        <w:tc>
          <w:tcPr>
            <w:tcW w:w="7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Proceeds from Disposition of Assets</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0"/>
        </w:trPr>
        <w:tc>
          <w:tcPr>
            <w:tcW w:w="75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7"/>
        </w:trPr>
        <w:tc>
          <w:tcPr>
            <w:tcW w:w="7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(Used in) Investing Activities</w:t>
            </w:r>
          </w:p>
        </w:tc>
        <w:tc>
          <w:tcPr>
            <w:tcW w:w="3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3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06"/>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14"/>
        </w:trPr>
        <w:tc>
          <w:tcPr>
            <w:tcW w:w="7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0"/>
        </w:trPr>
        <w:tc>
          <w:tcPr>
            <w:tcW w:w="7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Repayments of Short-term Debt, Net</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2"/>
        </w:trPr>
        <w:tc>
          <w:tcPr>
            <w:tcW w:w="75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07"/>
        </w:trPr>
        <w:tc>
          <w:tcPr>
            <w:tcW w:w="7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07"/>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0"/>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212"/>
        </w:trPr>
        <w:tc>
          <w:tcPr>
            <w:tcW w:w="7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1,113</w:t>
            </w:r>
          </w:p>
        </w:tc>
        <w:tc>
          <w:tcPr>
            <w:tcW w:w="3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1,285</w:t>
            </w:r>
          </w:p>
        </w:tc>
      </w:tr>
      <w:tr>
        <w:trPr>
          <w:trHeight w:val="206"/>
        </w:trPr>
        <w:tc>
          <w:tcPr>
            <w:tcW w:w="7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38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1,056</w:t>
            </w:r>
          </w:p>
        </w:tc>
        <w:tc>
          <w:tcPr>
            <w:tcW w:w="38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1,343</w:t>
            </w:r>
          </w:p>
        </w:tc>
      </w:tr>
      <w:tr>
        <w:trPr>
          <w:trHeight w:val="20"/>
        </w:trPr>
        <w:tc>
          <w:tcPr>
            <w:tcW w:w="75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08"/>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0"/>
        </w:trPr>
        <w:tc>
          <w:tcPr>
            <w:tcW w:w="7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Interest Paid</w:t>
            </w:r>
          </w:p>
        </w:tc>
        <w:tc>
          <w:tcPr>
            <w:tcW w:w="38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38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15"/>
        </w:trPr>
        <w:tc>
          <w:tcPr>
            <w:tcW w:w="7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Income Taxes Paid, Net of Refunds</w:t>
            </w:r>
          </w:p>
        </w:tc>
        <w:tc>
          <w:tcPr>
            <w:tcW w:w="38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38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bl>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69850</wp:posOffset>
            </wp:positionV>
            <wp:extent cx="716026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920"/>
          </w:cols>
          <w:pgMar w:left="640" w:top="466" w:right="339" w:bottom="1440" w:gutter="0" w:footer="0" w:header="0"/>
        </w:sectPr>
      </w:pPr>
    </w:p>
    <w:bookmarkStart w:id="6" w:name="page7"/>
    <w:bookmarkEnd w:id="6"/>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WEATHERFORD INTERNATIONAL PLC AND SUBSIDIARIES</w:t>
      </w:r>
    </w:p>
    <w:p>
      <w:pPr>
        <w:spacing w:after="0" w:line="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1 – Basis of Presentation and Summary of Significant Accounting Policies</w:t>
      </w:r>
    </w:p>
    <w:p>
      <w:pPr>
        <w:spacing w:after="0" w:line="2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49"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Weatherford International plc (the “Company,” “Weatherford”, “we”, “us”, or “our”) have been prepared in accordance with generally accepted accounting principles in the United States of America (“U.S. GAAP”) and pursuant to the rules and regulations of the Securities and Exchange Commission (“SEC”) for interim financial information. Accordingly, certain information and disclosures normally included in our annual consolidated financial statements have been condensed or omitted. Therefore, these unaudited Condensed Consolidated Financial Statements should be read in conjunction with our audited Consolidated Financial Statements included in our Annual Report on Form 10-K for the year ended December 31, 2021 (“2021 Annual Report”).</w:t>
      </w:r>
    </w:p>
    <w:p>
      <w:pPr>
        <w:spacing w:after="0" w:line="210"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conformity with U.S. GAAP requires us to make estimates and assumptions that affect the reported amounts of assets and liabilities at the date of the Condensed Consolidated Financial Statements and the reported amounts of revenue and expenses during the reporting period. Ultimate results could differ from our estimates.</w:t>
      </w:r>
    </w:p>
    <w:p>
      <w:pPr>
        <w:spacing w:after="0" w:line="204"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In the opinion of management, the Condensed Consolidated Financial Statements reflect all adjustments (consisting of normal recurring adjustments) considered necessary by management to fairly state the results of operations, financial position and cash flows of Weatherford and its subsidiaries for the periods presented and are not necessarily indicative of the results that may be expected for a full year. Our financial statements have been prepared on a consolidated basis. Under this basis, our financial statements consolidate all wholly owned subsidiaries and controlled joint ventures. All intercompany accounts and transactions have been eliminated.</w:t>
      </w: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249" w:lineRule="exact"/>
        <w:rPr>
          <w:sz w:val="20"/>
          <w:szCs w:val="20"/>
          <w:color w:val="auto"/>
        </w:rPr>
      </w:pPr>
    </w:p>
    <w:p>
      <w:pPr>
        <w:jc w:val="both"/>
        <w:ind w:firstLine="319"/>
        <w:spacing w:after="0" w:line="255" w:lineRule="auto"/>
        <w:rPr>
          <w:sz w:val="20"/>
          <w:szCs w:val="20"/>
          <w:color w:val="auto"/>
        </w:rPr>
      </w:pPr>
      <w:r>
        <w:rPr>
          <w:rFonts w:ascii="Times New Roman" w:cs="Times New Roman" w:eastAsia="Times New Roman" w:hAnsi="Times New Roman"/>
          <w:sz w:val="18"/>
          <w:szCs w:val="18"/>
          <w:color w:val="auto"/>
        </w:rPr>
        <w:t>Please refer to “Note 1 – Summary of Significant Accounting Policies” of our Consolidated Financial Statements from our 2021 Annual Report for the discussion on our significant accounting policies. Certain reclassifications have been made to the financial statements and accompanying footnotes for the three months ended March 31, 2021 to conform to the presentation for the three months ended March 31, 2022, including the change in reportable segments made during the fourth quarter of 2021.</w:t>
      </w:r>
    </w:p>
    <w:p>
      <w:pPr>
        <w:spacing w:after="0" w:line="2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New Accounting Standards</w:t>
      </w:r>
    </w:p>
    <w:p>
      <w:pPr>
        <w:spacing w:after="0" w:line="249"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All new accounting pronouncements that have been issued but not yet effective are currently being evaluated and at this time are not expected to have a material impact on our financial position or results of operations.</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2 – Segment Information</w:t>
      </w:r>
    </w:p>
    <w:p>
      <w:pPr>
        <w:spacing w:after="0" w:line="247" w:lineRule="exact"/>
        <w:rPr>
          <w:sz w:val="20"/>
          <w:szCs w:val="20"/>
          <w:color w:val="auto"/>
        </w:rPr>
      </w:pPr>
    </w:p>
    <w:p>
      <w:pPr>
        <w:jc w:val="both"/>
        <w:ind w:firstLine="319"/>
        <w:spacing w:after="0" w:line="251" w:lineRule="auto"/>
        <w:rPr>
          <w:sz w:val="20"/>
          <w:szCs w:val="20"/>
          <w:color w:val="auto"/>
        </w:rPr>
      </w:pPr>
      <w:r>
        <w:rPr>
          <w:rFonts w:ascii="Times New Roman" w:cs="Times New Roman" w:eastAsia="Times New Roman" w:hAnsi="Times New Roman"/>
          <w:sz w:val="18"/>
          <w:szCs w:val="18"/>
          <w:color w:val="auto"/>
        </w:rPr>
        <w:t>Financial information by segment is summarized below. The accounting policies of the segments are the same as those described in the summary of significant accounting policies as presented in our 2021 Annual Report. During the fourth quarter of 2021, our chief operating decision maker changed the information regularly reviewed to be aligned with how we offer our services and technologies in relation to the life cycle of a well and we have realigned our reportable segments to reflect the change. All of our segments are enabled by a full suite of digital, monitoring, optimization and artificial intelligence solutions providing services throughout the well life cycle, including responsible abandonment. We now have three reportable segments: (1) Drilling and Evaluation (2) Well Construction and Completions, and (3) Production and Intervention. Previously we had two geographic based reportable segments, Western Hemisphere and Eastern Hemisphere.</w:t>
      </w:r>
    </w:p>
    <w:p>
      <w:pPr>
        <w:spacing w:after="0" w:line="211" w:lineRule="exact"/>
        <w:rPr>
          <w:sz w:val="20"/>
          <w:szCs w:val="20"/>
          <w:color w:val="auto"/>
        </w:rPr>
      </w:pPr>
    </w:p>
    <w:p>
      <w:pPr>
        <w:jc w:val="both"/>
        <w:ind w:firstLine="319"/>
        <w:spacing w:after="0" w:line="255" w:lineRule="auto"/>
        <w:rPr>
          <w:sz w:val="20"/>
          <w:szCs w:val="20"/>
          <w:color w:val="auto"/>
        </w:rPr>
      </w:pPr>
      <w:r>
        <w:rPr>
          <w:rFonts w:ascii="Times New Roman" w:cs="Times New Roman" w:eastAsia="Times New Roman" w:hAnsi="Times New Roman"/>
          <w:sz w:val="18"/>
          <w:szCs w:val="18"/>
          <w:color w:val="auto"/>
        </w:rPr>
        <w:t>Our primary measure of segment profitability is now segment adjusted EBITDA, which is based on segment earnings before interest, taxes, depreciation, amortization, share-based compensation expense and other adjustments. Research and development expenses are included in segment adjusted EBITDA. Corporate and other includes business activities related to all other segments (profit and loss), corporate and other expenses (overhead support and centrally managed or shared facilities costs) that do not individually meet the criteria for segment reporting.</w:t>
      </w:r>
    </w:p>
    <w:p>
      <w:pPr>
        <w:spacing w:after="0" w:line="200" w:lineRule="exact"/>
        <w:rPr>
          <w:sz w:val="20"/>
          <w:szCs w:val="20"/>
          <w:color w:val="auto"/>
        </w:rPr>
      </w:pPr>
    </w:p>
    <w:p>
      <w:pPr>
        <w:spacing w:after="0" w:line="35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13" w:right="339" w:bottom="1440" w:gutter="0" w:footer="0" w:header="0"/>
        </w:sectPr>
      </w:pPr>
    </w:p>
    <w:bookmarkStart w:id="7" w:name="page8"/>
    <w:bookmarkEnd w:id="7"/>
    <w:tbl>
      <w:tblPr>
        <w:tblLayout w:type="fixed"/>
        <w:tblInd w:w="154" w:type="dxa"/>
        <w:tblCellMar>
          <w:top w:w="0" w:type="dxa"/>
          <w:left w:w="0" w:type="dxa"/>
          <w:bottom w:w="0" w:type="dxa"/>
          <w:right w:w="0" w:type="dxa"/>
        </w:tblCellMar>
      </w:tblPr>
      <w:tr>
        <w:trPr>
          <w:trHeight w:val="207"/>
        </w:trPr>
        <w:tc>
          <w:tcPr>
            <w:tcW w:w="51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6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060" w:type="dxa"/>
            <w:vAlign w:val="bottom"/>
            <w:gridSpan w:val="3"/>
            <w:vMerge w:val="restart"/>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line="20" w:lineRule="exact"/>
              <w:rPr>
                <w:sz w:val="1"/>
                <w:szCs w:val="1"/>
                <w:color w:val="auto"/>
              </w:rPr>
            </w:pPr>
          </w:p>
        </w:tc>
      </w:tr>
      <w:tr>
        <w:trPr>
          <w:trHeight w:val="969"/>
        </w:trPr>
        <w:tc>
          <w:tcPr>
            <w:tcW w:w="160" w:type="dxa"/>
            <w:vAlign w:val="bottom"/>
          </w:tcPr>
          <w:p>
            <w:pPr>
              <w:spacing w:after="0"/>
              <w:rPr>
                <w:sz w:val="24"/>
                <w:szCs w:val="24"/>
                <w:color w:val="auto"/>
              </w:rPr>
            </w:pPr>
          </w:p>
        </w:tc>
        <w:tc>
          <w:tcPr>
            <w:tcW w:w="4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(Dollars in millions)</w:t>
            </w:r>
          </w:p>
        </w:tc>
        <w:tc>
          <w:tcPr>
            <w:tcW w:w="2600" w:type="dxa"/>
            <w:vAlign w:val="bottom"/>
          </w:tcPr>
          <w:p>
            <w:pPr>
              <w:spacing w:after="0"/>
              <w:rPr>
                <w:sz w:val="24"/>
                <w:szCs w:val="24"/>
                <w:color w:val="auto"/>
              </w:rPr>
            </w:pPr>
          </w:p>
        </w:tc>
        <w:tc>
          <w:tcPr>
            <w:tcW w:w="306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60" w:type="dxa"/>
            <w:vAlign w:val="bottom"/>
          </w:tcPr>
          <w:p>
            <w:pPr>
              <w:spacing w:after="0"/>
              <w:rPr>
                <w:sz w:val="20"/>
                <w:szCs w:val="20"/>
                <w:color w:val="auto"/>
              </w:rPr>
            </w:pPr>
          </w:p>
        </w:tc>
        <w:tc>
          <w:tcPr>
            <w:tcW w:w="4940" w:type="dxa"/>
            <w:vAlign w:val="bottom"/>
            <w:tcBorders>
              <w:bottom w:val="single" w:sz="8" w:color="auto"/>
            </w:tcBorders>
            <w:gridSpan w:val="2"/>
            <w:vMerge w:val="continue"/>
          </w:tcPr>
          <w:p>
            <w:pPr>
              <w:spacing w:after="0"/>
              <w:rPr>
                <w:sz w:val="20"/>
                <w:szCs w:val="20"/>
                <w:color w:val="auto"/>
              </w:rPr>
            </w:pPr>
          </w:p>
        </w:tc>
        <w:tc>
          <w:tcPr>
            <w:tcW w:w="26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19"/>
        </w:trPr>
        <w:tc>
          <w:tcPr>
            <w:tcW w:w="160" w:type="dxa"/>
            <w:vAlign w:val="bottom"/>
          </w:tcPr>
          <w:p>
            <w:pPr>
              <w:spacing w:after="0"/>
              <w:rPr>
                <w:sz w:val="19"/>
                <w:szCs w:val="19"/>
                <w:color w:val="auto"/>
              </w:rPr>
            </w:pPr>
          </w:p>
        </w:tc>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60" w:type="dxa"/>
            <w:vAlign w:val="bottom"/>
          </w:tcPr>
          <w:p>
            <w:pPr>
              <w:spacing w:after="0"/>
              <w:rPr>
                <w:sz w:val="19"/>
                <w:szCs w:val="19"/>
                <w:color w:val="auto"/>
              </w:rPr>
            </w:pPr>
          </w:p>
        </w:tc>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Drilling and Evaluation</w:t>
            </w:r>
          </w:p>
        </w:tc>
        <w:tc>
          <w:tcPr>
            <w:tcW w:w="26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40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26"/>
        </w:trPr>
        <w:tc>
          <w:tcPr>
            <w:tcW w:w="160" w:type="dxa"/>
            <w:vAlign w:val="bottom"/>
          </w:tcPr>
          <w:p>
            <w:pPr>
              <w:spacing w:after="0"/>
              <w:rPr>
                <w:sz w:val="19"/>
                <w:szCs w:val="19"/>
                <w:color w:val="auto"/>
              </w:rPr>
            </w:pPr>
          </w:p>
        </w:tc>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Well Construction and Completions</w:t>
            </w:r>
          </w:p>
        </w:tc>
        <w:tc>
          <w:tcPr>
            <w:tcW w:w="26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26"/>
        </w:trPr>
        <w:tc>
          <w:tcPr>
            <w:tcW w:w="160" w:type="dxa"/>
            <w:vAlign w:val="bottom"/>
          </w:tcPr>
          <w:p>
            <w:pPr>
              <w:spacing w:after="0"/>
              <w:rPr>
                <w:sz w:val="19"/>
                <w:szCs w:val="19"/>
                <w:color w:val="auto"/>
              </w:rPr>
            </w:pPr>
          </w:p>
        </w:tc>
        <w:tc>
          <w:tcPr>
            <w:tcW w:w="49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Production and Intervention</w:t>
            </w:r>
          </w:p>
        </w:tc>
        <w:tc>
          <w:tcPr>
            <w:tcW w:w="26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19"/>
        </w:trPr>
        <w:tc>
          <w:tcPr>
            <w:tcW w:w="160" w:type="dxa"/>
            <w:vAlign w:val="bottom"/>
          </w:tcPr>
          <w:p>
            <w:pPr>
              <w:spacing w:after="0"/>
              <w:rPr>
                <w:sz w:val="19"/>
                <w:szCs w:val="19"/>
                <w:color w:val="auto"/>
              </w:rPr>
            </w:pPr>
          </w:p>
        </w:tc>
        <w:tc>
          <w:tcPr>
            <w:tcW w:w="4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Segment Revenues</w:t>
            </w:r>
          </w:p>
        </w:tc>
        <w:tc>
          <w:tcPr>
            <w:tcW w:w="26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0" w:type="dxa"/>
            <w:vAlign w:val="bottom"/>
          </w:tcPr>
          <w:p>
            <w:pPr>
              <w:spacing w:after="0"/>
              <w:rPr>
                <w:sz w:val="1"/>
                <w:szCs w:val="1"/>
                <w:color w:val="auto"/>
              </w:rPr>
            </w:pPr>
          </w:p>
        </w:tc>
      </w:tr>
      <w:tr>
        <w:trPr>
          <w:trHeight w:val="226"/>
        </w:trPr>
        <w:tc>
          <w:tcPr>
            <w:tcW w:w="160" w:type="dxa"/>
            <w:vAlign w:val="bottom"/>
          </w:tcPr>
          <w:p>
            <w:pPr>
              <w:spacing w:after="0"/>
              <w:rPr>
                <w:sz w:val="19"/>
                <w:szCs w:val="19"/>
                <w:color w:val="auto"/>
              </w:rPr>
            </w:pPr>
          </w:p>
        </w:tc>
        <w:tc>
          <w:tcPr>
            <w:tcW w:w="49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26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9"/>
        </w:trPr>
        <w:tc>
          <w:tcPr>
            <w:tcW w:w="160" w:type="dxa"/>
            <w:vAlign w:val="bottom"/>
          </w:tcPr>
          <w:p>
            <w:pPr>
              <w:spacing w:after="0"/>
              <w:rPr>
                <w:sz w:val="19"/>
                <w:szCs w:val="19"/>
                <w:color w:val="auto"/>
              </w:rPr>
            </w:pPr>
          </w:p>
        </w:tc>
        <w:tc>
          <w:tcPr>
            <w:tcW w:w="4940" w:type="dxa"/>
            <w:vAlign w:val="bottom"/>
            <w:tcBorders>
              <w:bottom w:val="single" w:sz="8" w:color="auto"/>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Revenues</w:t>
            </w:r>
          </w:p>
        </w:tc>
        <w:tc>
          <w:tcPr>
            <w:tcW w:w="26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40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0" w:type="dxa"/>
            <w:vAlign w:val="bottom"/>
          </w:tcPr>
          <w:p>
            <w:pPr>
              <w:spacing w:after="0"/>
              <w:rPr>
                <w:sz w:val="1"/>
                <w:szCs w:val="1"/>
                <w:color w:val="auto"/>
              </w:rPr>
            </w:pPr>
          </w:p>
        </w:tc>
      </w:tr>
      <w:tr>
        <w:trPr>
          <w:trHeight w:val="139"/>
        </w:trPr>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6"/>
        </w:trPr>
        <w:tc>
          <w:tcPr>
            <w:tcW w:w="160" w:type="dxa"/>
            <w:vAlign w:val="bottom"/>
          </w:tcPr>
          <w:p>
            <w:pPr>
              <w:spacing w:after="0"/>
              <w:rPr>
                <w:sz w:val="19"/>
                <w:szCs w:val="19"/>
                <w:color w:val="auto"/>
              </w:rPr>
            </w:pPr>
          </w:p>
        </w:tc>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Adjusted EBITDA:</w:t>
            </w:r>
          </w:p>
        </w:tc>
        <w:tc>
          <w:tcPr>
            <w:tcW w:w="26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60" w:type="dxa"/>
            <w:vAlign w:val="bottom"/>
          </w:tcPr>
          <w:p>
            <w:pPr>
              <w:spacing w:after="0"/>
              <w:rPr>
                <w:sz w:val="19"/>
                <w:szCs w:val="19"/>
                <w:color w:val="auto"/>
              </w:rPr>
            </w:pPr>
          </w:p>
        </w:tc>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Drilling and Evaluation</w:t>
            </w:r>
          </w:p>
        </w:tc>
        <w:tc>
          <w:tcPr>
            <w:tcW w:w="26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40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6"/>
        </w:trPr>
        <w:tc>
          <w:tcPr>
            <w:tcW w:w="160" w:type="dxa"/>
            <w:vAlign w:val="bottom"/>
          </w:tcPr>
          <w:p>
            <w:pPr>
              <w:spacing w:after="0"/>
              <w:rPr>
                <w:sz w:val="19"/>
                <w:szCs w:val="19"/>
                <w:color w:val="auto"/>
              </w:rPr>
            </w:pPr>
          </w:p>
        </w:tc>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Well Construction and Completions</w:t>
            </w:r>
          </w:p>
        </w:tc>
        <w:tc>
          <w:tcPr>
            <w:tcW w:w="26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6"/>
        </w:trPr>
        <w:tc>
          <w:tcPr>
            <w:tcW w:w="160" w:type="dxa"/>
            <w:vAlign w:val="bottom"/>
          </w:tcPr>
          <w:p>
            <w:pPr>
              <w:spacing w:after="0"/>
              <w:rPr>
                <w:sz w:val="19"/>
                <w:szCs w:val="19"/>
                <w:color w:val="auto"/>
              </w:rPr>
            </w:pPr>
          </w:p>
        </w:tc>
        <w:tc>
          <w:tcPr>
            <w:tcW w:w="49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Production and Intervention</w:t>
            </w:r>
          </w:p>
        </w:tc>
        <w:tc>
          <w:tcPr>
            <w:tcW w:w="26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9"/>
        </w:trPr>
        <w:tc>
          <w:tcPr>
            <w:tcW w:w="160" w:type="dxa"/>
            <w:vAlign w:val="bottom"/>
          </w:tcPr>
          <w:p>
            <w:pPr>
              <w:spacing w:after="0"/>
              <w:rPr>
                <w:sz w:val="19"/>
                <w:szCs w:val="19"/>
                <w:color w:val="auto"/>
              </w:rPr>
            </w:pPr>
          </w:p>
        </w:tc>
        <w:tc>
          <w:tcPr>
            <w:tcW w:w="4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Segment Adjusted EBITDA</w:t>
            </w:r>
          </w:p>
        </w:tc>
        <w:tc>
          <w:tcPr>
            <w:tcW w:w="26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40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26"/>
        </w:trPr>
        <w:tc>
          <w:tcPr>
            <w:tcW w:w="160" w:type="dxa"/>
            <w:vAlign w:val="bottom"/>
          </w:tcPr>
          <w:p>
            <w:pPr>
              <w:spacing w:after="0"/>
              <w:rPr>
                <w:sz w:val="19"/>
                <w:szCs w:val="19"/>
                <w:color w:val="auto"/>
              </w:rPr>
            </w:pPr>
          </w:p>
        </w:tc>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26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6"/>
        </w:trPr>
        <w:tc>
          <w:tcPr>
            <w:tcW w:w="160" w:type="dxa"/>
            <w:vAlign w:val="bottom"/>
          </w:tcPr>
          <w:p>
            <w:pPr>
              <w:spacing w:after="0"/>
              <w:rPr>
                <w:sz w:val="19"/>
                <w:szCs w:val="19"/>
                <w:color w:val="auto"/>
              </w:rPr>
            </w:pPr>
          </w:p>
        </w:tc>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26"/>
        </w:trPr>
        <w:tc>
          <w:tcPr>
            <w:tcW w:w="160" w:type="dxa"/>
            <w:vAlign w:val="bottom"/>
          </w:tcPr>
          <w:p>
            <w:pPr>
              <w:spacing w:after="0"/>
              <w:rPr>
                <w:sz w:val="19"/>
                <w:szCs w:val="19"/>
                <w:color w:val="auto"/>
              </w:rPr>
            </w:pPr>
          </w:p>
        </w:tc>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6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6"/>
        </w:trPr>
        <w:tc>
          <w:tcPr>
            <w:tcW w:w="160" w:type="dxa"/>
            <w:vAlign w:val="bottom"/>
          </w:tcPr>
          <w:p>
            <w:pPr>
              <w:spacing w:after="0"/>
              <w:rPr>
                <w:sz w:val="19"/>
                <w:szCs w:val="19"/>
                <w:color w:val="auto"/>
              </w:rPr>
            </w:pPr>
          </w:p>
        </w:tc>
        <w:tc>
          <w:tcPr>
            <w:tcW w:w="4940" w:type="dxa"/>
            <w:vAlign w:val="bottom"/>
            <w:tcBorders>
              <w:bottom w:val="single" w:sz="8" w:color="auto"/>
            </w:tcBorders>
            <w:gridSpan w:val="2"/>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Other Adjustments </w:t>
            </w:r>
            <w:r>
              <w:rPr>
                <w:rFonts w:ascii="Times New Roman" w:cs="Times New Roman" w:eastAsia="Times New Roman" w:hAnsi="Times New Roman"/>
                <w:sz w:val="23"/>
                <w:szCs w:val="23"/>
                <w:color w:val="auto"/>
                <w:vertAlign w:val="superscript"/>
              </w:rPr>
              <w:t>(a)</w:t>
            </w:r>
          </w:p>
        </w:tc>
        <w:tc>
          <w:tcPr>
            <w:tcW w:w="26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9"/>
        </w:trPr>
        <w:tc>
          <w:tcPr>
            <w:tcW w:w="160" w:type="dxa"/>
            <w:vAlign w:val="bottom"/>
          </w:tcPr>
          <w:p>
            <w:pPr>
              <w:spacing w:after="0"/>
              <w:rPr>
                <w:sz w:val="19"/>
                <w:szCs w:val="19"/>
                <w:color w:val="auto"/>
              </w:rPr>
            </w:pPr>
          </w:p>
        </w:tc>
        <w:tc>
          <w:tcPr>
            <w:tcW w:w="49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Operating Income (Loss)</w:t>
            </w:r>
          </w:p>
        </w:tc>
        <w:tc>
          <w:tcPr>
            <w:tcW w:w="26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4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 w:lineRule="exact"/>
        <w:rPr>
          <w:sz w:val="20"/>
          <w:szCs w:val="20"/>
          <w:color w:val="auto"/>
        </w:rPr>
      </w:pPr>
    </w:p>
    <w:p>
      <w:pPr>
        <w:jc w:val="both"/>
        <w:ind w:left="234" w:hanging="234"/>
        <w:spacing w:after="0" w:line="233" w:lineRule="auto"/>
        <w:tabs>
          <w:tab w:leader="none" w:pos="230" w:val="left"/>
        </w:tabs>
        <w:numPr>
          <w:ilvl w:val="0"/>
          <w:numId w:val="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Other adjustments include $20 million of restructuring charges in the three months ended March 31, 2022 (see “Note 4 - Restructuring Charges” for additional information) and $19 million of other charges, net, of which $17 million were related to Ukraine ($16 million in the write-down of receivables, inventory and property, plant and equipment, and $1 million in operating support costs). There were no other adjustments in the three months ended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53"/>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wp:posOffset>
            </wp:positionH>
            <wp:positionV relativeFrom="paragraph">
              <wp:posOffset>69850</wp:posOffset>
            </wp:positionV>
            <wp:extent cx="716026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74"/>
          </w:cols>
          <w:pgMar w:left="486" w:top="450" w:right="339" w:bottom="1440" w:gutter="0" w:footer="0" w:header="0"/>
        </w:sectPr>
      </w:pPr>
    </w:p>
    <w:bookmarkStart w:id="8" w:name="page9"/>
    <w:bookmarkEnd w:id="8"/>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3 – Revenues</w:t>
      </w:r>
    </w:p>
    <w:p>
      <w:pPr>
        <w:spacing w:after="0" w:line="2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Disaggregated Revenue</w:t>
      </w:r>
    </w:p>
    <w:p>
      <w:pPr>
        <w:spacing w:after="0" w:line="249" w:lineRule="exact"/>
        <w:rPr>
          <w:sz w:val="20"/>
          <w:szCs w:val="20"/>
          <w:color w:val="auto"/>
        </w:rPr>
      </w:pPr>
    </w:p>
    <w:p>
      <w:pPr>
        <w:jc w:val="both"/>
        <w:ind w:firstLine="319"/>
        <w:spacing w:after="0" w:line="255" w:lineRule="auto"/>
        <w:rPr>
          <w:sz w:val="20"/>
          <w:szCs w:val="20"/>
          <w:color w:val="auto"/>
        </w:rPr>
      </w:pPr>
      <w:r>
        <w:rPr>
          <w:rFonts w:ascii="Times New Roman" w:cs="Times New Roman" w:eastAsia="Times New Roman" w:hAnsi="Times New Roman"/>
          <w:sz w:val="18"/>
          <w:szCs w:val="18"/>
          <w:color w:val="auto"/>
        </w:rPr>
        <w:t>Revenues are recognized when control of the promised goods or services is transferred to our customers, in an amount that reflects the consideration we expect to be entitled to in exchange for those goods or services. The majority of our revenue is derived from short term contracts. Our products and services are generally sold based upon purchase orders, contracts or other legally enforceable arrangements with our customers that include fixed or determinable prices but do not generally include right of return provisions or other significant post-delivery obligations.</w:t>
      </w:r>
    </w:p>
    <w:p>
      <w:pPr>
        <w:spacing w:after="0" w:line="209" w:lineRule="exact"/>
        <w:rPr>
          <w:sz w:val="20"/>
          <w:szCs w:val="20"/>
          <w:color w:val="auto"/>
        </w:rPr>
      </w:pPr>
    </w:p>
    <w:p>
      <w:pPr>
        <w:jc w:val="both"/>
        <w:ind w:firstLine="319"/>
        <w:spacing w:after="0" w:line="255" w:lineRule="auto"/>
        <w:rPr>
          <w:sz w:val="20"/>
          <w:szCs w:val="20"/>
          <w:color w:val="auto"/>
        </w:rPr>
      </w:pPr>
      <w:r>
        <w:rPr>
          <w:rFonts w:ascii="Times New Roman" w:cs="Times New Roman" w:eastAsia="Times New Roman" w:hAnsi="Times New Roman"/>
          <w:sz w:val="18"/>
          <w:szCs w:val="18"/>
          <w:color w:val="auto"/>
        </w:rPr>
        <w:t xml:space="preserve">Our Production and Intervention segment leases drilling tools, artificial lift pumping equipment and other unmanned equipment to customers as operating leases. These equipment rental revenues are generally provided based on call-out work orders that include fixed per unit prices and are derived from short-term contracts. Equipment revenues recognized under ASU No.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(Topic 842) were $31 million for the three months ended March 31, 2022 and $28 million for the three months ended March 31, 2021.</w:t>
      </w:r>
    </w:p>
    <w:p>
      <w:pPr>
        <w:spacing w:after="0" w:line="209"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following tables disaggregate our revenues from contracts with customers by geographic region and includes equipment rental revenues. North America in the table below consists of the U.S. and Canada.</w:t>
      </w:r>
    </w:p>
    <w:p>
      <w:pPr>
        <w:spacing w:after="0" w:line="321" w:lineRule="exact"/>
        <w:rPr>
          <w:sz w:val="20"/>
          <w:szCs w:val="20"/>
          <w:color w:val="auto"/>
        </w:rPr>
      </w:pPr>
    </w:p>
    <w:tbl>
      <w:tblPr>
        <w:tblLayout w:type="fixed"/>
        <w:tblInd w:w="1580" w:type="dxa"/>
        <w:tblCellMar>
          <w:top w:w="0" w:type="dxa"/>
          <w:left w:w="0" w:type="dxa"/>
          <w:bottom w:w="0" w:type="dxa"/>
          <w:right w:w="0" w:type="dxa"/>
        </w:tblCellMar>
      </w:tblPr>
      <w:tr>
        <w:trPr>
          <w:trHeight w:val="233"/>
        </w:trPr>
        <w:tc>
          <w:tcPr>
            <w:tcW w:w="50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3"/>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19"/>
        </w:trPr>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(Dollars in millions)</w:t>
            </w: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9"/>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 by Geographic Areas:</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6"/>
        </w:trPr>
        <w:tc>
          <w:tcPr>
            <w:tcW w:w="5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Middle East/North Africa/Asia</w:t>
            </w: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4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r>
      <w:tr>
        <w:trPr>
          <w:trHeight w:val="226"/>
        </w:trPr>
        <w:tc>
          <w:tcPr>
            <w:tcW w:w="5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North America</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26"/>
        </w:trPr>
        <w:tc>
          <w:tcPr>
            <w:tcW w:w="5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Latin America</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26"/>
        </w:trPr>
        <w:tc>
          <w:tcPr>
            <w:tcW w:w="50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Europe/Sub-Sahara Africa/Russia</w:t>
            </w:r>
          </w:p>
        </w:tc>
        <w:tc>
          <w:tcPr>
            <w:tcW w:w="3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19"/>
        </w:trPr>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42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w:t>
            </w:r>
          </w:p>
        </w:tc>
      </w:tr>
      <w:tr>
        <w:trPr>
          <w:trHeight w:val="20"/>
        </w:trPr>
        <w:tc>
          <w:tcPr>
            <w:tcW w:w="5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49"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The timing of our revenue recognition, billings and cash collections results in the recording of billed and unbilled accounts receivable, contract assets, customer advances and deposits (contract liabilities classified as deferred revenues). Receivables with customers are included in “Accounts Receivable, Net,” contract assets are included in “Other Current Assets” and contract liabilities are included in “Other Current Liabilities” on our Condensed Consolidated Balance Sheets. Contract assets are immaterial as of March 31, 2022 and December 31, 2021. Revenues recognized during the three months ended March 31, 2022 and 2021 that were included in the contract liabilities balance at the beginning of each year were $10 million and $18 million, respectively. The following table summarizes these balances as of March 31, 2022 and December 31, 2021:</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1280" w:type="dxa"/>
            <w:vAlign w:val="bottom"/>
          </w:tcPr>
          <w:p>
            <w:pPr>
              <w:spacing w:after="0"/>
              <w:rPr>
                <w:sz w:val="20"/>
                <w:szCs w:val="20"/>
                <w:color w:val="auto"/>
              </w:rPr>
            </w:pPr>
          </w:p>
        </w:tc>
        <w:tc>
          <w:tcPr>
            <w:tcW w:w="1640" w:type="dxa"/>
            <w:vAlign w:val="bottom"/>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200" w:type="dxa"/>
            <w:vAlign w:val="bottom"/>
          </w:tcPr>
          <w:p>
            <w:pPr>
              <w:spacing w:after="0"/>
              <w:rPr>
                <w:sz w:val="20"/>
                <w:szCs w:val="20"/>
                <w:color w:val="auto"/>
              </w:rPr>
            </w:pPr>
          </w:p>
        </w:tc>
        <w:tc>
          <w:tcPr>
            <w:tcW w:w="1740" w:type="dxa"/>
            <w:vAlign w:val="bottom"/>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26"/>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Accounts Receivables</w:t>
            </w:r>
          </w:p>
        </w:tc>
        <w:tc>
          <w:tcPr>
            <w:tcW w:w="12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r>
      <w:tr>
        <w:trPr>
          <w:trHeight w:val="22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 for Product and Services in Accounts Receivable, Net</w:t>
            </w: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r>
      <w:tr>
        <w:trPr>
          <w:trHeight w:val="226"/>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for Equipment Rentals in Account Receivable, Net</w:t>
            </w:r>
          </w:p>
        </w:tc>
        <w:tc>
          <w:tcPr>
            <w:tcW w:w="12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2"/>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 in Other Current Liabilities</w:t>
            </w: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9" w:name="page10"/>
    <w:bookmarkEnd w:id="9"/>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249"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 xml:space="preserve">A performance obligation is a promise in a contract to transfer a distinct good or service to the customer and is the unit of account in ASU 2014-09, </w:t>
      </w:r>
      <w:r>
        <w:rPr>
          <w:rFonts w:ascii="Times New Roman" w:cs="Times New Roman" w:eastAsia="Times New Roman" w:hAnsi="Times New Roman"/>
          <w:sz w:val="18"/>
          <w:szCs w:val="18"/>
          <w:i w:val="1"/>
          <w:iCs w:val="1"/>
          <w:color w:val="auto"/>
        </w:rPr>
        <w:t xml:space="preserve">Revenues from Contracts with Customers </w:t>
      </w:r>
      <w:r>
        <w:rPr>
          <w:rFonts w:ascii="Times New Roman" w:cs="Times New Roman" w:eastAsia="Times New Roman" w:hAnsi="Times New Roman"/>
          <w:sz w:val="18"/>
          <w:szCs w:val="18"/>
          <w:color w:val="auto"/>
        </w:rPr>
        <w:t>(Topic 606). A contract’s transaction price is allocated to each distinct performance obligation and recognized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when, or as, the performance obligation is satisfied. In the following table, estimated revenue for contracts with original performance obligations greater than twelve months are expected to be recognized in the future related to performance obligations that are either unsatisfied or partially unsatisfied as of March 31, 2022.</w:t>
      </w:r>
    </w:p>
    <w:p>
      <w:pPr>
        <w:spacing w:after="0" w:line="102" w:lineRule="exact"/>
        <w:rPr>
          <w:sz w:val="20"/>
          <w:szCs w:val="20"/>
          <w:color w:val="auto"/>
        </w:rPr>
      </w:pPr>
    </w:p>
    <w:tbl>
      <w:tblPr>
        <w:tblLayout w:type="fixed"/>
        <w:tblInd w:w="460" w:type="dxa"/>
        <w:tblCellMar>
          <w:top w:w="0" w:type="dxa"/>
          <w:left w:w="0" w:type="dxa"/>
          <w:bottom w:w="0" w:type="dxa"/>
          <w:right w:w="0" w:type="dxa"/>
        </w:tblCellMar>
      </w:tblPr>
      <w:tr>
        <w:trPr>
          <w:trHeight w:val="233"/>
        </w:trPr>
        <w:tc>
          <w:tcPr>
            <w:tcW w:w="2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13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5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left="291"/>
              <w:spacing w:after="0"/>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219"/>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Revenue</w:t>
            </w:r>
          </w:p>
        </w:tc>
        <w:tc>
          <w:tcPr>
            <w:tcW w:w="132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48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50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48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50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r>
    </w:tbl>
    <w:p>
      <w:pPr>
        <w:spacing w:after="0" w:line="2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4 – Restructuring Charges</w:t>
      </w:r>
    </w:p>
    <w:p>
      <w:pPr>
        <w:spacing w:after="0" w:line="247" w:lineRule="exact"/>
        <w:rPr>
          <w:sz w:val="20"/>
          <w:szCs w:val="20"/>
          <w:color w:val="auto"/>
        </w:rPr>
      </w:pPr>
    </w:p>
    <w:p>
      <w:pPr>
        <w:jc w:val="both"/>
        <w:ind w:firstLine="319"/>
        <w:spacing w:after="0" w:line="255" w:lineRule="auto"/>
        <w:rPr>
          <w:sz w:val="20"/>
          <w:szCs w:val="20"/>
          <w:color w:val="auto"/>
        </w:rPr>
      </w:pPr>
      <w:r>
        <w:rPr>
          <w:rFonts w:ascii="Times New Roman" w:cs="Times New Roman" w:eastAsia="Times New Roman" w:hAnsi="Times New Roman"/>
          <w:sz w:val="18"/>
          <w:szCs w:val="18"/>
          <w:color w:val="auto"/>
        </w:rPr>
        <w:t>We had $20 million restructuring charges for the three months ended March 31, 2022, presented as “Restructuring Charges” on the accompanying Condensed Consolidated Statements of Operations. These charges were primarily related to the launch of a multi-year footprint consolidation and workforce efficiency initiative aimed at improving fulfillment operations and included $14 million in severance and $6 million in asset retirement obligations. No restructuring charges were recognized in the three months ended March 31, 2021.</w:t>
      </w:r>
    </w:p>
    <w:p>
      <w:pPr>
        <w:spacing w:after="0" w:line="2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total restructuring charges by segment and All Other in the three months ended March 31, 2022 and 2021:</w:t>
      </w:r>
    </w:p>
    <w:p>
      <w:pPr>
        <w:spacing w:after="0" w:line="123" w:lineRule="exact"/>
        <w:rPr>
          <w:sz w:val="20"/>
          <w:szCs w:val="20"/>
          <w:color w:val="auto"/>
        </w:rPr>
      </w:pPr>
    </w:p>
    <w:tbl>
      <w:tblPr>
        <w:tblLayout w:type="fixed"/>
        <w:tblInd w:w="1740" w:type="dxa"/>
        <w:tblCellMar>
          <w:top w:w="0" w:type="dxa"/>
          <w:left w:w="0" w:type="dxa"/>
          <w:bottom w:w="0" w:type="dxa"/>
          <w:right w:w="0" w:type="dxa"/>
        </w:tblCellMar>
      </w:tblPr>
      <w:tr>
        <w:trPr>
          <w:trHeight w:val="233"/>
        </w:trPr>
        <w:tc>
          <w:tcPr>
            <w:tcW w:w="5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19"/>
        </w:trPr>
        <w:tc>
          <w:tcPr>
            <w:tcW w:w="5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Drilling and Evaluation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Well Construction and Completions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40" w:type="dxa"/>
            <w:vAlign w:val="bottom"/>
          </w:tcPr>
          <w:p>
            <w:pPr>
              <w:spacing w:after="0"/>
              <w:rPr>
                <w:sz w:val="19"/>
                <w:szCs w:val="19"/>
                <w:color w:val="auto"/>
              </w:rPr>
            </w:pPr>
          </w:p>
        </w:tc>
        <w:tc>
          <w:tcPr>
            <w:tcW w:w="11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Production and Intervention</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44"/>
        </w:trPr>
        <w:tc>
          <w:tcPr>
            <w:tcW w:w="5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Restructuring Charges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4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total restructuring reserve activity in the three months ended March 31, 2022:</w:t>
      </w:r>
    </w:p>
    <w:p>
      <w:pPr>
        <w:spacing w:after="0" w:line="109"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23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1000" w:type="dxa"/>
            <w:vAlign w:val="bottom"/>
          </w:tcPr>
          <w:p>
            <w:pPr>
              <w:spacing w:after="0"/>
              <w:rPr>
                <w:sz w:val="18"/>
                <w:szCs w:val="18"/>
                <w:color w:val="auto"/>
              </w:rPr>
            </w:pPr>
          </w:p>
        </w:tc>
        <w:tc>
          <w:tcPr>
            <w:tcW w:w="1300" w:type="dxa"/>
            <w:vAlign w:val="bottom"/>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Reserve at</w:t>
            </w:r>
          </w:p>
        </w:tc>
        <w:tc>
          <w:tcPr>
            <w:tcW w:w="280" w:type="dxa"/>
            <w:vAlign w:val="bottom"/>
          </w:tcPr>
          <w:p>
            <w:pPr>
              <w:spacing w:after="0"/>
              <w:rPr>
                <w:sz w:val="18"/>
                <w:szCs w:val="18"/>
                <w:color w:val="auto"/>
              </w:rPr>
            </w:pPr>
          </w:p>
        </w:tc>
        <w:tc>
          <w:tcPr>
            <w:tcW w:w="1100" w:type="dxa"/>
            <w:vAlign w:val="bottom"/>
            <w:vMerge w:val="restart"/>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Charges</w:t>
            </w:r>
          </w:p>
        </w:tc>
        <w:tc>
          <w:tcPr>
            <w:tcW w:w="1420" w:type="dxa"/>
            <w:vAlign w:val="bottom"/>
            <w:gridSpan w:val="2"/>
            <w:vMerge w:val="restart"/>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Cash Payments</w:t>
            </w:r>
          </w:p>
        </w:tc>
        <w:tc>
          <w:tcPr>
            <w:tcW w:w="180" w:type="dxa"/>
            <w:vAlign w:val="bottom"/>
          </w:tcPr>
          <w:p>
            <w:pPr>
              <w:spacing w:after="0"/>
              <w:rPr>
                <w:sz w:val="18"/>
                <w:szCs w:val="18"/>
                <w:color w:val="auto"/>
              </w:rPr>
            </w:pPr>
          </w:p>
        </w:tc>
        <w:tc>
          <w:tcPr>
            <w:tcW w:w="15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(Credits)/Other</w:t>
            </w:r>
          </w:p>
        </w:tc>
        <w:tc>
          <w:tcPr>
            <w:tcW w:w="1460" w:type="dxa"/>
            <w:vAlign w:val="bottom"/>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7"/>
              </w:rPr>
              <w:t>Reserve at March</w:t>
            </w:r>
          </w:p>
        </w:tc>
        <w:tc>
          <w:tcPr>
            <w:tcW w:w="0" w:type="dxa"/>
            <w:vAlign w:val="bottom"/>
          </w:tcPr>
          <w:p>
            <w:pPr>
              <w:spacing w:after="0"/>
              <w:rPr>
                <w:sz w:val="1"/>
                <w:szCs w:val="1"/>
                <w:color w:val="auto"/>
              </w:rPr>
            </w:pPr>
          </w:p>
        </w:tc>
      </w:tr>
      <w:tr>
        <w:trPr>
          <w:trHeight w:val="239"/>
        </w:trPr>
        <w:tc>
          <w:tcPr>
            <w:tcW w:w="2380" w:type="dxa"/>
            <w:vAlign w:val="bottom"/>
            <w:tcBorders>
              <w:bottom w:val="single" w:sz="8" w:color="auto"/>
            </w:tcBorders>
            <w:vMerge w:val="continue"/>
          </w:tcPr>
          <w:p>
            <w:pPr>
              <w:spacing w:after="0"/>
              <w:rPr>
                <w:sz w:val="20"/>
                <w:szCs w:val="20"/>
                <w:color w:val="auto"/>
              </w:rPr>
            </w:pPr>
          </w:p>
        </w:tc>
        <w:tc>
          <w:tcPr>
            <w:tcW w:w="2300" w:type="dxa"/>
            <w:vAlign w:val="bottom"/>
            <w:tcBorders>
              <w:bottom w:val="single" w:sz="8" w:color="auto"/>
            </w:tcBorders>
            <w:gridSpan w:val="2"/>
          </w:tcPr>
          <w:p>
            <w:pPr>
              <w:ind w:left="80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420" w:type="dxa"/>
            <w:vAlign w:val="bottom"/>
            <w:tcBorders>
              <w:bottom w:val="single" w:sz="8" w:color="auto"/>
            </w:tcBorders>
            <w:gridSpan w:val="2"/>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vMerge w:val="continue"/>
          </w:tcPr>
          <w:p>
            <w:pPr>
              <w:spacing w:after="0"/>
              <w:rPr>
                <w:sz w:val="20"/>
                <w:szCs w:val="20"/>
                <w:color w:val="auto"/>
              </w:rPr>
            </w:pPr>
          </w:p>
        </w:tc>
        <w:tc>
          <w:tcPr>
            <w:tcW w:w="14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31, 2022</w:t>
            </w:r>
          </w:p>
        </w:tc>
        <w:tc>
          <w:tcPr>
            <w:tcW w:w="0" w:type="dxa"/>
            <w:vAlign w:val="bottom"/>
          </w:tcPr>
          <w:p>
            <w:pPr>
              <w:spacing w:after="0"/>
              <w:rPr>
                <w:sz w:val="1"/>
                <w:szCs w:val="1"/>
                <w:color w:val="auto"/>
              </w:rPr>
            </w:pPr>
          </w:p>
        </w:tc>
      </w:tr>
      <w:tr>
        <w:trPr>
          <w:trHeight w:val="219"/>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Reserve</w:t>
            </w:r>
          </w:p>
        </w:tc>
        <w:tc>
          <w:tcPr>
            <w:tcW w:w="10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w:t>
            </w:r>
          </w:p>
        </w:tc>
        <w:tc>
          <w:tcPr>
            <w:tcW w:w="66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10" w:name="page11"/>
    <w:bookmarkEnd w:id="10"/>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5 – Inventories, Net</w:t>
      </w:r>
    </w:p>
    <w:p>
      <w:pPr>
        <w:spacing w:after="0" w:line="247" w:lineRule="exact"/>
        <w:rPr>
          <w:sz w:val="20"/>
          <w:szCs w:val="20"/>
          <w:color w:val="auto"/>
        </w:rPr>
      </w:pPr>
    </w:p>
    <w:p>
      <w:pPr>
        <w:ind w:firstLine="319"/>
        <w:spacing w:after="0" w:line="275" w:lineRule="auto"/>
        <w:rPr>
          <w:sz w:val="20"/>
          <w:szCs w:val="20"/>
          <w:color w:val="auto"/>
        </w:rPr>
      </w:pPr>
      <w:r>
        <w:rPr>
          <w:rFonts w:ascii="Times New Roman" w:cs="Times New Roman" w:eastAsia="Times New Roman" w:hAnsi="Times New Roman"/>
          <w:sz w:val="18"/>
          <w:szCs w:val="18"/>
          <w:color w:val="auto"/>
        </w:rPr>
        <w:t>Inventories, net of reserves of $165 million and $159 million as of March 31, 2022 and December 31, 2021, respectively, are presented by category in the table below:</w:t>
      </w:r>
    </w:p>
    <w:p>
      <w:pPr>
        <w:spacing w:after="0" w:line="81" w:lineRule="exact"/>
        <w:rPr>
          <w:sz w:val="20"/>
          <w:szCs w:val="20"/>
          <w:color w:val="auto"/>
        </w:rPr>
      </w:pPr>
    </w:p>
    <w:tbl>
      <w:tblPr>
        <w:tblLayout w:type="fixed"/>
        <w:tblInd w:w="520" w:type="dxa"/>
        <w:tblCellMar>
          <w:top w:w="0" w:type="dxa"/>
          <w:left w:w="0" w:type="dxa"/>
          <w:bottom w:w="0" w:type="dxa"/>
          <w:right w:w="0" w:type="dxa"/>
        </w:tblCellMar>
      </w:tblPr>
      <w:tr>
        <w:trPr>
          <w:trHeight w:val="233"/>
        </w:trPr>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1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3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1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595</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r>
      <w:tr>
        <w:trPr>
          <w:trHeight w:val="226"/>
        </w:trPr>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Work in Process and Raw Materials, Components and Supplies</w:t>
            </w:r>
          </w:p>
        </w:tc>
        <w:tc>
          <w:tcPr>
            <w:tcW w:w="1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89</w:t>
            </w:r>
          </w:p>
        </w:tc>
        <w:tc>
          <w:tcPr>
            <w:tcW w:w="3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44"/>
        </w:trPr>
        <w:tc>
          <w:tcPr>
            <w:tcW w:w="5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 Net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684</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r>
      <w:tr>
        <w:trPr>
          <w:trHeight w:val="20"/>
        </w:trPr>
        <w:tc>
          <w:tcPr>
            <w:tcW w:w="56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393" w:lineRule="exact"/>
        <w:rPr>
          <w:sz w:val="20"/>
          <w:szCs w:val="20"/>
          <w:color w:val="auto"/>
        </w:rPr>
      </w:pPr>
    </w:p>
    <w:p>
      <w:pPr>
        <w:ind w:firstLine="319"/>
        <w:spacing w:after="0" w:line="275" w:lineRule="auto"/>
        <w:rPr>
          <w:sz w:val="20"/>
          <w:szCs w:val="20"/>
          <w:color w:val="auto"/>
        </w:rPr>
      </w:pPr>
      <w:r>
        <w:rPr>
          <w:rFonts w:ascii="Times New Roman" w:cs="Times New Roman" w:eastAsia="Times New Roman" w:hAnsi="Times New Roman"/>
          <w:sz w:val="18"/>
          <w:szCs w:val="18"/>
          <w:color w:val="auto"/>
        </w:rPr>
        <w:t>In the three months ended March 31, 2022 and 2021, we recognized inventory charges, including excess and obsolete inventory charges, in the following captions on our Condensed Consolidated Statements of Operations:</w:t>
      </w:r>
    </w:p>
    <w:p>
      <w:pPr>
        <w:spacing w:after="0" w:line="228" w:lineRule="exact"/>
        <w:rPr>
          <w:sz w:val="20"/>
          <w:szCs w:val="20"/>
          <w:color w:val="auto"/>
        </w:rPr>
      </w:pPr>
    </w:p>
    <w:tbl>
      <w:tblPr>
        <w:tblLayout w:type="fixed"/>
        <w:tblInd w:w="980" w:type="dxa"/>
        <w:tblCellMar>
          <w:top w:w="0" w:type="dxa"/>
          <w:left w:w="0" w:type="dxa"/>
          <w:bottom w:w="0" w:type="dxa"/>
          <w:right w:w="0" w:type="dxa"/>
        </w:tblCellMar>
      </w:tblPr>
      <w:tr>
        <w:trPr>
          <w:trHeight w:val="226"/>
        </w:trPr>
        <w:tc>
          <w:tcPr>
            <w:tcW w:w="47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040" w:type="dxa"/>
            <w:vAlign w:val="bottom"/>
            <w:gridSpan w:val="3"/>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33"/>
        </w:trPr>
        <w:tc>
          <w:tcPr>
            <w:tcW w:w="4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18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 Charges in “Cost of Products”</w:t>
            </w:r>
          </w:p>
        </w:tc>
        <w:tc>
          <w:tcPr>
            <w:tcW w:w="18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6"/>
        </w:trPr>
        <w:tc>
          <w:tcPr>
            <w:tcW w:w="4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Inventory Charges in “Other Charges, Net”</w:t>
            </w:r>
          </w:p>
        </w:tc>
        <w:tc>
          <w:tcPr>
            <w:tcW w:w="18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4"/>
        </w:trPr>
        <w:tc>
          <w:tcPr>
            <w:tcW w:w="4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Inventory Charges</w:t>
            </w:r>
          </w:p>
        </w:tc>
        <w:tc>
          <w:tcPr>
            <w:tcW w:w="18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0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0"/>
        </w:trPr>
        <w:tc>
          <w:tcPr>
            <w:tcW w:w="47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11" w:name="page12"/>
    <w:bookmarkEnd w:id="11"/>
    <w:tbl>
      <w:tblPr>
        <w:tblLayout w:type="fixed"/>
        <w:tblInd w:w="320" w:type="dxa"/>
        <w:tblCellMar>
          <w:top w:w="0" w:type="dxa"/>
          <w:left w:w="0" w:type="dxa"/>
          <w:bottom w:w="0" w:type="dxa"/>
          <w:right w:w="0" w:type="dxa"/>
        </w:tblCellMar>
      </w:tblPr>
      <w:tr>
        <w:trPr>
          <w:trHeight w:val="207"/>
        </w:trPr>
        <w:tc>
          <w:tcPr>
            <w:tcW w:w="72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
        </w:trPr>
        <w:tc>
          <w:tcPr>
            <w:tcW w:w="2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844"/>
        </w:trPr>
        <w:tc>
          <w:tcPr>
            <w:tcW w:w="7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6 – Intangibles, Net</w:t>
            </w: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52"/>
        </w:trPr>
        <w:tc>
          <w:tcPr>
            <w:tcW w:w="7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components of intangible assets, net were as follows:</w:t>
            </w: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44"/>
        </w:trPr>
        <w:tc>
          <w:tcPr>
            <w:tcW w:w="240" w:type="dxa"/>
            <w:vAlign w:val="bottom"/>
          </w:tcPr>
          <w:p>
            <w:pPr>
              <w:spacing w:after="0"/>
              <w:rPr>
                <w:sz w:val="24"/>
                <w:szCs w:val="24"/>
                <w:color w:val="auto"/>
              </w:rPr>
            </w:pPr>
          </w:p>
        </w:tc>
        <w:tc>
          <w:tcPr>
            <w:tcW w:w="69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2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w w:val="98"/>
              </w:rPr>
              <w:t>March 31, 2022</w:t>
            </w:r>
          </w:p>
        </w:tc>
        <w:tc>
          <w:tcPr>
            <w:tcW w:w="2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97"/>
              </w:rPr>
              <w:t>December 31, 2021</w:t>
            </w:r>
          </w:p>
        </w:tc>
      </w:tr>
      <w:tr>
        <w:trPr>
          <w:trHeight w:val="166"/>
        </w:trPr>
        <w:tc>
          <w:tcPr>
            <w:tcW w:w="240" w:type="dxa"/>
            <w:vAlign w:val="bottom"/>
          </w:tcPr>
          <w:p>
            <w:pPr>
              <w:spacing w:after="0"/>
              <w:rPr>
                <w:sz w:val="14"/>
                <w:szCs w:val="14"/>
                <w:color w:val="auto"/>
              </w:rPr>
            </w:pPr>
          </w:p>
        </w:tc>
        <w:tc>
          <w:tcPr>
            <w:tcW w:w="6960" w:type="dxa"/>
            <w:vAlign w:val="bottom"/>
            <w:gridSpan w:val="2"/>
            <w:shd w:val="clear" w:color="auto" w:fill="CCEEFF"/>
          </w:tcPr>
          <w:p>
            <w:pPr>
              <w:ind w:left="20"/>
              <w:spacing w:after="0" w:line="166" w:lineRule="exact"/>
              <w:rPr>
                <w:sz w:val="20"/>
                <w:szCs w:val="20"/>
                <w:color w:val="auto"/>
              </w:rPr>
            </w:pPr>
            <w:r>
              <w:rPr>
                <w:rFonts w:ascii="Times New Roman" w:cs="Times New Roman" w:eastAsia="Times New Roman" w:hAnsi="Times New Roman"/>
                <w:sz w:val="18"/>
                <w:szCs w:val="18"/>
                <w:color w:val="auto"/>
              </w:rPr>
              <w:t>Developed and Acquired Technology, Net of Accumulated Amortization of $276 at March 31,</w:t>
            </w:r>
          </w:p>
        </w:tc>
        <w:tc>
          <w:tcPr>
            <w:tcW w:w="2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r>
      <w:tr>
        <w:trPr>
          <w:trHeight w:val="239"/>
        </w:trPr>
        <w:tc>
          <w:tcPr>
            <w:tcW w:w="240" w:type="dxa"/>
            <w:vAlign w:val="bottom"/>
          </w:tcPr>
          <w:p>
            <w:pPr>
              <w:spacing w:after="0"/>
              <w:rPr>
                <w:sz w:val="20"/>
                <w:szCs w:val="20"/>
                <w:color w:val="auto"/>
              </w:rPr>
            </w:pPr>
          </w:p>
        </w:tc>
        <w:tc>
          <w:tcPr>
            <w:tcW w:w="6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 and $247 at December 31, 2021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315</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173"/>
        </w:trPr>
        <w:tc>
          <w:tcPr>
            <w:tcW w:w="240" w:type="dxa"/>
            <w:vAlign w:val="bottom"/>
          </w:tcPr>
          <w:p>
            <w:pPr>
              <w:spacing w:after="0"/>
              <w:rPr>
                <w:sz w:val="15"/>
                <w:szCs w:val="15"/>
                <w:color w:val="auto"/>
              </w:rPr>
            </w:pPr>
          </w:p>
        </w:tc>
        <w:tc>
          <w:tcPr>
            <w:tcW w:w="6960" w:type="dxa"/>
            <w:vAlign w:val="bottom"/>
            <w:gridSpan w:val="2"/>
          </w:tcPr>
          <w:p>
            <w:pPr>
              <w:ind w:left="20"/>
              <w:spacing w:after="0" w:line="173" w:lineRule="exact"/>
              <w:rPr>
                <w:sz w:val="20"/>
                <w:szCs w:val="20"/>
                <w:color w:val="auto"/>
              </w:rPr>
            </w:pPr>
            <w:r>
              <w:rPr>
                <w:rFonts w:ascii="Times New Roman" w:cs="Times New Roman" w:eastAsia="Times New Roman" w:hAnsi="Times New Roman"/>
                <w:sz w:val="18"/>
                <w:szCs w:val="18"/>
                <w:color w:val="auto"/>
                <w:w w:val="99"/>
              </w:rPr>
              <w:t>Trade Names, Net of Accumulated Amortization of $91 at March 31, 2022 and $81 at December</w:t>
            </w: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239"/>
        </w:trPr>
        <w:tc>
          <w:tcPr>
            <w:tcW w:w="12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31, 2021</w:t>
            </w:r>
          </w:p>
        </w:tc>
        <w:tc>
          <w:tcPr>
            <w:tcW w:w="5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304</w:t>
            </w:r>
          </w:p>
        </w:tc>
        <w:tc>
          <w:tcPr>
            <w:tcW w:w="2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r>
      <w:tr>
        <w:trPr>
          <w:trHeight w:val="166"/>
        </w:trPr>
        <w:tc>
          <w:tcPr>
            <w:tcW w:w="240" w:type="dxa"/>
            <w:vAlign w:val="bottom"/>
          </w:tcPr>
          <w:p>
            <w:pPr>
              <w:spacing w:after="0"/>
              <w:rPr>
                <w:sz w:val="14"/>
                <w:szCs w:val="14"/>
                <w:color w:val="auto"/>
              </w:rPr>
            </w:pPr>
          </w:p>
        </w:tc>
        <w:tc>
          <w:tcPr>
            <w:tcW w:w="6960" w:type="dxa"/>
            <w:vAlign w:val="bottom"/>
            <w:tcBorders>
              <w:top w:val="single" w:sz="8" w:color="auto"/>
            </w:tcBorders>
            <w:gridSpan w:val="2"/>
            <w:shd w:val="clear" w:color="auto" w:fill="CCEEFF"/>
          </w:tcPr>
          <w:p>
            <w:pPr>
              <w:ind w:left="20"/>
              <w:spacing w:after="0" w:line="166" w:lineRule="exact"/>
              <w:rPr>
                <w:sz w:val="20"/>
                <w:szCs w:val="20"/>
                <w:color w:val="auto"/>
              </w:rPr>
            </w:pPr>
            <w:r>
              <w:rPr>
                <w:rFonts w:ascii="Times New Roman" w:cs="Times New Roman" w:eastAsia="Times New Roman" w:hAnsi="Times New Roman"/>
                <w:sz w:val="18"/>
                <w:szCs w:val="18"/>
                <w:color w:val="auto"/>
              </w:rPr>
              <w:t>Intangible Assets, Net of Accumulated Amortization of $367 at March 31, 2022 and $328 at</w:t>
            </w:r>
          </w:p>
        </w:tc>
        <w:tc>
          <w:tcPr>
            <w:tcW w:w="200" w:type="dxa"/>
            <w:vAlign w:val="bottom"/>
            <w:tcBorders>
              <w:top w:val="single" w:sz="8" w:color="auto"/>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spacing w:after="0"/>
              <w:rPr>
                <w:sz w:val="14"/>
                <w:szCs w:val="14"/>
                <w:color w:val="auto"/>
              </w:rPr>
            </w:pPr>
          </w:p>
        </w:tc>
      </w:tr>
      <w:tr>
        <w:trPr>
          <w:trHeight w:val="264"/>
        </w:trPr>
        <w:tc>
          <w:tcPr>
            <w:tcW w:w="240" w:type="dxa"/>
            <w:vAlign w:val="bottom"/>
          </w:tcPr>
          <w:p>
            <w:pPr>
              <w:spacing w:after="0"/>
              <w:rPr>
                <w:sz w:val="22"/>
                <w:szCs w:val="22"/>
                <w:color w:val="auto"/>
              </w:rPr>
            </w:pPr>
          </w:p>
        </w:tc>
        <w:tc>
          <w:tcPr>
            <w:tcW w:w="696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619</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r>
      <w:tr>
        <w:trPr>
          <w:trHeight w:val="20"/>
        </w:trPr>
        <w:tc>
          <w:tcPr>
            <w:tcW w:w="240" w:type="dxa"/>
            <w:vAlign w:val="bottom"/>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9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393"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Amortization expense was $39 million for both the three months ended March 31, 2022 and 2021, and is reported in “Selling, General and Administrative” on our Condensed Consolidated Statements of Operations.</w:t>
      </w:r>
    </w:p>
    <w:p>
      <w:pPr>
        <w:spacing w:after="0" w:line="188" w:lineRule="exact"/>
        <w:rPr>
          <w:sz w:val="20"/>
          <w:szCs w:val="20"/>
          <w:color w:val="auto"/>
        </w:rPr>
      </w:pPr>
    </w:p>
    <w:tbl>
      <w:tblPr>
        <w:tblLayout w:type="fixed"/>
        <w:tblInd w:w="320" w:type="dxa"/>
        <w:tblCellMar>
          <w:top w:w="0" w:type="dxa"/>
          <w:left w:w="0" w:type="dxa"/>
          <w:bottom w:w="0" w:type="dxa"/>
          <w:right w:w="0" w:type="dxa"/>
        </w:tblCellMar>
      </w:tblPr>
      <w:tr>
        <w:trPr>
          <w:trHeight w:val="234"/>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7 – Borrowings and Other Debt Obligations</w:t>
            </w:r>
          </w:p>
        </w:tc>
        <w:tc>
          <w:tcPr>
            <w:tcW w:w="1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44"/>
        </w:trPr>
        <w:tc>
          <w:tcPr>
            <w:tcW w:w="520" w:type="dxa"/>
            <w:vAlign w:val="bottom"/>
          </w:tcPr>
          <w:p>
            <w:pPr>
              <w:spacing w:after="0"/>
              <w:rPr>
                <w:sz w:val="24"/>
                <w:szCs w:val="24"/>
                <w:color w:val="auto"/>
              </w:rPr>
            </w:pPr>
          </w:p>
        </w:tc>
        <w:tc>
          <w:tcPr>
            <w:tcW w:w="5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12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19"/>
        </w:trPr>
        <w:tc>
          <w:tcPr>
            <w:tcW w:w="520" w:type="dxa"/>
            <w:vAlign w:val="bottom"/>
          </w:tcPr>
          <w:p>
            <w:pPr>
              <w:spacing w:after="0"/>
              <w:rPr>
                <w:sz w:val="19"/>
                <w:szCs w:val="19"/>
                <w:color w:val="auto"/>
              </w:rPr>
            </w:pPr>
          </w:p>
        </w:tc>
        <w:tc>
          <w:tcPr>
            <w:tcW w:w="5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Leases Current Portion</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w:t>
            </w:r>
          </w:p>
        </w:tc>
        <w:tc>
          <w:tcPr>
            <w:tcW w:w="660" w:type="dxa"/>
            <w:vAlign w:val="bottom"/>
            <w:tcBorders>
              <w:bottom w:val="single" w:sz="8" w:color="auto"/>
            </w:tcBorders>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9"/>
        </w:trPr>
        <w:tc>
          <w:tcPr>
            <w:tcW w:w="520" w:type="dxa"/>
            <w:vAlign w:val="bottom"/>
          </w:tcPr>
          <w:p>
            <w:pPr>
              <w:spacing w:after="0"/>
              <w:rPr>
                <w:sz w:val="19"/>
                <w:szCs w:val="19"/>
                <w:color w:val="auto"/>
              </w:rPr>
            </w:pPr>
          </w:p>
        </w:tc>
        <w:tc>
          <w:tcPr>
            <w:tcW w:w="5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Short-term Borrowings and Current Portion of Finance Leases</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w:t>
            </w:r>
          </w:p>
        </w:tc>
        <w:tc>
          <w:tcPr>
            <w:tcW w:w="6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0"/>
        </w:trPr>
        <w:tc>
          <w:tcPr>
            <w:tcW w:w="520" w:type="dxa"/>
            <w:vAlign w:val="bottom"/>
          </w:tcPr>
          <w:p>
            <w:pPr>
              <w:spacing w:after="0" w:line="20" w:lineRule="exact"/>
              <w:rPr>
                <w:sz w:val="1"/>
                <w:szCs w:val="1"/>
                <w:color w:val="auto"/>
              </w:rPr>
            </w:pPr>
          </w:p>
        </w:tc>
        <w:tc>
          <w:tcPr>
            <w:tcW w:w="55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2"/>
        </w:trPr>
        <w:tc>
          <w:tcPr>
            <w:tcW w:w="520" w:type="dxa"/>
            <w:vAlign w:val="bottom"/>
          </w:tcPr>
          <w:p>
            <w:pPr>
              <w:spacing w:after="0"/>
              <w:rPr>
                <w:sz w:val="20"/>
                <w:szCs w:val="20"/>
                <w:color w:val="auto"/>
              </w:rPr>
            </w:pPr>
          </w:p>
        </w:tc>
        <w:tc>
          <w:tcPr>
            <w:tcW w:w="55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26"/>
        </w:trPr>
        <w:tc>
          <w:tcPr>
            <w:tcW w:w="520" w:type="dxa"/>
            <w:vAlign w:val="bottom"/>
          </w:tcPr>
          <w:p>
            <w:pPr>
              <w:spacing w:after="0"/>
              <w:rPr>
                <w:sz w:val="19"/>
                <w:szCs w:val="19"/>
                <w:color w:val="auto"/>
              </w:rPr>
            </w:pP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11.00% Exit Notes due 2024</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300</w:t>
            </w:r>
          </w:p>
        </w:tc>
        <w:tc>
          <w:tcPr>
            <w:tcW w:w="660" w:type="dxa"/>
            <w:vAlign w:val="bottom"/>
          </w:tcPr>
          <w:p>
            <w:pPr>
              <w:jc w:val="right"/>
              <w:ind w:right="39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52"/>
        </w:trPr>
        <w:tc>
          <w:tcPr>
            <w:tcW w:w="520" w:type="dxa"/>
            <w:vAlign w:val="bottom"/>
          </w:tcPr>
          <w:p>
            <w:pPr>
              <w:spacing w:after="0"/>
              <w:rPr>
                <w:sz w:val="21"/>
                <w:szCs w:val="21"/>
                <w:color w:val="auto"/>
              </w:rPr>
            </w:pPr>
          </w:p>
        </w:tc>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6.50% Senior Secured Notes due 2028</w:t>
            </w:r>
          </w:p>
        </w:tc>
        <w:tc>
          <w:tcPr>
            <w:tcW w:w="126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489</w:t>
            </w:r>
          </w:p>
        </w:tc>
        <w:tc>
          <w:tcPr>
            <w:tcW w:w="6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r>
      <w:tr>
        <w:trPr>
          <w:trHeight w:val="226"/>
        </w:trPr>
        <w:tc>
          <w:tcPr>
            <w:tcW w:w="520" w:type="dxa"/>
            <w:vAlign w:val="bottom"/>
          </w:tcPr>
          <w:p>
            <w:pPr>
              <w:spacing w:after="0"/>
              <w:rPr>
                <w:sz w:val="19"/>
                <w:szCs w:val="19"/>
                <w:color w:val="auto"/>
              </w:rPr>
            </w:pP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8.625% Senior Notes due 2030</w:t>
            </w:r>
          </w:p>
        </w:tc>
        <w:tc>
          <w:tcPr>
            <w:tcW w:w="1260" w:type="dxa"/>
            <w:vAlign w:val="bottom"/>
          </w:tcPr>
          <w:p>
            <w:pPr>
              <w:spacing w:after="0"/>
              <w:rPr>
                <w:sz w:val="19"/>
                <w:szCs w:val="19"/>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1,584</w:t>
            </w:r>
          </w:p>
        </w:tc>
        <w:tc>
          <w:tcPr>
            <w:tcW w:w="6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w:t>
            </w:r>
          </w:p>
        </w:tc>
      </w:tr>
      <w:tr>
        <w:trPr>
          <w:trHeight w:val="226"/>
        </w:trPr>
        <w:tc>
          <w:tcPr>
            <w:tcW w:w="520" w:type="dxa"/>
            <w:vAlign w:val="bottom"/>
          </w:tcPr>
          <w:p>
            <w:pPr>
              <w:spacing w:after="0"/>
              <w:rPr>
                <w:sz w:val="19"/>
                <w:szCs w:val="19"/>
                <w:color w:val="auto"/>
              </w:rPr>
            </w:pPr>
          </w:p>
        </w:tc>
        <w:tc>
          <w:tcPr>
            <w:tcW w:w="5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Leases Long-term Portion</w:t>
            </w:r>
          </w:p>
        </w:tc>
        <w:tc>
          <w:tcPr>
            <w:tcW w:w="1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w:t>
            </w:r>
          </w:p>
        </w:tc>
        <w:tc>
          <w:tcPr>
            <w:tcW w:w="6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9"/>
        </w:trPr>
        <w:tc>
          <w:tcPr>
            <w:tcW w:w="520" w:type="dxa"/>
            <w:vAlign w:val="bottom"/>
          </w:tcPr>
          <w:p>
            <w:pPr>
              <w:spacing w:after="0"/>
              <w:rPr>
                <w:sz w:val="19"/>
                <w:szCs w:val="19"/>
                <w:color w:val="auto"/>
              </w:rPr>
            </w:pPr>
          </w:p>
        </w:tc>
        <w:tc>
          <w:tcPr>
            <w:tcW w:w="5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2,416</w:t>
            </w:r>
          </w:p>
        </w:tc>
        <w:tc>
          <w:tcPr>
            <w:tcW w:w="6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2,416</w:t>
            </w:r>
          </w:p>
        </w:tc>
      </w:tr>
      <w:tr>
        <w:trPr>
          <w:trHeight w:val="20"/>
        </w:trPr>
        <w:tc>
          <w:tcPr>
            <w:tcW w:w="520" w:type="dxa"/>
            <w:vAlign w:val="bottom"/>
          </w:tcPr>
          <w:p>
            <w:pPr>
              <w:spacing w:after="0" w:line="20" w:lineRule="exact"/>
              <w:rPr>
                <w:sz w:val="1"/>
                <w:szCs w:val="1"/>
                <w:color w:val="auto"/>
              </w:rPr>
            </w:pPr>
          </w:p>
        </w:tc>
        <w:tc>
          <w:tcPr>
            <w:tcW w:w="55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Our Exit Notes, 2028 Senior Secured Notes and 2030 Senior Notes (described below) were issued by Weatherford Bermuda and guaranteed by Weatherford International plc and Weatherford Delaware and other subsidiary guarantors party thereto.</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Exit Notes</w:t>
      </w:r>
    </w:p>
    <w:p>
      <w:pPr>
        <w:spacing w:after="0" w:line="247"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On December 13, 2019, we issued 11.00% senior unsecured notes (“Exit Notes”) due in 2024 for an aggregate principal amount of $2.1 billion. Interest on the Exit Notes accrues at the rate of 11.00% per annum and is payable semiannually on June 1 and December 1 and commenced June 1, 2020.</w:t>
      </w:r>
    </w:p>
    <w:p>
      <w:pPr>
        <w:spacing w:after="0" w:line="190"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On October 20, 2021, we redeemed $200 million of our Exit Notes. On October 27, 2021, we issued $1.6 billion of 2030 Senior Notes (defined below) and used the net proceeds and cash on hand to redeem $1.6 billion in principal amount of our Exit Notes at applicable prices. At March 31, 2022, the carrying value of $300 million represents the remaining unpaid principal.</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2028 Senior Secured Notes</w:t>
      </w:r>
    </w:p>
    <w:p>
      <w:pPr>
        <w:spacing w:after="0" w:line="247" w:lineRule="exact"/>
        <w:rPr>
          <w:sz w:val="20"/>
          <w:szCs w:val="20"/>
          <w:color w:val="auto"/>
        </w:rPr>
      </w:pPr>
    </w:p>
    <w:p>
      <w:pPr>
        <w:jc w:val="both"/>
        <w:ind w:firstLine="319"/>
        <w:spacing w:after="0" w:line="255" w:lineRule="auto"/>
        <w:rPr>
          <w:sz w:val="20"/>
          <w:szCs w:val="20"/>
          <w:color w:val="auto"/>
        </w:rPr>
      </w:pPr>
      <w:r>
        <w:rPr>
          <w:rFonts w:ascii="Times New Roman" w:cs="Times New Roman" w:eastAsia="Times New Roman" w:hAnsi="Times New Roman"/>
          <w:sz w:val="18"/>
          <w:szCs w:val="18"/>
          <w:color w:val="auto"/>
        </w:rPr>
        <w:t>On September 30, 2021, we issued 6.50% Senior Secured Notes in aggregate principal amount of $500 million maturing September 15, 2028 (the “2028 Senior Secured Notes”). Interest accrues at the rate of 6.50% per annum and is payable semiannually on September 15 and March 15 of each year, commencing on March 15, 2022. Proceeds from this debt issuance were used to fully repay a senior secured note with an aggregate principal amount of $500 million with a stated interest rate of 8.75% per annum due 2024.</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12" w:name="page13"/>
    <w:bookmarkEnd w:id="12"/>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2030 Senior Notes</w:t>
      </w:r>
    </w:p>
    <w:p>
      <w:pPr>
        <w:spacing w:after="0" w:line="247"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On October 27, 2021, we issued 8.625% Senior Notes in aggregate principal amount of $1.6 billion maturing April 30, 2030 (the “2030 Senior Notes”). Interest accrues at the rate of 8.625% per annum and is payable semiannually on June 1 and December 1 of each year, commencing on June 1, 2022. As described above under Exit Notes, proceeds from this debt issuance were used to redeem $1.6 billion of its principal.</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LC Credit Agreement</w:t>
      </w:r>
    </w:p>
    <w:p>
      <w:pPr>
        <w:spacing w:after="0" w:line="247"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We have a senior secured letter of credit agreement (the “LC Credit Agreement”) in an aggregate amount of $215 million maturing on May 29, 2024, which is used by the Company and certain of its subsidiaries for the issuance of bid and performance letters of credit.</w:t>
      </w:r>
    </w:p>
    <w:p>
      <w:pPr>
        <w:spacing w:after="0" w:line="190"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At March 31, 2022, we had approximately $169 million in outstanding letters of credit under the LC Credit Agreement (“LC Credit Agreement letters of credit”) and availability of $46 million.</w:t>
      </w:r>
    </w:p>
    <w:p>
      <w:pPr>
        <w:spacing w:after="0" w:line="190" w:lineRule="exact"/>
        <w:rPr>
          <w:sz w:val="20"/>
          <w:szCs w:val="20"/>
          <w:color w:val="auto"/>
        </w:rPr>
      </w:pPr>
    </w:p>
    <w:p>
      <w:pPr>
        <w:jc w:val="both"/>
        <w:ind w:firstLine="319"/>
        <w:spacing w:after="0" w:line="255" w:lineRule="auto"/>
        <w:rPr>
          <w:sz w:val="20"/>
          <w:szCs w:val="20"/>
          <w:color w:val="auto"/>
        </w:rPr>
      </w:pPr>
      <w:r>
        <w:rPr>
          <w:rFonts w:ascii="Times New Roman" w:cs="Times New Roman" w:eastAsia="Times New Roman" w:hAnsi="Times New Roman"/>
          <w:sz w:val="18"/>
          <w:szCs w:val="18"/>
          <w:color w:val="auto"/>
        </w:rPr>
        <w:t>As of March 31, 2022, we had $382 million of letters of credit outstanding, consisting of the $169 million under the LC Credit Agreement and another $213 million under various uncommitted bi-lateral facilities (of which there was $212 million in cash collateral held and recorded in “Restricted Cash” on the Condensed Consolidated Balance Sheets). Our letters of credit under various uncommitted bi-lateral facilities increased “Restricted Cash” since December 31, 2021 due to a requirement from a new multi-year contract.</w:t>
      </w: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Accrued Interest</w:t>
      </w:r>
    </w:p>
    <w:p>
      <w:pPr>
        <w:spacing w:after="0" w:line="247"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As of March 31, 2022 and December 31, 2021, we had accrued interest of approximately $71 million and $35 million, respectively in “Other Current Liabilities” primarily related to the Exit Notes, 2028 Senior Secured Notes and 2030 Senior Notes.</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Fair Value of Short and Long-term Borrowings</w:t>
      </w:r>
    </w:p>
    <w:p>
      <w:pPr>
        <w:spacing w:after="0" w:line="247"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carrying value of our short-term borrowings approximates their fair value due to their short maturities. These short-term borrowings are classified as Level 2 in the fair value hierarchy.</w:t>
      </w:r>
    </w:p>
    <w:p>
      <w:pPr>
        <w:spacing w:after="0" w:line="190"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The fair value of our long-term debt fluctuates with changes in applicable interest rates among other factors. Fair value will exceed carrying value when the current market interest rate is lower than the interest rate at which the debt was originally issued and will be less than the carrying value when the market rate is greater than the interest rate at which the debt was originally issued. The fair value of our long-term debt is classified as Level 2 in the fair value hierarchy and is established based on observable inputs in less active markets. The table below presents the fair value and carrying value of our long-term debt (excluding finance leases).</w:t>
      </w:r>
    </w:p>
    <w:p>
      <w:pPr>
        <w:spacing w:after="0" w:line="102" w:lineRule="exact"/>
        <w:rPr>
          <w:sz w:val="20"/>
          <w:szCs w:val="20"/>
          <w:color w:val="auto"/>
        </w:rPr>
      </w:pPr>
    </w:p>
    <w:tbl>
      <w:tblPr>
        <w:tblLayout w:type="fixed"/>
        <w:tblInd w:w="460" w:type="dxa"/>
        <w:tblCellMar>
          <w:top w:w="0" w:type="dxa"/>
          <w:left w:w="0" w:type="dxa"/>
          <w:bottom w:w="0" w:type="dxa"/>
          <w:right w:w="0" w:type="dxa"/>
        </w:tblCellMar>
      </w:tblPr>
      <w:tr>
        <w:trPr>
          <w:trHeight w:val="233"/>
        </w:trPr>
        <w:tc>
          <w:tcPr>
            <w:tcW w:w="4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40" w:type="dxa"/>
            <w:vAlign w:val="bottom"/>
            <w:gridSpan w:val="4"/>
          </w:tcPr>
          <w:p>
            <w:pPr>
              <w:ind w:left="76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40" w:type="dxa"/>
            <w:vAlign w:val="bottom"/>
          </w:tcPr>
          <w:p>
            <w:pPr>
              <w:spacing w:after="0"/>
              <w:rPr>
                <w:sz w:val="20"/>
                <w:szCs w:val="20"/>
                <w:color w:val="auto"/>
              </w:rPr>
            </w:pPr>
          </w:p>
        </w:tc>
        <w:tc>
          <w:tcPr>
            <w:tcW w:w="2840" w:type="dxa"/>
            <w:vAlign w:val="bottom"/>
            <w:gridSpan w:val="3"/>
          </w:tcPr>
          <w:p>
            <w:pPr>
              <w:jc w:val="right"/>
              <w:ind w:right="691"/>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19"/>
        </w:trPr>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1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96"/>
              </w:rPr>
              <w:t>Carrying Value</w:t>
            </w:r>
          </w:p>
        </w:tc>
        <w:tc>
          <w:tcPr>
            <w:tcW w:w="2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96"/>
              </w:rPr>
              <w:t>Carrying Value</w:t>
            </w:r>
          </w:p>
        </w:tc>
        <w:tc>
          <w:tcPr>
            <w:tcW w:w="2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9"/>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11.00% Exit Notes due 2024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22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6.50% Senior Secured Notes due 2028</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r>
      <w:tr>
        <w:trPr>
          <w:trHeight w:val="226"/>
        </w:trPr>
        <w:tc>
          <w:tcPr>
            <w:tcW w:w="4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8.625% Senior Notes due 2030</w:t>
            </w: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w:t>
            </w:r>
          </w:p>
        </w:tc>
      </w:tr>
      <w:tr>
        <w:trPr>
          <w:trHeight w:val="219"/>
        </w:trPr>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Long-Term Debt (excluding Finance Leases)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2,373</w:t>
            </w:r>
          </w:p>
        </w:tc>
        <w:tc>
          <w:tcPr>
            <w:tcW w:w="2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2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2,499</w:t>
            </w:r>
          </w:p>
        </w:tc>
      </w:tr>
      <w:tr>
        <w:trPr>
          <w:trHeight w:val="20"/>
        </w:trPr>
        <w:tc>
          <w:tcPr>
            <w:tcW w:w="4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13" w:name="page14"/>
    <w:bookmarkEnd w:id="13"/>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8 – Disputes, Litigation and Legal Contingencies</w:t>
      </w:r>
    </w:p>
    <w:p>
      <w:pPr>
        <w:spacing w:after="0" w:line="247"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We are subject to lawsuits and claims arising out of the nature of our business. We have certain claims, disputes and pending litigation for which we do not believe a negative outcome is probable or for which we can only estimate a range of liability. It is possible, however, that an unexpected judgment could be rendered against us, or we could decide to resolve a case or cases, that would result in a liability that could be uninsured and beyond the amounts we currently have reserved and in some cases those losses could be material. If one or more negative outcomes were to occur relative to these cases, the aggregate impact to our financial condition could be material. The COVID-19 pandemic temporarily closed courts in many jurisdictions around the world. Although many courts have reopened, we continue to experience delays in certain jurisdictions.</w:t>
      </w:r>
    </w:p>
    <w:p>
      <w:pPr>
        <w:spacing w:after="0" w:line="210"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Accrued litigation and settlements recorded in “Other Current Liabilities” on the accompanying Condensed Consolidated Balance Sheets as of March 31, 2022 and December 31, 2021 were $45 million and $40 million, respectively.</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GAMCO Shareholder Litigation</w:t>
      </w:r>
    </w:p>
    <w:p>
      <w:pPr>
        <w:spacing w:after="0" w:line="249" w:lineRule="exact"/>
        <w:rPr>
          <w:sz w:val="20"/>
          <w:szCs w:val="20"/>
          <w:color w:val="auto"/>
        </w:rPr>
      </w:pPr>
    </w:p>
    <w:p>
      <w:pPr>
        <w:jc w:val="both"/>
        <w:ind w:firstLine="319"/>
        <w:spacing w:after="0" w:line="265" w:lineRule="auto"/>
        <w:rPr>
          <w:sz w:val="20"/>
          <w:szCs w:val="20"/>
          <w:color w:val="auto"/>
        </w:rPr>
      </w:pPr>
      <w:r>
        <w:rPr>
          <w:rFonts w:ascii="Times New Roman" w:cs="Times New Roman" w:eastAsia="Times New Roman" w:hAnsi="Times New Roman"/>
          <w:sz w:val="17"/>
          <w:szCs w:val="17"/>
          <w:color w:val="auto"/>
        </w:rPr>
        <w:t>On September 6, 2019, GAMCO Asset Management, Inc. (“GAMCO”), purportedly on behalf of itself and other similarly situated shareholders, filed a lawsuit asserting violations of the federal securities laws against certain then-current and former officers and directors of the Company. GAMCO alleges violations of Sections 10(b) and 20(b) of the Securities Exchange Act of 1934, and violations of Sections 11 and 15 of the Securities Act of 1933, as amended (the “Securities Act”) based on allegations that the Company and certain of its officers made false and/or misleading statements, and alleged non-disclosure of material facts, regarding our business, operations, prospects and performance. GAMCO seeks damages on behalf of purchasers of the Company’s ordinary shares from October 26, 2016 through May 10, 2019. GAMCO’s lawsuit was filed in the United States District Court for the Southern District of Texas, Houston Division, and it is captioned GAMCO Asset Management, Inc. v. McCollum, et al., Case No. 4:19-cv-03363. The District Court Judge appointed Utah Retirement Systems (“URS”) as Lead Plaintiff, and on March 16, 2020, URS filed its Amended Complaint. URS added the Company as a defendant but dropped the claims against non-officer board members and all the claims under the Securities Act. The defendants filed their motion to dismiss on May 18, 2020, and the Court granted the motion on May 14, 2021. URS appealed the Court’s Opinion on Dismissal to the Court of Appeals for the Fifth Circuit, and the parties are continuing to await a decision. We cannot reliably predict the outcome of the claims, including the amount of any possible loss.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14" w:name="page15"/>
    <w:bookmarkEnd w:id="14"/>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9 – Shareholders’ Equity</w:t>
      </w:r>
    </w:p>
    <w:p>
      <w:pPr>
        <w:spacing w:after="0" w:line="2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summarizes our shareholders’ equity activity for the three months ended March 31, 2022 and 2021:</w:t>
      </w:r>
    </w:p>
    <w:p>
      <w:pPr>
        <w:spacing w:after="0" w:line="109"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3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vMerge w:val="restart"/>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9"/>
              </w:rPr>
              <w:t>Capital in</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73"/>
        </w:trPr>
        <w:tc>
          <w:tcPr>
            <w:tcW w:w="3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vMerge w:val="restart"/>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240" w:type="dxa"/>
            <w:vAlign w:val="bottom"/>
          </w:tcPr>
          <w:p>
            <w:pPr>
              <w:spacing w:after="0"/>
              <w:rPr>
                <w:sz w:val="15"/>
                <w:szCs w:val="15"/>
                <w:color w:val="auto"/>
              </w:rPr>
            </w:pPr>
          </w:p>
        </w:tc>
        <w:tc>
          <w:tcPr>
            <w:tcW w:w="1520" w:type="dxa"/>
            <w:vAlign w:val="bottom"/>
          </w:tcPr>
          <w:p>
            <w:pPr>
              <w:jc w:val="center"/>
              <w:ind w:right="131"/>
              <w:spacing w:after="0" w:line="173"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1400" w:type="dxa"/>
            <w:vAlign w:val="bottom"/>
            <w:gridSpan w:val="2"/>
            <w:vMerge w:val="restart"/>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Non-controlling</w:t>
            </w:r>
          </w:p>
        </w:tc>
        <w:tc>
          <w:tcPr>
            <w:tcW w:w="2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120" w:type="dxa"/>
            <w:vAlign w:val="bottom"/>
          </w:tcPr>
          <w:p>
            <w:pPr>
              <w:spacing w:after="0"/>
              <w:rPr>
                <w:sz w:val="15"/>
                <w:szCs w:val="15"/>
                <w:color w:val="auto"/>
              </w:rPr>
            </w:pPr>
          </w:p>
        </w:tc>
        <w:tc>
          <w:tcPr>
            <w:tcW w:w="1160" w:type="dxa"/>
            <w:vAlign w:val="bottom"/>
          </w:tcPr>
          <w:p>
            <w:pPr>
              <w:jc w:val="center"/>
              <w:ind w:right="71"/>
              <w:spacing w:after="0" w:line="173" w:lineRule="exact"/>
              <w:rPr>
                <w:sz w:val="20"/>
                <w:szCs w:val="20"/>
                <w:color w:val="auto"/>
              </w:rPr>
            </w:pPr>
            <w:r>
              <w:rPr>
                <w:rFonts w:ascii="Times New Roman" w:cs="Times New Roman" w:eastAsia="Times New Roman" w:hAnsi="Times New Roman"/>
                <w:sz w:val="18"/>
                <w:szCs w:val="18"/>
                <w:b w:val="1"/>
                <w:bCs w:val="1"/>
                <w:color w:val="auto"/>
                <w:w w:val="97"/>
              </w:rPr>
              <w:t>Excess of Par</w:t>
            </w:r>
          </w:p>
        </w:tc>
        <w:tc>
          <w:tcPr>
            <w:tcW w:w="28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jc w:val="center"/>
              <w:ind w:right="131"/>
              <w:spacing w:after="0" w:line="173" w:lineRule="exact"/>
              <w:rPr>
                <w:sz w:val="20"/>
                <w:szCs w:val="20"/>
                <w:color w:val="auto"/>
              </w:rPr>
            </w:pPr>
            <w:r>
              <w:rPr>
                <w:rFonts w:ascii="Times New Roman" w:cs="Times New Roman" w:eastAsia="Times New Roman" w:hAnsi="Times New Roman"/>
                <w:sz w:val="18"/>
                <w:szCs w:val="18"/>
                <w:b w:val="1"/>
                <w:bCs w:val="1"/>
                <w:color w:val="auto"/>
                <w:w w:val="98"/>
              </w:rPr>
              <w:t>Comprehensive</w:t>
            </w:r>
          </w:p>
        </w:tc>
        <w:tc>
          <w:tcPr>
            <w:tcW w:w="14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jc w:val="center"/>
              <w:spacing w:after="0" w:line="173" w:lineRule="exact"/>
              <w:rPr>
                <w:sz w:val="20"/>
                <w:szCs w:val="20"/>
                <w:color w:val="auto"/>
              </w:rPr>
            </w:pPr>
            <w:r>
              <w:rPr>
                <w:rFonts w:ascii="Times New Roman" w:cs="Times New Roman" w:eastAsia="Times New Roman" w:hAnsi="Times New Roman"/>
                <w:sz w:val="18"/>
                <w:szCs w:val="18"/>
                <w:b w:val="1"/>
                <w:bCs w:val="1"/>
                <w:color w:val="auto"/>
                <w:w w:val="98"/>
              </w:rPr>
              <w:t>Shareholders’</w:t>
            </w:r>
          </w:p>
        </w:tc>
        <w:tc>
          <w:tcPr>
            <w:tcW w:w="0" w:type="dxa"/>
            <w:vAlign w:val="bottom"/>
          </w:tcPr>
          <w:p>
            <w:pPr>
              <w:spacing w:after="0"/>
              <w:rPr>
                <w:sz w:val="1"/>
                <w:szCs w:val="1"/>
                <w:color w:val="auto"/>
              </w:rPr>
            </w:pPr>
          </w:p>
        </w:tc>
      </w:tr>
      <w:tr>
        <w:trPr>
          <w:trHeight w:val="239"/>
        </w:trPr>
        <w:tc>
          <w:tcPr>
            <w:tcW w:w="38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Interests “NCI”</w:t>
            </w: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December 31, 2021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2,904</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64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26"/>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(Loss)</w:t>
            </w:r>
          </w:p>
        </w:tc>
        <w:tc>
          <w:tcPr>
            <w:tcW w:w="12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40" w:type="dxa"/>
            <w:vAlign w:val="bottom"/>
          </w:tcPr>
          <w:p>
            <w:pPr>
              <w:spacing w:after="0"/>
              <w:rPr>
                <w:sz w:val="19"/>
                <w:szCs w:val="19"/>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6"/>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 Awards, Granted, Vested and Exercised</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Other Comprehensive Loss</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March 31, 2022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2,908</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64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66"/>
        </w:trPr>
        <w:tc>
          <w:tcPr>
            <w:tcW w:w="3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6"/>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December 31, 2020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2,897</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64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26"/>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(Loss)</w:t>
            </w:r>
          </w:p>
        </w:tc>
        <w:tc>
          <w:tcPr>
            <w:tcW w:w="12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40" w:type="dxa"/>
            <w:vAlign w:val="bottom"/>
          </w:tcPr>
          <w:p>
            <w:pPr>
              <w:spacing w:after="0"/>
              <w:rPr>
                <w:sz w:val="19"/>
                <w:szCs w:val="19"/>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6"/>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Dividends to NCI</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Other Comprehensive Loss</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March 31, 2021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2,897</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64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bl>
    <w:p>
      <w:pPr>
        <w:spacing w:after="0" w:line="300" w:lineRule="exact"/>
        <w:rPr>
          <w:sz w:val="20"/>
          <w:szCs w:val="20"/>
          <w:color w:val="auto"/>
        </w:rPr>
      </w:pPr>
    </w:p>
    <w:p>
      <w:pPr>
        <w:ind w:right="100" w:firstLine="319"/>
        <w:spacing w:after="0" w:line="275" w:lineRule="auto"/>
        <w:rPr>
          <w:sz w:val="20"/>
          <w:szCs w:val="20"/>
          <w:color w:val="auto"/>
        </w:rPr>
      </w:pPr>
      <w:r>
        <w:rPr>
          <w:rFonts w:ascii="Times New Roman" w:cs="Times New Roman" w:eastAsia="Times New Roman" w:hAnsi="Times New Roman"/>
          <w:sz w:val="18"/>
          <w:szCs w:val="18"/>
          <w:color w:val="auto"/>
        </w:rPr>
        <w:t>The following table presents the changes in our accumulated other comprehensive loss by component for the three months ended March 31, 2022 and 2021:</w:t>
      </w:r>
    </w:p>
    <w:p>
      <w:pPr>
        <w:spacing w:after="0" w:line="54" w:lineRule="exact"/>
        <w:rPr>
          <w:sz w:val="20"/>
          <w:szCs w:val="20"/>
          <w:color w:val="auto"/>
        </w:rPr>
      </w:pPr>
    </w:p>
    <w:tbl>
      <w:tblPr>
        <w:tblLayout w:type="fixed"/>
        <w:tblInd w:w="740" w:type="dxa"/>
        <w:tblCellMar>
          <w:top w:w="0" w:type="dxa"/>
          <w:left w:w="0" w:type="dxa"/>
          <w:bottom w:w="0" w:type="dxa"/>
          <w:right w:w="0" w:type="dxa"/>
        </w:tblCellMar>
      </w:tblPr>
      <w:tr>
        <w:trPr>
          <w:trHeight w:val="207"/>
        </w:trPr>
        <w:tc>
          <w:tcPr>
            <w:tcW w:w="3680" w:type="dxa"/>
            <w:vAlign w:val="bottom"/>
          </w:tcPr>
          <w:p>
            <w:pPr>
              <w:spacing w:after="0"/>
              <w:rPr>
                <w:sz w:val="17"/>
                <w:szCs w:val="17"/>
                <w:color w:val="auto"/>
              </w:rPr>
            </w:pPr>
          </w:p>
        </w:tc>
        <w:tc>
          <w:tcPr>
            <w:tcW w:w="2700" w:type="dxa"/>
            <w:vAlign w:val="bottom"/>
          </w:tcPr>
          <w:p>
            <w:pPr>
              <w:jc w:val="center"/>
              <w:ind w:left="1651"/>
              <w:spacing w:after="0"/>
              <w:rPr>
                <w:sz w:val="20"/>
                <w:szCs w:val="20"/>
                <w:color w:val="auto"/>
              </w:rPr>
            </w:pPr>
            <w:r>
              <w:rPr>
                <w:rFonts w:ascii="Times New Roman" w:cs="Times New Roman" w:eastAsia="Times New Roman" w:hAnsi="Times New Roman"/>
                <w:sz w:val="18"/>
                <w:szCs w:val="18"/>
                <w:b w:val="1"/>
                <w:bCs w:val="1"/>
                <w:color w:val="auto"/>
                <w:w w:val="97"/>
              </w:rPr>
              <w:t>Currency</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vMerge w:val="restart"/>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Defined Benefit</w:t>
            </w: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3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2700" w:type="dxa"/>
            <w:vAlign w:val="bottom"/>
          </w:tcPr>
          <w:p>
            <w:pPr>
              <w:jc w:val="center"/>
              <w:ind w:left="1651"/>
              <w:spacing w:after="0" w:line="173" w:lineRule="exact"/>
              <w:rPr>
                <w:sz w:val="20"/>
                <w:szCs w:val="20"/>
                <w:color w:val="auto"/>
              </w:rPr>
            </w:pPr>
            <w:r>
              <w:rPr>
                <w:rFonts w:ascii="Times New Roman" w:cs="Times New Roman" w:eastAsia="Times New Roman" w:hAnsi="Times New Roman"/>
                <w:sz w:val="18"/>
                <w:szCs w:val="18"/>
                <w:b w:val="1"/>
                <w:bCs w:val="1"/>
                <w:color w:val="auto"/>
                <w:w w:val="97"/>
              </w:rPr>
              <w:t>Translation</w:t>
            </w: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vMerge w:val="restart"/>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9"/>
        </w:trPr>
        <w:tc>
          <w:tcPr>
            <w:tcW w:w="3680" w:type="dxa"/>
            <w:vAlign w:val="bottom"/>
            <w:tcBorders>
              <w:bottom w:val="single" w:sz="8" w:color="auto"/>
            </w:tcBorders>
            <w:vMerge w:val="continue"/>
          </w:tcPr>
          <w:p>
            <w:pPr>
              <w:spacing w:after="0"/>
              <w:rPr>
                <w:sz w:val="20"/>
                <w:szCs w:val="20"/>
                <w:color w:val="auto"/>
              </w:rPr>
            </w:pPr>
          </w:p>
        </w:tc>
        <w:tc>
          <w:tcPr>
            <w:tcW w:w="2700" w:type="dxa"/>
            <w:vAlign w:val="bottom"/>
            <w:tcBorders>
              <w:bottom w:val="single" w:sz="8" w:color="auto"/>
            </w:tcBorders>
          </w:tcPr>
          <w:p>
            <w:pPr>
              <w:jc w:val="center"/>
              <w:ind w:left="1651"/>
              <w:spacing w:after="0"/>
              <w:rPr>
                <w:sz w:val="20"/>
                <w:szCs w:val="20"/>
                <w:color w:val="auto"/>
              </w:rPr>
            </w:pPr>
            <w:r>
              <w:rPr>
                <w:rFonts w:ascii="Times New Roman" w:cs="Times New Roman" w:eastAsia="Times New Roman" w:hAnsi="Times New Roman"/>
                <w:sz w:val="18"/>
                <w:szCs w:val="18"/>
                <w:b w:val="1"/>
                <w:bCs w:val="1"/>
                <w:color w:val="auto"/>
                <w:w w:val="96"/>
              </w:rPr>
              <w:t>Adjustment</w:t>
            </w:r>
          </w:p>
        </w:tc>
        <w:tc>
          <w:tcPr>
            <w:tcW w:w="3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Pension</w:t>
            </w: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2700" w:type="dxa"/>
            <w:vAlign w:val="bottom"/>
            <w:shd w:val="clear" w:color="auto" w:fill="CCEEFF"/>
          </w:tcPr>
          <w:p>
            <w:pPr>
              <w:jc w:val="right"/>
              <w:ind w:right="113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6"/>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7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4"/>
        </w:trPr>
        <w:tc>
          <w:tcPr>
            <w:tcW w:w="3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2022</w:t>
            </w:r>
          </w:p>
        </w:tc>
        <w:tc>
          <w:tcPr>
            <w:tcW w:w="2700" w:type="dxa"/>
            <w:vAlign w:val="bottom"/>
            <w:tcBorders>
              <w:bottom w:val="single" w:sz="8" w:color="auto"/>
            </w:tcBorders>
            <w:shd w:val="clear" w:color="auto" w:fill="CCEEFF"/>
          </w:tcPr>
          <w:p>
            <w:pPr>
              <w:jc w:val="right"/>
              <w:ind w:right="113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bottom w:val="single" w:sz="8" w:color="auto"/>
            </w:tcBorders>
          </w:tcPr>
          <w:p>
            <w:pPr>
              <w:spacing w:after="0" w:line="20" w:lineRule="exact"/>
              <w:rPr>
                <w:sz w:val="1"/>
                <w:szCs w:val="1"/>
                <w:color w:val="auto"/>
              </w:rPr>
            </w:pPr>
          </w:p>
        </w:tc>
        <w:tc>
          <w:tcPr>
            <w:tcW w:w="27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6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2020</w:t>
            </w:r>
          </w:p>
        </w:tc>
        <w:tc>
          <w:tcPr>
            <w:tcW w:w="2700" w:type="dxa"/>
            <w:vAlign w:val="bottom"/>
            <w:shd w:val="clear" w:color="auto" w:fill="CCEEFF"/>
          </w:tcPr>
          <w:p>
            <w:pPr>
              <w:jc w:val="right"/>
              <w:ind w:right="113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6"/>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7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4"/>
        </w:trPr>
        <w:tc>
          <w:tcPr>
            <w:tcW w:w="3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2021</w:t>
            </w:r>
          </w:p>
        </w:tc>
        <w:tc>
          <w:tcPr>
            <w:tcW w:w="2700" w:type="dxa"/>
            <w:vAlign w:val="bottom"/>
            <w:tcBorders>
              <w:bottom w:val="single" w:sz="8" w:color="auto"/>
            </w:tcBorders>
            <w:shd w:val="clear" w:color="auto" w:fill="CCEEFF"/>
          </w:tcPr>
          <w:p>
            <w:pPr>
              <w:jc w:val="right"/>
              <w:ind w:right="113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8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bottom w:val="single" w:sz="8" w:color="auto"/>
            </w:tcBorders>
          </w:tcPr>
          <w:p>
            <w:pPr>
              <w:spacing w:after="0" w:line="20" w:lineRule="exact"/>
              <w:rPr>
                <w:sz w:val="1"/>
                <w:szCs w:val="1"/>
                <w:color w:val="auto"/>
              </w:rPr>
            </w:pPr>
          </w:p>
        </w:tc>
        <w:tc>
          <w:tcPr>
            <w:tcW w:w="27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466" w:right="239" w:bottom="1440" w:gutter="0" w:footer="0" w:header="0"/>
        </w:sectPr>
      </w:pPr>
    </w:p>
    <w:bookmarkStart w:id="15" w:name="page16"/>
    <w:bookmarkEnd w:id="15"/>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10 – Loss per Share</w:t>
      </w:r>
    </w:p>
    <w:p>
      <w:pPr>
        <w:spacing w:after="0" w:line="247"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Basic earnings (loss) per share for all periods presented equals net income (loss) divided by our weighted average shares outstanding during the period. Diluted earnings (loss) per share is computed by dividing net income (loss) by our weighted average shares outstanding during the period including potential dilutive ordinary shares.</w:t>
      </w:r>
    </w:p>
    <w:p>
      <w:pPr>
        <w:spacing w:after="0" w:line="204"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following table presents our basic and diluted weighted average shares outstanding and loss per share for the three months ended March 31, 2022 and 2021:</w:t>
      </w:r>
    </w:p>
    <w:p>
      <w:pPr>
        <w:spacing w:after="0" w:line="81" w:lineRule="exact"/>
        <w:rPr>
          <w:sz w:val="20"/>
          <w:szCs w:val="20"/>
          <w:color w:val="auto"/>
        </w:rPr>
      </w:pPr>
    </w:p>
    <w:tbl>
      <w:tblPr>
        <w:tblLayout w:type="fixed"/>
        <w:tblInd w:w="1960" w:type="dxa"/>
        <w:tblCellMar>
          <w:top w:w="0" w:type="dxa"/>
          <w:left w:w="0" w:type="dxa"/>
          <w:bottom w:w="0" w:type="dxa"/>
          <w:right w:w="0" w:type="dxa"/>
        </w:tblCellMar>
      </w:tblPr>
      <w:tr>
        <w:trPr>
          <w:trHeight w:val="233"/>
        </w:trPr>
        <w:tc>
          <w:tcPr>
            <w:tcW w:w="49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3"/>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97"/>
              </w:rPr>
              <w:t>Three Months Ended March 31,</w:t>
            </w:r>
          </w:p>
        </w:tc>
      </w:tr>
      <w:tr>
        <w:trPr>
          <w:trHeight w:val="219"/>
        </w:trPr>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and shares in millions, except per share amounts)</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Weatherford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26"/>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 Weighted Average Shares Outstanding</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6"/>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Loss Per Share Attributable to Weatherford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r>
    </w:tbl>
    <w:p>
      <w:pPr>
        <w:spacing w:after="0" w:line="200" w:lineRule="exact"/>
        <w:rPr>
          <w:sz w:val="20"/>
          <w:szCs w:val="20"/>
          <w:color w:val="auto"/>
        </w:rPr>
      </w:pPr>
    </w:p>
    <w:p>
      <w:pPr>
        <w:spacing w:after="0" w:line="286" w:lineRule="exact"/>
        <w:rPr>
          <w:sz w:val="20"/>
          <w:szCs w:val="20"/>
          <w:color w:val="auto"/>
        </w:rPr>
      </w:pPr>
    </w:p>
    <w:p>
      <w:pPr>
        <w:jc w:val="both"/>
        <w:ind w:firstLine="319"/>
        <w:spacing w:after="0" w:line="255" w:lineRule="auto"/>
        <w:rPr>
          <w:sz w:val="20"/>
          <w:szCs w:val="20"/>
          <w:color w:val="auto"/>
        </w:rPr>
      </w:pPr>
      <w:r>
        <w:rPr>
          <w:rFonts w:ascii="Times New Roman" w:cs="Times New Roman" w:eastAsia="Times New Roman" w:hAnsi="Times New Roman"/>
          <w:sz w:val="18"/>
          <w:szCs w:val="18"/>
          <w:color w:val="auto"/>
        </w:rPr>
        <w:t>Our basic and diluted weighted average shares outstanding for the periods presented are equivalent due to the net loss attributable to shareholders. Diluted weighted average shares outstanding for the three months ended March 31, 2022 and 2021 exclude 11 million and 9 million potential ordinary shares, respectively, for restricted share units, performance share units, phantom restricted share units, and outstanding warrants as we had net losses for those periods and their inclusion would be anti-dilutive.</w:t>
      </w:r>
    </w:p>
    <w:p>
      <w:pPr>
        <w:spacing w:after="0" w:line="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11 – Income Taxes</w:t>
      </w:r>
    </w:p>
    <w:p>
      <w:pPr>
        <w:spacing w:after="0" w:line="24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determined our quarterly tax provision using the year-to-date effective tax rate because small changes in estimated ordinary annual income result in significant changes in our estimated annual effective tax rate. The year-to-date effective tax rate treats the year-to-date period as if it was the annual period and determines the income tax expense or benefit on that basis.</w:t>
      </w:r>
    </w:p>
    <w:p>
      <w:pPr>
        <w:spacing w:after="0" w:line="20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provide for income taxes based on the laws and rates in effect in the countries in which operations are conducted, or in which we or our subsidiaries are considered resident for income tax purposes. The relationship between our pre-tax income or loss and our income tax provision or benefit varies from period to period due to various factors which include changes in total pre-tax income or loss, the jurisdictions in which our income is earned, the tax laws in those jurisdictions and in our operating structure.</w:t>
      </w:r>
    </w:p>
    <w:p>
      <w:pPr>
        <w:spacing w:after="0" w:line="209"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For the three months ended March 31, 2022, we recognized tax expense of $28 million on a loss before income taxes of $46 million compared to the three months ended March 31, 2021 where we recognized tax expense of $23 million on a loss before income taxes of $87 million. Our income tax provisions are primarily driven by income in certain jurisdictions, deemed profit countries and withholding taxes on intercompany and third-party transactions that do not directly correlate to ordinary income or loss and other adjustments. Impairments and other charges recognized do not result in significant tax benefit due to our inability to forecast realization of the tax benefit of such losses.</w:t>
      </w:r>
    </w:p>
    <w:p>
      <w:pPr>
        <w:spacing w:after="0" w:line="211" w:lineRule="exact"/>
        <w:rPr>
          <w:sz w:val="20"/>
          <w:szCs w:val="20"/>
          <w:color w:val="auto"/>
        </w:rPr>
      </w:pPr>
    </w:p>
    <w:p>
      <w:pPr>
        <w:jc w:val="both"/>
        <w:ind w:firstLine="319"/>
        <w:spacing w:after="0" w:line="255" w:lineRule="auto"/>
        <w:rPr>
          <w:sz w:val="20"/>
          <w:szCs w:val="20"/>
          <w:color w:val="auto"/>
        </w:rPr>
      </w:pPr>
      <w:r>
        <w:rPr>
          <w:rFonts w:ascii="Times New Roman" w:cs="Times New Roman" w:eastAsia="Times New Roman" w:hAnsi="Times New Roman"/>
          <w:sz w:val="18"/>
          <w:szCs w:val="18"/>
          <w:color w:val="auto"/>
        </w:rPr>
        <w:t>We routinely undergo tax examination in various jurisdictions. We cannot predict the timing or outcome regarding resolution of these tax examinations or if they will have a material impact on our financial statements. As of March 31, 2022, we anticipate that it is reasonably possible that our uncertain tax positions of $272 million may decrease by up to $11 million in the next twelve months due to expiration of statutes of limitations, settlements and/or conclusions of tax examinations.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16" w:name="page17"/>
    <w:bookmarkEnd w:id="16"/>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47" w:lineRule="exact"/>
        <w:rPr>
          <w:sz w:val="20"/>
          <w:szCs w:val="20"/>
          <w:color w:val="auto"/>
        </w:rPr>
      </w:pPr>
    </w:p>
    <w:p>
      <w:pPr>
        <w:jc w:val="both"/>
        <w:ind w:firstLine="319"/>
        <w:spacing w:after="0" w:line="265" w:lineRule="auto"/>
        <w:rPr>
          <w:sz w:val="20"/>
          <w:szCs w:val="20"/>
          <w:color w:val="auto"/>
        </w:rPr>
      </w:pPr>
      <w:r>
        <w:rPr>
          <w:rFonts w:ascii="Times New Roman" w:cs="Times New Roman" w:eastAsia="Times New Roman" w:hAnsi="Times New Roman"/>
          <w:sz w:val="17"/>
          <w:szCs w:val="17"/>
          <w:color w:val="auto"/>
        </w:rPr>
        <w:t>As used in this item, “Weatherford”, “the Company,” “we,” “us” and “our” refer to Weatherford International plc, a public limited company organized under the laws of Ireland, and its subsidiaries on a consolidated basis. The following discussion should be read in conjunction with the Condensed Consolidated Financial Statements and Notes thereto included in “Item 1. Financial Statements.” Our discussion includes various forward-looking statements about our markets, the demand for our products and services and our future results. These statements include assumptions, certain risks and uncertainties. For information about these assumptions, risks and uncertainties, refer to the section “Forward-Looking Statements” and the section “Part II – Other Information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Item 1A. – Risk Factors.”</w:t>
      </w: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47"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We are a leading global energy services company providing equipment and services used in the drilling, evaluation, well construction, completion, production, intervention and responsible abandonment of wells across the broad spectrum of energy sources. Many of our businesses, including those of our predecessor companies, have been operating for more than 50 years.</w:t>
      </w:r>
    </w:p>
    <w:p>
      <w:pPr>
        <w:spacing w:after="0" w:line="204" w:lineRule="exact"/>
        <w:rPr>
          <w:sz w:val="20"/>
          <w:szCs w:val="20"/>
          <w:color w:val="auto"/>
        </w:rPr>
      </w:pPr>
    </w:p>
    <w:p>
      <w:pPr>
        <w:jc w:val="both"/>
        <w:ind w:firstLine="319"/>
        <w:spacing w:after="0" w:line="257" w:lineRule="auto"/>
        <w:rPr>
          <w:sz w:val="20"/>
          <w:szCs w:val="20"/>
          <w:color w:val="auto"/>
        </w:rPr>
      </w:pPr>
      <w:r>
        <w:rPr>
          <w:rFonts w:ascii="Times New Roman" w:cs="Times New Roman" w:eastAsia="Times New Roman" w:hAnsi="Times New Roman"/>
          <w:sz w:val="18"/>
          <w:szCs w:val="18"/>
          <w:color w:val="auto"/>
        </w:rPr>
        <w:t>We conduct operations in approximately 75 countries, answering the challenges of the energy industry with 350 operating locations including manufacturing, research and development, service, and training facilities.</w:t>
      </w:r>
    </w:p>
    <w:p>
      <w:pPr>
        <w:spacing w:after="0" w:line="1" w:lineRule="exact"/>
        <w:rPr>
          <w:sz w:val="20"/>
          <w:szCs w:val="20"/>
          <w:color w:val="auto"/>
        </w:rPr>
      </w:pPr>
    </w:p>
    <w:p>
      <w:pPr>
        <w:jc w:val="both"/>
        <w:ind w:firstLine="319"/>
        <w:spacing w:after="0" w:line="248" w:lineRule="auto"/>
        <w:rPr>
          <w:sz w:val="20"/>
          <w:szCs w:val="20"/>
          <w:color w:val="auto"/>
        </w:rPr>
      </w:pPr>
      <w:r>
        <w:rPr>
          <w:rFonts w:ascii="Times New Roman" w:cs="Times New Roman" w:eastAsia="Times New Roman" w:hAnsi="Times New Roman"/>
          <w:sz w:val="18"/>
          <w:szCs w:val="18"/>
          <w:color w:val="auto"/>
        </w:rPr>
        <w:t>Our principal business is to provide equipment and services to the oil and natural gas exploration and production industry as well as new energy platforms across our three product line segments: (1) Drilling and Evaluation (2) Well Construction and Completions, and (3) Production and Intervention. All of our segments are enabled by a full suite of digital, monitoring, optimization and artificial intelligence solutions providing services throughout the well life cycle, including responsible abandonment.</w:t>
      </w:r>
    </w:p>
    <w:p>
      <w:pPr>
        <w:spacing w:after="0" w:line="210" w:lineRule="exact"/>
        <w:rPr>
          <w:sz w:val="20"/>
          <w:szCs w:val="20"/>
          <w:color w:val="auto"/>
        </w:rPr>
      </w:pPr>
    </w:p>
    <w:p>
      <w:pPr>
        <w:jc w:val="both"/>
        <w:ind w:firstLine="319"/>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Drilling and Evaluation (“DRE”) </w:t>
      </w:r>
      <w:r>
        <w:rPr>
          <w:rFonts w:ascii="Times New Roman" w:cs="Times New Roman" w:eastAsia="Times New Roman" w:hAnsi="Times New Roman"/>
          <w:sz w:val="18"/>
          <w:szCs w:val="18"/>
          <w:color w:val="auto"/>
        </w:rPr>
        <w:t>offers a suite of services including managed pressure drilling, drilling services, wireline and drilling fluids. DRE offers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services ranging from early well planning to reservoir management through innovative tools and expert engineering to optimize reservoir access and productivity.</w:t>
      </w:r>
    </w:p>
    <w:p>
      <w:pPr>
        <w:spacing w:after="0" w:line="196" w:lineRule="exact"/>
        <w:rPr>
          <w:sz w:val="20"/>
          <w:szCs w:val="20"/>
          <w:color w:val="auto"/>
        </w:rPr>
      </w:pPr>
    </w:p>
    <w:p>
      <w:pPr>
        <w:jc w:val="both"/>
        <w:ind w:firstLine="319"/>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Well Construction and Completions (“WCC”) </w:t>
      </w:r>
      <w:r>
        <w:rPr>
          <w:rFonts w:ascii="Times New Roman" w:cs="Times New Roman" w:eastAsia="Times New Roman" w:hAnsi="Times New Roman"/>
          <w:sz w:val="18"/>
          <w:szCs w:val="18"/>
          <w:color w:val="auto"/>
        </w:rPr>
        <w:t>offers products and services for well integrity assurance across the full life cycle of the well. The primary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offerings are tubular running services, cementation products, completions, liner hangers and well services. WCC deploys conventional to advanced technologies, providing safe and efficient services in any environment during the well construction phase.</w:t>
      </w:r>
    </w:p>
    <w:p>
      <w:pPr>
        <w:spacing w:after="0" w:line="196" w:lineRule="exact"/>
        <w:rPr>
          <w:sz w:val="20"/>
          <w:szCs w:val="20"/>
          <w:color w:val="auto"/>
        </w:rPr>
      </w:pPr>
    </w:p>
    <w:p>
      <w:pPr>
        <w:jc w:val="both"/>
        <w:ind w:firstLine="31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Production and Intervention (“PRI”) </w:t>
      </w:r>
      <w:r>
        <w:rPr>
          <w:rFonts w:ascii="Times New Roman" w:cs="Times New Roman" w:eastAsia="Times New Roman" w:hAnsi="Times New Roman"/>
          <w:sz w:val="18"/>
          <w:szCs w:val="18"/>
          <w:color w:val="auto"/>
        </w:rPr>
        <w:t>offers production optimization technologies through the Company’s ability to design and deliver a complete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production ecosystem to boost productivity and responsible abandonment for our customers. The primary offerings are intervention services &amp; drilling tools, artificial lift, production automation &amp; software, sub-sea intervention and pressure pumping services. PRI utilizes a suite of reservoir stimulation designs, and engineering capabilities that isolate zones and unlock reserves in conventional and unconventional wells, deep water, and aging reservoirs.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17" w:name="page18"/>
    <w:bookmarkEnd w:id="17"/>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Industry Trends</w:t>
      </w:r>
    </w:p>
    <w:p>
      <w:pPr>
        <w:spacing w:after="0" w:line="247" w:lineRule="exact"/>
        <w:rPr>
          <w:sz w:val="20"/>
          <w:szCs w:val="20"/>
          <w:color w:val="auto"/>
        </w:rPr>
      </w:pPr>
    </w:p>
    <w:p>
      <w:pPr>
        <w:jc w:val="both"/>
        <w:ind w:firstLine="319"/>
        <w:spacing w:after="0" w:line="255" w:lineRule="auto"/>
        <w:rPr>
          <w:sz w:val="20"/>
          <w:szCs w:val="20"/>
          <w:color w:val="auto"/>
        </w:rPr>
      </w:pPr>
      <w:r>
        <w:rPr>
          <w:rFonts w:ascii="Times New Roman" w:cs="Times New Roman" w:eastAsia="Times New Roman" w:hAnsi="Times New Roman"/>
          <w:sz w:val="18"/>
          <w:szCs w:val="18"/>
          <w:color w:val="auto"/>
        </w:rPr>
        <w:t>The level of spending in the energy industry is heavily influenced by the current and expected future prices of oil and natural gas, but is also impacted by environmental, social and governance (“ESG”) initiatives, and ongoing supply chain shortages as well as geopolitical events like the ongoing military conflict between Russia and Ukraine (“Russia Ukraine Conflict”). These recent events, in addition to the reopening of the global economy around the relaxing of public restrictions related to the COVID-19 pandemic, have caused commodity prices to increase year-over-year.</w:t>
      </w:r>
    </w:p>
    <w:p>
      <w:pPr>
        <w:spacing w:after="0" w:line="209"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The industry is also impacted by sanctions. Most notably, several countries including the United States, the European Union and the United Kingdom, have imposed broad sanctions against Russia, certain Russian individuals and certain activities involving Russia or Russian individuals. These factors may result in an increase or decrease in demand for our products and services.</w:t>
      </w:r>
    </w:p>
    <w:p>
      <w:pPr>
        <w:spacing w:after="0" w:line="204"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table below shows the average oil and natural gas prices for West Texas Intermediate (“WTI”) and Brent North Sea (“Brent”) crude oil and Henry Hub natural gas during the three months ended March 31, 2022 and 2021.</w:t>
      </w:r>
    </w:p>
    <w:p>
      <w:pPr>
        <w:spacing w:after="0" w:line="228" w:lineRule="exact"/>
        <w:rPr>
          <w:sz w:val="20"/>
          <w:szCs w:val="20"/>
          <w:color w:val="auto"/>
        </w:rPr>
      </w:pPr>
    </w:p>
    <w:tbl>
      <w:tblPr>
        <w:tblLayout w:type="fixed"/>
        <w:tblInd w:w="1940" w:type="dxa"/>
        <w:tblCellMar>
          <w:top w:w="0" w:type="dxa"/>
          <w:left w:w="0" w:type="dxa"/>
          <w:bottom w:w="0" w:type="dxa"/>
          <w:right w:w="0" w:type="dxa"/>
        </w:tblCellMar>
      </w:tblPr>
      <w:tr>
        <w:trPr>
          <w:trHeight w:val="233"/>
        </w:trPr>
        <w:tc>
          <w:tcPr>
            <w:tcW w:w="4980" w:type="dxa"/>
            <w:vAlign w:val="bottom"/>
          </w:tcPr>
          <w:p>
            <w:pPr>
              <w:spacing w:after="0"/>
              <w:rPr>
                <w:sz w:val="20"/>
                <w:szCs w:val="20"/>
                <w:color w:val="auto"/>
              </w:rPr>
            </w:pPr>
          </w:p>
        </w:tc>
        <w:tc>
          <w:tcPr>
            <w:tcW w:w="2720" w:type="dxa"/>
            <w:vAlign w:val="bottom"/>
            <w:tcBorders>
              <w:bottom w:val="single" w:sz="8" w:color="auto"/>
            </w:tcBorders>
            <w:gridSpan w:val="2"/>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19"/>
        </w:trPr>
        <w:tc>
          <w:tcPr>
            <w:tcW w:w="49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3/31/2022</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3/31/2021</w:t>
            </w:r>
          </w:p>
        </w:tc>
      </w:tr>
      <w:tr>
        <w:trPr>
          <w:trHeight w:val="219"/>
        </w:trPr>
        <w:tc>
          <w:tcPr>
            <w:tcW w:w="4980" w:type="dxa"/>
            <w:vAlign w:val="bottom"/>
            <w:shd w:val="clear" w:color="auto" w:fill="CCEEFF"/>
          </w:tcPr>
          <w:p>
            <w:pPr>
              <w:spacing w:after="0" w:line="219" w:lineRule="exact"/>
              <w:rPr>
                <w:sz w:val="20"/>
                <w:szCs w:val="20"/>
                <w:color w:val="auto"/>
              </w:rPr>
            </w:pPr>
            <w:r>
              <w:rPr>
                <w:rFonts w:ascii="Times New Roman" w:cs="Times New Roman" w:eastAsia="Times New Roman" w:hAnsi="Times New Roman"/>
                <w:sz w:val="18"/>
                <w:szCs w:val="18"/>
                <w:color w:val="auto"/>
              </w:rPr>
              <w:t xml:space="preserve">Oil price - WTI </w:t>
            </w:r>
            <w:r>
              <w:rPr>
                <w:rFonts w:ascii="Times New Roman" w:cs="Times New Roman" w:eastAsia="Times New Roman" w:hAnsi="Times New Roman"/>
                <w:sz w:val="23"/>
                <w:szCs w:val="23"/>
                <w:color w:val="auto"/>
                <w:vertAlign w:val="superscript"/>
              </w:rPr>
              <w:t>(1)</w:t>
            </w:r>
          </w:p>
        </w:tc>
        <w:tc>
          <w:tcPr>
            <w:tcW w:w="166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$94.45</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$57.79</w:t>
            </w:r>
          </w:p>
        </w:tc>
      </w:tr>
      <w:tr>
        <w:trPr>
          <w:trHeight w:val="226"/>
        </w:trPr>
        <w:tc>
          <w:tcPr>
            <w:tcW w:w="4980" w:type="dxa"/>
            <w:vAlign w:val="bottom"/>
          </w:tcPr>
          <w:p>
            <w:pPr>
              <w:spacing w:after="0" w:line="225" w:lineRule="exact"/>
              <w:rPr>
                <w:sz w:val="20"/>
                <w:szCs w:val="20"/>
                <w:color w:val="auto"/>
              </w:rPr>
            </w:pPr>
            <w:r>
              <w:rPr>
                <w:rFonts w:ascii="Times New Roman" w:cs="Times New Roman" w:eastAsia="Times New Roman" w:hAnsi="Times New Roman"/>
                <w:sz w:val="18"/>
                <w:szCs w:val="18"/>
                <w:color w:val="auto"/>
              </w:rPr>
              <w:t xml:space="preserve">Oil price - Brent </w:t>
            </w:r>
            <w:r>
              <w:rPr>
                <w:rFonts w:ascii="Times New Roman" w:cs="Times New Roman" w:eastAsia="Times New Roman" w:hAnsi="Times New Roman"/>
                <w:sz w:val="23"/>
                <w:szCs w:val="23"/>
                <w:color w:val="auto"/>
                <w:vertAlign w:val="superscript"/>
              </w:rPr>
              <w:t>(1)</w:t>
            </w:r>
          </w:p>
        </w:tc>
        <w:tc>
          <w:tcPr>
            <w:tcW w:w="166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$100.30</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$60.82</w:t>
            </w:r>
          </w:p>
        </w:tc>
      </w:tr>
      <w:tr>
        <w:trPr>
          <w:trHeight w:val="226"/>
        </w:trPr>
        <w:tc>
          <w:tcPr>
            <w:tcW w:w="4980" w:type="dxa"/>
            <w:vAlign w:val="bottom"/>
            <w:tcBorders>
              <w:bottom w:val="single" w:sz="8" w:color="auto"/>
            </w:tcBorders>
            <w:shd w:val="clear" w:color="auto" w:fill="CCEEFF"/>
          </w:tcPr>
          <w:p>
            <w:pPr>
              <w:spacing w:after="0" w:line="225" w:lineRule="exact"/>
              <w:rPr>
                <w:sz w:val="20"/>
                <w:szCs w:val="20"/>
                <w:color w:val="auto"/>
              </w:rPr>
            </w:pPr>
            <w:r>
              <w:rPr>
                <w:rFonts w:ascii="Times New Roman" w:cs="Times New Roman" w:eastAsia="Times New Roman" w:hAnsi="Times New Roman"/>
                <w:sz w:val="18"/>
                <w:szCs w:val="18"/>
                <w:color w:val="auto"/>
              </w:rPr>
              <w:t xml:space="preserve">Natural gas price - Henry Hub </w:t>
            </w:r>
            <w:r>
              <w:rPr>
                <w:rFonts w:ascii="Times New Roman" w:cs="Times New Roman" w:eastAsia="Times New Roman" w:hAnsi="Times New Roman"/>
                <w:sz w:val="23"/>
                <w:szCs w:val="23"/>
                <w:color w:val="auto"/>
                <w:vertAlign w:val="superscript"/>
              </w:rPr>
              <w:t>(2)</w:t>
            </w:r>
          </w:p>
        </w:tc>
        <w:tc>
          <w:tcPr>
            <w:tcW w:w="1660" w:type="dxa"/>
            <w:vAlign w:val="bottom"/>
            <w:tcBorders>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$4.66</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r>
    </w:tbl>
    <w:p>
      <w:pPr>
        <w:ind w:left="2100" w:hanging="157"/>
        <w:spacing w:after="0" w:line="216" w:lineRule="auto"/>
        <w:tabs>
          <w:tab w:leader="none" w:pos="2100" w:val="left"/>
        </w:tabs>
        <w:numPr>
          <w:ilvl w:val="0"/>
          <w:numId w:val="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Oil price measured in dollars per barrel (rounded to the nearest $0.01)</w:t>
      </w:r>
    </w:p>
    <w:p>
      <w:pPr>
        <w:spacing w:after="0" w:line="22" w:lineRule="exact"/>
        <w:rPr>
          <w:rFonts w:ascii="Times New Roman" w:cs="Times New Roman" w:eastAsia="Times New Roman" w:hAnsi="Times New Roman"/>
          <w:sz w:val="20"/>
          <w:szCs w:val="20"/>
          <w:color w:val="auto"/>
          <w:vertAlign w:val="superscript"/>
        </w:rPr>
      </w:pPr>
    </w:p>
    <w:p>
      <w:pPr>
        <w:ind w:left="2100" w:hanging="157"/>
        <w:spacing w:after="0" w:line="198" w:lineRule="auto"/>
        <w:tabs>
          <w:tab w:leader="none" w:pos="2100" w:val="left"/>
        </w:tabs>
        <w:numPr>
          <w:ilvl w:val="0"/>
          <w:numId w:val="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Natural gas price measured in dollars per million British thermal units (Btu), or MMBtu</w:t>
      </w:r>
    </w:p>
    <w:p>
      <w:pPr>
        <w:spacing w:after="0" w:line="372" w:lineRule="exact"/>
        <w:rPr>
          <w:sz w:val="20"/>
          <w:szCs w:val="20"/>
          <w:color w:val="auto"/>
        </w:rPr>
      </w:pPr>
    </w:p>
    <w:p>
      <w:pPr>
        <w:jc w:val="both"/>
        <w:ind w:firstLine="319"/>
        <w:spacing w:after="0" w:line="305" w:lineRule="auto"/>
        <w:rPr>
          <w:sz w:val="20"/>
          <w:szCs w:val="20"/>
          <w:color w:val="auto"/>
        </w:rPr>
      </w:pPr>
      <w:r>
        <w:rPr>
          <w:rFonts w:ascii="Times New Roman" w:cs="Times New Roman" w:eastAsia="Times New Roman" w:hAnsi="Times New Roman"/>
          <w:sz w:val="17"/>
          <w:szCs w:val="17"/>
          <w:color w:val="auto"/>
        </w:rPr>
        <w:t>Rig count is an indicator of the level of spending for the exploration and production of oil and natural gas reserves and the increase year-over-year are due to similar reasons described above. The table below shows historical average rig counts based on the weekly Baker Hughes Company rig count information.</w:t>
      </w:r>
    </w:p>
    <w:p>
      <w:pPr>
        <w:spacing w:after="0" w:line="19" w:lineRule="exact"/>
        <w:rPr>
          <w:sz w:val="20"/>
          <w:szCs w:val="20"/>
          <w:color w:val="auto"/>
        </w:rPr>
      </w:pPr>
    </w:p>
    <w:tbl>
      <w:tblPr>
        <w:tblLayout w:type="fixed"/>
        <w:tblInd w:w="1600" w:type="dxa"/>
        <w:tblCellMar>
          <w:top w:w="0" w:type="dxa"/>
          <w:left w:w="0" w:type="dxa"/>
          <w:bottom w:w="0" w:type="dxa"/>
          <w:right w:w="0" w:type="dxa"/>
        </w:tblCellMar>
      </w:tblPr>
      <w:tr>
        <w:trPr>
          <w:trHeight w:val="233"/>
        </w:trPr>
        <w:tc>
          <w:tcPr>
            <w:tcW w:w="4260" w:type="dxa"/>
            <w:vAlign w:val="bottom"/>
          </w:tcPr>
          <w:p>
            <w:pPr>
              <w:spacing w:after="0"/>
              <w:rPr>
                <w:sz w:val="20"/>
                <w:szCs w:val="20"/>
                <w:color w:val="auto"/>
              </w:rPr>
            </w:pPr>
          </w:p>
        </w:tc>
        <w:tc>
          <w:tcPr>
            <w:tcW w:w="3120" w:type="dxa"/>
            <w:vAlign w:val="bottom"/>
            <w:tcBorders>
              <w:bottom w:val="single" w:sz="8" w:color="auto"/>
            </w:tcBorders>
            <w:gridSpan w:val="2"/>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980" w:type="dxa"/>
            <w:vAlign w:val="bottom"/>
            <w:tcBorders>
              <w:bottom w:val="single" w:sz="8" w:color="auto"/>
            </w:tcBorders>
          </w:tcPr>
          <w:p>
            <w:pPr>
              <w:spacing w:after="0"/>
              <w:rPr>
                <w:sz w:val="20"/>
                <w:szCs w:val="20"/>
                <w:color w:val="auto"/>
              </w:rPr>
            </w:pPr>
          </w:p>
        </w:tc>
      </w:tr>
      <w:tr>
        <w:trPr>
          <w:trHeight w:val="219"/>
        </w:trPr>
        <w:tc>
          <w:tcPr>
            <w:tcW w:w="4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3/31/2022</w:t>
            </w:r>
          </w:p>
        </w:tc>
        <w:tc>
          <w:tcPr>
            <w:tcW w:w="148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12/31/2021</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3/31/2021</w:t>
            </w: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16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831</w:t>
            </w:r>
          </w:p>
        </w:tc>
        <w:tc>
          <w:tcPr>
            <w:tcW w:w="148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rPr>
              <w:t>719</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r>
      <w:tr>
        <w:trPr>
          <w:trHeight w:val="226"/>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6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rPr>
              <w:t>823</w:t>
            </w:r>
          </w:p>
        </w:tc>
        <w:tc>
          <w:tcPr>
            <w:tcW w:w="14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rPr>
              <w:t>817</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w:t>
            </w:r>
          </w:p>
        </w:tc>
      </w:tr>
      <w:tr>
        <w:trPr>
          <w:trHeight w:val="244"/>
        </w:trPr>
        <w:tc>
          <w:tcPr>
            <w:tcW w:w="4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Worldwide</w:t>
            </w:r>
          </w:p>
        </w:tc>
        <w:tc>
          <w:tcPr>
            <w:tcW w:w="164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1,654</w:t>
            </w:r>
          </w:p>
        </w:tc>
        <w:tc>
          <w:tcPr>
            <w:tcW w:w="1480" w:type="dxa"/>
            <w:vAlign w:val="bottom"/>
            <w:tcBorders>
              <w:bottom w:val="single" w:sz="8" w:color="auto"/>
            </w:tcBorders>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rPr>
              <w:t>1,536</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r>
      <w:tr>
        <w:trPr>
          <w:trHeight w:val="20"/>
        </w:trPr>
        <w:tc>
          <w:tcPr>
            <w:tcW w:w="42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 Operating Income Summary</w:t>
      </w:r>
    </w:p>
    <w:p>
      <w:pPr>
        <w:spacing w:after="0" w:line="247"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Revenues of $938 million in the three months ended March 31, 2022, increased 13% year-over-year, driven primarily by increased customer activity in DRE and PRI, higher adoption of our technology offerings and greater demand for our services.</w:t>
      </w:r>
    </w:p>
    <w:p>
      <w:pPr>
        <w:spacing w:after="0" w:line="190"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Cost of products and services of $682 million in the three months ended March 31, 2022, increased $46 million, or 7%, compared to the three months ended March 31, 2021, primarily reflecting increased customer activity, increased cost for supplies and logistics and impacts from inflation. Our cost of products and services as a percentage of revenues was 73% in the three months ended March 31, 2022, an improvement compared to 76% in the three months ended March 31, 2021, reflecting increasing volumes, diligent procurement to address inflationary impacts, cost initiative improvements and operational efficiency gains implemented over the past year.</w:t>
      </w:r>
    </w:p>
    <w:p>
      <w:pPr>
        <w:spacing w:after="0" w:line="211" w:lineRule="exact"/>
        <w:rPr>
          <w:sz w:val="20"/>
          <w:szCs w:val="20"/>
          <w:color w:val="auto"/>
        </w:rPr>
      </w:pPr>
    </w:p>
    <w:p>
      <w:pPr>
        <w:jc w:val="both"/>
        <w:ind w:firstLine="319"/>
        <w:spacing w:after="0" w:line="255" w:lineRule="auto"/>
        <w:rPr>
          <w:sz w:val="20"/>
          <w:szCs w:val="20"/>
          <w:color w:val="auto"/>
        </w:rPr>
      </w:pPr>
      <w:r>
        <w:rPr>
          <w:rFonts w:ascii="Times New Roman" w:cs="Times New Roman" w:eastAsia="Times New Roman" w:hAnsi="Times New Roman"/>
          <w:sz w:val="18"/>
          <w:szCs w:val="18"/>
          <w:color w:val="auto"/>
        </w:rPr>
        <w:t>Selling, general, administrative and research and development costs of $199 million in the three months ended March 31, 2022, decreased $10 million, or 5%, compared to the three months ended March 31, 2021, due to cost improvement initiatives to reduce overhead and corporate costs that were implemented during 2021. These costs as a percentage of revenues were 21% in the three months ended March 31, 2022, an improvement compared to 25% in the three months ended March 31, 2021, also reflecting our focus on simplification.</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18" w:name="page19"/>
    <w:bookmarkEnd w:id="18"/>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Operating income of $18 million improved $31 million in the three months ended March 31, 2022 compared to the three months ended March 31, 2021 due to the above-mentioned improvements.</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 Non-Operating Expenses Summary</w:t>
      </w:r>
    </w:p>
    <w:p>
      <w:pPr>
        <w:spacing w:after="0" w:line="2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47" w:lineRule="exact"/>
        <w:rPr>
          <w:sz w:val="20"/>
          <w:szCs w:val="20"/>
          <w:color w:val="auto"/>
        </w:rPr>
      </w:pPr>
    </w:p>
    <w:p>
      <w:pPr>
        <w:jc w:val="both"/>
        <w:ind w:firstLine="319"/>
        <w:spacing w:after="0" w:line="255" w:lineRule="auto"/>
        <w:rPr>
          <w:sz w:val="20"/>
          <w:szCs w:val="20"/>
          <w:color w:val="auto"/>
        </w:rPr>
      </w:pPr>
      <w:r>
        <w:rPr>
          <w:rFonts w:ascii="Times New Roman" w:cs="Times New Roman" w:eastAsia="Times New Roman" w:hAnsi="Times New Roman"/>
          <w:sz w:val="18"/>
          <w:szCs w:val="18"/>
          <w:color w:val="auto"/>
        </w:rPr>
        <w:t>Interest expense, net was $48 million and $70 million for the first three months ended March 31, 2022 and 2021, respectively, and primarily represented interest on our outstanding long-term debt (see “Note 7 – Borrowings and Other Debt Obligations” to our Condensed Consolidated Financial Statements for additional details). The year-over-year decrease was due to partial repayments of principal and the refinancing initiatives in the second half of 2021 to reduce our interest rates.</w:t>
      </w: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Other Expense, Net</w:t>
      </w:r>
    </w:p>
    <w:p>
      <w:pPr>
        <w:spacing w:after="0" w:line="247"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Other expense, net was $16 million for the first three months ended March 31, 2022 compared to $4 million for the first three months ended March 31, 2021. Other expense, net is comprised of letter of credit fees, other financing charges, and foreign exchange losses. The year-over-year increase was primarily due to changes in fair value and settlements of certain foreign currency forward contracts. We enter into these contracts to hedge our exposure to currency fluctuations in certain foreign currencies. At March 31, 2022 and December 31, 2021, we had outstanding foreign currency forward contracts with notional amounts aggregating to $86 million and $349 million, respectively.</w:t>
      </w:r>
    </w:p>
    <w:p>
      <w:pPr>
        <w:spacing w:after="0" w:line="2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47" w:lineRule="exact"/>
        <w:rPr>
          <w:sz w:val="20"/>
          <w:szCs w:val="20"/>
          <w:color w:val="auto"/>
        </w:rPr>
      </w:pPr>
    </w:p>
    <w:p>
      <w:pPr>
        <w:jc w:val="both"/>
        <w:ind w:firstLine="319"/>
        <w:spacing w:after="0" w:line="269" w:lineRule="auto"/>
        <w:rPr>
          <w:sz w:val="20"/>
          <w:szCs w:val="20"/>
          <w:color w:val="auto"/>
        </w:rPr>
      </w:pPr>
      <w:r>
        <w:rPr>
          <w:rFonts w:ascii="Times New Roman" w:cs="Times New Roman" w:eastAsia="Times New Roman" w:hAnsi="Times New Roman"/>
          <w:sz w:val="17"/>
          <w:szCs w:val="17"/>
          <w:color w:val="auto"/>
        </w:rPr>
        <w:t>We provide for income taxes based on the laws and rates in effect in the countries in which operations are conducted, or in which we or our subsidiaries are considered resident for income tax purposes. The relationship between our pre-tax income or loss from continuing operations and our income tax benefit or provision varies from period to period as a result of various factors, which include changes in total pre-tax income or loss, the jurisdictions in which our income is earned, the tax laws in those jurisdictions, the impacts of tax planning activities and the resolution of tax audits. Our effective rate differs from the Irish statutory tax rate as the majority of our operations are taxed in jurisdictions with different tax rates. In addition, we are generally unable to recognize tax benefit on our losses. Please see “Note 11 – Income Taxes” to our Condensed Consolidated Financial Statements for additional details.</w:t>
      </w:r>
    </w:p>
    <w:p>
      <w:pPr>
        <w:spacing w:after="0" w:line="200" w:lineRule="exact"/>
        <w:rPr>
          <w:sz w:val="20"/>
          <w:szCs w:val="20"/>
          <w:color w:val="auto"/>
        </w:rPr>
      </w:pPr>
    </w:p>
    <w:p>
      <w:pPr>
        <w:spacing w:after="0" w:line="34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19" w:name="page20"/>
    <w:bookmarkEnd w:id="19"/>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Segment Results of Operations</w:t>
      </w:r>
    </w:p>
    <w:p>
      <w:pPr>
        <w:spacing w:after="0" w:line="2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Financial information by segment is summarized below.</w:t>
      </w:r>
    </w:p>
    <w:p>
      <w:pPr>
        <w:spacing w:after="0" w:line="141" w:lineRule="exact"/>
        <w:rPr>
          <w:sz w:val="20"/>
          <w:szCs w:val="20"/>
          <w:color w:val="auto"/>
        </w:rPr>
      </w:pPr>
    </w:p>
    <w:tbl>
      <w:tblPr>
        <w:tblLayout w:type="fixed"/>
        <w:tblInd w:w="320" w:type="dxa"/>
        <w:tblCellMar>
          <w:top w:w="0" w:type="dxa"/>
          <w:left w:w="0" w:type="dxa"/>
          <w:bottom w:w="0" w:type="dxa"/>
          <w:right w:w="0" w:type="dxa"/>
        </w:tblCellMar>
      </w:tblPr>
      <w:tr>
        <w:trPr>
          <w:trHeight w:val="210"/>
        </w:trPr>
        <w:tc>
          <w:tcPr>
            <w:tcW w:w="4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0" w:type="dxa"/>
            <w:vAlign w:val="bottom"/>
          </w:tcPr>
          <w:p>
            <w:pPr>
              <w:jc w:val="center"/>
              <w:ind w:left="553"/>
              <w:spacing w:after="0"/>
              <w:rPr>
                <w:sz w:val="20"/>
                <w:szCs w:val="20"/>
                <w:color w:val="auto"/>
              </w:rPr>
            </w:pPr>
            <w:r>
              <w:rPr>
                <w:rFonts w:ascii="Times New Roman" w:cs="Times New Roman" w:eastAsia="Times New Roman" w:hAnsi="Times New Roman"/>
                <w:sz w:val="16"/>
                <w:szCs w:val="16"/>
                <w:b w:val="1"/>
                <w:bCs w:val="1"/>
                <w:color w:val="auto"/>
                <w:w w:val="98"/>
              </w:rPr>
              <w:t>Favorable</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40" w:type="dxa"/>
            <w:vAlign w:val="bottom"/>
            <w:gridSpan w:val="4"/>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Three Months Ended</w:t>
            </w:r>
          </w:p>
        </w:tc>
        <w:tc>
          <w:tcPr>
            <w:tcW w:w="4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center"/>
              <w:ind w:left="553"/>
              <w:spacing w:after="0"/>
              <w:rPr>
                <w:sz w:val="20"/>
                <w:szCs w:val="20"/>
                <w:color w:val="auto"/>
              </w:rPr>
            </w:pPr>
            <w:r>
              <w:rPr>
                <w:rFonts w:ascii="Times New Roman" w:cs="Times New Roman" w:eastAsia="Times New Roman" w:hAnsi="Times New Roman"/>
                <w:sz w:val="16"/>
                <w:szCs w:val="16"/>
                <w:b w:val="1"/>
                <w:bCs w:val="1"/>
                <w:color w:val="auto"/>
                <w:w w:val="99"/>
              </w:rPr>
              <w:t>(Unfavorable)</w:t>
            </w:r>
          </w:p>
        </w:tc>
        <w:tc>
          <w:tcPr>
            <w:tcW w:w="8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4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vMerge w:val="continue"/>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1313"/>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i w:val="1"/>
                <w:iCs w:val="1"/>
                <w:color w:val="auto"/>
              </w:rPr>
              <w:t>(Dollars in millions)</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3/31/2022</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3/31/2021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center"/>
              <w:ind w:left="573"/>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8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Drilling and Evaluation</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6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19"/>
                <w:szCs w:val="19"/>
                <w:color w:val="auto"/>
              </w:rPr>
            </w:pPr>
          </w:p>
        </w:tc>
        <w:tc>
          <w:tcPr>
            <w:tcW w:w="4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56</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Well Construction and Completions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653"/>
              <w:spacing w:after="0"/>
              <w:rPr>
                <w:sz w:val="20"/>
                <w:szCs w:val="20"/>
                <w:color w:val="auto"/>
              </w:rPr>
            </w:pPr>
            <w:r>
              <w:rPr>
                <w:rFonts w:ascii="Times New Roman" w:cs="Times New Roman" w:eastAsia="Times New Roman" w:hAnsi="Times New Roman"/>
                <w:sz w:val="18"/>
                <w:szCs w:val="18"/>
                <w:color w:val="auto"/>
              </w:rPr>
              <w:t>21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Production and Intervention</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8"/>
                <w:szCs w:val="18"/>
                <w:color w:val="auto"/>
              </w:rPr>
              <w:t>27</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Segment Revenues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653"/>
              <w:spacing w:after="0"/>
              <w:rPr>
                <w:sz w:val="20"/>
                <w:szCs w:val="20"/>
                <w:color w:val="auto"/>
              </w:rPr>
            </w:pPr>
            <w:r>
              <w:rPr>
                <w:rFonts w:ascii="Times New Roman" w:cs="Times New Roman" w:eastAsia="Times New Roman" w:hAnsi="Times New Roman"/>
                <w:sz w:val="18"/>
                <w:szCs w:val="18"/>
                <w:color w:val="auto"/>
              </w:rPr>
              <w:t>104</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8"/>
                <w:szCs w:val="18"/>
                <w:color w:val="auto"/>
              </w:rPr>
              <w:t>2</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938</w:t>
            </w:r>
          </w:p>
        </w:tc>
        <w:tc>
          <w:tcPr>
            <w:tcW w:w="260" w:type="dxa"/>
            <w:vAlign w:val="bottom"/>
            <w:shd w:val="clear" w:color="auto" w:fill="CCEEFF"/>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00" w:type="dxa"/>
            <w:vAlign w:val="bottom"/>
            <w:shd w:val="clear" w:color="auto" w:fill="CCEEFF"/>
          </w:tcPr>
          <w:p>
            <w:pPr>
              <w:jc w:val="right"/>
              <w:ind w:right="653"/>
              <w:spacing w:after="0"/>
              <w:rPr>
                <w:sz w:val="20"/>
                <w:szCs w:val="20"/>
                <w:color w:val="auto"/>
              </w:rPr>
            </w:pPr>
            <w:r>
              <w:rPr>
                <w:rFonts w:ascii="Times New Roman" w:cs="Times New Roman" w:eastAsia="Times New Roman" w:hAnsi="Times New Roman"/>
                <w:sz w:val="18"/>
                <w:szCs w:val="18"/>
                <w:b w:val="1"/>
                <w:bCs w:val="1"/>
                <w:color w:val="auto"/>
              </w:rPr>
              <w:t>106</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13 %</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44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6"/>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Adjusted EBITDA:</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Drilling and Evaluation</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6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4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30</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Well Construction and Completions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653"/>
              <w:spacing w:after="0"/>
              <w:rPr>
                <w:sz w:val="20"/>
                <w:szCs w:val="20"/>
                <w:color w:val="auto"/>
              </w:rPr>
            </w:pPr>
            <w:r>
              <w:rPr>
                <w:rFonts w:ascii="Times New Roman" w:cs="Times New Roman" w:eastAsia="Times New Roman" w:hAnsi="Times New Roman"/>
                <w:sz w:val="18"/>
                <w:szCs w:val="18"/>
                <w:color w:val="auto"/>
              </w:rPr>
              <w:t>17</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Production and Intervention</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8"/>
                <w:szCs w:val="18"/>
                <w:color w:val="auto"/>
              </w:rPr>
              <w:t>(2)</w:t>
            </w: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Segment Adjusted EBITDA</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60" w:type="dxa"/>
            <w:vAlign w:val="bottom"/>
            <w:shd w:val="clear" w:color="auto" w:fill="CCEEFF"/>
          </w:tcPr>
          <w:p>
            <w:pPr>
              <w:jc w:val="center"/>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ind w:right="653"/>
              <w:spacing w:after="0"/>
              <w:rPr>
                <w:sz w:val="20"/>
                <w:szCs w:val="20"/>
                <w:color w:val="auto"/>
              </w:rPr>
            </w:pPr>
            <w:r>
              <w:rPr>
                <w:rFonts w:ascii="Times New Roman" w:cs="Times New Roman" w:eastAsia="Times New Roman" w:hAnsi="Times New Roman"/>
                <w:sz w:val="18"/>
                <w:szCs w:val="18"/>
                <w:color w:val="auto"/>
              </w:rPr>
              <w:t>45</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4</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653"/>
              <w:spacing w:after="0"/>
              <w:rPr>
                <w:sz w:val="20"/>
                <w:szCs w:val="20"/>
                <w:color w:val="auto"/>
              </w:rPr>
            </w:pPr>
            <w:r>
              <w:rPr>
                <w:rFonts w:ascii="Times New Roman" w:cs="Times New Roman" w:eastAsia="Times New Roman" w:hAnsi="Times New Roman"/>
                <w:sz w:val="18"/>
                <w:szCs w:val="18"/>
                <w:color w:val="auto"/>
              </w:rPr>
              <w:t>24</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0" w:type="dxa"/>
            <w:vAlign w:val="bottom"/>
          </w:tcPr>
          <w:p>
            <w:pPr>
              <w:jc w:val="right"/>
              <w:ind w:right="613"/>
              <w:spacing w:after="0"/>
              <w:rPr>
                <w:sz w:val="20"/>
                <w:szCs w:val="20"/>
                <w:color w:val="auto"/>
              </w:rPr>
            </w:pPr>
            <w:r>
              <w:rPr>
                <w:rFonts w:ascii="Times New Roman" w:cs="Times New Roman" w:eastAsia="Times New Roman" w:hAnsi="Times New Roman"/>
                <w:sz w:val="18"/>
                <w:szCs w:val="18"/>
                <w:color w:val="auto"/>
              </w:rPr>
              <w:t>(3)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Adjustments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613"/>
              <w:spacing w:after="0"/>
              <w:rPr>
                <w:sz w:val="20"/>
                <w:szCs w:val="20"/>
                <w:color w:val="auto"/>
              </w:rPr>
            </w:pPr>
            <w:r>
              <w:rPr>
                <w:rFonts w:ascii="Times New Roman" w:cs="Times New Roman" w:eastAsia="Times New Roman" w:hAnsi="Times New Roman"/>
                <w:sz w:val="18"/>
                <w:szCs w:val="18"/>
                <w:color w:val="auto"/>
              </w:rPr>
              <w:t>(39)</w:t>
            </w:r>
          </w:p>
        </w:tc>
        <w:tc>
          <w:tcPr>
            <w:tcW w:w="116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192"/>
        </w:trPr>
        <w:tc>
          <w:tcPr>
            <w:tcW w:w="4400" w:type="dxa"/>
            <w:vAlign w:val="bottom"/>
            <w:tcBorders>
              <w:top w:val="single" w:sz="8" w:color="auto"/>
              <w:bottom w:val="single" w:sz="8" w:color="auto"/>
            </w:tcBorders>
          </w:tcPr>
          <w:p>
            <w:pPr>
              <w:ind w:left="120"/>
              <w:spacing w:after="0" w:line="193" w:lineRule="exact"/>
              <w:rPr>
                <w:sz w:val="20"/>
                <w:szCs w:val="20"/>
                <w:color w:val="auto"/>
              </w:rPr>
            </w:pPr>
            <w:r>
              <w:rPr>
                <w:rFonts w:ascii="Times New Roman" w:cs="Times New Roman" w:eastAsia="Times New Roman" w:hAnsi="Times New Roman"/>
                <w:sz w:val="18"/>
                <w:szCs w:val="18"/>
                <w:b w:val="1"/>
                <w:bCs w:val="1"/>
                <w:color w:val="auto"/>
              </w:rPr>
              <w:t>Operating Income (Loss)</w:t>
            </w:r>
          </w:p>
        </w:tc>
        <w:tc>
          <w:tcPr>
            <w:tcW w:w="260" w:type="dxa"/>
            <w:vAlign w:val="bottom"/>
            <w:tcBorders>
              <w:top w:val="single" w:sz="8" w:color="auto"/>
              <w:bottom w:val="single" w:sz="8" w:color="auto"/>
            </w:tcBorders>
          </w:tcPr>
          <w:p>
            <w:pPr>
              <w:jc w:val="right"/>
              <w:ind w:right="71"/>
              <w:spacing w:after="0" w:line="19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8"/>
                <w:szCs w:val="18"/>
                <w:b w:val="1"/>
                <w:bCs w:val="1"/>
                <w:color w:val="auto"/>
              </w:rPr>
              <w:t>18</w:t>
            </w:r>
          </w:p>
        </w:tc>
        <w:tc>
          <w:tcPr>
            <w:tcW w:w="260" w:type="dxa"/>
            <w:vAlign w:val="bottom"/>
            <w:tcBorders>
              <w:top w:val="single" w:sz="8" w:color="auto"/>
              <w:bottom w:val="single" w:sz="8" w:color="auto"/>
            </w:tcBorders>
          </w:tcPr>
          <w:p>
            <w:pPr>
              <w:jc w:val="center"/>
              <w:ind w:right="51"/>
              <w:spacing w:after="0" w:line="19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tcPr>
          <w:p>
            <w:pPr>
              <w:spacing w:after="0"/>
              <w:rPr>
                <w:sz w:val="16"/>
                <w:szCs w:val="16"/>
                <w:color w:val="auto"/>
              </w:rPr>
            </w:pPr>
          </w:p>
        </w:tc>
        <w:tc>
          <w:tcPr>
            <w:tcW w:w="420" w:type="dxa"/>
            <w:vAlign w:val="bottom"/>
            <w:tcBorders>
              <w:top w:val="single" w:sz="8" w:color="auto"/>
              <w:bottom w:val="single" w:sz="8" w:color="auto"/>
            </w:tcBorders>
          </w:tcPr>
          <w:p>
            <w:pPr>
              <w:jc w:val="right"/>
              <w:ind w:right="231"/>
              <w:spacing w:after="0" w:line="19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800" w:type="dxa"/>
            <w:vAlign w:val="bottom"/>
            <w:tcBorders>
              <w:top w:val="single" w:sz="8" w:color="auto"/>
              <w:bottom w:val="single" w:sz="8" w:color="auto"/>
            </w:tcBorders>
          </w:tcPr>
          <w:p>
            <w:pPr>
              <w:jc w:val="right"/>
              <w:ind w:right="653"/>
              <w:spacing w:after="0" w:line="193" w:lineRule="exact"/>
              <w:rPr>
                <w:sz w:val="20"/>
                <w:szCs w:val="20"/>
                <w:color w:val="auto"/>
              </w:rPr>
            </w:pPr>
            <w:r>
              <w:rPr>
                <w:rFonts w:ascii="Times New Roman" w:cs="Times New Roman" w:eastAsia="Times New Roman" w:hAnsi="Times New Roman"/>
                <w:sz w:val="18"/>
                <w:szCs w:val="18"/>
                <w:b w:val="1"/>
                <w:bCs w:val="1"/>
                <w:color w:val="auto"/>
              </w:rPr>
              <w:t>31</w:t>
            </w:r>
          </w:p>
        </w:tc>
        <w:tc>
          <w:tcPr>
            <w:tcW w:w="1060" w:type="dxa"/>
            <w:vAlign w:val="bottom"/>
            <w:tcBorders>
              <w:top w:val="single" w:sz="8" w:color="auto"/>
              <w:bottom w:val="single" w:sz="8" w:color="auto"/>
            </w:tcBorders>
            <w:gridSpan w:val="2"/>
          </w:tcPr>
          <w:p>
            <w:pPr>
              <w:jc w:val="right"/>
              <w:spacing w:after="0" w:line="193" w:lineRule="exact"/>
              <w:rPr>
                <w:sz w:val="20"/>
                <w:szCs w:val="20"/>
                <w:color w:val="auto"/>
              </w:rPr>
            </w:pPr>
            <w:r>
              <w:rPr>
                <w:rFonts w:ascii="Times New Roman" w:cs="Times New Roman" w:eastAsia="Times New Roman" w:hAnsi="Times New Roman"/>
                <w:sz w:val="18"/>
                <w:szCs w:val="18"/>
                <w:b w:val="1"/>
                <w:bCs w:val="1"/>
                <w:color w:val="auto"/>
              </w:rPr>
              <w:t>238 %</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Segment Revenues</w:t>
      </w:r>
    </w:p>
    <w:p>
      <w:pPr>
        <w:spacing w:after="0" w:line="247" w:lineRule="exact"/>
        <w:rPr>
          <w:sz w:val="20"/>
          <w:szCs w:val="20"/>
          <w:color w:val="auto"/>
        </w:rPr>
      </w:pPr>
    </w:p>
    <w:p>
      <w:pPr>
        <w:jc w:val="both"/>
        <w:ind w:right="60" w:firstLine="319"/>
        <w:spacing w:after="0" w:line="275" w:lineRule="auto"/>
        <w:rPr>
          <w:sz w:val="20"/>
          <w:szCs w:val="20"/>
          <w:color w:val="auto"/>
        </w:rPr>
      </w:pPr>
      <w:r>
        <w:rPr>
          <w:rFonts w:ascii="Times New Roman" w:cs="Times New Roman" w:eastAsia="Times New Roman" w:hAnsi="Times New Roman"/>
          <w:sz w:val="18"/>
          <w:szCs w:val="18"/>
          <w:color w:val="auto"/>
        </w:rPr>
        <w:t>Segment revenues of $922 million in the three months ended March 31, 2022, increased 13% year-over-year, driven primarily by increased customer activity in DRE and PRI, higher adoption of our technology offerings and greater demand for our services.</w:t>
      </w:r>
    </w:p>
    <w:p>
      <w:pPr>
        <w:spacing w:after="0" w:line="190" w:lineRule="exact"/>
        <w:rPr>
          <w:sz w:val="20"/>
          <w:szCs w:val="20"/>
          <w:color w:val="auto"/>
        </w:rPr>
      </w:pPr>
    </w:p>
    <w:p>
      <w:pPr>
        <w:jc w:val="both"/>
        <w:ind w:right="60" w:firstLine="319"/>
        <w:spacing w:after="0" w:line="260" w:lineRule="auto"/>
        <w:rPr>
          <w:sz w:val="20"/>
          <w:szCs w:val="20"/>
          <w:color w:val="auto"/>
        </w:rPr>
      </w:pPr>
      <w:r>
        <w:rPr>
          <w:rFonts w:ascii="Times New Roman" w:cs="Times New Roman" w:eastAsia="Times New Roman" w:hAnsi="Times New Roman"/>
          <w:sz w:val="18"/>
          <w:szCs w:val="18"/>
          <w:color w:val="auto"/>
        </w:rPr>
        <w:t>DRE revenues of $292 million in the three months ended March 31, 2022, increased 24% compared to the three months ended March 31, 2021 largely due to higher demand for managed pressure drilling and wireline services, primarily in Latin America, and the Middle East/North Africa/Asia (“MENA+ASA”).</w:t>
      </w:r>
    </w:p>
    <w:p>
      <w:pPr>
        <w:spacing w:after="0" w:line="204" w:lineRule="exact"/>
        <w:rPr>
          <w:sz w:val="20"/>
          <w:szCs w:val="20"/>
          <w:color w:val="auto"/>
        </w:rPr>
      </w:pPr>
    </w:p>
    <w:p>
      <w:pPr>
        <w:jc w:val="both"/>
        <w:ind w:right="60" w:firstLine="319"/>
        <w:spacing w:after="0" w:line="275" w:lineRule="auto"/>
        <w:rPr>
          <w:sz w:val="20"/>
          <w:szCs w:val="20"/>
          <w:color w:val="auto"/>
        </w:rPr>
      </w:pPr>
      <w:r>
        <w:rPr>
          <w:rFonts w:ascii="Times New Roman" w:cs="Times New Roman" w:eastAsia="Times New Roman" w:hAnsi="Times New Roman"/>
          <w:sz w:val="18"/>
          <w:szCs w:val="18"/>
          <w:color w:val="auto"/>
        </w:rPr>
        <w:t>WCC revenues of $344 million in the three months ended March 31, 2022, increased 7% compared to the three months ended March 31, 2021 largely due to higher demand for cementation products and activity in North America.</w:t>
      </w:r>
    </w:p>
    <w:p>
      <w:pPr>
        <w:spacing w:after="0" w:line="190" w:lineRule="exact"/>
        <w:rPr>
          <w:sz w:val="20"/>
          <w:szCs w:val="20"/>
          <w:color w:val="auto"/>
        </w:rPr>
      </w:pPr>
    </w:p>
    <w:p>
      <w:pPr>
        <w:jc w:val="both"/>
        <w:ind w:right="60" w:firstLine="319"/>
        <w:spacing w:after="0" w:line="275" w:lineRule="auto"/>
        <w:rPr>
          <w:sz w:val="20"/>
          <w:szCs w:val="20"/>
          <w:color w:val="auto"/>
        </w:rPr>
      </w:pPr>
      <w:r>
        <w:rPr>
          <w:rFonts w:ascii="Times New Roman" w:cs="Times New Roman" w:eastAsia="Times New Roman" w:hAnsi="Times New Roman"/>
          <w:sz w:val="18"/>
          <w:szCs w:val="18"/>
          <w:color w:val="auto"/>
        </w:rPr>
        <w:t>PRI revenues of $286 million in the three months ended March 31, 2022, increased 10% compared to the three months ended March 31, 2021 largely due to higher demand for intervention and pressure pumping services primarily in MENA+ASA and Latin America, respectively.</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00"/>
          </w:cols>
          <w:pgMar w:left="320" w:top="466" w:right="279" w:bottom="1440" w:gutter="0" w:footer="0" w:header="0"/>
        </w:sectPr>
      </w:pPr>
    </w:p>
    <w:bookmarkStart w:id="20" w:name="page21"/>
    <w:bookmarkEnd w:id="20"/>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Segment Adjusted EBITDA</w:t>
      </w:r>
    </w:p>
    <w:p>
      <w:pPr>
        <w:spacing w:after="0" w:line="247" w:lineRule="exact"/>
        <w:rPr>
          <w:sz w:val="20"/>
          <w:szCs w:val="20"/>
          <w:color w:val="auto"/>
        </w:rPr>
      </w:pPr>
    </w:p>
    <w:p>
      <w:pPr>
        <w:jc w:val="both"/>
        <w:ind w:firstLine="319"/>
        <w:spacing w:after="0" w:line="255" w:lineRule="auto"/>
        <w:rPr>
          <w:sz w:val="20"/>
          <w:szCs w:val="20"/>
          <w:color w:val="auto"/>
        </w:rPr>
      </w:pPr>
      <w:r>
        <w:rPr>
          <w:rFonts w:ascii="Times New Roman" w:cs="Times New Roman" w:eastAsia="Times New Roman" w:hAnsi="Times New Roman"/>
          <w:sz w:val="18"/>
          <w:szCs w:val="18"/>
          <w:color w:val="auto"/>
        </w:rPr>
        <w:t>Our primary measure of segment profitability is segment adjusted EBITDA. Segment adjusted EBITDA was $165 million in the three months ended March 31, 2022, an increase of 38% compared to the three months ended March 31, 2021, primarily due to cost improvement initiatives that were implemented during 2021, increased activity levels, increase in services and product mix, higher adoption of our technology offerings and greater demand for services globally.</w:t>
      </w:r>
    </w:p>
    <w:p>
      <w:pPr>
        <w:spacing w:after="0" w:line="209"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DRE segment adjusted EBITDA of $59 million in the three months ended March 31, 2022, increased 103% compared to the three months ended March 31, 2021, largely due to higher demand for managed pressure drilling and drilling services primarily in Latin America.</w:t>
      </w:r>
    </w:p>
    <w:p>
      <w:pPr>
        <w:spacing w:after="0" w:line="190"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WCC segment adjusted EBITDA of $67 million in the three months ended March 31, 2022, increased 34% compared to the three months ended March 31, 2021, mostly due to higher demand for cementation and completions products, with improvement primarily in MENA+ASA.</w:t>
      </w:r>
    </w:p>
    <w:p>
      <w:pPr>
        <w:spacing w:after="0" w:line="190"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PRI segment adjusted EBITDA of $39 million in the three months ended March 31, 2022, decreased 5% compared to the three months ended March 31, 2021 mainly due to higher logistics costs and supply chain challenges impacting our delivery schedule for products in North America, partially offset by activity improvements in MENA+ASA.</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247"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Depreciation and amortization was $87 million and $111 million for the first three months ended of 2022 and 2021, respectively. The year-over-year decrease was primarily from a combination of impairments taken in 2020 during the peak of the COVID-19 pandemic reducing the carrying value of our assets, combined with lower capital expenditures in the periods following the peak.</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Share-based Compensation</w:t>
      </w:r>
    </w:p>
    <w:p>
      <w:pPr>
        <w:spacing w:after="0" w:line="247"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We record share-based compensation in “Selling, General and Administrative” on the accompanying Consolidated Statements of Operations. We recognized $7 million and $4 million in the three months ended March 31, 2022 and 2021, respectively. The year-over-year increase was due to additional awards granted.</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Other Adjustments</w:t>
      </w:r>
    </w:p>
    <w:p>
      <w:pPr>
        <w:spacing w:after="0" w:line="247"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Other adjustments include $20 million of restructuring charges in the three months ended March 31, 2022 (see “Note 4 - Restructuring Charges” for additional information) and $19 million of other charges, net, primarily related to the write-down of all of our assets in Ukraine, excluding cash. There were no other adjustments in the three months ended March 31, 2021.</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Business Outlook</w:t>
      </w:r>
    </w:p>
    <w:p>
      <w:pPr>
        <w:spacing w:after="0" w:line="247" w:lineRule="exact"/>
        <w:rPr>
          <w:sz w:val="20"/>
          <w:szCs w:val="20"/>
          <w:color w:val="auto"/>
        </w:rPr>
      </w:pPr>
    </w:p>
    <w:p>
      <w:pPr>
        <w:jc w:val="both"/>
        <w:ind w:firstLine="319"/>
        <w:spacing w:after="0" w:line="268" w:lineRule="auto"/>
        <w:rPr>
          <w:sz w:val="20"/>
          <w:szCs w:val="20"/>
          <w:color w:val="auto"/>
        </w:rPr>
      </w:pPr>
      <w:r>
        <w:rPr>
          <w:rFonts w:ascii="Times New Roman" w:cs="Times New Roman" w:eastAsia="Times New Roman" w:hAnsi="Times New Roman"/>
          <w:sz w:val="17"/>
          <w:szCs w:val="17"/>
          <w:color w:val="auto"/>
        </w:rPr>
        <w:t>Growth in the energy services industry is highly dependent on many external factors. These include but are not limited to, the impact from geopolitical conflicts, the global response to the COVID-19 pandemic, our customers’ capital expenditures, ESG driven changes, world economic, political and weather conditions, the price of oil and natural gas, and member-country quota compliance within the Organization of Petroleum Exporting Countries and the expanded alliance (“OPEC+”). We expect continued improvements in our customer activity levels with the relaxing of COVID-19 pandemic restrictions and generally improved macroeconomic conditions, all of which are expected to provide a pathway to a multi-year energy demand expansion. We continue to closely monitor the ongoing operational and manufacturing disruptions, escalating costs, logistical constraints and travel restrictions. We believe that industry activity will continue to grow, and our 2022 consolidated revenues are anticipated to increase by high single digits to the low-teens above 2021 levels.</w:t>
      </w:r>
    </w:p>
    <w:p>
      <w:pPr>
        <w:spacing w:after="0" w:line="1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Russia Ukraine Conflict</w:t>
      </w:r>
    </w:p>
    <w:p>
      <w:pPr>
        <w:spacing w:after="0" w:line="247"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On February 24, 2022, the broad Russia Ukraine Conflict began and in response, we evaluated our operations and have taken a number of actions, with the first being centered on the safety and well-being of our employees in the impacted regions.</w:t>
      </w:r>
    </w:p>
    <w:p>
      <w:pPr>
        <w:spacing w:after="0" w:line="190"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Additionally, the United States, the European Union, the United Kingdom and other countries have imposed broad sanctions against Russia, certain Russian individuals and certain activities involving Russia or Russian individuals. While</w:t>
      </w:r>
    </w:p>
    <w:p>
      <w:pPr>
        <w:sectPr>
          <w:pgSz w:w="11900" w:h="16838" w:orient="portrait"/>
          <w:cols w:equalWidth="0" w:num="1">
            <w:col w:w="11240"/>
          </w:cols>
          <w:pgMar w:left="320" w:top="466" w:right="3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type w:val="continuous"/>
        </w:sectPr>
      </w:pPr>
    </w:p>
    <w:bookmarkStart w:id="21" w:name="page22"/>
    <w:bookmarkEnd w:id="21"/>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global events continue to evolve rapidly, we continue to monitor and intend to remain in full compliance with the fast evolving sanctions landscape and will continue to fulfill existing contractual obligations within applicable international laws and sanctions.</w:t>
      </w:r>
    </w:p>
    <w:p>
      <w:pPr>
        <w:spacing w:after="0" w:line="190"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Revenues in Russia were 6% of our total revenues in the first quarter of 2022. Excluding cash, net assets in Russia were $106 million as of March 31, 2022, and is comprised of $73 million in current assets, $62 million in property, plant and equipment, $3 million in other non-current assets, and $32 million in liabilities.</w:t>
      </w:r>
    </w:p>
    <w:p>
      <w:pPr>
        <w:spacing w:after="0" w:line="204" w:lineRule="exact"/>
        <w:rPr>
          <w:sz w:val="20"/>
          <w:szCs w:val="20"/>
          <w:color w:val="auto"/>
        </w:rPr>
      </w:pPr>
    </w:p>
    <w:p>
      <w:pPr>
        <w:jc w:val="both"/>
        <w:ind w:right="20" w:firstLine="319"/>
        <w:spacing w:after="0" w:line="275" w:lineRule="auto"/>
        <w:rPr>
          <w:sz w:val="20"/>
          <w:szCs w:val="20"/>
          <w:color w:val="auto"/>
        </w:rPr>
      </w:pPr>
      <w:r>
        <w:rPr>
          <w:rFonts w:ascii="Times New Roman" w:cs="Times New Roman" w:eastAsia="Times New Roman" w:hAnsi="Times New Roman"/>
          <w:sz w:val="18"/>
          <w:szCs w:val="18"/>
          <w:color w:val="auto"/>
        </w:rPr>
        <w:t>Further prolonging or escalation of the conflict and related sanctions may negatively impact our business, potentially lowering revenues or triggering asset impairments.</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Opportunities and Challenges</w:t>
      </w:r>
    </w:p>
    <w:p>
      <w:pPr>
        <w:spacing w:after="0" w:line="247" w:lineRule="exact"/>
        <w:rPr>
          <w:sz w:val="20"/>
          <w:szCs w:val="20"/>
          <w:color w:val="auto"/>
        </w:rPr>
      </w:pPr>
    </w:p>
    <w:p>
      <w:pPr>
        <w:jc w:val="both"/>
        <w:ind w:firstLine="319"/>
        <w:spacing w:after="0" w:line="249" w:lineRule="auto"/>
        <w:rPr>
          <w:sz w:val="20"/>
          <w:szCs w:val="20"/>
          <w:color w:val="auto"/>
        </w:rPr>
      </w:pPr>
      <w:r>
        <w:rPr>
          <w:rFonts w:ascii="Times New Roman" w:cs="Times New Roman" w:eastAsia="Times New Roman" w:hAnsi="Times New Roman"/>
          <w:sz w:val="18"/>
          <w:szCs w:val="18"/>
          <w:color w:val="auto"/>
        </w:rPr>
        <w:t>As production decline rates persist and reservoir productivity complexities increase, our customers continue to face challenges in balancing the cost of extraction activities with securing desired rates of production while achieving acceptable rates of return on investment. These challenges increase our customers’ requirements for technologies that improve productivity and efficiency and pressures us to deliver our products and services at competitive rates. In addition, as consolidation of the energy services industry continues due to market conditions, there has been an increased demand for companies to provide specialized products, services and technologies. We believe we are well positioned to satisfy our customers’ needs, but the level of improvement in our businesses in the future will depend heavily on pricing, volume of work, our ability to offer technology solutions to more efficiently extract oil and gas while controlling costs, and our success in penetrating new and existing markets with our newly developed technologies. Over the long-term, we expect the world’s demand for energy to continue to rise and require more advanced technology from the energy service industry. We remain focused on delivering innovative and cost-efficient solutions for customers to assist them in achieving their operational, safety and environmental objectives.</w:t>
      </w:r>
    </w:p>
    <w:p>
      <w:pPr>
        <w:spacing w:after="0" w:line="219" w:lineRule="exact"/>
        <w:rPr>
          <w:sz w:val="20"/>
          <w:szCs w:val="20"/>
          <w:color w:val="auto"/>
        </w:rPr>
      </w:pPr>
    </w:p>
    <w:p>
      <w:pPr>
        <w:jc w:val="both"/>
        <w:ind w:firstLine="319"/>
        <w:spacing w:after="0" w:line="268" w:lineRule="auto"/>
        <w:rPr>
          <w:sz w:val="20"/>
          <w:szCs w:val="20"/>
          <w:color w:val="auto"/>
        </w:rPr>
      </w:pPr>
      <w:r>
        <w:rPr>
          <w:rFonts w:ascii="Times New Roman" w:cs="Times New Roman" w:eastAsia="Times New Roman" w:hAnsi="Times New Roman"/>
          <w:sz w:val="17"/>
          <w:szCs w:val="17"/>
          <w:color w:val="auto"/>
        </w:rPr>
        <w:t>Our challenges also include market conditions that could make it more difficult to obtain our targeted cost reduction benefits and to recruit, motivate and retain employees, including key personnel. Escalations of sanctions and other events around the Russia Ukraine Conflict, in addition to any other geopolitical events, increasing investor and government focus on ESG factors, the cyclicality of the energy industry and the ongoing but waning COVID-19 pandemic restrictions may negatively impact demand for our products and services. We are following our long-term strategy aimed at achieving sustainable profitability in our businesses, servicing our customers and creating value for our shareholders. Our long-term success will be determined by our ability to manage effectively the cyclicality of our industry, including potential prolonged industry downturns, our ability to respond to industry demands in periods of over-supply or uncertain oil prices, and ultimately to generate consistent positive cash flow and positive returns on the invested capital.</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22" w:name="page23"/>
    <w:bookmarkEnd w:id="22"/>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47"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At March 31, 2022, we had total cash and cash equivalents plus restricted cash of $1.1 billion, of which $215 million was restricted cash, compared to $1.1 billion at December 31, 2021, of which $162 million was restricted cash. The following table summarizes cash flows provided by (used in) each type of business activity in the periods presented:</w:t>
      </w:r>
    </w:p>
    <w:p>
      <w:pPr>
        <w:spacing w:after="0" w:line="96" w:lineRule="exact"/>
        <w:rPr>
          <w:sz w:val="20"/>
          <w:szCs w:val="20"/>
          <w:color w:val="auto"/>
        </w:rPr>
      </w:pPr>
    </w:p>
    <w:tbl>
      <w:tblPr>
        <w:tblLayout w:type="fixed"/>
        <w:tblInd w:w="520" w:type="dxa"/>
        <w:tblCellMar>
          <w:top w:w="0" w:type="dxa"/>
          <w:left w:w="0" w:type="dxa"/>
          <w:bottom w:w="0" w:type="dxa"/>
          <w:right w:w="0" w:type="dxa"/>
        </w:tblCellMar>
      </w:tblPr>
      <w:tr>
        <w:trPr>
          <w:trHeight w:val="233"/>
        </w:trPr>
        <w:tc>
          <w:tcPr>
            <w:tcW w:w="7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3"/>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19"/>
        </w:trPr>
        <w:tc>
          <w:tcPr>
            <w:tcW w:w="7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4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74</w:t>
            </w:r>
          </w:p>
        </w:tc>
      </w:tr>
      <w:tr>
        <w:trPr>
          <w:trHeight w:val="226"/>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(3)</w:t>
            </w:r>
          </w:p>
        </w:tc>
      </w:tr>
      <w:tr>
        <w:trPr>
          <w:trHeight w:val="226"/>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(9)</w:t>
            </w:r>
          </w:p>
        </w:tc>
      </w:tr>
    </w:tbl>
    <w:p>
      <w:pPr>
        <w:spacing w:after="0" w:line="2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49"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Cash used in operating activities was $64 million for the three months ended March 31, 2022. The primary uses of cash in operating activities were from seasonal working capital requirements.</w:t>
      </w:r>
    </w:p>
    <w:p>
      <w:pPr>
        <w:spacing w:after="0" w:line="190"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Cash provided by operating activities was $74 million for the three months ended March 31, 2021. The primary sources of cash provided by operating activities were driven by collections on our accounts receivables and inventory utilization, partially offset by higher interest payments.</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49"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Cash provided by investing activities was $9 million for the three months ended March 31, 2022. The primary investing activities included proceeds from a settlement of escrow related to the sale of business for $9 million, cash used for capital expenditures of $20 million, which was offset by proceeds from sale of assets of $20 million.</w:t>
      </w:r>
    </w:p>
    <w:p>
      <w:pPr>
        <w:spacing w:after="0" w:line="204"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Cash used in investing activities was $3 million for the three months ended March 31, 2021. The primary uses of cash in investing activities were capital expenditures of $15 million for property, plant and equipment, offset by proceeds of $11 million from other asset dispositions.</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49"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Cash used in financing activities was $5 million for the three months ended March 31, 2022. The primary uses of cash in financing activities were for finance lease payments.</w:t>
      </w:r>
    </w:p>
    <w:p>
      <w:pPr>
        <w:spacing w:after="0" w:line="190"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Cash used in financing activities was $9 million for the three months ended March 31, 2021. The primary uses of cash in financing activities were for finance lease payments.</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49"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Our sources of available liquidity include cash generated by our operations, cash and cash equivalent balances, and accounts receivable factoring. From time to time, we may enter into transactions to dispose of businesses or capital assets that no longer fit our long-term strategy. We historically have accessed banks for short-term loans and the capital markets for debt and equity offerings. Based upon current and anticipated levels of operations and our recent refinancing transactions, we expect to have sufficient cash from operations and cash on hand to fund our cash requirements (discussed below) and financial obligations, both in the short-term and long-term.</w:t>
      </w:r>
    </w:p>
    <w:p>
      <w:pPr>
        <w:spacing w:after="0" w:line="2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cash and cash equivalents of $841 million (which excludes restricted cash) remain our primary source of funds to manage any liquidity event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23" w:name="page24"/>
    <w:bookmarkEnd w:id="23"/>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LC Credit Agreement</w:t>
      </w:r>
    </w:p>
    <w:p>
      <w:pPr>
        <w:spacing w:after="0" w:line="29" w:lineRule="exact"/>
        <w:rPr>
          <w:sz w:val="20"/>
          <w:szCs w:val="20"/>
          <w:color w:val="auto"/>
        </w:rPr>
      </w:pPr>
    </w:p>
    <w:p>
      <w:pPr>
        <w:ind w:firstLine="319"/>
        <w:spacing w:after="0" w:line="252" w:lineRule="auto"/>
        <w:rPr>
          <w:sz w:val="20"/>
          <w:szCs w:val="20"/>
          <w:color w:val="auto"/>
        </w:rPr>
      </w:pPr>
      <w:r>
        <w:rPr>
          <w:rFonts w:ascii="Times New Roman" w:cs="Times New Roman" w:eastAsia="Times New Roman" w:hAnsi="Times New Roman"/>
          <w:sz w:val="18"/>
          <w:szCs w:val="18"/>
          <w:color w:val="auto"/>
        </w:rPr>
        <w:t>We have a senior secured letter of credit agreement (the “LC Credit Agreement”) in an aggregate amount of $215 million maturing on May 29, 2024, which is used by the Company and certain of its subsidiaries for the issuance of bid and performance letters of credit.</w:t>
      </w:r>
    </w:p>
    <w:p>
      <w:pPr>
        <w:spacing w:after="0" w:line="210" w:lineRule="exact"/>
        <w:rPr>
          <w:sz w:val="20"/>
          <w:szCs w:val="20"/>
          <w:color w:val="auto"/>
        </w:rPr>
      </w:pPr>
    </w:p>
    <w:p>
      <w:pPr>
        <w:ind w:firstLine="319"/>
        <w:spacing w:after="0" w:line="275" w:lineRule="auto"/>
        <w:rPr>
          <w:sz w:val="20"/>
          <w:szCs w:val="20"/>
          <w:color w:val="auto"/>
        </w:rPr>
      </w:pPr>
      <w:r>
        <w:rPr>
          <w:rFonts w:ascii="Times New Roman" w:cs="Times New Roman" w:eastAsia="Times New Roman" w:hAnsi="Times New Roman"/>
          <w:sz w:val="18"/>
          <w:szCs w:val="18"/>
          <w:color w:val="auto"/>
        </w:rPr>
        <w:t>At March 31, 2022, we had approximately $169 million in outstanding letters of credit under the LC Credit Agreement (“LC Credit Agreement letters of credit”) and availability of $46 million.</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Ratings Services’ Credit Ratings</w:t>
      </w:r>
    </w:p>
    <w:p>
      <w:pPr>
        <w:spacing w:after="0" w:line="2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credit ratings at March 31, 2022 were maintained since December 31, 2021.</w:t>
      </w:r>
    </w:p>
    <w:p>
      <w:pPr>
        <w:spacing w:after="0" w:line="245" w:lineRule="exact"/>
        <w:rPr>
          <w:sz w:val="20"/>
          <w:szCs w:val="20"/>
          <w:color w:val="auto"/>
        </w:rPr>
      </w:pPr>
    </w:p>
    <w:p>
      <w:pPr>
        <w:ind w:left="640" w:hanging="315"/>
        <w:spacing w:after="0" w:line="257"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Moody’s Investors Service (“Moody’s”) corporate family rating is at B2, our senior unsecured notes rating is at B3, and our senior secured notes and LC Credit Agreement ratings are at Ba3. The outlook is stable.</w:t>
      </w:r>
    </w:p>
    <w:p>
      <w:pPr>
        <w:ind w:left="640" w:hanging="315"/>
        <w:spacing w:after="0" w:line="252"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Standard and Poor’s (“S&amp;P”) corporate family and senior unsecured notes ratings are at B-, and our senior secured notes and LC Credit Agreement ratings are B+. The outlook is stable.</w:t>
      </w:r>
    </w:p>
    <w:p>
      <w:pPr>
        <w:spacing w:after="0" w:line="2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Cash Requirements</w:t>
      </w:r>
    </w:p>
    <w:p>
      <w:pPr>
        <w:spacing w:after="0" w:line="249"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Our cash requirements will continue to include payments for capital expenditures, payments for short-term working capital needs, interest payments on our long-term debt, repayment on finance leases, operating costs associated with our business and restructuring payments. In 2021, operating cash flow benefited from the monetization of working capital accumulated in 2020. As business activity rises to pre-COVID-19 pandemic levels we expect that we will utilize cash to invest in capital assets and working capital growth. Our cash requirements may also include awards under our employee incentive programs and other amounts to settle litigation related matters.</w:t>
      </w:r>
    </w:p>
    <w:p>
      <w:pPr>
        <w:spacing w:after="0" w:line="211"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As of March 31, 2022, we had outstanding debt of $300 million in aggregate principal amount for our Exit Notes due 2024, $500 million in aggregate principal amount for our 2028 Senior Secured Notes and $1.6 billion in aggregate principal amount of the 2030 Senior Notes. Please see “Note 7 – Borrowings and Other Debt Obligations” for additional details.</w:t>
      </w:r>
    </w:p>
    <w:p>
      <w:pPr>
        <w:spacing w:after="0" w:line="204" w:lineRule="exact"/>
        <w:rPr>
          <w:sz w:val="20"/>
          <w:szCs w:val="20"/>
          <w:color w:val="auto"/>
        </w:rPr>
      </w:pPr>
    </w:p>
    <w:p>
      <w:pPr>
        <w:jc w:val="both"/>
        <w:ind w:firstLine="319"/>
        <w:spacing w:after="0" w:line="255" w:lineRule="auto"/>
        <w:rPr>
          <w:sz w:val="20"/>
          <w:szCs w:val="20"/>
          <w:color w:val="auto"/>
        </w:rPr>
      </w:pPr>
      <w:r>
        <w:rPr>
          <w:rFonts w:ascii="Times New Roman" w:cs="Times New Roman" w:eastAsia="Times New Roman" w:hAnsi="Times New Roman"/>
          <w:sz w:val="18"/>
          <w:szCs w:val="18"/>
          <w:color w:val="auto"/>
        </w:rPr>
        <w:t>Our capital spending for 2022 is currently projected to be between $175 million to $200 million. Capital expenditures are expected to be used primarily to support the ongoing activities and commitments in our core business. We expect to make $215 million in interest payments in 2022 and approximately $204 million in interest payments annually until the maturity of our long-term debt (excluding finance leases). Our payments on operating leases and operating purchase obligations this year are expected to be approximately $74 million and $177 million, respectively.</w:t>
      </w:r>
    </w:p>
    <w:p>
      <w:pPr>
        <w:spacing w:after="0" w:line="209" w:lineRule="exact"/>
        <w:rPr>
          <w:sz w:val="20"/>
          <w:szCs w:val="20"/>
          <w:color w:val="auto"/>
        </w:rPr>
      </w:pPr>
    </w:p>
    <w:p>
      <w:pPr>
        <w:jc w:val="both"/>
        <w:ind w:firstLine="319"/>
        <w:spacing w:after="0" w:line="283" w:lineRule="auto"/>
        <w:rPr>
          <w:sz w:val="20"/>
          <w:szCs w:val="20"/>
          <w:color w:val="auto"/>
        </w:rPr>
      </w:pPr>
      <w:r>
        <w:rPr>
          <w:rFonts w:ascii="Times New Roman" w:cs="Times New Roman" w:eastAsia="Times New Roman" w:hAnsi="Times New Roman"/>
          <w:sz w:val="17"/>
          <w:szCs w:val="17"/>
          <w:color w:val="auto"/>
        </w:rPr>
        <w:t>Cash and cash equivalents plus restricted cash are held by subsidiaries outside of Ireland. At March 31, 2022 we had approximately $168 million of our cash and cash equivalents that cannot be immediately repatriated from various countries due to country central bank controls or other regulations. Based on the nature of our structure, other than the restrictions noted above, we foresee we will be able to redeploy cash with minimal to no incremental tax.</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Customer Receivables</w:t>
      </w:r>
    </w:p>
    <w:p>
      <w:pPr>
        <w:spacing w:after="0" w:line="249"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We may experience delayed customer payments and payment defaults due to, among other reasons, a weaker economic environment, reductions in our customers’ cash flow from operations, our customers’ inability to access credit markets, as well as unsettled political conditions.</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Factoring</w:t>
      </w:r>
    </w:p>
    <w:p>
      <w:pPr>
        <w:spacing w:after="0" w:line="249"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From time to time, we participate in factoring arrangements to sell accounts receivable to third-party financial institutions for cash proceeds net of discount and hold-back. The programs we factor under are uncommitted and thus we cannot assure they will be available as a source of liquidity. Our factoring transactions were recognized as sales, and the proceeds are included as operating cash flows in our Condensed Consolidated Statements of Cash Flows. During the three months ended March 31, 2022 and 2021, we sold accounts receivable balances of $17 million and $6 million, respectively, and received cash proceeds of $15 million and $5 million, respectively.</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24" w:name="page25"/>
    <w:bookmarkEnd w:id="24"/>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Guarantees</w:t>
      </w:r>
    </w:p>
    <w:p>
      <w:pPr>
        <w:spacing w:after="0" w:line="249"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Weatherford International plc, the ultimate parent of the Weatherford group, guarantees the obligations of its subsidiaries – Weatherford International Ltd., a Bermuda exempted company (“Weatherford Bermuda”), and Weatherford International, LLC, a Delaware limited liability company (“Weatherford Delaware”), including the notes and credit facilities listed below.</w:t>
      </w:r>
    </w:p>
    <w:p>
      <w:pPr>
        <w:spacing w:after="0" w:line="204"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Our Exit Notes, 2028 Senior Secured Notes and 2030 Senior Notes were issued by Weatherford Bermuda and guaranteed by Weatherford International plc and Weatherford Delaware and other subsidiary guarantors party thereto. Please see “Note 7 – Borrowings and Other Debt Obligations” for additional details.</w:t>
      </w:r>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 and Surety Bonds</w:t>
      </w:r>
    </w:p>
    <w:p>
      <w:pPr>
        <w:spacing w:after="0" w:line="249" w:lineRule="exact"/>
        <w:rPr>
          <w:sz w:val="20"/>
          <w:szCs w:val="20"/>
          <w:color w:val="auto"/>
        </w:rPr>
      </w:pPr>
    </w:p>
    <w:p>
      <w:pPr>
        <w:jc w:val="both"/>
        <w:ind w:firstLine="319"/>
        <w:spacing w:after="0" w:line="255" w:lineRule="auto"/>
        <w:rPr>
          <w:sz w:val="20"/>
          <w:szCs w:val="20"/>
          <w:color w:val="auto"/>
        </w:rPr>
      </w:pPr>
      <w:r>
        <w:rPr>
          <w:rFonts w:ascii="Times New Roman" w:cs="Times New Roman" w:eastAsia="Times New Roman" w:hAnsi="Times New Roman"/>
          <w:sz w:val="18"/>
          <w:szCs w:val="18"/>
          <w:color w:val="auto"/>
        </w:rPr>
        <w:t>As of March 31, 2022, we had $382 million of letters of credit outstanding, consisting of the $169 million under the LC Credit Agreement letters of credit and another $213 million under various uncommitted bi-lateral facilities (of which there was $212 million in cash collateral held and recorded in “Restricted Cash” on the Condensed Consolidated Balance Sheets). Our letters of credit under various uncommitted bi-lateral facilities increased “Restricted Cash” since December 31, 2021 due to a requirement from a new multi-year contract.</w:t>
      </w:r>
    </w:p>
    <w:p>
      <w:pPr>
        <w:spacing w:after="0" w:line="209" w:lineRule="exact"/>
        <w:rPr>
          <w:sz w:val="20"/>
          <w:szCs w:val="20"/>
          <w:color w:val="auto"/>
        </w:rPr>
      </w:pPr>
    </w:p>
    <w:p>
      <w:pPr>
        <w:jc w:val="both"/>
        <w:ind w:firstLine="319"/>
        <w:spacing w:after="0" w:line="255" w:lineRule="auto"/>
        <w:rPr>
          <w:sz w:val="20"/>
          <w:szCs w:val="20"/>
          <w:color w:val="auto"/>
        </w:rPr>
      </w:pPr>
      <w:r>
        <w:rPr>
          <w:rFonts w:ascii="Times New Roman" w:cs="Times New Roman" w:eastAsia="Times New Roman" w:hAnsi="Times New Roman"/>
          <w:sz w:val="18"/>
          <w:szCs w:val="18"/>
          <w:color w:val="auto"/>
        </w:rPr>
        <w:t>We utilize surety bonds as part of our customary business practice in Latin America. As of March 31, 2022, we had surety bonds outstanding of $300 million. Any of our outstanding letters of credit or surety bonds could be called by the beneficiaries should we breach certain contractual or performance obligations. If the beneficiaries were to call the letters of credit under our LC Credit Agreement or surety bonds, our available liquidity would be reduced by the amount called.</w:t>
      </w: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47"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This report contains various statements relating to future financial performance and results, business strategy, plans, goals and objectives, including certain projections, business trends and other statements that are not historical facts. These statements constitute forward-looking statements. These forward-looking statements generally are identified by the words “believe,” “project,” “expect,” “anticipate,” “estimate,” “intend,” “budget,” “strategy,” “plan,” “guidance,” “outlook,” “may,” “should,” “could,” “will,” “would,” “will be,” “will continue,” “will likely result,” and similar expressions, although not all forward-looking statements contain these identifying words.</w:t>
      </w:r>
    </w:p>
    <w:p>
      <w:pPr>
        <w:spacing w:after="0" w:line="21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Forward-looking statements reflect our beliefs and expectations based on current estimates and projections. While we believe these expectations, and the estimates and projections on which they are based, are reasonable and were made in good faith, these statements are subject to numerous risks and uncertainties. Accordingly, our actual outcomes and results may differ materially from what we have expressed or forecasted in the forward-looking statements. The forward-looking statements included herein are only made as of the date of the filing of this report, and we undertake no obligation to correct, update or revise any forward-looking statement, whether as a result of new information, future events, or otherwise, except to the extent required under federal securities laws. The following, together with disclosures under “Part II – Other Information – Item 1A. Risk Factors”, sets forth certain risks and uncertainties relating to our forward-looking statements that may cause actual results to be materially different from our present expectations or projections:</w:t>
      </w:r>
    </w:p>
    <w:p>
      <w:pPr>
        <w:spacing w:after="0" w:line="198" w:lineRule="exact"/>
        <w:rPr>
          <w:sz w:val="20"/>
          <w:szCs w:val="20"/>
          <w:color w:val="auto"/>
        </w:rPr>
      </w:pPr>
    </w:p>
    <w:p>
      <w:pPr>
        <w:ind w:left="640" w:hanging="315"/>
        <w:spacing w:after="0" w:line="257"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political, economic and market conditions, political disturbances, war, terrorist attacks, changes in global trade policies, weak local economic conditions and international currency fluctuations (including the Russia Ukraine Conflict;</w:t>
      </w:r>
    </w:p>
    <w:p>
      <w:pPr>
        <w:ind w:left="640" w:hanging="315"/>
        <w:spacing w:after="0" w:line="246"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ensure on-going compliance with current and future laws and government regulations and sanctions, including but not limited to those related to the Russia Ukraine Conflict, and environmental and tax and accounting laws, rules and regulations;</w:t>
      </w:r>
    </w:p>
    <w:p>
      <w:pPr>
        <w:jc w:val="both"/>
        <w:ind w:left="640" w:hanging="315"/>
        <w:spacing w:after="0" w:line="246"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the administration of, treaties, laws, and regulations, including in response to issues related to the Russia Ukraine Conflict and the potential for such issues to exacerbate other risks we face, including those related to the other risks and uncertainties listed or referenced in this Forward-Looking Statements section and in the Risk Factors section below;</w:t>
      </w:r>
    </w:p>
    <w:p>
      <w:pPr>
        <w:ind w:left="640" w:hanging="315"/>
        <w:spacing w:after="0" w:line="246"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and respond to, climate change, ESG and other “sustainability” initiatives and future legislative and regulatory measures both globally and in the specific geographic regions in which we and our customers operate;</w:t>
      </w:r>
    </w:p>
    <w:p>
      <w:pPr>
        <w:ind w:left="640" w:hanging="315"/>
        <w:spacing w:after="0" w:line="252"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and timely address the need to conduct our operations and provision of services to our customers more sustainably and with a lower carbon footprint;</w:t>
      </w:r>
    </w:p>
    <w:p>
      <w:pPr>
        <w:spacing w:after="0" w:line="200" w:lineRule="exact"/>
        <w:rPr>
          <w:sz w:val="20"/>
          <w:szCs w:val="20"/>
          <w:color w:val="auto"/>
        </w:rPr>
      </w:pPr>
    </w:p>
    <w:p>
      <w:pPr>
        <w:spacing w:after="0" w:line="35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25" w:name="page26"/>
    <w:bookmarkEnd w:id="25"/>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40" w:hanging="315"/>
        <w:spacing w:after="0" w:line="257"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disease outbreaks and other public health issues, including the COVID-19 pandemic, their impact on the global economy and the business of our company, customers, suppliers and other partners;</w:t>
      </w:r>
    </w:p>
    <w:p>
      <w:pPr>
        <w:jc w:val="both"/>
        <w:ind w:left="640" w:hanging="315"/>
        <w:spacing w:after="0" w:line="246"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spread and potential for a resurgence of the COVID-19 pandemic in a given geographic region and related disruptions to our business, employees, customers, suppliers and other partners and additional regulatory measures or voluntary actions that may be put in place to limit the spread of the COVID-19 pandemic, including vaccination requirements and the associated availability of vaccines, restrictions on business operations or social distancing requirements, and the duration and efficacy of such restrictions;</w:t>
      </w:r>
    </w:p>
    <w:p>
      <w:pPr>
        <w:spacing w:after="0" w:line="1"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and price volatility of, and demand for, oil, natural gas and natural gas liquids;</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member-country quota compliance within the Organization of Petroleum Exporting Countries (“OPEC”);</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expected revenues and profitability levels from current and future contracts;</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cash flow from operations to fund our operations;</w:t>
      </w:r>
    </w:p>
    <w:p>
      <w:pPr>
        <w:spacing w:after="0" w:line="5" w:lineRule="exact"/>
        <w:rPr>
          <w:rFonts w:ascii="Times New Roman" w:cs="Times New Roman" w:eastAsia="Times New Roman" w:hAnsi="Times New Roman"/>
          <w:sz w:val="18"/>
          <w:szCs w:val="18"/>
          <w:color w:val="auto"/>
        </w:rPr>
      </w:pPr>
    </w:p>
    <w:p>
      <w:pPr>
        <w:jc w:val="both"/>
        <w:ind w:left="640" w:hanging="315"/>
        <w:spacing w:after="0" w:line="246"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and timely adapt our technology portfolio, products and services to address and participate in changes to the market demands for the transition to alternate sources of energy such as geothermal, carbon capture and responsible abandonment, including our digitalization efforts;</w:t>
      </w:r>
    </w:p>
    <w:p>
      <w:pPr>
        <w:ind w:left="640" w:hanging="315"/>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prices and lack of availability of our procured products and services;</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timely collect from customers;</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cost savings and business enhancements from our revenue and cost improvement efforts;</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motivate and retain employees, including key personnel;</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to capital markets on terms that are commercially acceptable to the Company;</w:t>
      </w:r>
    </w:p>
    <w:p>
      <w:pPr>
        <w:spacing w:after="0" w:line="5" w:lineRule="exact"/>
        <w:rPr>
          <w:rFonts w:ascii="Times New Roman" w:cs="Times New Roman" w:eastAsia="Times New Roman" w:hAnsi="Times New Roman"/>
          <w:sz w:val="18"/>
          <w:szCs w:val="18"/>
          <w:color w:val="auto"/>
        </w:rPr>
      </w:pPr>
    </w:p>
    <w:p>
      <w:pPr>
        <w:jc w:val="both"/>
        <w:ind w:left="640" w:hanging="315"/>
        <w:spacing w:after="0" w:line="246"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workforce, supply chain and business processes, information technology systems and technological innovation and commercialization, including the impact of our organization restructure, business enhancements, improvement efforts and the cost and support reduction plans;</w:t>
      </w:r>
    </w:p>
    <w:p>
      <w:pPr>
        <w:ind w:left="640" w:hanging="315"/>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our debt obligations;</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non-cash asset impairment charges for long-lived assets, intangible assets or other assets; and</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weather conditions in certain regions of our operations.</w:t>
      </w:r>
    </w:p>
    <w:p>
      <w:pPr>
        <w:spacing w:after="0" w:line="225" w:lineRule="exact"/>
        <w:rPr>
          <w:sz w:val="20"/>
          <w:szCs w:val="20"/>
          <w:color w:val="auto"/>
        </w:rPr>
      </w:pPr>
    </w:p>
    <w:p>
      <w:pPr>
        <w:jc w:val="both"/>
        <w:ind w:firstLine="319"/>
        <w:spacing w:after="0" w:line="255" w:lineRule="auto"/>
        <w:rPr>
          <w:sz w:val="20"/>
          <w:szCs w:val="20"/>
          <w:color w:val="auto"/>
        </w:rPr>
      </w:pPr>
      <w:r>
        <w:rPr>
          <w:rFonts w:ascii="Times New Roman" w:cs="Times New Roman" w:eastAsia="Times New Roman" w:hAnsi="Times New Roman"/>
          <w:sz w:val="18"/>
          <w:szCs w:val="18"/>
          <w:color w:val="auto"/>
        </w:rPr>
        <w:t>Many of these factors are macro-economic in nature and are, therefore, beyond our control. Should one or more of these risks or uncertainties materialize, affect us in ways or to an extent that we currently do not expect or consider to be significant, or should underlying assumptions prove incorrect, our actual results, performance or achievements may vary materially from those described in this report as anticipated, believed, estimated, expected, intended, planned or projected.</w:t>
      </w:r>
    </w:p>
    <w:p>
      <w:pPr>
        <w:spacing w:after="0" w:line="209"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Finally, our future results will depend upon various other risks and uncertainties, including, but not limited to, those detailed in our current and past filings with the SEC under the Exchange Act and the Securities Act of 1933, as amended.</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47"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Other than the change in fair value of our debt as discussed in “Note 7 – Borrowings and Other Debt Obligations” in the Notes to Condensed Consolidated Financial Statements, our exposure to market risk has not changed materially since December 31, 2021.</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45" w:lineRule="exact"/>
        <w:rPr>
          <w:sz w:val="20"/>
          <w:szCs w:val="20"/>
          <w:color w:val="auto"/>
        </w:rPr>
      </w:pPr>
    </w:p>
    <w:p>
      <w:pPr>
        <w:jc w:val="both"/>
        <w:ind w:firstLine="319"/>
        <w:spacing w:after="0" w:line="276" w:lineRule="auto"/>
        <w:rPr>
          <w:sz w:val="20"/>
          <w:szCs w:val="20"/>
          <w:color w:val="auto"/>
        </w:rPr>
      </w:pPr>
      <w:r>
        <w:rPr>
          <w:rFonts w:ascii="Times New Roman" w:cs="Times New Roman" w:eastAsia="Times New Roman" w:hAnsi="Times New Roman"/>
          <w:sz w:val="17"/>
          <w:szCs w:val="17"/>
          <w:i w:val="1"/>
          <w:iCs w:val="1"/>
          <w:color w:val="auto"/>
        </w:rPr>
        <w:t xml:space="preserve">Evaluation of Disclosure Controls and Procedures. </w:t>
      </w:r>
      <w:r>
        <w:rPr>
          <w:rFonts w:ascii="Times New Roman" w:cs="Times New Roman" w:eastAsia="Times New Roman" w:hAnsi="Times New Roman"/>
          <w:sz w:val="17"/>
          <w:szCs w:val="17"/>
          <w:color w:val="auto"/>
        </w:rPr>
        <w:t>Disclosure controls and procedures (as defined in Rules 13a-15(e) and 15d-15(e) under the Exchange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Act) are designed to ensure that information required to be disclosed in our reports filed under the Exchange Act is recorded, processed, summarized and reported within the time periods specified in the SEC’s rules and forms. This information is collected and communicated to management, including our Chief Executive Officer (“CEO”) and Chief Financial Officer (“CFO”), as appropriate, to allow timely decisions regarding required disclosures.</w:t>
      </w:r>
    </w:p>
    <w:p>
      <w:pPr>
        <w:spacing w:after="0" w:line="192"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Our management, under the supervision and with the participation of our CEO and CFO, evaluated the effectiveness of the design and operation of our disclosure controls and procedures at March 31, 2022. Based on that evaluation, our CEO and CFO concluded that our disclosure controls and procedures were effective as of March 31, 2022.</w:t>
      </w:r>
    </w:p>
    <w:p>
      <w:pPr>
        <w:spacing w:after="0" w:line="204"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Our management identified no change in our internal control over financial reporting that occurred during the three months ended March 31, 2022 that has materially affected, or is reasonably likely to materially affect, our internal control over financial reporting.</w:t>
      </w:r>
    </w:p>
    <w:p>
      <w:pPr>
        <w:spacing w:after="0" w:line="24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ectPr>
          <w:pgSz w:w="11900" w:h="16838" w:orient="portrait"/>
          <w:cols w:equalWidth="0" w:num="1">
            <w:col w:w="11240"/>
          </w:cols>
          <w:pgMar w:left="320" w:top="46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type w:val="continuous"/>
        </w:sectPr>
      </w:pPr>
    </w:p>
    <w:bookmarkStart w:id="26" w:name="page27"/>
    <w:bookmarkEnd w:id="26"/>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Disputes and Litigation</w:t>
      </w:r>
    </w:p>
    <w:p>
      <w:pPr>
        <w:spacing w:after="0" w:line="249"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See “Note 8 – Disputes, Litigation and Legal Contingencies” in our Notes to Condensed Consolidated Financial Statements for details regarding our ongoing disputes and litigation.</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47" w:lineRule="exact"/>
        <w:rPr>
          <w:sz w:val="20"/>
          <w:szCs w:val="20"/>
          <w:color w:val="auto"/>
        </w:rPr>
      </w:pPr>
    </w:p>
    <w:p>
      <w:pPr>
        <w:jc w:val="both"/>
        <w:ind w:firstLine="319"/>
        <w:spacing w:after="0" w:line="255" w:lineRule="auto"/>
        <w:rPr>
          <w:sz w:val="20"/>
          <w:szCs w:val="20"/>
          <w:color w:val="auto"/>
        </w:rPr>
      </w:pPr>
      <w:r>
        <w:rPr>
          <w:rFonts w:ascii="Times New Roman" w:cs="Times New Roman" w:eastAsia="Times New Roman" w:hAnsi="Times New Roman"/>
          <w:sz w:val="18"/>
          <w:szCs w:val="18"/>
          <w:color w:val="auto"/>
        </w:rPr>
        <w:t>An investment in our securities involves various risks. You should consider carefully all of the risk factors described in our 2021 Annual Report, Part I, under the heading “Item 1A. Consolidated Financial Statements and Notes - Risk Factors ” and other information included and incorporated by reference in this report. As of March 31, 2022, there have been no material changes in our assessment of our risk factors from those set forth in our 2021 Annual Report and our Registration Statement, except as described below.</w:t>
      </w: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A period of sustained inflation across all the major markets in which we operate could result in higher operating costs.</w:t>
      </w:r>
    </w:p>
    <w:p>
      <w:pPr>
        <w:spacing w:after="0" w:line="247" w:lineRule="exact"/>
        <w:rPr>
          <w:sz w:val="20"/>
          <w:szCs w:val="20"/>
          <w:color w:val="auto"/>
        </w:rPr>
      </w:pPr>
    </w:p>
    <w:p>
      <w:pPr>
        <w:jc w:val="both"/>
        <w:ind w:firstLine="319"/>
        <w:spacing w:after="0" w:line="255" w:lineRule="auto"/>
        <w:rPr>
          <w:sz w:val="20"/>
          <w:szCs w:val="20"/>
          <w:color w:val="auto"/>
        </w:rPr>
      </w:pPr>
      <w:r>
        <w:rPr>
          <w:rFonts w:ascii="Times New Roman" w:cs="Times New Roman" w:eastAsia="Times New Roman" w:hAnsi="Times New Roman"/>
          <w:sz w:val="18"/>
          <w:szCs w:val="18"/>
          <w:color w:val="auto"/>
        </w:rPr>
        <w:t>Inflationary pressures typically result in increases to our operating expenses. While we take actions wherever possible to reduce the impact of the effects of inflation, in cases of sustained inflation across several of our major markets, it becomes increasingly difficult to effectively control the increase to our costs. In addition, the effects of inflation could result in the reduction of our clients’ budgets and spending plans. If we are unable to increase our pricing or take other actions to mitigate the effect of the resulting higher costs, our profitability and financial position could be negatively impacted.</w:t>
      </w:r>
    </w:p>
    <w:p>
      <w:pPr>
        <w:spacing w:after="0" w:line="207" w:lineRule="exact"/>
        <w:rPr>
          <w:sz w:val="20"/>
          <w:szCs w:val="20"/>
          <w:color w:val="auto"/>
        </w:rPr>
      </w:pPr>
    </w:p>
    <w:p>
      <w:pPr>
        <w:jc w:val="both"/>
        <w:ind w:firstLine="319"/>
        <w:spacing w:after="0" w:line="277" w:lineRule="auto"/>
        <w:rPr>
          <w:sz w:val="20"/>
          <w:szCs w:val="20"/>
          <w:color w:val="auto"/>
        </w:rPr>
      </w:pPr>
      <w:r>
        <w:rPr>
          <w:rFonts w:ascii="Times New Roman" w:cs="Times New Roman" w:eastAsia="Times New Roman" w:hAnsi="Times New Roman"/>
          <w:sz w:val="18"/>
          <w:szCs w:val="18"/>
          <w:b w:val="1"/>
          <w:bCs w:val="1"/>
          <w:color w:val="auto"/>
        </w:rPr>
        <w:t>On February 24, 2022, Russia invaded Ukraine and the countries remain engaged in a broad military conflict. The results of these events could result in an adverse impact on the global economy and our business.</w:t>
      </w:r>
    </w:p>
    <w:p>
      <w:pPr>
        <w:spacing w:after="0" w:line="188"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The United States, the European Union, the United Kingdom and other countries have imposed broad sanctions against Russia, certain Russian individuals and certain activities involving Russia or Russian individuals. While global events continue to evolve rapidly, we continue to monitor and intend to remain in full compliance with the fast evolving sanctions landscape and will continue to fulfill existing contractual obligations within applicable international laws and sanctions. The impact from an armed conflict, geopolitical risk and/or civil unrest, such as this military conflict, in areas we operate, may negatively impact both the global economy and our business and may prevent others, and us from meeting our financial objectives and obligations. Additionally, we may incur a loss of assets due to destruction and incur other perils associated with the military conflict.</w:t>
      </w:r>
    </w:p>
    <w:p>
      <w:pPr>
        <w:spacing w:after="0" w:line="208" w:lineRule="exact"/>
        <w:rPr>
          <w:sz w:val="20"/>
          <w:szCs w:val="20"/>
          <w:color w:val="auto"/>
        </w:rPr>
      </w:pPr>
    </w:p>
    <w:p>
      <w:pPr>
        <w:jc w:val="both"/>
        <w:ind w:firstLine="319"/>
        <w:spacing w:after="0" w:line="277" w:lineRule="auto"/>
        <w:rPr>
          <w:sz w:val="20"/>
          <w:szCs w:val="20"/>
          <w:color w:val="auto"/>
        </w:rPr>
      </w:pPr>
      <w:r>
        <w:rPr>
          <w:rFonts w:ascii="Times New Roman" w:cs="Times New Roman" w:eastAsia="Times New Roman" w:hAnsi="Times New Roman"/>
          <w:sz w:val="18"/>
          <w:szCs w:val="18"/>
          <w:b w:val="1"/>
          <w:bCs w:val="1"/>
          <w:color w:val="auto"/>
        </w:rPr>
        <w:t>A significant portion of our revenue is derived from our operations outside the United States, which exposes us to risks inherent in doing business in each of the 75 countries in which we operate.</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non-United States operations accounted for approximately 80% of our consolidated revenue in 2021. Operations in countries like Russia and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Ukraine, and countries other than the United States are subject to various risks, including:</w:t>
      </w:r>
    </w:p>
    <w:p>
      <w:pPr>
        <w:spacing w:after="0" w:line="225" w:lineRule="exact"/>
        <w:rPr>
          <w:sz w:val="20"/>
          <w:szCs w:val="20"/>
          <w:color w:val="auto"/>
        </w:rPr>
      </w:pPr>
    </w:p>
    <w:p>
      <w:pPr>
        <w:ind w:left="640" w:hanging="315"/>
        <w:spacing w:after="0" w:line="257"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political, social and economic conditions including currency exchange controls, inflation, and currency exchange rate fluctuations and devaluations;</w:t>
      </w:r>
    </w:p>
    <w:p>
      <w:pPr>
        <w:ind w:left="640" w:hanging="315"/>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expropriation of our assets, deprivation of contract rights or other governmental actions, like martial law in Ukraine;</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unrest, acts of terrorism, war or other armed conflict;</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fraud and political corruption;</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international laws and regulations;</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responses to COVID-19 pandemic and restrictions;</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confiscatory taxation or other adverse tax policies;</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and economic sanctions or other restrictions imposed by the European Union, the United States or other countries;</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under the United States Foreign Corrupt Practices Act or similar legislation; and</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repatriation of income or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27" w:name="page28"/>
    <w:bookmarkEnd w:id="27"/>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firstLine="319"/>
        <w:spacing w:after="0" w:line="255" w:lineRule="auto"/>
        <w:rPr>
          <w:sz w:val="20"/>
          <w:szCs w:val="20"/>
          <w:color w:val="auto"/>
        </w:rPr>
      </w:pPr>
      <w:r>
        <w:rPr>
          <w:rFonts w:ascii="Times New Roman" w:cs="Times New Roman" w:eastAsia="Times New Roman" w:hAnsi="Times New Roman"/>
          <w:sz w:val="18"/>
          <w:szCs w:val="18"/>
          <w:color w:val="auto"/>
        </w:rPr>
        <w:t>Further, our assets generally are not insured against loss from political violence such as war, terrorism or civil unrest. If any of our assets are damaged, destroyed, expropriated or that we no longer control, as a result of an uninsured cause, we could recognize a loss of those assets. In addition, should our claims increase, our premiums could increase. Similarly, if the same occurs with our customers’ assets or to an infrastructure integral to their business, it may be difficult or impossible for us to earn revenues associated with those customers.</w:t>
      </w: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All exhibits designated with a dagger (†) are filed herewith or double dagger (††) are furnished herewith.</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70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820" w:type="dxa"/>
            <w:vAlign w:val="bottom"/>
            <w:vMerge w:val="restart"/>
          </w:tcPr>
          <w:p>
            <w:pPr>
              <w:ind w:left="600"/>
              <w:spacing w:after="0"/>
              <w:rPr>
                <w:sz w:val="20"/>
                <w:szCs w:val="20"/>
                <w:color w:val="auto"/>
              </w:rPr>
            </w:pPr>
            <w:r>
              <w:rPr>
                <w:rFonts w:ascii="Times New Roman" w:cs="Times New Roman" w:eastAsia="Times New Roman" w:hAnsi="Times New Roman"/>
                <w:sz w:val="18"/>
                <w:szCs w:val="18"/>
                <w:b w:val="1"/>
                <w:bCs w:val="1"/>
                <w:color w:val="auto"/>
              </w:rPr>
              <w:t>Original Filed Exhibit</w:t>
            </w:r>
          </w:p>
        </w:tc>
        <w:tc>
          <w:tcPr>
            <w:tcW w:w="23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0" w:type="dxa"/>
            <w:vAlign w:val="bottom"/>
          </w:tcPr>
          <w:p>
            <w:pPr>
              <w:spacing w:after="0"/>
              <w:rPr>
                <w:sz w:val="1"/>
                <w:szCs w:val="1"/>
                <w:color w:val="auto"/>
              </w:rPr>
            </w:pPr>
          </w:p>
        </w:tc>
      </w:tr>
      <w:tr>
        <w:trPr>
          <w:trHeight w:val="239"/>
        </w:trPr>
        <w:tc>
          <w:tcPr>
            <w:tcW w:w="142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4700" w:type="dxa"/>
            <w:vAlign w:val="bottom"/>
            <w:gridSpan w:val="8"/>
            <w:vMerge w:val="continue"/>
          </w:tcPr>
          <w:p>
            <w:pPr>
              <w:spacing w:after="0"/>
              <w:rPr>
                <w:sz w:val="20"/>
                <w:szCs w:val="20"/>
                <w:color w:val="auto"/>
              </w:rPr>
            </w:pPr>
          </w:p>
        </w:tc>
        <w:tc>
          <w:tcPr>
            <w:tcW w:w="2820" w:type="dxa"/>
            <w:vAlign w:val="bottom"/>
            <w:vMerge w:val="continue"/>
          </w:tcPr>
          <w:p>
            <w:pPr>
              <w:spacing w:after="0"/>
              <w:rPr>
                <w:sz w:val="20"/>
                <w:szCs w:val="20"/>
                <w:color w:val="auto"/>
              </w:rPr>
            </w:pPr>
          </w:p>
        </w:tc>
        <w:tc>
          <w:tcPr>
            <w:tcW w:w="23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1420" w:type="dxa"/>
            <w:vAlign w:val="bottom"/>
            <w:tcBorders>
              <w:top w:val="single" w:sz="8" w:color="auto"/>
              <w:right w:val="single" w:sz="8" w:color="CCEEFF"/>
            </w:tcBorders>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10.1</w:t>
            </w:r>
          </w:p>
        </w:tc>
        <w:tc>
          <w:tcPr>
            <w:tcW w:w="4700" w:type="dxa"/>
            <w:vAlign w:val="bottom"/>
            <w:tcBorders>
              <w:top w:val="single" w:sz="8" w:color="auto"/>
              <w:right w:val="single" w:sz="8" w:color="CCEEFF"/>
            </w:tcBorders>
            <w:gridSpan w:val="8"/>
            <w:shd w:val="clear" w:color="auto" w:fill="CCEEFF"/>
          </w:tcPr>
          <w:p>
            <w:pPr>
              <w:spacing w:after="0" w:line="179" w:lineRule="exact"/>
              <w:rPr>
                <w:rFonts w:ascii="Times New Roman" w:cs="Times New Roman" w:eastAsia="Times New Roman" w:hAnsi="Times New Roman"/>
                <w:sz w:val="18"/>
                <w:szCs w:val="18"/>
                <w:color w:val="0000FF"/>
              </w:rPr>
            </w:pPr>
            <w:hyperlink r:id="rId38">
              <w:r>
                <w:rPr>
                  <w:rFonts w:ascii="Times New Roman" w:cs="Times New Roman" w:eastAsia="Times New Roman" w:hAnsi="Times New Roman"/>
                  <w:sz w:val="18"/>
                  <w:szCs w:val="18"/>
                  <w:color w:val="0000FF"/>
                </w:rPr>
                <w:t>Form of Executive Officer Restricted Share Unit Award</w:t>
              </w:r>
            </w:hyperlink>
          </w:p>
        </w:tc>
        <w:tc>
          <w:tcPr>
            <w:tcW w:w="2820" w:type="dxa"/>
            <w:vAlign w:val="bottom"/>
            <w:tcBorders>
              <w:top w:val="single" w:sz="8" w:color="auto"/>
            </w:tcBorders>
            <w:shd w:val="clear" w:color="auto" w:fill="CCEEFF"/>
          </w:tcPr>
          <w:p>
            <w:pPr>
              <w:ind w:left="40"/>
              <w:spacing w:after="0" w:line="179" w:lineRule="exact"/>
              <w:rPr>
                <w:sz w:val="20"/>
                <w:szCs w:val="20"/>
                <w:color w:val="auto"/>
              </w:rPr>
            </w:pPr>
            <w:r>
              <w:rPr>
                <w:rFonts w:ascii="Times New Roman" w:cs="Times New Roman" w:eastAsia="Times New Roman" w:hAnsi="Times New Roman"/>
                <w:sz w:val="18"/>
                <w:szCs w:val="18"/>
                <w:color w:val="auto"/>
                <w:w w:val="97"/>
              </w:rPr>
              <w:t>Exhibit 10.1 of the Company’s Current</w:t>
            </w:r>
          </w:p>
        </w:tc>
        <w:tc>
          <w:tcPr>
            <w:tcW w:w="1740" w:type="dxa"/>
            <w:vAlign w:val="bottom"/>
            <w:tcBorders>
              <w:top w:val="single" w:sz="8" w:color="auto"/>
            </w:tcBorders>
            <w:shd w:val="clear" w:color="auto" w:fill="CCEEFF"/>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142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760" w:type="dxa"/>
            <w:vAlign w:val="bottom"/>
            <w:tcBorders>
              <w:top w:val="single" w:sz="8" w:color="0000FF"/>
              <w:bottom w:val="single" w:sz="8" w:color="0000FF"/>
            </w:tcBorders>
            <w:shd w:val="clear" w:color="auto" w:fill="CCEEFF"/>
          </w:tcPr>
          <w:p>
            <w:pPr>
              <w:spacing w:after="0" w:line="139" w:lineRule="exact"/>
              <w:rPr>
                <w:rFonts w:ascii="Times New Roman" w:cs="Times New Roman" w:eastAsia="Times New Roman" w:hAnsi="Times New Roman"/>
                <w:sz w:val="15"/>
                <w:szCs w:val="15"/>
                <w:color w:val="0000FF"/>
              </w:rPr>
            </w:pPr>
            <w:hyperlink r:id="rId38">
              <w:r>
                <w:rPr>
                  <w:rFonts w:ascii="Times New Roman" w:cs="Times New Roman" w:eastAsia="Times New Roman" w:hAnsi="Times New Roman"/>
                  <w:sz w:val="15"/>
                  <w:szCs w:val="15"/>
                  <w:color w:val="0000FF"/>
                </w:rPr>
                <w:t>Agreement</w:t>
              </w:r>
            </w:hyperlink>
          </w:p>
        </w:tc>
        <w:tc>
          <w:tcPr>
            <w:tcW w:w="1540" w:type="dxa"/>
            <w:vAlign w:val="bottom"/>
            <w:tcBorders>
              <w:top w:val="single" w:sz="8" w:color="0000FF"/>
              <w:bottom w:val="single" w:sz="8" w:color="0000FF"/>
            </w:tcBorders>
            <w:vMerge w:val="restart"/>
            <w:shd w:val="clear" w:color="auto" w:fill="CCEEFF"/>
          </w:tcPr>
          <w:p>
            <w:pPr>
              <w:spacing w:after="0"/>
              <w:rPr>
                <w:sz w:val="13"/>
                <w:szCs w:val="13"/>
                <w:color w:val="auto"/>
              </w:rPr>
            </w:pPr>
          </w:p>
        </w:tc>
        <w:tc>
          <w:tcPr>
            <w:tcW w:w="180" w:type="dxa"/>
            <w:vAlign w:val="bottom"/>
            <w:tcBorders>
              <w:top w:val="single" w:sz="8" w:color="0000FF"/>
              <w:bottom w:val="single" w:sz="8" w:color="0000FF"/>
            </w:tcBorders>
            <w:vMerge w:val="restart"/>
            <w:shd w:val="clear" w:color="auto" w:fill="CCEEFF"/>
          </w:tcPr>
          <w:p>
            <w:pPr>
              <w:spacing w:after="0"/>
              <w:rPr>
                <w:sz w:val="13"/>
                <w:szCs w:val="13"/>
                <w:color w:val="auto"/>
              </w:rPr>
            </w:pPr>
          </w:p>
        </w:tc>
        <w:tc>
          <w:tcPr>
            <w:tcW w:w="1440" w:type="dxa"/>
            <w:vAlign w:val="bottom"/>
            <w:tcBorders>
              <w:top w:val="single" w:sz="8" w:color="0000FF"/>
              <w:bottom w:val="single" w:sz="8" w:color="0000FF"/>
            </w:tcBorders>
            <w:vMerge w:val="restart"/>
            <w:shd w:val="clear" w:color="auto" w:fill="CCEEFF"/>
          </w:tcPr>
          <w:p>
            <w:pPr>
              <w:spacing w:after="0"/>
              <w:rPr>
                <w:sz w:val="13"/>
                <w:szCs w:val="13"/>
                <w:color w:val="auto"/>
              </w:rPr>
            </w:pP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26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2820" w:type="dxa"/>
            <w:vAlign w:val="bottom"/>
            <w:tcBorders>
              <w:top w:val="single" w:sz="8" w:color="CCEEFF"/>
              <w:bottom w:val="single" w:sz="8" w:color="CCEEFF"/>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Report on Form 8-K filed January 20,</w:t>
            </w:r>
          </w:p>
        </w:tc>
        <w:tc>
          <w:tcPr>
            <w:tcW w:w="1740" w:type="dxa"/>
            <w:vAlign w:val="bottom"/>
            <w:tcBorders>
              <w:top w:val="single" w:sz="8" w:color="CCEEFF"/>
              <w:bottom w:val="single" w:sz="8" w:color="CCEEFF"/>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File No. 1-36504</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1420" w:type="dxa"/>
            <w:vAlign w:val="bottom"/>
            <w:tcBorders>
              <w:right w:val="single" w:sz="8" w:color="CCEEFF"/>
            </w:tcBorders>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1540" w:type="dxa"/>
            <w:vAlign w:val="bottom"/>
            <w:vMerge w:val="continue"/>
            <w:shd w:val="clear" w:color="auto" w:fill="CCEEFF"/>
          </w:tcPr>
          <w:p>
            <w:pPr>
              <w:spacing w:after="0"/>
              <w:rPr>
                <w:sz w:val="4"/>
                <w:szCs w:val="4"/>
                <w:color w:val="auto"/>
              </w:rPr>
            </w:pPr>
          </w:p>
        </w:tc>
        <w:tc>
          <w:tcPr>
            <w:tcW w:w="180" w:type="dxa"/>
            <w:vAlign w:val="bottom"/>
            <w:vMerge w:val="continue"/>
            <w:shd w:val="clear" w:color="auto" w:fill="CCEEFF"/>
          </w:tcPr>
          <w:p>
            <w:pPr>
              <w:spacing w:after="0"/>
              <w:rPr>
                <w:sz w:val="4"/>
                <w:szCs w:val="4"/>
                <w:color w:val="auto"/>
              </w:rPr>
            </w:pPr>
          </w:p>
        </w:tc>
        <w:tc>
          <w:tcPr>
            <w:tcW w:w="1440" w:type="dxa"/>
            <w:vAlign w:val="bottom"/>
            <w:vMerge w:val="continue"/>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80" w:type="dxa"/>
            <w:vAlign w:val="bottom"/>
            <w:tcBorders>
              <w:right w:val="single" w:sz="8" w:color="CCEEFF"/>
            </w:tcBorders>
            <w:shd w:val="clear" w:color="auto" w:fill="CCEEFF"/>
          </w:tcPr>
          <w:p>
            <w:pPr>
              <w:spacing w:after="0"/>
              <w:rPr>
                <w:sz w:val="4"/>
                <w:szCs w:val="4"/>
                <w:color w:val="auto"/>
              </w:rPr>
            </w:pPr>
          </w:p>
        </w:tc>
        <w:tc>
          <w:tcPr>
            <w:tcW w:w="2820" w:type="dxa"/>
            <w:vAlign w:val="bottom"/>
            <w:vMerge w:val="continue"/>
            <w:shd w:val="clear" w:color="auto" w:fill="CCEEFF"/>
          </w:tcPr>
          <w:p>
            <w:pPr>
              <w:spacing w:after="0"/>
              <w:rPr>
                <w:sz w:val="4"/>
                <w:szCs w:val="4"/>
                <w:color w:val="auto"/>
              </w:rPr>
            </w:pPr>
          </w:p>
        </w:tc>
        <w:tc>
          <w:tcPr>
            <w:tcW w:w="1740" w:type="dxa"/>
            <w:vAlign w:val="bottom"/>
            <w:vMerge w:val="continue"/>
            <w:shd w:val="clear" w:color="auto" w:fill="CCEEFF"/>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1420" w:type="dxa"/>
            <w:vAlign w:val="bottom"/>
            <w:tcBorders>
              <w:right w:val="single" w:sz="8" w:color="CCEEFF"/>
            </w:tcBorders>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1740" w:type="dxa"/>
            <w:vAlign w:val="bottom"/>
            <w:shd w:val="clear" w:color="auto" w:fill="CCEEFF"/>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0"/>
        </w:trPr>
        <w:tc>
          <w:tcPr>
            <w:tcW w:w="1420" w:type="dxa"/>
            <w:vAlign w:val="bottom"/>
            <w:tcBorders>
              <w:right w:val="single" w:sz="8" w:color="CCEEFF"/>
            </w:tcBorders>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5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4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2820" w:type="dxa"/>
            <w:vAlign w:val="bottom"/>
            <w:shd w:val="clear" w:color="auto" w:fill="CCEEFF"/>
          </w:tcPr>
          <w:p>
            <w:pPr>
              <w:spacing w:after="0"/>
              <w:rPr>
                <w:sz w:val="8"/>
                <w:szCs w:val="8"/>
                <w:color w:val="auto"/>
              </w:rPr>
            </w:pPr>
          </w:p>
        </w:tc>
        <w:tc>
          <w:tcPr>
            <w:tcW w:w="1740" w:type="dxa"/>
            <w:vAlign w:val="bottom"/>
            <w:shd w:val="clear" w:color="auto" w:fill="CCEEFF"/>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6"/>
        </w:trPr>
        <w:tc>
          <w:tcPr>
            <w:tcW w:w="142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10.2</w:t>
            </w:r>
          </w:p>
        </w:tc>
        <w:tc>
          <w:tcPr>
            <w:tcW w:w="4700" w:type="dxa"/>
            <w:vAlign w:val="bottom"/>
            <w:gridSpan w:val="8"/>
          </w:tcPr>
          <w:p>
            <w:pPr>
              <w:spacing w:after="0" w:line="186" w:lineRule="exact"/>
              <w:rPr>
                <w:rFonts w:ascii="Times New Roman" w:cs="Times New Roman" w:eastAsia="Times New Roman" w:hAnsi="Times New Roman"/>
                <w:sz w:val="18"/>
                <w:szCs w:val="18"/>
                <w:color w:val="0000FF"/>
              </w:rPr>
            </w:pPr>
            <w:hyperlink r:id="rId39">
              <w:r>
                <w:rPr>
                  <w:rFonts w:ascii="Times New Roman" w:cs="Times New Roman" w:eastAsia="Times New Roman" w:hAnsi="Times New Roman"/>
                  <w:sz w:val="18"/>
                  <w:szCs w:val="18"/>
                  <w:color w:val="0000FF"/>
                </w:rPr>
                <w:t>Form of Executive Officer Performance Share Unit Award</w:t>
              </w:r>
            </w:hyperlink>
          </w:p>
        </w:tc>
        <w:tc>
          <w:tcPr>
            <w:tcW w:w="2820" w:type="dxa"/>
            <w:vAlign w:val="bottom"/>
          </w:tcPr>
          <w:p>
            <w:pPr>
              <w:ind w:left="40"/>
              <w:spacing w:after="0" w:line="186" w:lineRule="exact"/>
              <w:rPr>
                <w:sz w:val="20"/>
                <w:szCs w:val="20"/>
                <w:color w:val="auto"/>
              </w:rPr>
            </w:pPr>
            <w:r>
              <w:rPr>
                <w:rFonts w:ascii="Times New Roman" w:cs="Times New Roman" w:eastAsia="Times New Roman" w:hAnsi="Times New Roman"/>
                <w:sz w:val="18"/>
                <w:szCs w:val="18"/>
                <w:color w:val="auto"/>
                <w:w w:val="97"/>
              </w:rPr>
              <w:t>Exhibit 10.2 of the Company’s Current</w:t>
            </w:r>
          </w:p>
        </w:tc>
        <w:tc>
          <w:tcPr>
            <w:tcW w:w="1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420" w:type="dxa"/>
            <w:vAlign w:val="bottom"/>
          </w:tcPr>
          <w:p>
            <w:pPr>
              <w:spacing w:after="0"/>
              <w:rPr>
                <w:sz w:val="13"/>
                <w:szCs w:val="13"/>
                <w:color w:val="auto"/>
              </w:rPr>
            </w:pPr>
          </w:p>
        </w:tc>
        <w:tc>
          <w:tcPr>
            <w:tcW w:w="4120" w:type="dxa"/>
            <w:vAlign w:val="bottom"/>
            <w:tcBorders>
              <w:top w:val="single" w:sz="8" w:color="0000FF"/>
            </w:tcBorders>
            <w:gridSpan w:val="5"/>
          </w:tcPr>
          <w:p>
            <w:pPr>
              <w:spacing w:after="0" w:line="153" w:lineRule="exact"/>
              <w:rPr>
                <w:rFonts w:ascii="Times New Roman" w:cs="Times New Roman" w:eastAsia="Times New Roman" w:hAnsi="Times New Roman"/>
                <w:sz w:val="17"/>
                <w:szCs w:val="17"/>
                <w:color w:val="0000FF"/>
              </w:rPr>
            </w:pPr>
            <w:hyperlink r:id="rId39">
              <w:r>
                <w:rPr>
                  <w:rFonts w:ascii="Times New Roman" w:cs="Times New Roman" w:eastAsia="Times New Roman" w:hAnsi="Times New Roman"/>
                  <w:sz w:val="17"/>
                  <w:szCs w:val="17"/>
                  <w:color w:val="0000FF"/>
                </w:rPr>
                <w:t>Agreement</w:t>
              </w:r>
            </w:hyperlink>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20" w:type="dxa"/>
            <w:vAlign w:val="bottom"/>
          </w:tcPr>
          <w:p>
            <w:pPr>
              <w:ind w:left="40"/>
              <w:spacing w:after="0" w:line="153" w:lineRule="exact"/>
              <w:rPr>
                <w:sz w:val="20"/>
                <w:szCs w:val="20"/>
                <w:color w:val="auto"/>
              </w:rPr>
            </w:pPr>
            <w:r>
              <w:rPr>
                <w:rFonts w:ascii="Times New Roman" w:cs="Times New Roman" w:eastAsia="Times New Roman" w:hAnsi="Times New Roman"/>
                <w:sz w:val="17"/>
                <w:szCs w:val="17"/>
                <w:color w:val="auto"/>
              </w:rPr>
              <w:t>Report on Form 8-K filed January 20,</w:t>
            </w:r>
          </w:p>
        </w:tc>
        <w:tc>
          <w:tcPr>
            <w:tcW w:w="2300" w:type="dxa"/>
            <w:vAlign w:val="bottom"/>
            <w:gridSpan w:val="2"/>
          </w:tcPr>
          <w:p>
            <w:pPr>
              <w:ind w:left="40"/>
              <w:spacing w:after="0" w:line="153" w:lineRule="exact"/>
              <w:rPr>
                <w:sz w:val="20"/>
                <w:szCs w:val="20"/>
                <w:color w:val="auto"/>
              </w:rPr>
            </w:pPr>
            <w:r>
              <w:rPr>
                <w:rFonts w:ascii="Times New Roman" w:cs="Times New Roman" w:eastAsia="Times New Roman" w:hAnsi="Times New Roman"/>
                <w:sz w:val="17"/>
                <w:szCs w:val="17"/>
                <w:color w:val="auto"/>
              </w:rPr>
              <w:t>File No. 1-36504</w:t>
            </w:r>
          </w:p>
        </w:tc>
        <w:tc>
          <w:tcPr>
            <w:tcW w:w="0" w:type="dxa"/>
            <w:vAlign w:val="bottom"/>
          </w:tcPr>
          <w:p>
            <w:pPr>
              <w:spacing w:after="0"/>
              <w:rPr>
                <w:sz w:val="1"/>
                <w:szCs w:val="1"/>
                <w:color w:val="auto"/>
              </w:rPr>
            </w:pPr>
          </w:p>
        </w:tc>
      </w:tr>
      <w:tr>
        <w:trPr>
          <w:trHeight w:val="206"/>
        </w:trPr>
        <w:tc>
          <w:tcPr>
            <w:tcW w:w="1420" w:type="dxa"/>
            <w:vAlign w:val="bottom"/>
          </w:tcPr>
          <w:p>
            <w:pPr>
              <w:spacing w:after="0"/>
              <w:rPr>
                <w:sz w:val="17"/>
                <w:szCs w:val="17"/>
                <w:color w:val="auto"/>
              </w:rPr>
            </w:pPr>
          </w:p>
        </w:tc>
        <w:tc>
          <w:tcPr>
            <w:tcW w:w="760" w:type="dxa"/>
            <w:vAlign w:val="bottom"/>
            <w:tcBorders>
              <w:top w:val="single" w:sz="8" w:color="0000FF"/>
            </w:tcBorders>
          </w:tcPr>
          <w:p>
            <w:pPr>
              <w:spacing w:after="0"/>
              <w:rPr>
                <w:sz w:val="17"/>
                <w:szCs w:val="17"/>
                <w:color w:val="auto"/>
              </w:rPr>
            </w:pP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20" w:type="dxa"/>
            <w:vAlign w:val="bottom"/>
          </w:tcPr>
          <w:p>
            <w:pPr>
              <w:ind w:left="40"/>
              <w:spacing w:after="0" w:line="206" w:lineRule="exact"/>
              <w:rPr>
                <w:sz w:val="20"/>
                <w:szCs w:val="20"/>
                <w:color w:val="auto"/>
              </w:rPr>
            </w:pPr>
            <w:r>
              <w:rPr>
                <w:rFonts w:ascii="Times New Roman" w:cs="Times New Roman" w:eastAsia="Times New Roman" w:hAnsi="Times New Roman"/>
                <w:sz w:val="18"/>
                <w:szCs w:val="18"/>
                <w:color w:val="auto"/>
              </w:rPr>
              <w:t>2022</w:t>
            </w:r>
          </w:p>
        </w:tc>
        <w:tc>
          <w:tcPr>
            <w:tcW w:w="1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1420" w:type="dxa"/>
            <w:vAlign w:val="bottom"/>
            <w:tcBorders>
              <w:right w:val="single" w:sz="8" w:color="CCEEFF"/>
            </w:tcBorders>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color w:val="auto"/>
              </w:rPr>
              <w:t>10.3</w:t>
            </w:r>
          </w:p>
        </w:tc>
        <w:tc>
          <w:tcPr>
            <w:tcW w:w="4700" w:type="dxa"/>
            <w:vAlign w:val="bottom"/>
            <w:tcBorders>
              <w:right w:val="single" w:sz="8" w:color="CCEEFF"/>
            </w:tcBorders>
            <w:gridSpan w:val="8"/>
            <w:shd w:val="clear" w:color="auto" w:fill="CCEEFF"/>
          </w:tcPr>
          <w:p>
            <w:pPr>
              <w:spacing w:after="0" w:line="186" w:lineRule="exact"/>
              <w:rPr>
                <w:rFonts w:ascii="Times New Roman" w:cs="Times New Roman" w:eastAsia="Times New Roman" w:hAnsi="Times New Roman"/>
                <w:sz w:val="18"/>
                <w:szCs w:val="18"/>
                <w:color w:val="0000FF"/>
              </w:rPr>
            </w:pPr>
            <w:hyperlink r:id="rId40">
              <w:r>
                <w:rPr>
                  <w:rFonts w:ascii="Times New Roman" w:cs="Times New Roman" w:eastAsia="Times New Roman" w:hAnsi="Times New Roman"/>
                  <w:sz w:val="18"/>
                  <w:szCs w:val="18"/>
                  <w:color w:val="0000FF"/>
                </w:rPr>
                <w:t>Form of Non-Executive Director Restricted Share Unit Award</w:t>
              </w:r>
            </w:hyperlink>
          </w:p>
        </w:tc>
        <w:tc>
          <w:tcPr>
            <w:tcW w:w="2820" w:type="dxa"/>
            <w:vAlign w:val="bottom"/>
            <w:shd w:val="clear" w:color="auto" w:fill="CCEEFF"/>
          </w:tcPr>
          <w:p>
            <w:pPr>
              <w:ind w:left="40"/>
              <w:spacing w:after="0" w:line="186" w:lineRule="exact"/>
              <w:rPr>
                <w:sz w:val="20"/>
                <w:szCs w:val="20"/>
                <w:color w:val="auto"/>
              </w:rPr>
            </w:pPr>
            <w:r>
              <w:rPr>
                <w:rFonts w:ascii="Times New Roman" w:cs="Times New Roman" w:eastAsia="Times New Roman" w:hAnsi="Times New Roman"/>
                <w:sz w:val="18"/>
                <w:szCs w:val="18"/>
                <w:color w:val="auto"/>
                <w:w w:val="97"/>
              </w:rPr>
              <w:t>Exhibit 10.3 of the Company’s Current</w:t>
            </w:r>
          </w:p>
        </w:tc>
        <w:tc>
          <w:tcPr>
            <w:tcW w:w="1740" w:type="dxa"/>
            <w:vAlign w:val="bottom"/>
            <w:shd w:val="clear" w:color="auto" w:fill="CCEEFF"/>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420" w:type="dxa"/>
            <w:vAlign w:val="bottom"/>
            <w:tcBorders>
              <w:top w:val="single" w:sz="8" w:color="CCEEFF"/>
              <w:right w:val="single" w:sz="8" w:color="CCEEFF"/>
            </w:tcBorders>
            <w:shd w:val="clear" w:color="auto" w:fill="CCEEFF"/>
          </w:tcPr>
          <w:p>
            <w:pPr>
              <w:spacing w:after="0"/>
              <w:rPr>
                <w:sz w:val="13"/>
                <w:szCs w:val="13"/>
                <w:color w:val="auto"/>
              </w:rPr>
            </w:pPr>
          </w:p>
        </w:tc>
        <w:tc>
          <w:tcPr>
            <w:tcW w:w="4380" w:type="dxa"/>
            <w:vAlign w:val="bottom"/>
            <w:tcBorders>
              <w:top w:val="single" w:sz="8" w:color="0000FF"/>
            </w:tcBorders>
            <w:gridSpan w:val="6"/>
            <w:shd w:val="clear" w:color="auto" w:fill="CCEEFF"/>
          </w:tcPr>
          <w:p>
            <w:pPr>
              <w:spacing w:after="0" w:line="153" w:lineRule="exact"/>
              <w:rPr>
                <w:rFonts w:ascii="Times New Roman" w:cs="Times New Roman" w:eastAsia="Times New Roman" w:hAnsi="Times New Roman"/>
                <w:sz w:val="17"/>
                <w:szCs w:val="17"/>
                <w:color w:val="0000FF"/>
              </w:rPr>
            </w:pPr>
            <w:hyperlink r:id="rId40">
              <w:r>
                <w:rPr>
                  <w:rFonts w:ascii="Times New Roman" w:cs="Times New Roman" w:eastAsia="Times New Roman" w:hAnsi="Times New Roman"/>
                  <w:sz w:val="17"/>
                  <w:szCs w:val="17"/>
                  <w:color w:val="0000FF"/>
                </w:rPr>
                <w:t>Agreement</w:t>
              </w:r>
            </w:hyperlink>
          </w:p>
        </w:tc>
        <w:tc>
          <w:tcPr>
            <w:tcW w:w="1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right w:val="single" w:sz="8" w:color="CCEEFF"/>
            </w:tcBorders>
            <w:shd w:val="clear" w:color="auto" w:fill="CCEEFF"/>
          </w:tcPr>
          <w:p>
            <w:pPr>
              <w:spacing w:after="0"/>
              <w:rPr>
                <w:sz w:val="13"/>
                <w:szCs w:val="13"/>
                <w:color w:val="auto"/>
              </w:rPr>
            </w:pPr>
          </w:p>
        </w:tc>
        <w:tc>
          <w:tcPr>
            <w:tcW w:w="2820" w:type="dxa"/>
            <w:vAlign w:val="bottom"/>
            <w:tcBorders>
              <w:top w:val="single" w:sz="8" w:color="CCEEFF"/>
            </w:tcBorders>
            <w:shd w:val="clear" w:color="auto" w:fill="CCEEFF"/>
          </w:tcPr>
          <w:p>
            <w:pPr>
              <w:ind w:left="40"/>
              <w:spacing w:after="0" w:line="153" w:lineRule="exact"/>
              <w:rPr>
                <w:sz w:val="20"/>
                <w:szCs w:val="20"/>
                <w:color w:val="auto"/>
              </w:rPr>
            </w:pPr>
            <w:r>
              <w:rPr>
                <w:rFonts w:ascii="Times New Roman" w:cs="Times New Roman" w:eastAsia="Times New Roman" w:hAnsi="Times New Roman"/>
                <w:sz w:val="17"/>
                <w:szCs w:val="17"/>
                <w:color w:val="auto"/>
              </w:rPr>
              <w:t>Report on Form 8-K filed January 20,</w:t>
            </w:r>
          </w:p>
        </w:tc>
        <w:tc>
          <w:tcPr>
            <w:tcW w:w="1740" w:type="dxa"/>
            <w:vAlign w:val="bottom"/>
            <w:tcBorders>
              <w:top w:val="single" w:sz="8" w:color="CCEEFF"/>
            </w:tcBorders>
            <w:shd w:val="clear" w:color="auto" w:fill="CCEEFF"/>
          </w:tcPr>
          <w:p>
            <w:pPr>
              <w:ind w:left="40"/>
              <w:spacing w:after="0" w:line="153" w:lineRule="exact"/>
              <w:rPr>
                <w:sz w:val="20"/>
                <w:szCs w:val="20"/>
                <w:color w:val="auto"/>
              </w:rPr>
            </w:pPr>
            <w:r>
              <w:rPr>
                <w:rFonts w:ascii="Times New Roman" w:cs="Times New Roman" w:eastAsia="Times New Roman" w:hAnsi="Times New Roman"/>
                <w:sz w:val="17"/>
                <w:szCs w:val="17"/>
                <w:color w:val="auto"/>
              </w:rPr>
              <w:t>File No. 1-36504</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1420" w:type="dxa"/>
            <w:vAlign w:val="bottom"/>
            <w:tcBorders>
              <w:top w:val="single" w:sz="8" w:color="CCEEFF"/>
              <w:right w:val="single" w:sz="8" w:color="CCEEFF"/>
            </w:tcBorders>
            <w:shd w:val="clear" w:color="auto" w:fill="CCEEFF"/>
          </w:tcPr>
          <w:p>
            <w:pPr>
              <w:spacing w:after="0"/>
              <w:rPr>
                <w:sz w:val="17"/>
                <w:szCs w:val="17"/>
                <w:color w:val="auto"/>
              </w:rPr>
            </w:pPr>
          </w:p>
        </w:tc>
        <w:tc>
          <w:tcPr>
            <w:tcW w:w="760" w:type="dxa"/>
            <w:vAlign w:val="bottom"/>
            <w:tcBorders>
              <w:top w:val="single" w:sz="8" w:color="0000FF"/>
            </w:tcBorders>
            <w:shd w:val="clear" w:color="auto" w:fill="CCEEFF"/>
          </w:tcPr>
          <w:p>
            <w:pPr>
              <w:spacing w:after="0"/>
              <w:rPr>
                <w:sz w:val="17"/>
                <w:szCs w:val="17"/>
                <w:color w:val="auto"/>
              </w:rPr>
            </w:pPr>
          </w:p>
        </w:tc>
        <w:tc>
          <w:tcPr>
            <w:tcW w:w="15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2820" w:type="dxa"/>
            <w:vAlign w:val="bottom"/>
            <w:tcBorders>
              <w:top w:val="single" w:sz="8" w:color="CCEEFF"/>
            </w:tcBorders>
            <w:shd w:val="clear" w:color="auto" w:fill="CCEEFF"/>
          </w:tcPr>
          <w:p>
            <w:pPr>
              <w:ind w:left="40"/>
              <w:spacing w:after="0" w:line="206" w:lineRule="exact"/>
              <w:rPr>
                <w:sz w:val="20"/>
                <w:szCs w:val="20"/>
                <w:color w:val="auto"/>
              </w:rPr>
            </w:pPr>
            <w:r>
              <w:rPr>
                <w:rFonts w:ascii="Times New Roman" w:cs="Times New Roman" w:eastAsia="Times New Roman" w:hAnsi="Times New Roman"/>
                <w:sz w:val="18"/>
                <w:szCs w:val="18"/>
                <w:color w:val="auto"/>
              </w:rPr>
              <w:t>2022</w:t>
            </w:r>
          </w:p>
        </w:tc>
        <w:tc>
          <w:tcPr>
            <w:tcW w:w="1740" w:type="dxa"/>
            <w:vAlign w:val="bottom"/>
            <w:tcBorders>
              <w:top w:val="single" w:sz="8" w:color="CCEEFF"/>
            </w:tcBorders>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142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†31.1</w:t>
            </w:r>
          </w:p>
        </w:tc>
        <w:tc>
          <w:tcPr>
            <w:tcW w:w="4700" w:type="dxa"/>
            <w:vAlign w:val="bottom"/>
            <w:gridSpan w:val="8"/>
          </w:tcPr>
          <w:p>
            <w:pPr>
              <w:spacing w:after="0" w:line="186" w:lineRule="exact"/>
              <w:rPr>
                <w:sz w:val="20"/>
                <w:szCs w:val="20"/>
                <w:color w:val="auto"/>
              </w:rPr>
            </w:pPr>
            <w:r>
              <w:rPr>
                <w:rFonts w:ascii="Times New Roman" w:cs="Times New Roman" w:eastAsia="Times New Roman" w:hAnsi="Times New Roman"/>
                <w:sz w:val="18"/>
                <w:szCs w:val="18"/>
                <w:color w:val="0000FF"/>
              </w:rPr>
              <w:t>Certification of Chief Executive Officer pursuant to Section 302</w:t>
            </w:r>
          </w:p>
        </w:tc>
        <w:tc>
          <w:tcPr>
            <w:tcW w:w="2820" w:type="dxa"/>
            <w:vAlign w:val="bottom"/>
          </w:tcPr>
          <w:p>
            <w:pPr>
              <w:spacing w:after="0"/>
              <w:rPr>
                <w:sz w:val="16"/>
                <w:szCs w:val="16"/>
                <w:color w:val="auto"/>
              </w:rPr>
            </w:pPr>
          </w:p>
        </w:tc>
        <w:tc>
          <w:tcPr>
            <w:tcW w:w="2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File No. 1-36504</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3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1420" w:type="dxa"/>
            <w:vAlign w:val="bottom"/>
          </w:tcPr>
          <w:p>
            <w:pPr>
              <w:spacing w:after="0"/>
              <w:rPr>
                <w:sz w:val="8"/>
                <w:szCs w:val="8"/>
                <w:color w:val="auto"/>
              </w:rPr>
            </w:pPr>
          </w:p>
        </w:tc>
        <w:tc>
          <w:tcPr>
            <w:tcW w:w="4700" w:type="dxa"/>
            <w:vAlign w:val="bottom"/>
            <w:gridSpan w:val="8"/>
            <w:vMerge w:val="restart"/>
          </w:tcPr>
          <w:p>
            <w:pPr>
              <w:spacing w:after="0" w:line="153" w:lineRule="exact"/>
              <w:rPr>
                <w:sz w:val="20"/>
                <w:szCs w:val="20"/>
                <w:color w:val="auto"/>
              </w:rPr>
            </w:pPr>
            <w:r>
              <w:rPr>
                <w:rFonts w:ascii="Times New Roman" w:cs="Times New Roman" w:eastAsia="Times New Roman" w:hAnsi="Times New Roman"/>
                <w:sz w:val="17"/>
                <w:szCs w:val="17"/>
                <w:color w:val="0000FF"/>
              </w:rPr>
              <w:t>of the Sarbanes-Oxley Act of 2002.</w:t>
            </w:r>
          </w:p>
        </w:tc>
        <w:tc>
          <w:tcPr>
            <w:tcW w:w="2820" w:type="dxa"/>
            <w:vAlign w:val="bottom"/>
          </w:tcPr>
          <w:p>
            <w:pPr>
              <w:spacing w:after="0"/>
              <w:rPr>
                <w:sz w:val="8"/>
                <w:szCs w:val="8"/>
                <w:color w:val="auto"/>
              </w:rPr>
            </w:pPr>
          </w:p>
        </w:tc>
        <w:tc>
          <w:tcPr>
            <w:tcW w:w="2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1420" w:type="dxa"/>
            <w:vAlign w:val="bottom"/>
          </w:tcPr>
          <w:p>
            <w:pPr>
              <w:spacing w:after="0"/>
              <w:rPr>
                <w:sz w:val="4"/>
                <w:szCs w:val="4"/>
                <w:color w:val="auto"/>
              </w:rPr>
            </w:pPr>
          </w:p>
        </w:tc>
        <w:tc>
          <w:tcPr>
            <w:tcW w:w="4700" w:type="dxa"/>
            <w:vAlign w:val="bottom"/>
            <w:gridSpan w:val="8"/>
            <w:vMerge w:val="continue"/>
          </w:tcPr>
          <w:p>
            <w:pPr>
              <w:spacing w:after="0"/>
              <w:rPr>
                <w:sz w:val="4"/>
                <w:szCs w:val="4"/>
                <w:color w:val="auto"/>
              </w:rPr>
            </w:pPr>
          </w:p>
        </w:tc>
        <w:tc>
          <w:tcPr>
            <w:tcW w:w="2820" w:type="dxa"/>
            <w:vAlign w:val="bottom"/>
          </w:tcPr>
          <w:p>
            <w:pPr>
              <w:spacing w:after="0"/>
              <w:rPr>
                <w:sz w:val="4"/>
                <w:szCs w:val="4"/>
                <w:color w:val="auto"/>
              </w:rPr>
            </w:pPr>
          </w:p>
        </w:tc>
        <w:tc>
          <w:tcPr>
            <w:tcW w:w="1740" w:type="dxa"/>
            <w:vAlign w:val="bottom"/>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1420" w:type="dxa"/>
            <w:vAlign w:val="bottom"/>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15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1420" w:type="dxa"/>
            <w:vAlign w:val="bottom"/>
            <w:tcBorders>
              <w:right w:val="single" w:sz="8" w:color="CCEEFF"/>
            </w:tcBorders>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color w:val="auto"/>
              </w:rPr>
              <w:t>†31.2</w:t>
            </w:r>
          </w:p>
        </w:tc>
        <w:tc>
          <w:tcPr>
            <w:tcW w:w="4700" w:type="dxa"/>
            <w:vAlign w:val="bottom"/>
            <w:tcBorders>
              <w:right w:val="single" w:sz="8" w:color="CCEEFF"/>
            </w:tcBorders>
            <w:gridSpan w:val="8"/>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0000FF"/>
                <w:w w:val="97"/>
              </w:rPr>
              <w:t>Certification of Chief Financial Officer pursuant to Section 302 of</w:t>
            </w:r>
          </w:p>
        </w:tc>
        <w:tc>
          <w:tcPr>
            <w:tcW w:w="2820" w:type="dxa"/>
            <w:vAlign w:val="bottom"/>
            <w:shd w:val="clear" w:color="auto" w:fill="CCEEFF"/>
          </w:tcPr>
          <w:p>
            <w:pPr>
              <w:spacing w:after="0"/>
              <w:rPr>
                <w:sz w:val="16"/>
                <w:szCs w:val="16"/>
                <w:color w:val="auto"/>
              </w:rPr>
            </w:pPr>
          </w:p>
        </w:tc>
        <w:tc>
          <w:tcPr>
            <w:tcW w:w="174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File No. 1-36504</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20" w:type="dxa"/>
            <w:vAlign w:val="bottom"/>
            <w:tcBorders>
              <w:right w:val="single" w:sz="8" w:color="CCEEFF"/>
            </w:tcBorders>
            <w:shd w:val="clear" w:color="auto" w:fill="CCEE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right w:val="single" w:sz="8" w:color="CCEEFF"/>
            </w:tcBorders>
            <w:shd w:val="clear" w:color="auto" w:fill="0000FF"/>
          </w:tcPr>
          <w:p>
            <w:pPr>
              <w:spacing w:after="0" w:line="20" w:lineRule="exact"/>
              <w:rPr>
                <w:sz w:val="1"/>
                <w:szCs w:val="1"/>
                <w:color w:val="auto"/>
              </w:rPr>
            </w:pPr>
          </w:p>
        </w:tc>
        <w:tc>
          <w:tcPr>
            <w:tcW w:w="2820" w:type="dxa"/>
            <w:vAlign w:val="bottom"/>
            <w:shd w:val="clear" w:color="auto" w:fill="CCEEFF"/>
          </w:tcPr>
          <w:p>
            <w:pPr>
              <w:spacing w:after="0" w:line="20" w:lineRule="exact"/>
              <w:rPr>
                <w:sz w:val="1"/>
                <w:szCs w:val="1"/>
                <w:color w:val="auto"/>
              </w:rPr>
            </w:pPr>
          </w:p>
        </w:tc>
        <w:tc>
          <w:tcPr>
            <w:tcW w:w="1740" w:type="dxa"/>
            <w:vAlign w:val="bottom"/>
            <w:vMerge w:val="continue"/>
            <w:shd w:val="clear" w:color="auto" w:fill="CCEE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1420" w:type="dxa"/>
            <w:vAlign w:val="bottom"/>
            <w:tcBorders>
              <w:right w:val="single" w:sz="8" w:color="CCEEFF"/>
            </w:tcBorders>
            <w:shd w:val="clear" w:color="auto" w:fill="CCEEFF"/>
          </w:tcPr>
          <w:p>
            <w:pPr>
              <w:spacing w:after="0"/>
              <w:rPr>
                <w:sz w:val="8"/>
                <w:szCs w:val="8"/>
                <w:color w:val="auto"/>
              </w:rPr>
            </w:pPr>
          </w:p>
        </w:tc>
        <w:tc>
          <w:tcPr>
            <w:tcW w:w="4700" w:type="dxa"/>
            <w:vAlign w:val="bottom"/>
            <w:tcBorders>
              <w:right w:val="single" w:sz="8" w:color="CCEEFF"/>
            </w:tcBorders>
            <w:gridSpan w:val="8"/>
            <w:vMerge w:val="restart"/>
            <w:shd w:val="clear" w:color="auto" w:fill="CCEEFF"/>
          </w:tcPr>
          <w:p>
            <w:pPr>
              <w:spacing w:after="0" w:line="153" w:lineRule="exact"/>
              <w:rPr>
                <w:sz w:val="20"/>
                <w:szCs w:val="20"/>
                <w:color w:val="auto"/>
              </w:rPr>
            </w:pPr>
            <w:r>
              <w:rPr>
                <w:rFonts w:ascii="Times New Roman" w:cs="Times New Roman" w:eastAsia="Times New Roman" w:hAnsi="Times New Roman"/>
                <w:sz w:val="17"/>
                <w:szCs w:val="17"/>
                <w:color w:val="0000FF"/>
              </w:rPr>
              <w:t>the Sarbanes-Oxley Act of 2002.</w:t>
            </w:r>
          </w:p>
        </w:tc>
        <w:tc>
          <w:tcPr>
            <w:tcW w:w="2820" w:type="dxa"/>
            <w:vAlign w:val="bottom"/>
            <w:shd w:val="clear" w:color="auto" w:fill="CCEEFF"/>
          </w:tcPr>
          <w:p>
            <w:pPr>
              <w:spacing w:after="0"/>
              <w:rPr>
                <w:sz w:val="8"/>
                <w:szCs w:val="8"/>
                <w:color w:val="auto"/>
              </w:rPr>
            </w:pPr>
          </w:p>
        </w:tc>
        <w:tc>
          <w:tcPr>
            <w:tcW w:w="1740" w:type="dxa"/>
            <w:vAlign w:val="bottom"/>
            <w:vMerge w:val="continue"/>
            <w:shd w:val="clear" w:color="auto" w:fill="CCEEFF"/>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1420" w:type="dxa"/>
            <w:vAlign w:val="bottom"/>
            <w:tcBorders>
              <w:right w:val="single" w:sz="8" w:color="CCEEFF"/>
            </w:tcBorders>
            <w:shd w:val="clear" w:color="auto" w:fill="CCEEFF"/>
          </w:tcPr>
          <w:p>
            <w:pPr>
              <w:spacing w:after="0"/>
              <w:rPr>
                <w:sz w:val="4"/>
                <w:szCs w:val="4"/>
                <w:color w:val="auto"/>
              </w:rPr>
            </w:pPr>
          </w:p>
        </w:tc>
        <w:tc>
          <w:tcPr>
            <w:tcW w:w="4700" w:type="dxa"/>
            <w:vAlign w:val="bottom"/>
            <w:tcBorders>
              <w:right w:val="single" w:sz="8" w:color="CCEEFF"/>
            </w:tcBorders>
            <w:gridSpan w:val="8"/>
            <w:vMerge w:val="continue"/>
            <w:shd w:val="clear" w:color="auto" w:fill="CCEEFF"/>
          </w:tcPr>
          <w:p>
            <w:pPr>
              <w:spacing w:after="0"/>
              <w:rPr>
                <w:sz w:val="4"/>
                <w:szCs w:val="4"/>
                <w:color w:val="auto"/>
              </w:rPr>
            </w:pPr>
          </w:p>
        </w:tc>
        <w:tc>
          <w:tcPr>
            <w:tcW w:w="2820" w:type="dxa"/>
            <w:vAlign w:val="bottom"/>
            <w:shd w:val="clear" w:color="auto" w:fill="CCEEFF"/>
          </w:tcPr>
          <w:p>
            <w:pPr>
              <w:spacing w:after="0"/>
              <w:rPr>
                <w:sz w:val="4"/>
                <w:szCs w:val="4"/>
                <w:color w:val="auto"/>
              </w:rPr>
            </w:pPr>
          </w:p>
        </w:tc>
        <w:tc>
          <w:tcPr>
            <w:tcW w:w="1740" w:type="dxa"/>
            <w:vAlign w:val="bottom"/>
            <w:shd w:val="clear" w:color="auto" w:fill="CCEEFF"/>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1420" w:type="dxa"/>
            <w:vAlign w:val="bottom"/>
            <w:tcBorders>
              <w:top w:val="single" w:sz="8" w:color="CCEEFF"/>
              <w:right w:val="single" w:sz="8" w:color="CCEEFF"/>
            </w:tcBorders>
            <w:shd w:val="clear" w:color="auto" w:fill="CCEEFF"/>
          </w:tcPr>
          <w:p>
            <w:pPr>
              <w:spacing w:after="0"/>
              <w:rPr>
                <w:sz w:val="2"/>
                <w:szCs w:val="2"/>
                <w:color w:val="auto"/>
              </w:rPr>
            </w:pPr>
          </w:p>
        </w:tc>
        <w:tc>
          <w:tcPr>
            <w:tcW w:w="760" w:type="dxa"/>
            <w:vAlign w:val="bottom"/>
            <w:tcBorders>
              <w:top w:val="single" w:sz="8" w:color="0000FF"/>
            </w:tcBorders>
            <w:shd w:val="clear" w:color="auto" w:fill="CCEEFF"/>
          </w:tcPr>
          <w:p>
            <w:pPr>
              <w:spacing w:after="0"/>
              <w:rPr>
                <w:sz w:val="2"/>
                <w:szCs w:val="2"/>
                <w:color w:val="auto"/>
              </w:rPr>
            </w:pPr>
          </w:p>
        </w:tc>
        <w:tc>
          <w:tcPr>
            <w:tcW w:w="154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right w:val="single" w:sz="8" w:color="CCEEFF"/>
            </w:tcBorders>
            <w:shd w:val="clear" w:color="auto" w:fill="CCEEFF"/>
          </w:tcPr>
          <w:p>
            <w:pPr>
              <w:spacing w:after="0"/>
              <w:rPr>
                <w:sz w:val="2"/>
                <w:szCs w:val="2"/>
                <w:color w:val="auto"/>
              </w:rPr>
            </w:pPr>
          </w:p>
        </w:tc>
        <w:tc>
          <w:tcPr>
            <w:tcW w:w="2820" w:type="dxa"/>
            <w:vAlign w:val="bottom"/>
            <w:tcBorders>
              <w:top w:val="single" w:sz="8" w:color="CCEEFF"/>
            </w:tcBorders>
            <w:shd w:val="clear" w:color="auto" w:fill="CCEEFF"/>
          </w:tcPr>
          <w:p>
            <w:pPr>
              <w:spacing w:after="0"/>
              <w:rPr>
                <w:sz w:val="2"/>
                <w:szCs w:val="2"/>
                <w:color w:val="auto"/>
              </w:rPr>
            </w:pPr>
          </w:p>
        </w:tc>
        <w:tc>
          <w:tcPr>
            <w:tcW w:w="1740" w:type="dxa"/>
            <w:vAlign w:val="bottom"/>
            <w:tcBorders>
              <w:top w:val="single" w:sz="8" w:color="CCEEFF"/>
            </w:tcBorders>
            <w:shd w:val="clear" w:color="auto" w:fill="CCEEFF"/>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142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††32.1</w:t>
            </w:r>
          </w:p>
        </w:tc>
        <w:tc>
          <w:tcPr>
            <w:tcW w:w="4700" w:type="dxa"/>
            <w:vAlign w:val="bottom"/>
            <w:gridSpan w:val="8"/>
          </w:tcPr>
          <w:p>
            <w:pPr>
              <w:spacing w:after="0" w:line="186" w:lineRule="exact"/>
              <w:rPr>
                <w:sz w:val="20"/>
                <w:szCs w:val="20"/>
                <w:color w:val="auto"/>
              </w:rPr>
            </w:pPr>
            <w:r>
              <w:rPr>
                <w:rFonts w:ascii="Times New Roman" w:cs="Times New Roman" w:eastAsia="Times New Roman" w:hAnsi="Times New Roman"/>
                <w:sz w:val="18"/>
                <w:szCs w:val="18"/>
                <w:color w:val="0000FF"/>
              </w:rPr>
              <w:t>Certification of Chief Executive Officer pursuant to Section 906</w:t>
            </w:r>
          </w:p>
        </w:tc>
        <w:tc>
          <w:tcPr>
            <w:tcW w:w="2820" w:type="dxa"/>
            <w:vAlign w:val="bottom"/>
          </w:tcPr>
          <w:p>
            <w:pPr>
              <w:spacing w:after="0"/>
              <w:rPr>
                <w:sz w:val="16"/>
                <w:szCs w:val="16"/>
                <w:color w:val="auto"/>
              </w:rPr>
            </w:pPr>
          </w:p>
        </w:tc>
        <w:tc>
          <w:tcPr>
            <w:tcW w:w="2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File No. 1-36504</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3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1420" w:type="dxa"/>
            <w:vAlign w:val="bottom"/>
          </w:tcPr>
          <w:p>
            <w:pPr>
              <w:spacing w:after="0"/>
              <w:rPr>
                <w:sz w:val="8"/>
                <w:szCs w:val="8"/>
                <w:color w:val="auto"/>
              </w:rPr>
            </w:pPr>
          </w:p>
        </w:tc>
        <w:tc>
          <w:tcPr>
            <w:tcW w:w="4700" w:type="dxa"/>
            <w:vAlign w:val="bottom"/>
            <w:gridSpan w:val="8"/>
            <w:vMerge w:val="restart"/>
          </w:tcPr>
          <w:p>
            <w:pPr>
              <w:spacing w:after="0" w:line="153" w:lineRule="exact"/>
              <w:rPr>
                <w:sz w:val="20"/>
                <w:szCs w:val="20"/>
                <w:color w:val="auto"/>
              </w:rPr>
            </w:pPr>
            <w:r>
              <w:rPr>
                <w:rFonts w:ascii="Times New Roman" w:cs="Times New Roman" w:eastAsia="Times New Roman" w:hAnsi="Times New Roman"/>
                <w:sz w:val="17"/>
                <w:szCs w:val="17"/>
                <w:color w:val="0000FF"/>
              </w:rPr>
              <w:t>of the Sarbanes-Oxley Act of 2002.</w:t>
            </w:r>
          </w:p>
        </w:tc>
        <w:tc>
          <w:tcPr>
            <w:tcW w:w="2820" w:type="dxa"/>
            <w:vAlign w:val="bottom"/>
          </w:tcPr>
          <w:p>
            <w:pPr>
              <w:spacing w:after="0"/>
              <w:rPr>
                <w:sz w:val="8"/>
                <w:szCs w:val="8"/>
                <w:color w:val="auto"/>
              </w:rPr>
            </w:pPr>
          </w:p>
        </w:tc>
        <w:tc>
          <w:tcPr>
            <w:tcW w:w="2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1420" w:type="dxa"/>
            <w:vAlign w:val="bottom"/>
          </w:tcPr>
          <w:p>
            <w:pPr>
              <w:spacing w:after="0"/>
              <w:rPr>
                <w:sz w:val="4"/>
                <w:szCs w:val="4"/>
                <w:color w:val="auto"/>
              </w:rPr>
            </w:pPr>
          </w:p>
        </w:tc>
        <w:tc>
          <w:tcPr>
            <w:tcW w:w="4700" w:type="dxa"/>
            <w:vAlign w:val="bottom"/>
            <w:gridSpan w:val="8"/>
            <w:vMerge w:val="continue"/>
          </w:tcPr>
          <w:p>
            <w:pPr>
              <w:spacing w:after="0"/>
              <w:rPr>
                <w:sz w:val="4"/>
                <w:szCs w:val="4"/>
                <w:color w:val="auto"/>
              </w:rPr>
            </w:pPr>
          </w:p>
        </w:tc>
        <w:tc>
          <w:tcPr>
            <w:tcW w:w="2820" w:type="dxa"/>
            <w:vAlign w:val="bottom"/>
          </w:tcPr>
          <w:p>
            <w:pPr>
              <w:spacing w:after="0"/>
              <w:rPr>
                <w:sz w:val="4"/>
                <w:szCs w:val="4"/>
                <w:color w:val="auto"/>
              </w:rPr>
            </w:pPr>
          </w:p>
        </w:tc>
        <w:tc>
          <w:tcPr>
            <w:tcW w:w="1740" w:type="dxa"/>
            <w:vAlign w:val="bottom"/>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1420" w:type="dxa"/>
            <w:vAlign w:val="bottom"/>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15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1420" w:type="dxa"/>
            <w:vAlign w:val="bottom"/>
            <w:tcBorders>
              <w:right w:val="single" w:sz="8" w:color="CCEEFF"/>
            </w:tcBorders>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color w:val="auto"/>
              </w:rPr>
              <w:t>††32.2</w:t>
            </w:r>
          </w:p>
        </w:tc>
        <w:tc>
          <w:tcPr>
            <w:tcW w:w="4700" w:type="dxa"/>
            <w:vAlign w:val="bottom"/>
            <w:tcBorders>
              <w:right w:val="single" w:sz="8" w:color="CCEEFF"/>
            </w:tcBorders>
            <w:gridSpan w:val="8"/>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0000FF"/>
                <w:w w:val="97"/>
              </w:rPr>
              <w:t>Certification of Chief Financial Officer pursuant to Section 906 of</w:t>
            </w:r>
          </w:p>
        </w:tc>
        <w:tc>
          <w:tcPr>
            <w:tcW w:w="2820" w:type="dxa"/>
            <w:vAlign w:val="bottom"/>
            <w:shd w:val="clear" w:color="auto" w:fill="CCEEFF"/>
          </w:tcPr>
          <w:p>
            <w:pPr>
              <w:spacing w:after="0"/>
              <w:rPr>
                <w:sz w:val="16"/>
                <w:szCs w:val="16"/>
                <w:color w:val="auto"/>
              </w:rPr>
            </w:pPr>
          </w:p>
        </w:tc>
        <w:tc>
          <w:tcPr>
            <w:tcW w:w="174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File No. 1-36504</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20" w:type="dxa"/>
            <w:vAlign w:val="bottom"/>
            <w:tcBorders>
              <w:right w:val="single" w:sz="8" w:color="CCEEFF"/>
            </w:tcBorders>
            <w:shd w:val="clear" w:color="auto" w:fill="CCEE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right w:val="single" w:sz="8" w:color="CCEEFF"/>
            </w:tcBorders>
            <w:shd w:val="clear" w:color="auto" w:fill="0000FF"/>
          </w:tcPr>
          <w:p>
            <w:pPr>
              <w:spacing w:after="0" w:line="20" w:lineRule="exact"/>
              <w:rPr>
                <w:sz w:val="1"/>
                <w:szCs w:val="1"/>
                <w:color w:val="auto"/>
              </w:rPr>
            </w:pPr>
          </w:p>
        </w:tc>
        <w:tc>
          <w:tcPr>
            <w:tcW w:w="2820" w:type="dxa"/>
            <w:vAlign w:val="bottom"/>
            <w:shd w:val="clear" w:color="auto" w:fill="CCEEFF"/>
          </w:tcPr>
          <w:p>
            <w:pPr>
              <w:spacing w:after="0" w:line="20" w:lineRule="exact"/>
              <w:rPr>
                <w:sz w:val="1"/>
                <w:szCs w:val="1"/>
                <w:color w:val="auto"/>
              </w:rPr>
            </w:pPr>
          </w:p>
        </w:tc>
        <w:tc>
          <w:tcPr>
            <w:tcW w:w="1740" w:type="dxa"/>
            <w:vAlign w:val="bottom"/>
            <w:vMerge w:val="continue"/>
            <w:shd w:val="clear" w:color="auto" w:fill="CCEE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1420" w:type="dxa"/>
            <w:vAlign w:val="bottom"/>
            <w:tcBorders>
              <w:right w:val="single" w:sz="8" w:color="CCEEFF"/>
            </w:tcBorders>
            <w:shd w:val="clear" w:color="auto" w:fill="CCEEFF"/>
          </w:tcPr>
          <w:p>
            <w:pPr>
              <w:spacing w:after="0"/>
              <w:rPr>
                <w:sz w:val="8"/>
                <w:szCs w:val="8"/>
                <w:color w:val="auto"/>
              </w:rPr>
            </w:pPr>
          </w:p>
        </w:tc>
        <w:tc>
          <w:tcPr>
            <w:tcW w:w="4700" w:type="dxa"/>
            <w:vAlign w:val="bottom"/>
            <w:tcBorders>
              <w:right w:val="single" w:sz="8" w:color="CCEEFF"/>
            </w:tcBorders>
            <w:gridSpan w:val="8"/>
            <w:vMerge w:val="restart"/>
            <w:shd w:val="clear" w:color="auto" w:fill="CCEEFF"/>
          </w:tcPr>
          <w:p>
            <w:pPr>
              <w:spacing w:after="0" w:line="153" w:lineRule="exact"/>
              <w:rPr>
                <w:sz w:val="20"/>
                <w:szCs w:val="20"/>
                <w:color w:val="auto"/>
              </w:rPr>
            </w:pPr>
            <w:r>
              <w:rPr>
                <w:rFonts w:ascii="Times New Roman" w:cs="Times New Roman" w:eastAsia="Times New Roman" w:hAnsi="Times New Roman"/>
                <w:sz w:val="17"/>
                <w:szCs w:val="17"/>
                <w:color w:val="0000FF"/>
              </w:rPr>
              <w:t>the Sarbanes-Oxley Act of 2002.</w:t>
            </w:r>
          </w:p>
        </w:tc>
        <w:tc>
          <w:tcPr>
            <w:tcW w:w="2820" w:type="dxa"/>
            <w:vAlign w:val="bottom"/>
            <w:shd w:val="clear" w:color="auto" w:fill="CCEEFF"/>
          </w:tcPr>
          <w:p>
            <w:pPr>
              <w:spacing w:after="0"/>
              <w:rPr>
                <w:sz w:val="8"/>
                <w:szCs w:val="8"/>
                <w:color w:val="auto"/>
              </w:rPr>
            </w:pPr>
          </w:p>
        </w:tc>
        <w:tc>
          <w:tcPr>
            <w:tcW w:w="1740" w:type="dxa"/>
            <w:vAlign w:val="bottom"/>
            <w:vMerge w:val="continue"/>
            <w:shd w:val="clear" w:color="auto" w:fill="CCEEFF"/>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1420" w:type="dxa"/>
            <w:vAlign w:val="bottom"/>
            <w:tcBorders>
              <w:right w:val="single" w:sz="8" w:color="CCEEFF"/>
            </w:tcBorders>
            <w:shd w:val="clear" w:color="auto" w:fill="CCEEFF"/>
          </w:tcPr>
          <w:p>
            <w:pPr>
              <w:spacing w:after="0"/>
              <w:rPr>
                <w:sz w:val="4"/>
                <w:szCs w:val="4"/>
                <w:color w:val="auto"/>
              </w:rPr>
            </w:pPr>
          </w:p>
        </w:tc>
        <w:tc>
          <w:tcPr>
            <w:tcW w:w="4700" w:type="dxa"/>
            <w:vAlign w:val="bottom"/>
            <w:tcBorders>
              <w:right w:val="single" w:sz="8" w:color="CCEEFF"/>
            </w:tcBorders>
            <w:gridSpan w:val="8"/>
            <w:vMerge w:val="continue"/>
            <w:shd w:val="clear" w:color="auto" w:fill="CCEEFF"/>
          </w:tcPr>
          <w:p>
            <w:pPr>
              <w:spacing w:after="0"/>
              <w:rPr>
                <w:sz w:val="4"/>
                <w:szCs w:val="4"/>
                <w:color w:val="auto"/>
              </w:rPr>
            </w:pPr>
          </w:p>
        </w:tc>
        <w:tc>
          <w:tcPr>
            <w:tcW w:w="2820" w:type="dxa"/>
            <w:vAlign w:val="bottom"/>
            <w:shd w:val="clear" w:color="auto" w:fill="CCEEFF"/>
          </w:tcPr>
          <w:p>
            <w:pPr>
              <w:spacing w:after="0"/>
              <w:rPr>
                <w:sz w:val="4"/>
                <w:szCs w:val="4"/>
                <w:color w:val="auto"/>
              </w:rPr>
            </w:pPr>
          </w:p>
        </w:tc>
        <w:tc>
          <w:tcPr>
            <w:tcW w:w="1740" w:type="dxa"/>
            <w:vAlign w:val="bottom"/>
            <w:shd w:val="clear" w:color="auto" w:fill="CCEEFF"/>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1420" w:type="dxa"/>
            <w:vAlign w:val="bottom"/>
            <w:tcBorders>
              <w:top w:val="single" w:sz="8" w:color="CCEEFF"/>
              <w:right w:val="single" w:sz="8" w:color="CCEEFF"/>
            </w:tcBorders>
            <w:shd w:val="clear" w:color="auto" w:fill="CCEEFF"/>
          </w:tcPr>
          <w:p>
            <w:pPr>
              <w:spacing w:after="0"/>
              <w:rPr>
                <w:sz w:val="2"/>
                <w:szCs w:val="2"/>
                <w:color w:val="auto"/>
              </w:rPr>
            </w:pPr>
          </w:p>
        </w:tc>
        <w:tc>
          <w:tcPr>
            <w:tcW w:w="760" w:type="dxa"/>
            <w:vAlign w:val="bottom"/>
            <w:tcBorders>
              <w:top w:val="single" w:sz="8" w:color="0000FF"/>
            </w:tcBorders>
            <w:shd w:val="clear" w:color="auto" w:fill="CCEEFF"/>
          </w:tcPr>
          <w:p>
            <w:pPr>
              <w:spacing w:after="0"/>
              <w:rPr>
                <w:sz w:val="2"/>
                <w:szCs w:val="2"/>
                <w:color w:val="auto"/>
              </w:rPr>
            </w:pPr>
          </w:p>
        </w:tc>
        <w:tc>
          <w:tcPr>
            <w:tcW w:w="154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right w:val="single" w:sz="8" w:color="CCEEFF"/>
            </w:tcBorders>
            <w:shd w:val="clear" w:color="auto" w:fill="CCEEFF"/>
          </w:tcPr>
          <w:p>
            <w:pPr>
              <w:spacing w:after="0"/>
              <w:rPr>
                <w:sz w:val="2"/>
                <w:szCs w:val="2"/>
                <w:color w:val="auto"/>
              </w:rPr>
            </w:pPr>
          </w:p>
        </w:tc>
        <w:tc>
          <w:tcPr>
            <w:tcW w:w="2820" w:type="dxa"/>
            <w:vAlign w:val="bottom"/>
            <w:tcBorders>
              <w:top w:val="single" w:sz="8" w:color="CCEEFF"/>
            </w:tcBorders>
            <w:shd w:val="clear" w:color="auto" w:fill="CCEEFF"/>
          </w:tcPr>
          <w:p>
            <w:pPr>
              <w:spacing w:after="0"/>
              <w:rPr>
                <w:sz w:val="2"/>
                <w:szCs w:val="2"/>
                <w:color w:val="auto"/>
              </w:rPr>
            </w:pPr>
          </w:p>
        </w:tc>
        <w:tc>
          <w:tcPr>
            <w:tcW w:w="1740" w:type="dxa"/>
            <w:vAlign w:val="bottom"/>
            <w:tcBorders>
              <w:top w:val="single" w:sz="8" w:color="CCEEFF"/>
            </w:tcBorders>
            <w:shd w:val="clear" w:color="auto" w:fill="CCEEFF"/>
          </w:tcPr>
          <w:p>
            <w:pPr>
              <w:spacing w:after="0"/>
              <w:rPr>
                <w:sz w:val="2"/>
                <w:szCs w:val="2"/>
                <w:color w:val="auto"/>
              </w:rPr>
            </w:pPr>
          </w:p>
        </w:tc>
        <w:tc>
          <w:tcPr>
            <w:tcW w:w="5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142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color w:val="auto"/>
              </w:rPr>
              <w:t>†101.INS</w:t>
            </w:r>
          </w:p>
        </w:tc>
        <w:tc>
          <w:tcPr>
            <w:tcW w:w="9260" w:type="dxa"/>
            <w:vAlign w:val="bottom"/>
            <w:gridSpan w:val="10"/>
          </w:tcPr>
          <w:p>
            <w:pPr>
              <w:spacing w:after="0" w:line="173" w:lineRule="exact"/>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w:t>
            </w: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1420" w:type="dxa"/>
            <w:vAlign w:val="bottom"/>
          </w:tcPr>
          <w:p>
            <w:pPr>
              <w:spacing w:after="0"/>
              <w:rPr>
                <w:sz w:val="20"/>
                <w:szCs w:val="20"/>
                <w:color w:val="auto"/>
              </w:rPr>
            </w:pPr>
          </w:p>
        </w:tc>
        <w:tc>
          <w:tcPr>
            <w:tcW w:w="47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28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42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4700" w:type="dxa"/>
            <w:vAlign w:val="bottom"/>
            <w:tcBorders>
              <w:right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28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47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28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42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4700" w:type="dxa"/>
            <w:vAlign w:val="bottom"/>
            <w:tcBorders>
              <w:right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28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47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28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42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4700" w:type="dxa"/>
            <w:vAlign w:val="bottom"/>
            <w:tcBorders>
              <w:right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28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91"/>
        </w:trPr>
        <w:tc>
          <w:tcPr>
            <w:tcW w:w="1420" w:type="dxa"/>
            <w:vAlign w:val="bottom"/>
          </w:tcPr>
          <w:p>
            <w:pPr>
              <w:spacing w:after="0"/>
              <w:rPr>
                <w:sz w:val="24"/>
                <w:szCs w:val="24"/>
                <w:color w:val="auto"/>
              </w:rPr>
            </w:pPr>
          </w:p>
        </w:tc>
        <w:tc>
          <w:tcPr>
            <w:tcW w:w="4520" w:type="dxa"/>
            <w:vAlign w:val="bottom"/>
            <w:gridSpan w:val="7"/>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4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82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28" w:name="page29"/>
    <w:bookmarkEnd w:id="28"/>
    <w:tbl>
      <w:tblPr>
        <w:tblLayout w:type="fixed"/>
        <w:tblInd w:w="276" w:type="dxa"/>
        <w:tblCellMar>
          <w:top w:w="0" w:type="dxa"/>
          <w:left w:w="0" w:type="dxa"/>
          <w:bottom w:w="0" w:type="dxa"/>
          <w:right w:w="0" w:type="dxa"/>
        </w:tblCellMar>
      </w:tblPr>
      <w:tr>
        <w:trPr>
          <w:trHeight w:val="232"/>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tc>
        <w:tc>
          <w:tcPr>
            <w:tcW w:w="43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09"/>
        </w:trPr>
        <w:tc>
          <w:tcPr>
            <w:tcW w:w="8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3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4360" w:type="dxa"/>
            <w:vAlign w:val="bottom"/>
            <w:vMerge w:val="restart"/>
          </w:tcPr>
          <w:p>
            <w:pPr>
              <w:ind w:left="2220"/>
              <w:spacing w:after="0"/>
              <w:rPr>
                <w:sz w:val="20"/>
                <w:szCs w:val="20"/>
                <w:color w:val="auto"/>
              </w:rPr>
            </w:pPr>
            <w:r>
              <w:rPr>
                <w:rFonts w:ascii="Times New Roman" w:cs="Times New Roman" w:eastAsia="Times New Roman" w:hAnsi="Times New Roman"/>
                <w:sz w:val="18"/>
                <w:szCs w:val="18"/>
                <w:b w:val="1"/>
                <w:bCs w:val="1"/>
                <w:color w:val="auto"/>
              </w:rPr>
              <w:t>Original Filed Exhibit</w:t>
            </w:r>
          </w:p>
        </w:tc>
        <w:tc>
          <w:tcPr>
            <w:tcW w:w="1440" w:type="dxa"/>
            <w:vAlign w:val="bottom"/>
            <w:vMerge w:val="restart"/>
          </w:tcPr>
          <w:p>
            <w:pPr>
              <w:ind w:left="480"/>
              <w:spacing w:after="0"/>
              <w:rPr>
                <w:sz w:val="20"/>
                <w:szCs w:val="20"/>
                <w:color w:val="auto"/>
              </w:rPr>
            </w:pPr>
            <w:r>
              <w:rPr>
                <w:rFonts w:ascii="Times New Roman" w:cs="Times New Roman" w:eastAsia="Times New Roman" w:hAnsi="Times New Roman"/>
                <w:sz w:val="18"/>
                <w:szCs w:val="18"/>
                <w:b w:val="1"/>
                <w:bCs w:val="1"/>
                <w:color w:val="auto"/>
                <w:w w:val="96"/>
              </w:rPr>
              <w:t>File Number</w:t>
            </w:r>
          </w:p>
        </w:tc>
        <w:tc>
          <w:tcPr>
            <w:tcW w:w="0" w:type="dxa"/>
            <w:vAlign w:val="bottom"/>
          </w:tcPr>
          <w:p>
            <w:pPr>
              <w:spacing w:after="0"/>
              <w:rPr>
                <w:sz w:val="1"/>
                <w:szCs w:val="1"/>
                <w:color w:val="auto"/>
              </w:rPr>
            </w:pPr>
          </w:p>
        </w:tc>
      </w:tr>
      <w:tr>
        <w:trPr>
          <w:trHeight w:val="240"/>
        </w:trPr>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340" w:type="dxa"/>
            <w:vAlign w:val="bottom"/>
            <w:vMerge w:val="continue"/>
          </w:tcPr>
          <w:p>
            <w:pPr>
              <w:spacing w:after="0"/>
              <w:rPr>
                <w:sz w:val="20"/>
                <w:szCs w:val="20"/>
                <w:color w:val="auto"/>
              </w:rPr>
            </w:pPr>
          </w:p>
        </w:tc>
        <w:tc>
          <w:tcPr>
            <w:tcW w:w="4360" w:type="dxa"/>
            <w:vAlign w:val="bottom"/>
            <w:vMerge w:val="continue"/>
          </w:tcPr>
          <w:p>
            <w:pPr>
              <w:spacing w:after="0"/>
              <w:rPr>
                <w:sz w:val="20"/>
                <w:szCs w:val="20"/>
                <w:color w:val="auto"/>
              </w:rPr>
            </w:pPr>
          </w:p>
        </w:tc>
        <w:tc>
          <w:tcPr>
            <w:tcW w:w="14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ind w:left="1376" w:hanging="1376"/>
        <w:spacing w:after="0"/>
        <w:tabs>
          <w:tab w:leader="none" w:pos="137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9" w:lineRule="exact"/>
        <w:rPr>
          <w:rFonts w:ascii="Times New Roman" w:cs="Times New Roman" w:eastAsia="Times New Roman" w:hAnsi="Times New Roman"/>
          <w:sz w:val="18"/>
          <w:szCs w:val="18"/>
          <w:color w:val="auto"/>
        </w:rPr>
      </w:pPr>
    </w:p>
    <w:p>
      <w:pPr>
        <w:ind w:left="567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69850</wp:posOffset>
            </wp:positionV>
            <wp:extent cx="716026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276"/>
          </w:cols>
          <w:pgMar w:left="344" w:top="466" w:right="1279" w:bottom="1440" w:gutter="0" w:footer="0" w:header="0"/>
        </w:sectPr>
      </w:pPr>
    </w:p>
    <w:bookmarkStart w:id="29" w:name="page30"/>
    <w:bookmarkEnd w:id="29"/>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9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7" w:lineRule="exact"/>
        <w:rPr>
          <w:sz w:val="20"/>
          <w:szCs w:val="20"/>
          <w:color w:val="auto"/>
        </w:rPr>
      </w:pPr>
    </w:p>
    <w:p>
      <w:pPr>
        <w:ind w:right="900" w:firstLine="319"/>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69" w:lineRule="exact"/>
        <w:rPr>
          <w:sz w:val="20"/>
          <w:szCs w:val="20"/>
          <w:color w:val="auto"/>
        </w:rPr>
      </w:pPr>
    </w:p>
    <w:tbl>
      <w:tblPr>
        <w:tblLayout w:type="fixed"/>
        <w:tblInd w:w="540" w:type="dxa"/>
        <w:tblCellMar>
          <w:top w:w="0" w:type="dxa"/>
          <w:left w:w="0" w:type="dxa"/>
          <w:bottom w:w="0" w:type="dxa"/>
          <w:right w:w="0" w:type="dxa"/>
        </w:tblCellMar>
      </w:tblPr>
      <w:tr>
        <w:trPr>
          <w:trHeight w:val="232"/>
        </w:trPr>
        <w:tc>
          <w:tcPr>
            <w:tcW w:w="40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Weatherford International plc</w:t>
            </w:r>
          </w:p>
        </w:tc>
      </w:tr>
      <w:tr>
        <w:trPr>
          <w:trHeight w:val="491"/>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Date: April 28, 2022</w:t>
            </w:r>
          </w:p>
        </w:tc>
        <w:tc>
          <w:tcPr>
            <w:tcW w:w="6780" w:type="dxa"/>
            <w:vAlign w:val="bottom"/>
            <w:gridSpan w:val="2"/>
          </w:tcPr>
          <w:p>
            <w:pPr>
              <w:ind w:left="2580"/>
              <w:spacing w:after="0"/>
              <w:rPr>
                <w:sz w:val="20"/>
                <w:szCs w:val="20"/>
                <w:color w:val="auto"/>
              </w:rPr>
            </w:pPr>
            <w:r>
              <w:rPr>
                <w:rFonts w:ascii="Times New Roman" w:cs="Times New Roman" w:eastAsia="Times New Roman" w:hAnsi="Times New Roman"/>
                <w:sz w:val="18"/>
                <w:szCs w:val="18"/>
                <w:color w:val="auto"/>
              </w:rPr>
              <w:t>By: /s/ H. Keith Jennings</w:t>
            </w:r>
          </w:p>
        </w:tc>
      </w:tr>
      <w:tr>
        <w:trPr>
          <w:trHeight w:val="214"/>
        </w:trPr>
        <w:tc>
          <w:tcPr>
            <w:tcW w:w="40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9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 Keith Jennings</w:t>
            </w:r>
          </w:p>
        </w:tc>
      </w:tr>
      <w:tr>
        <w:trPr>
          <w:trHeight w:val="226"/>
        </w:trPr>
        <w:tc>
          <w:tcPr>
            <w:tcW w:w="40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w:t>
            </w:r>
          </w:p>
        </w:tc>
      </w:tr>
      <w:tr>
        <w:trPr>
          <w:trHeight w:val="232"/>
        </w:trPr>
        <w:tc>
          <w:tcPr>
            <w:tcW w:w="40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540" w:type="dxa"/>
        <w:tblCellMar>
          <w:top w:w="0" w:type="dxa"/>
          <w:left w:w="0" w:type="dxa"/>
          <w:bottom w:w="0" w:type="dxa"/>
          <w:right w:w="0" w:type="dxa"/>
        </w:tblCellMar>
      </w:tblPr>
      <w:tr>
        <w:trPr>
          <w:trHeight w:val="231"/>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Date: April 28, 2022</w:t>
            </w:r>
          </w:p>
        </w:tc>
        <w:tc>
          <w:tcPr>
            <w:tcW w:w="6780" w:type="dxa"/>
            <w:vAlign w:val="bottom"/>
            <w:gridSpan w:val="2"/>
          </w:tcPr>
          <w:p>
            <w:pPr>
              <w:ind w:left="2580"/>
              <w:spacing w:after="0"/>
              <w:rPr>
                <w:sz w:val="20"/>
                <w:szCs w:val="20"/>
                <w:color w:val="auto"/>
              </w:rPr>
            </w:pPr>
            <w:r>
              <w:rPr>
                <w:rFonts w:ascii="Times New Roman" w:cs="Times New Roman" w:eastAsia="Times New Roman" w:hAnsi="Times New Roman"/>
                <w:sz w:val="18"/>
                <w:szCs w:val="18"/>
                <w:color w:val="auto"/>
              </w:rPr>
              <w:t>By: /s/ Desmond J. Mills</w:t>
            </w:r>
          </w:p>
        </w:tc>
      </w:tr>
      <w:tr>
        <w:trPr>
          <w:trHeight w:val="214"/>
        </w:trPr>
        <w:tc>
          <w:tcPr>
            <w:tcW w:w="40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9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Desmond J. Mills</w:t>
            </w:r>
          </w:p>
        </w:tc>
      </w:tr>
      <w:tr>
        <w:trPr>
          <w:trHeight w:val="226"/>
        </w:trPr>
        <w:tc>
          <w:tcPr>
            <w:tcW w:w="40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w:t>
            </w:r>
          </w:p>
        </w:tc>
      </w:tr>
      <w:tr>
        <w:trPr>
          <w:trHeight w:val="232"/>
        </w:trPr>
        <w:tc>
          <w:tcPr>
            <w:tcW w:w="40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340"/>
          </w:cols>
          <w:pgMar w:left="320" w:top="466" w:right="2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Girishchandra K. Saligram, certify that:</w:t>
      </w:r>
    </w:p>
    <w:p>
      <w:pPr>
        <w:spacing w:after="0" w:line="112" w:lineRule="exact"/>
        <w:rPr>
          <w:sz w:val="20"/>
          <w:szCs w:val="20"/>
          <w:color w:val="auto"/>
        </w:rPr>
      </w:pPr>
    </w:p>
    <w:p>
      <w:pPr>
        <w:ind w:left="320" w:hanging="314"/>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Weatherford International plc;</w:t>
      </w:r>
    </w:p>
    <w:p>
      <w:pPr>
        <w:spacing w:after="0" w:line="111" w:lineRule="exact"/>
        <w:rPr>
          <w:rFonts w:ascii="Times New Roman" w:cs="Times New Roman" w:eastAsia="Times New Roman" w:hAnsi="Times New Roman"/>
          <w:sz w:val="18"/>
          <w:szCs w:val="18"/>
          <w:color w:val="auto"/>
        </w:rPr>
      </w:pPr>
    </w:p>
    <w:p>
      <w:pPr>
        <w:ind w:left="320" w:hanging="314"/>
        <w:spacing w:after="0" w:line="305" w:lineRule="auto"/>
        <w:tabs>
          <w:tab w:leader="none" w:pos="3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4" w:lineRule="exact"/>
        <w:rPr>
          <w:rFonts w:ascii="Times New Roman" w:cs="Times New Roman" w:eastAsia="Times New Roman" w:hAnsi="Times New Roman"/>
          <w:sz w:val="17"/>
          <w:szCs w:val="17"/>
          <w:color w:val="auto"/>
        </w:rPr>
      </w:pPr>
    </w:p>
    <w:p>
      <w:pPr>
        <w:ind w:left="320" w:hanging="314"/>
        <w:spacing w:after="0" w:line="275" w:lineRule="auto"/>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6" w:lineRule="exact"/>
        <w:rPr>
          <w:rFonts w:ascii="Times New Roman" w:cs="Times New Roman" w:eastAsia="Times New Roman" w:hAnsi="Times New Roman"/>
          <w:sz w:val="18"/>
          <w:szCs w:val="18"/>
          <w:color w:val="auto"/>
        </w:rPr>
      </w:pPr>
    </w:p>
    <w:p>
      <w:pPr>
        <w:jc w:val="both"/>
        <w:ind w:left="320" w:hanging="314"/>
        <w:spacing w:after="0" w:line="260" w:lineRule="auto"/>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71" w:lineRule="exact"/>
        <w:rPr>
          <w:rFonts w:ascii="Times New Roman" w:cs="Times New Roman" w:eastAsia="Times New Roman" w:hAnsi="Times New Roman"/>
          <w:sz w:val="18"/>
          <w:szCs w:val="18"/>
          <w:color w:val="auto"/>
        </w:rPr>
      </w:pPr>
    </w:p>
    <w:p>
      <w:pPr>
        <w:jc w:val="both"/>
        <w:ind w:left="640" w:hanging="315"/>
        <w:spacing w:after="0" w:line="260" w:lineRule="auto"/>
        <w:tabs>
          <w:tab w:leader="none" w:pos="63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jc w:val="both"/>
        <w:ind w:left="640" w:hanging="315"/>
        <w:spacing w:after="0" w:line="260" w:lineRule="auto"/>
        <w:tabs>
          <w:tab w:leader="none" w:pos="62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ind w:left="640" w:hanging="315"/>
        <w:spacing w:after="0" w:line="275" w:lineRule="auto"/>
        <w:tabs>
          <w:tab w:leader="none" w:pos="63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Times New Roman" w:cs="Times New Roman" w:eastAsia="Times New Roman" w:hAnsi="Times New Roman"/>
          <w:sz w:val="18"/>
          <w:szCs w:val="18"/>
          <w:color w:val="auto"/>
        </w:rPr>
      </w:pPr>
    </w:p>
    <w:p>
      <w:pPr>
        <w:jc w:val="both"/>
        <w:ind w:left="640" w:hanging="315"/>
        <w:spacing w:after="0" w:line="260" w:lineRule="auto"/>
        <w:tabs>
          <w:tab w:leader="none" w:pos="62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320" w:hanging="314"/>
        <w:spacing w:after="0" w:line="275" w:lineRule="auto"/>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6" w:lineRule="exact"/>
        <w:rPr>
          <w:rFonts w:ascii="Times New Roman" w:cs="Times New Roman" w:eastAsia="Times New Roman" w:hAnsi="Times New Roman"/>
          <w:sz w:val="18"/>
          <w:szCs w:val="18"/>
          <w:color w:val="auto"/>
        </w:rPr>
      </w:pPr>
    </w:p>
    <w:p>
      <w:pPr>
        <w:ind w:left="640" w:hanging="315"/>
        <w:spacing w:after="0" w:line="275" w:lineRule="auto"/>
        <w:tabs>
          <w:tab w:leader="none" w:pos="63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Times New Roman" w:cs="Times New Roman" w:eastAsia="Times New Roman" w:hAnsi="Times New Roman"/>
          <w:sz w:val="18"/>
          <w:szCs w:val="18"/>
          <w:color w:val="auto"/>
        </w:rPr>
      </w:pPr>
    </w:p>
    <w:p>
      <w:pPr>
        <w:ind w:left="640" w:hanging="315"/>
        <w:spacing w:after="0" w:line="275" w:lineRule="auto"/>
        <w:tabs>
          <w:tab w:leader="none" w:pos="62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Date: April 28, 2022</w:t>
      </w:r>
    </w:p>
    <w:p>
      <w:pPr>
        <w:spacing w:after="0" w:line="28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/s/ Girishchandra K. Saligram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48895</wp:posOffset>
            </wp:positionV>
            <wp:extent cx="35166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3516630" cy="8255"/>
                    </a:xfrm>
                    <a:prstGeom prst="rect">
                      <a:avLst/>
                    </a:prstGeom>
                    <a:noFill/>
                  </pic:spPr>
                </pic:pic>
              </a:graphicData>
            </a:graphic>
          </wp:anchor>
        </w:drawing>
      </w:r>
    </w:p>
    <w:p>
      <w:pPr>
        <w:spacing w:after="0" w:line="21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Girishchandra K. Saligram</w:t>
      </w:r>
    </w:p>
    <w:p>
      <w:pPr>
        <w:spacing w:after="0" w:line="2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876"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 Keith Jennings, certify that:</w:t>
      </w:r>
    </w:p>
    <w:p>
      <w:pPr>
        <w:spacing w:after="0" w:line="112" w:lineRule="exact"/>
        <w:rPr>
          <w:sz w:val="20"/>
          <w:szCs w:val="20"/>
          <w:color w:val="auto"/>
        </w:rPr>
      </w:pPr>
    </w:p>
    <w:p>
      <w:pPr>
        <w:ind w:left="320" w:hanging="314"/>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Weatherford International plc;</w:t>
      </w:r>
    </w:p>
    <w:p>
      <w:pPr>
        <w:spacing w:after="0" w:line="111" w:lineRule="exact"/>
        <w:rPr>
          <w:rFonts w:ascii="Times New Roman" w:cs="Times New Roman" w:eastAsia="Times New Roman" w:hAnsi="Times New Roman"/>
          <w:sz w:val="18"/>
          <w:szCs w:val="18"/>
          <w:color w:val="auto"/>
        </w:rPr>
      </w:pPr>
    </w:p>
    <w:p>
      <w:pPr>
        <w:ind w:left="320" w:hanging="314"/>
        <w:spacing w:after="0" w:line="305" w:lineRule="auto"/>
        <w:tabs>
          <w:tab w:leader="none" w:pos="3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4" w:lineRule="exact"/>
        <w:rPr>
          <w:rFonts w:ascii="Times New Roman" w:cs="Times New Roman" w:eastAsia="Times New Roman" w:hAnsi="Times New Roman"/>
          <w:sz w:val="17"/>
          <w:szCs w:val="17"/>
          <w:color w:val="auto"/>
        </w:rPr>
      </w:pPr>
    </w:p>
    <w:p>
      <w:pPr>
        <w:ind w:left="320" w:hanging="314"/>
        <w:spacing w:after="0" w:line="275" w:lineRule="auto"/>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6" w:lineRule="exact"/>
        <w:rPr>
          <w:rFonts w:ascii="Times New Roman" w:cs="Times New Roman" w:eastAsia="Times New Roman" w:hAnsi="Times New Roman"/>
          <w:sz w:val="18"/>
          <w:szCs w:val="18"/>
          <w:color w:val="auto"/>
        </w:rPr>
      </w:pPr>
    </w:p>
    <w:p>
      <w:pPr>
        <w:jc w:val="both"/>
        <w:ind w:left="320" w:hanging="314"/>
        <w:spacing w:after="0" w:line="260" w:lineRule="auto"/>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71" w:lineRule="exact"/>
        <w:rPr>
          <w:rFonts w:ascii="Times New Roman" w:cs="Times New Roman" w:eastAsia="Times New Roman" w:hAnsi="Times New Roman"/>
          <w:sz w:val="18"/>
          <w:szCs w:val="18"/>
          <w:color w:val="auto"/>
        </w:rPr>
      </w:pPr>
    </w:p>
    <w:p>
      <w:pPr>
        <w:jc w:val="both"/>
        <w:ind w:left="640" w:hanging="315"/>
        <w:spacing w:after="0" w:line="260" w:lineRule="auto"/>
        <w:tabs>
          <w:tab w:leader="none" w:pos="63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jc w:val="both"/>
        <w:ind w:left="640" w:hanging="315"/>
        <w:spacing w:after="0" w:line="260" w:lineRule="auto"/>
        <w:tabs>
          <w:tab w:leader="none" w:pos="62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ind w:left="640" w:hanging="315"/>
        <w:spacing w:after="0" w:line="275" w:lineRule="auto"/>
        <w:tabs>
          <w:tab w:leader="none" w:pos="63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Times New Roman" w:cs="Times New Roman" w:eastAsia="Times New Roman" w:hAnsi="Times New Roman"/>
          <w:sz w:val="18"/>
          <w:szCs w:val="18"/>
          <w:color w:val="auto"/>
        </w:rPr>
      </w:pPr>
    </w:p>
    <w:p>
      <w:pPr>
        <w:jc w:val="both"/>
        <w:ind w:left="640" w:hanging="315"/>
        <w:spacing w:after="0" w:line="260" w:lineRule="auto"/>
        <w:tabs>
          <w:tab w:leader="none" w:pos="62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320" w:hanging="314"/>
        <w:spacing w:after="0" w:line="275" w:lineRule="auto"/>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6" w:lineRule="exact"/>
        <w:rPr>
          <w:rFonts w:ascii="Times New Roman" w:cs="Times New Roman" w:eastAsia="Times New Roman" w:hAnsi="Times New Roman"/>
          <w:sz w:val="18"/>
          <w:szCs w:val="18"/>
          <w:color w:val="auto"/>
        </w:rPr>
      </w:pPr>
    </w:p>
    <w:p>
      <w:pPr>
        <w:ind w:left="640" w:hanging="315"/>
        <w:spacing w:after="0" w:line="275" w:lineRule="auto"/>
        <w:tabs>
          <w:tab w:leader="none" w:pos="63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Times New Roman" w:cs="Times New Roman" w:eastAsia="Times New Roman" w:hAnsi="Times New Roman"/>
          <w:sz w:val="18"/>
          <w:szCs w:val="18"/>
          <w:color w:val="auto"/>
        </w:rPr>
      </w:pPr>
    </w:p>
    <w:p>
      <w:pPr>
        <w:ind w:left="640" w:hanging="315"/>
        <w:spacing w:after="0" w:line="275" w:lineRule="auto"/>
        <w:tabs>
          <w:tab w:leader="none" w:pos="62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Date: April 28, 2022</w:t>
      </w:r>
    </w:p>
    <w:p>
      <w:pPr>
        <w:spacing w:after="0" w:line="284"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/s/ H. Keith Jennings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4220845</wp:posOffset>
            </wp:positionH>
            <wp:positionV relativeFrom="paragraph">
              <wp:posOffset>48895</wp:posOffset>
            </wp:positionV>
            <wp:extent cx="28924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2892425" cy="8255"/>
                    </a:xfrm>
                    <a:prstGeom prst="rect">
                      <a:avLst/>
                    </a:prstGeom>
                    <a:noFill/>
                  </pic:spPr>
                </pic:pic>
              </a:graphicData>
            </a:graphic>
          </wp:anchor>
        </w:drawing>
      </w:r>
    </w:p>
    <w:p>
      <w:pPr>
        <w:spacing w:after="0" w:line="211"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H. Keith Jennings</w:t>
      </w:r>
    </w:p>
    <w:p>
      <w:pPr>
        <w:spacing w:after="0" w:line="25"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Executive Vice President and</w:t>
      </w:r>
    </w:p>
    <w:p>
      <w:pPr>
        <w:spacing w:after="0" w:line="66"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76"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0" w:lineRule="exact"/>
        <w:rPr>
          <w:sz w:val="20"/>
          <w:szCs w:val="20"/>
          <w:color w:val="auto"/>
        </w:rPr>
      </w:pPr>
    </w:p>
    <w:p>
      <w:pPr>
        <w:spacing w:after="0" w:line="284" w:lineRule="exact"/>
        <w:rPr>
          <w:sz w:val="20"/>
          <w:szCs w:val="20"/>
          <w:color w:val="auto"/>
        </w:rPr>
      </w:pPr>
    </w:p>
    <w:p>
      <w:pPr>
        <w:jc w:val="both"/>
        <w:ind w:firstLine="638"/>
        <w:spacing w:after="0" w:line="260" w:lineRule="auto"/>
        <w:rPr>
          <w:sz w:val="20"/>
          <w:szCs w:val="20"/>
          <w:color w:val="auto"/>
        </w:rPr>
      </w:pPr>
      <w:r>
        <w:rPr>
          <w:rFonts w:ascii="Times New Roman" w:cs="Times New Roman" w:eastAsia="Times New Roman" w:hAnsi="Times New Roman"/>
          <w:sz w:val="18"/>
          <w:szCs w:val="18"/>
          <w:color w:val="auto"/>
        </w:rPr>
        <w:t>In connection with the quarterly report on Form 10-Q of Weatherford International plc (the "Company") for the period ended March 31, 2022 as filed with the Securities and Exchange Commission on the date hereof (the "Report"), I, Girishchandra K. Saligram, President and Chief Executive Officer of the Company, certify, pursuant to 18 U.S.C. Section 1350, as adopted pursuant to Section 906 of the Sarbanes-Oxley Act of 2002, that:</w:t>
      </w:r>
    </w:p>
    <w:p>
      <w:pPr>
        <w:spacing w:after="0" w:line="204" w:lineRule="exact"/>
        <w:rPr>
          <w:sz w:val="20"/>
          <w:szCs w:val="20"/>
          <w:color w:val="auto"/>
        </w:rPr>
      </w:pPr>
    </w:p>
    <w:p>
      <w:pPr>
        <w:ind w:left="1280" w:hanging="318"/>
        <w:spacing w:after="0"/>
        <w:tabs>
          <w:tab w:leader="none" w:pos="1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4" w:lineRule="exact"/>
        <w:rPr>
          <w:rFonts w:ascii="Times New Roman" w:cs="Times New Roman" w:eastAsia="Times New Roman" w:hAnsi="Times New Roman"/>
          <w:sz w:val="18"/>
          <w:szCs w:val="18"/>
          <w:color w:val="auto"/>
        </w:rPr>
      </w:pPr>
    </w:p>
    <w:p>
      <w:pPr>
        <w:ind w:left="1280" w:hanging="318"/>
        <w:spacing w:after="0" w:line="275" w:lineRule="auto"/>
        <w:tabs>
          <w:tab w:leader="none" w:pos="127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5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/s/ Girishchandra K. Saligram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15240</wp:posOffset>
            </wp:positionV>
            <wp:extent cx="247078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2470785" cy="8255"/>
                    </a:xfrm>
                    <a:prstGeom prst="rect">
                      <a:avLst/>
                    </a:prstGeom>
                    <a:noFill/>
                  </pic:spPr>
                </pic:pic>
              </a:graphicData>
            </a:graphic>
          </wp:anchor>
        </w:drawing>
      </w:r>
    </w:p>
    <w:p>
      <w:pPr>
        <w:spacing w:after="0" w:line="1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Name: Girishchandra K. Saligram</w:t>
      </w:r>
    </w:p>
    <w:p>
      <w:pPr>
        <w:spacing w:after="0" w:line="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Date: April 28, 2022</w:t>
      </w:r>
    </w:p>
    <w:p>
      <w:pPr>
        <w:spacing w:after="0" w:line="200" w:lineRule="exact"/>
        <w:rPr>
          <w:sz w:val="20"/>
          <w:szCs w:val="20"/>
          <w:color w:val="auto"/>
        </w:rPr>
      </w:pPr>
    </w:p>
    <w:p>
      <w:pPr>
        <w:spacing w:after="0" w:line="331"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19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p>
      <w:pPr>
        <w:sectPr>
          <w:pgSz w:w="11900" w:h="16838" w:orient="portrait"/>
          <w:cols w:equalWidth="0" w:num="1">
            <w:col w:w="11240"/>
          </w:cols>
          <w:pgMar w:left="320" w:top="876"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0" w:lineRule="exact"/>
        <w:rPr>
          <w:sz w:val="20"/>
          <w:szCs w:val="20"/>
          <w:color w:val="auto"/>
        </w:rPr>
      </w:pPr>
    </w:p>
    <w:p>
      <w:pPr>
        <w:spacing w:after="0" w:line="284" w:lineRule="exact"/>
        <w:rPr>
          <w:sz w:val="20"/>
          <w:szCs w:val="20"/>
          <w:color w:val="auto"/>
        </w:rPr>
      </w:pPr>
    </w:p>
    <w:p>
      <w:pPr>
        <w:jc w:val="both"/>
        <w:ind w:firstLine="638"/>
        <w:spacing w:after="0" w:line="260" w:lineRule="auto"/>
        <w:rPr>
          <w:sz w:val="20"/>
          <w:szCs w:val="20"/>
          <w:color w:val="auto"/>
        </w:rPr>
      </w:pPr>
      <w:r>
        <w:rPr>
          <w:rFonts w:ascii="Times New Roman" w:cs="Times New Roman" w:eastAsia="Times New Roman" w:hAnsi="Times New Roman"/>
          <w:sz w:val="18"/>
          <w:szCs w:val="18"/>
          <w:color w:val="auto"/>
        </w:rPr>
        <w:t>In connection with the quarterly report on Form 10-Q of Weatherford International plc (the "Company") for the period ended March 31, 2022 as filed with the Securities and Exchange Commission on the date hereof (the "Report"), I, H. Keith Jennings, Executive Vice President and Chief Financial Officer of the Company, certify, pursuant to 18 U.S.C. Section 1350, as adopted pursuant to Section 906 of the Sarbanes-Oxley Act of 2002, that:</w:t>
      </w:r>
    </w:p>
    <w:p>
      <w:pPr>
        <w:spacing w:after="0" w:line="204" w:lineRule="exact"/>
        <w:rPr>
          <w:sz w:val="20"/>
          <w:szCs w:val="20"/>
          <w:color w:val="auto"/>
        </w:rPr>
      </w:pPr>
    </w:p>
    <w:p>
      <w:pPr>
        <w:ind w:left="1280" w:hanging="318"/>
        <w:spacing w:after="0"/>
        <w:tabs>
          <w:tab w:leader="none" w:pos="12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4" w:lineRule="exact"/>
        <w:rPr>
          <w:rFonts w:ascii="Times New Roman" w:cs="Times New Roman" w:eastAsia="Times New Roman" w:hAnsi="Times New Roman"/>
          <w:sz w:val="18"/>
          <w:szCs w:val="18"/>
          <w:color w:val="auto"/>
        </w:rPr>
      </w:pPr>
    </w:p>
    <w:p>
      <w:pPr>
        <w:ind w:left="1280" w:hanging="318"/>
        <w:spacing w:after="0" w:line="269" w:lineRule="auto"/>
        <w:tabs>
          <w:tab w:leader="none" w:pos="127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/s/ H. Keith Jennings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48895</wp:posOffset>
            </wp:positionV>
            <wp:extent cx="32639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3263900" cy="8255"/>
                    </a:xfrm>
                    <a:prstGeom prst="rect">
                      <a:avLst/>
                    </a:prstGeom>
                    <a:noFill/>
                  </pic:spPr>
                </pic:pic>
              </a:graphicData>
            </a:graphic>
          </wp:anchor>
        </w:drawing>
      </w:r>
    </w:p>
    <w:p>
      <w:pPr>
        <w:spacing w:after="0" w:line="1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Name: H. Keith Jennings</w:t>
      </w:r>
    </w:p>
    <w:p>
      <w:pPr>
        <w:spacing w:after="0" w:line="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Title: Executive Vice President and Chief Financial Officer</w:t>
      </w:r>
    </w:p>
    <w:p>
      <w:pPr>
        <w:spacing w:after="0" w:line="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Date: April 28, 2022</w:t>
      </w:r>
    </w:p>
    <w:p>
      <w:pPr>
        <w:spacing w:after="0" w:line="200" w:lineRule="exact"/>
        <w:rPr>
          <w:sz w:val="20"/>
          <w:szCs w:val="20"/>
          <w:color w:val="auto"/>
        </w:rPr>
      </w:pPr>
    </w:p>
    <w:p>
      <w:pPr>
        <w:spacing w:after="0" w:line="331"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19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sectPr>
      <w:pgSz w:w="11900" w:h="16838" w:orient="portrait"/>
      <w:cols w:equalWidth="0" w:num="1">
        <w:col w:w="11240"/>
      </w:cols>
      <w:pgMar w:left="320" w:top="8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lowerLetter"/>
      <w:start w:val="1"/>
    </w:lvl>
  </w:abstractNum>
  <w:abstractNum w:abstractNumId="3">
    <w:nsid w:val="5BD062C2"/>
    <w:multiLevelType w:val="hybridMultilevel"/>
    <w:lvl w:ilvl="0">
      <w:lvlJc w:val="left"/>
      <w:lvlText w:val="\endash "/>
      <w:numFmt w:val="bullet"/>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1"/>
      <w:numFmt w:val="decimal"/>
      <w:start w:val="104"/>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38" Type="http://schemas.openxmlformats.org/officeDocument/2006/relationships/hyperlink" Target="https://www.sec.gov/Archives/edgar/data/0001603923/000160392322000034/ex10_1-formofrestrictedsha.htm" TargetMode="External"/><Relationship Id="rId39" Type="http://schemas.openxmlformats.org/officeDocument/2006/relationships/hyperlink" Target="http://www.sec.gov/Archives/edgar/data/1603923/000160392322000034/ex10_2-formofperformancesh.htm" TargetMode="External"/><Relationship Id="rId40" Type="http://schemas.openxmlformats.org/officeDocument/2006/relationships/hyperlink" Target="http://www.sec.gov/Archives/edgar/data/1603923/000160392322000034/ex10_3-formofrestrictedsh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2022-04-29T17:31:02Z</dcterms:created>
  <dcterms:modified xsi:type="dcterms:W3CDTF">2022-04-29T17:31:02Z</dcterms:modified>
</cp:coreProperties>
</file>