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par value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G48833118</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3"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G48833118</w:t>
      </w:r>
    </w:p>
    <w:p>
      <w:pPr>
        <w:spacing w:after="0" w:line="270" w:lineRule="exact"/>
        <w:rPr>
          <w:sz w:val="20"/>
          <w:szCs w:val="20"/>
          <w:color w:val="auto"/>
        </w:rPr>
      </w:pPr>
    </w:p>
    <w:p>
      <w:pPr>
        <w:ind w:left="640" w:hanging="39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Giovanni Agnelli B.V.</w:t>
      </w:r>
    </w:p>
    <w:p>
      <w:pPr>
        <w:spacing w:after="0" w:line="40"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85800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03" w:lineRule="exact"/>
        <w:rPr>
          <w:sz w:val="20"/>
          <w:szCs w:val="20"/>
          <w:color w:val="auto"/>
        </w:rPr>
      </w:pPr>
    </w:p>
    <w:p>
      <w:pPr>
        <w:ind w:left="64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40" w:hanging="39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Netherlands</w:t>
      </w:r>
    </w:p>
    <w:p>
      <w:pPr>
        <w:spacing w:after="0" w:line="40" w:lineRule="exact"/>
        <w:rPr>
          <w:rFonts w:ascii="Times New Roman" w:cs="Times New Roman" w:eastAsia="Times New Roman" w:hAnsi="Times New Roman"/>
          <w:sz w:val="18"/>
          <w:szCs w:val="18"/>
          <w:color w:val="auto"/>
        </w:rPr>
      </w:pPr>
    </w:p>
    <w:p>
      <w:pPr>
        <w:ind w:left="1660" w:hanging="436"/>
        <w:spacing w:after="0"/>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620" w:hanging="377"/>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4,669,231</w:t>
      </w:r>
    </w:p>
    <w:p>
      <w:pPr>
        <w:spacing w:after="0" w:line="40"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6.61%*</w:t>
      </w:r>
    </w:p>
    <w:p>
      <w:pPr>
        <w:spacing w:after="0" w:line="40" w:lineRule="exact"/>
        <w:rPr>
          <w:rFonts w:ascii="Times New Roman" w:cs="Times New Roman" w:eastAsia="Times New Roman" w:hAnsi="Times New Roman"/>
          <w:sz w:val="18"/>
          <w:szCs w:val="18"/>
          <w:color w:val="auto"/>
        </w:rPr>
      </w:pPr>
    </w:p>
    <w:p>
      <w:pPr>
        <w:ind w:left="640" w:right="7000" w:hanging="487"/>
        <w:spacing w:after="0" w:line="547" w:lineRule="auto"/>
        <w:tabs>
          <w:tab w:leader="none" w:pos="6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CO</w:t>
      </w:r>
    </w:p>
    <w:p>
      <w:pPr>
        <w:spacing w:after="0" w:line="1" w:lineRule="exact"/>
        <w:rPr>
          <w:rFonts w:ascii="Times New Roman" w:cs="Times New Roman" w:eastAsia="Times New Roman" w:hAnsi="Times New Roman"/>
          <w:sz w:val="18"/>
          <w:szCs w:val="18"/>
          <w:color w:val="auto"/>
        </w:rPr>
      </w:pPr>
    </w:p>
    <w:p>
      <w:pPr>
        <w:ind w:left="420" w:right="1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70,608,639 ordinary shares outstanding at October 21, 2022 as reported in the Issuer’s quarterly report on Form 10-Q for the period ended September 30, 2022,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26,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2 of 9 pages</w:t>
      </w:r>
    </w:p>
    <w:p>
      <w:pPr>
        <w:sectPr>
          <w:pgSz w:w="11900" w:h="16838" w:orient="portrait"/>
          <w:cols w:equalWidth="0" w:num="1">
            <w:col w:w="10800"/>
          </w:cols>
          <w:pgMar w:left="440" w:top="266"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G48833118</w:t>
      </w:r>
    </w:p>
    <w:p>
      <w:pPr>
        <w:spacing w:after="0" w:line="270" w:lineRule="exact"/>
        <w:rPr>
          <w:sz w:val="20"/>
          <w:szCs w:val="20"/>
          <w:color w:val="auto"/>
        </w:rPr>
      </w:pPr>
    </w:p>
    <w:p>
      <w:pPr>
        <w:ind w:left="640" w:hanging="39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N.V.</w:t>
      </w:r>
    </w:p>
    <w:p>
      <w:pPr>
        <w:spacing w:after="0" w:line="40"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85800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03" w:lineRule="exact"/>
        <w:rPr>
          <w:sz w:val="20"/>
          <w:szCs w:val="20"/>
          <w:color w:val="auto"/>
        </w:rPr>
      </w:pPr>
    </w:p>
    <w:p>
      <w:pPr>
        <w:ind w:left="64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40" w:hanging="39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Netherlands</w:t>
      </w:r>
    </w:p>
    <w:p>
      <w:pPr>
        <w:spacing w:after="0" w:line="40" w:lineRule="exact"/>
        <w:rPr>
          <w:rFonts w:ascii="Times New Roman" w:cs="Times New Roman" w:eastAsia="Times New Roman" w:hAnsi="Times New Roman"/>
          <w:sz w:val="18"/>
          <w:szCs w:val="18"/>
          <w:color w:val="auto"/>
        </w:rPr>
      </w:pPr>
    </w:p>
    <w:p>
      <w:pPr>
        <w:ind w:left="1660" w:hanging="436"/>
        <w:spacing w:after="0"/>
        <w:tabs>
          <w:tab w:leader="none" w:pos="1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620" w:hanging="377"/>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4,669,231</w:t>
      </w:r>
    </w:p>
    <w:p>
      <w:pPr>
        <w:spacing w:after="0" w:line="40"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6.61%*</w:t>
      </w:r>
    </w:p>
    <w:p>
      <w:pPr>
        <w:spacing w:after="0" w:line="40" w:lineRule="exact"/>
        <w:rPr>
          <w:rFonts w:ascii="Times New Roman" w:cs="Times New Roman" w:eastAsia="Times New Roman" w:hAnsi="Times New Roman"/>
          <w:sz w:val="18"/>
          <w:szCs w:val="18"/>
          <w:color w:val="auto"/>
        </w:rPr>
      </w:pPr>
    </w:p>
    <w:p>
      <w:pPr>
        <w:ind w:left="640" w:right="7000" w:hanging="487"/>
        <w:spacing w:after="0" w:line="547" w:lineRule="auto"/>
        <w:tabs>
          <w:tab w:leader="none" w:pos="6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CO</w:t>
      </w:r>
    </w:p>
    <w:p>
      <w:pPr>
        <w:spacing w:after="0" w:line="1" w:lineRule="exact"/>
        <w:rPr>
          <w:rFonts w:ascii="Times New Roman" w:cs="Times New Roman" w:eastAsia="Times New Roman" w:hAnsi="Times New Roman"/>
          <w:sz w:val="18"/>
          <w:szCs w:val="18"/>
          <w:color w:val="auto"/>
        </w:rPr>
      </w:pPr>
    </w:p>
    <w:p>
      <w:pPr>
        <w:ind w:left="420" w:right="1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70,608,639 ordinary shares outstanding at October 21, 2022 as reported in the Issuer’s quarterly report on Form 10-Q for the period ended September 30, 2022, filed with the SEC on October 26,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3 of 9 pages</w:t>
      </w:r>
    </w:p>
    <w:p>
      <w:pPr>
        <w:sectPr>
          <w:pgSz w:w="11900" w:h="16838" w:orient="portrait"/>
          <w:cols w:equalWidth="0" w:num="1">
            <w:col w:w="10800"/>
          </w:cols>
          <w:pgMar w:left="440" w:top="266"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G48833118</w:t>
      </w:r>
    </w:p>
    <w:p>
      <w:pPr>
        <w:spacing w:after="0" w:line="270" w:lineRule="exact"/>
        <w:rPr>
          <w:sz w:val="20"/>
          <w:szCs w:val="20"/>
          <w:color w:val="auto"/>
        </w:rPr>
      </w:pPr>
    </w:p>
    <w:p>
      <w:pPr>
        <w:ind w:left="640" w:hanging="39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Investments Limited</w:t>
      </w:r>
    </w:p>
    <w:p>
      <w:pPr>
        <w:spacing w:after="0" w:line="40"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85800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03" w:lineRule="exact"/>
        <w:rPr>
          <w:sz w:val="20"/>
          <w:szCs w:val="20"/>
          <w:color w:val="auto"/>
        </w:rPr>
      </w:pPr>
    </w:p>
    <w:p>
      <w:pPr>
        <w:ind w:left="64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40" w:hanging="39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Kingdom</w:t>
      </w:r>
    </w:p>
    <w:p>
      <w:pPr>
        <w:spacing w:after="0" w:line="40" w:lineRule="exact"/>
        <w:rPr>
          <w:rFonts w:ascii="Times New Roman" w:cs="Times New Roman" w:eastAsia="Times New Roman" w:hAnsi="Times New Roman"/>
          <w:sz w:val="18"/>
          <w:szCs w:val="18"/>
          <w:color w:val="auto"/>
        </w:rPr>
      </w:pPr>
    </w:p>
    <w:p>
      <w:pPr>
        <w:ind w:left="1660" w:hanging="436"/>
        <w:spacing w:after="0"/>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620" w:hanging="377"/>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4,669,231</w:t>
      </w:r>
    </w:p>
    <w:p>
      <w:pPr>
        <w:spacing w:after="0" w:line="40"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6.61%*</w:t>
      </w:r>
    </w:p>
    <w:p>
      <w:pPr>
        <w:spacing w:after="0" w:line="40" w:lineRule="exact"/>
        <w:rPr>
          <w:rFonts w:ascii="Times New Roman" w:cs="Times New Roman" w:eastAsia="Times New Roman" w:hAnsi="Times New Roman"/>
          <w:sz w:val="18"/>
          <w:szCs w:val="18"/>
          <w:color w:val="auto"/>
        </w:rPr>
      </w:pPr>
    </w:p>
    <w:p>
      <w:pPr>
        <w:ind w:left="640" w:right="7000" w:hanging="487"/>
        <w:spacing w:after="0" w:line="547" w:lineRule="auto"/>
        <w:tabs>
          <w:tab w:leader="none" w:pos="6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 FI</w:t>
      </w:r>
    </w:p>
    <w:p>
      <w:pPr>
        <w:spacing w:after="0" w:line="1" w:lineRule="exact"/>
        <w:rPr>
          <w:rFonts w:ascii="Times New Roman" w:cs="Times New Roman" w:eastAsia="Times New Roman" w:hAnsi="Times New Roman"/>
          <w:sz w:val="18"/>
          <w:szCs w:val="18"/>
          <w:color w:val="auto"/>
        </w:rPr>
      </w:pPr>
    </w:p>
    <w:p>
      <w:pPr>
        <w:ind w:left="420" w:right="1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70,608,639 ordinary shares outstanding at October 21, 2022 as reported in the Issuer’s quarterly report on Form 10-Q for the period ended September 30, 2022, filed with the SEC on October 26,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4 of 9 pages</w:t>
      </w:r>
    </w:p>
    <w:p>
      <w:pPr>
        <w:sectPr>
          <w:pgSz w:w="11900" w:h="16838" w:orient="portrait"/>
          <w:cols w:equalWidth="0" w:num="1">
            <w:col w:w="10800"/>
          </w:cols>
          <w:pgMar w:left="440" w:top="266"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G48833118</w:t>
      </w:r>
    </w:p>
    <w:p>
      <w:pPr>
        <w:spacing w:after="0" w:line="270" w:lineRule="exact"/>
        <w:rPr>
          <w:sz w:val="20"/>
          <w:szCs w:val="20"/>
          <w:color w:val="auto"/>
        </w:rPr>
      </w:pPr>
    </w:p>
    <w:p>
      <w:pPr>
        <w:ind w:left="640" w:hanging="39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Capital LLP</w:t>
      </w:r>
    </w:p>
    <w:p>
      <w:pPr>
        <w:spacing w:after="0" w:line="40"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85800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03" w:lineRule="exact"/>
        <w:rPr>
          <w:sz w:val="20"/>
          <w:szCs w:val="20"/>
          <w:color w:val="auto"/>
        </w:rPr>
      </w:pPr>
    </w:p>
    <w:p>
      <w:pPr>
        <w:ind w:left="64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40" w:hanging="39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40" w:hanging="39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Kingdom</w:t>
      </w:r>
    </w:p>
    <w:p>
      <w:pPr>
        <w:spacing w:after="0" w:line="40" w:lineRule="exact"/>
        <w:rPr>
          <w:rFonts w:ascii="Times New Roman" w:cs="Times New Roman" w:eastAsia="Times New Roman" w:hAnsi="Times New Roman"/>
          <w:sz w:val="18"/>
          <w:szCs w:val="18"/>
          <w:color w:val="auto"/>
        </w:rPr>
      </w:pPr>
    </w:p>
    <w:p>
      <w:pPr>
        <w:ind w:left="1660" w:hanging="436"/>
        <w:spacing w:after="0"/>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4,669,231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620" w:hanging="377"/>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4,669,231</w:t>
      </w:r>
    </w:p>
    <w:p>
      <w:pPr>
        <w:spacing w:after="0" w:line="40"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3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6.61%*</w:t>
      </w:r>
    </w:p>
    <w:p>
      <w:pPr>
        <w:spacing w:after="0" w:line="40" w:lineRule="exact"/>
        <w:rPr>
          <w:rFonts w:ascii="Times New Roman" w:cs="Times New Roman" w:eastAsia="Times New Roman" w:hAnsi="Times New Roman"/>
          <w:sz w:val="18"/>
          <w:szCs w:val="18"/>
          <w:color w:val="auto"/>
        </w:rPr>
      </w:pPr>
    </w:p>
    <w:p>
      <w:pPr>
        <w:ind w:left="640" w:right="7000" w:hanging="487"/>
        <w:spacing w:after="0" w:line="547" w:lineRule="auto"/>
        <w:tabs>
          <w:tab w:leader="none" w:pos="6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FI</w:t>
      </w:r>
    </w:p>
    <w:p>
      <w:pPr>
        <w:spacing w:after="0" w:line="1" w:lineRule="exact"/>
        <w:rPr>
          <w:rFonts w:ascii="Times New Roman" w:cs="Times New Roman" w:eastAsia="Times New Roman" w:hAnsi="Times New Roman"/>
          <w:sz w:val="18"/>
          <w:szCs w:val="18"/>
          <w:color w:val="auto"/>
        </w:rPr>
      </w:pPr>
    </w:p>
    <w:p>
      <w:pPr>
        <w:ind w:left="420" w:right="1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70,608,639 ordinary shares outstanding at October 21, 2022 as reported in the Issuer’s quarterly report on Form 10-Q for the period ended September 30, 2022, filed with the SEC on October 26,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5 of 9 pages</w:t>
      </w:r>
    </w:p>
    <w:p>
      <w:pPr>
        <w:sectPr>
          <w:pgSz w:w="11900" w:h="16838" w:orient="portrait"/>
          <w:cols w:equalWidth="0" w:num="1">
            <w:col w:w="10800"/>
          </w:cols>
          <w:pgMar w:left="440" w:top="266"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252" w:lineRule="exact"/>
        <w:rPr>
          <w:sz w:val="20"/>
          <w:szCs w:val="20"/>
          <w:color w:val="auto"/>
        </w:rPr>
      </w:pPr>
    </w:p>
    <w:p>
      <w:pPr>
        <w:ind w:left="880" w:hanging="317"/>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Issuer:</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PLC</w:t>
      </w:r>
    </w:p>
    <w:p>
      <w:pPr>
        <w:spacing w:after="0" w:line="108" w:lineRule="exact"/>
        <w:rPr>
          <w:rFonts w:ascii="Times New Roman" w:cs="Times New Roman" w:eastAsia="Times New Roman" w:hAnsi="Times New Roman"/>
          <w:sz w:val="18"/>
          <w:szCs w:val="18"/>
          <w:color w:val="auto"/>
        </w:rPr>
      </w:pPr>
    </w:p>
    <w:p>
      <w:pPr>
        <w:ind w:left="880" w:right="6520" w:hanging="317"/>
        <w:spacing w:after="0" w:line="263"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2000 St. James Place</w:t>
      </w:r>
    </w:p>
    <w:p>
      <w:pPr>
        <w:ind w:left="880" w:right="8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Texas 77056 United States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2" w:lineRule="exact"/>
        <w:rPr>
          <w:sz w:val="20"/>
          <w:szCs w:val="20"/>
          <w:color w:val="auto"/>
        </w:rPr>
      </w:pPr>
    </w:p>
    <w:p>
      <w:pPr>
        <w:ind w:left="880" w:hanging="317"/>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134" w:lineRule="exact"/>
        <w:rPr>
          <w:rFonts w:ascii="Times New Roman" w:cs="Times New Roman" w:eastAsia="Times New Roman" w:hAnsi="Times New Roman"/>
          <w:sz w:val="18"/>
          <w:szCs w:val="18"/>
          <w:color w:val="auto"/>
        </w:rPr>
      </w:pPr>
    </w:p>
    <w:p>
      <w:pPr>
        <w:ind w:left="880" w:right="8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Giovanni Agnelli B.V. Exor N.V.</w:t>
      </w:r>
    </w:p>
    <w:p>
      <w:pPr>
        <w:ind w:left="880" w:right="82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Exor Investments Limited Exor Capital LLP</w:t>
      </w:r>
    </w:p>
    <w:p>
      <w:pPr>
        <w:spacing w:after="0" w:line="62" w:lineRule="exact"/>
        <w:rPr>
          <w:rFonts w:ascii="Times New Roman" w:cs="Times New Roman" w:eastAsia="Times New Roman" w:hAnsi="Times New Roman"/>
          <w:sz w:val="18"/>
          <w:szCs w:val="18"/>
          <w:color w:val="auto"/>
        </w:rPr>
      </w:pPr>
    </w:p>
    <w:p>
      <w:pPr>
        <w:ind w:left="8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Exor Capital LLP, which acquired the securities being reported on, is 99.7% owned by Exor Investments Limited. Exor Investments Limited is a wholly owned subsidiary of Exor N.V., which in turn is controlled by Giovanni Agnelli B.V.</w:t>
      </w:r>
    </w:p>
    <w:p>
      <w:pPr>
        <w:spacing w:after="0" w:line="76" w:lineRule="exact"/>
        <w:rPr>
          <w:rFonts w:ascii="Times New Roman" w:cs="Times New Roman" w:eastAsia="Times New Roman" w:hAnsi="Times New Roman"/>
          <w:sz w:val="18"/>
          <w:szCs w:val="18"/>
          <w:color w:val="auto"/>
        </w:rPr>
      </w:pPr>
    </w:p>
    <w:p>
      <w:pPr>
        <w:ind w:left="880" w:right="5640" w:hanging="317"/>
        <w:spacing w:after="0" w:line="28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 or, if none, Residence Giovanni Agnelli B.V.</w:t>
      </w:r>
    </w:p>
    <w:p>
      <w:pPr>
        <w:spacing w:after="0" w:line="64" w:lineRule="exact"/>
        <w:rPr>
          <w:rFonts w:ascii="Times New Roman" w:cs="Times New Roman" w:eastAsia="Times New Roman" w:hAnsi="Times New Roman"/>
          <w:sz w:val="18"/>
          <w:szCs w:val="18"/>
          <w:color w:val="auto"/>
        </w:rPr>
      </w:pPr>
    </w:p>
    <w:p>
      <w:pPr>
        <w:ind w:left="88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Gustav Mahlerplein 25 Amsterdam, 1082 MS The Netherlands</w:t>
      </w:r>
    </w:p>
    <w:p>
      <w:pPr>
        <w:spacing w:after="0" w:line="7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N.V.</w:t>
      </w:r>
    </w:p>
    <w:p>
      <w:pPr>
        <w:spacing w:after="0" w:line="134" w:lineRule="exact"/>
        <w:rPr>
          <w:rFonts w:ascii="Times New Roman" w:cs="Times New Roman" w:eastAsia="Times New Roman" w:hAnsi="Times New Roman"/>
          <w:sz w:val="18"/>
          <w:szCs w:val="18"/>
          <w:color w:val="auto"/>
        </w:rPr>
      </w:pPr>
    </w:p>
    <w:p>
      <w:pPr>
        <w:ind w:left="88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Gustav Mahlerplein 25 Amsterdam, 1082 MS The Netherlands</w:t>
      </w:r>
    </w:p>
    <w:p>
      <w:pPr>
        <w:spacing w:after="0" w:line="7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Investments Limited</w:t>
      </w:r>
    </w:p>
    <w:p>
      <w:pPr>
        <w:spacing w:after="0" w:line="134" w:lineRule="exact"/>
        <w:rPr>
          <w:rFonts w:ascii="Times New Roman" w:cs="Times New Roman" w:eastAsia="Times New Roman" w:hAnsi="Times New Roman"/>
          <w:sz w:val="18"/>
          <w:szCs w:val="18"/>
          <w:color w:val="auto"/>
        </w:rPr>
      </w:pPr>
    </w:p>
    <w:p>
      <w:pPr>
        <w:ind w:left="880" w:right="8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Headfort Place London, SW1X 7DH United Kingdom</w:t>
      </w:r>
    </w:p>
    <w:p>
      <w:pPr>
        <w:spacing w:after="0" w:line="7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Exor Capital LLP</w:t>
      </w:r>
    </w:p>
    <w:p>
      <w:pPr>
        <w:spacing w:after="0" w:line="134" w:lineRule="exact"/>
        <w:rPr>
          <w:rFonts w:ascii="Times New Roman" w:cs="Times New Roman" w:eastAsia="Times New Roman" w:hAnsi="Times New Roman"/>
          <w:sz w:val="18"/>
          <w:szCs w:val="18"/>
          <w:color w:val="auto"/>
        </w:rPr>
      </w:pPr>
    </w:p>
    <w:p>
      <w:pPr>
        <w:ind w:left="880" w:right="8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Headfort Place London, SW1X 7DH United Kingdom</w:t>
      </w:r>
    </w:p>
    <w:p>
      <w:pPr>
        <w:spacing w:after="0" w:line="90"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134" w:lineRule="exact"/>
        <w:rPr>
          <w:rFonts w:ascii="Times New Roman" w:cs="Times New Roman" w:eastAsia="Times New Roman" w:hAnsi="Times New Roman"/>
          <w:sz w:val="18"/>
          <w:szCs w:val="18"/>
          <w:color w:val="auto"/>
        </w:rPr>
      </w:pPr>
    </w:p>
    <w:p>
      <w:pPr>
        <w:ind w:left="880" w:right="71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Giovanni Agnelli B.V. – the Netherlands Exor N.V. – the Netherlands</w:t>
      </w:r>
    </w:p>
    <w:p>
      <w:pPr>
        <w:ind w:left="880" w:right="68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Exor Investments Limited – United Kingdom Exor Capital LLP – United Kingdom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9 pages</w:t>
      </w:r>
    </w:p>
    <w:p>
      <w:pPr>
        <w:sectPr>
          <w:pgSz w:w="11900" w:h="16838" w:orient="portrait"/>
          <w:cols w:equalWidth="0" w:num="1">
            <w:col w:w="11000"/>
          </w:cols>
          <w:pgMar w:left="440" w:top="266" w:right="459" w:bottom="1440" w:gutter="0" w:footer="0" w:header="0"/>
        </w:sectPr>
      </w:pPr>
    </w:p>
    <w:bookmarkStart w:id="6" w:name="page7"/>
    <w:bookmarkEnd w:id="6"/>
    <w:p>
      <w:pPr>
        <w:ind w:left="880" w:hanging="317"/>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of Class of Securities</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$0.001 per share</w:t>
      </w:r>
    </w:p>
    <w:p>
      <w:pPr>
        <w:spacing w:after="0" w:line="108" w:lineRule="exact"/>
        <w:rPr>
          <w:rFonts w:ascii="Times New Roman" w:cs="Times New Roman" w:eastAsia="Times New Roman" w:hAnsi="Times New Roman"/>
          <w:sz w:val="18"/>
          <w:szCs w:val="18"/>
          <w:color w:val="auto"/>
        </w:rPr>
      </w:pPr>
    </w:p>
    <w:p>
      <w:pPr>
        <w:ind w:left="880" w:right="8320" w:hanging="317"/>
        <w:spacing w:after="0" w:line="28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G48833118</w:t>
      </w:r>
    </w:p>
    <w:p>
      <w:pPr>
        <w:spacing w:after="0" w:line="3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52" w:lineRule="exact"/>
        <w:rPr>
          <w:sz w:val="20"/>
          <w:szCs w:val="20"/>
          <w:color w:val="auto"/>
        </w:rPr>
      </w:pPr>
    </w:p>
    <w:p>
      <w:pPr>
        <w:ind w:left="880" w:hanging="317"/>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beneficially owned:</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9 on the attached cover pages.</w:t>
      </w:r>
    </w:p>
    <w:p>
      <w:pPr>
        <w:spacing w:after="0" w:line="108"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11 on the attached cover pages.</w:t>
      </w:r>
    </w:p>
    <w:p>
      <w:pPr>
        <w:spacing w:after="0" w:line="112"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3" w:lineRule="exact"/>
        <w:rPr>
          <w:rFonts w:ascii="Times New Roman" w:cs="Times New Roman" w:eastAsia="Times New Roman" w:hAnsi="Times New Roman"/>
          <w:sz w:val="18"/>
          <w:szCs w:val="18"/>
          <w:color w:val="auto"/>
        </w:rPr>
      </w:pPr>
    </w:p>
    <w:p>
      <w:pPr>
        <w:ind w:left="1320" w:hanging="433"/>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Sole power to vote or to direct the vote</w:t>
      </w:r>
    </w:p>
    <w:p>
      <w:pPr>
        <w:spacing w:after="0" w:line="3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5 on the attached cover pages.</w:t>
      </w:r>
    </w:p>
    <w:p>
      <w:pPr>
        <w:spacing w:after="0" w:line="94" w:lineRule="exact"/>
        <w:rPr>
          <w:rFonts w:ascii="Times New Roman" w:cs="Times New Roman" w:eastAsia="Times New Roman" w:hAnsi="Times New Roman"/>
          <w:sz w:val="18"/>
          <w:szCs w:val="18"/>
          <w:color w:val="auto"/>
        </w:rPr>
      </w:pPr>
    </w:p>
    <w:p>
      <w:pPr>
        <w:ind w:left="1320" w:hanging="433"/>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Shared power to vote or to direct the vote</w:t>
      </w:r>
    </w:p>
    <w:p>
      <w:pPr>
        <w:spacing w:after="0" w:line="3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6 on the attached cover pages.</w:t>
      </w:r>
    </w:p>
    <w:p>
      <w:pPr>
        <w:spacing w:after="0" w:line="94" w:lineRule="exact"/>
        <w:rPr>
          <w:rFonts w:ascii="Times New Roman" w:cs="Times New Roman" w:eastAsia="Times New Roman" w:hAnsi="Times New Roman"/>
          <w:sz w:val="18"/>
          <w:szCs w:val="18"/>
          <w:color w:val="auto"/>
        </w:rPr>
      </w:pPr>
    </w:p>
    <w:p>
      <w:pPr>
        <w:ind w:left="1320" w:right="5080" w:hanging="433"/>
        <w:spacing w:after="0" w:line="317" w:lineRule="auto"/>
        <w:tabs>
          <w:tab w:leader="none" w:pos="13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Sole power to dispose or to direct the disposition of </w:t>
      </w:r>
      <w:r>
        <w:rPr>
          <w:rFonts w:ascii="Times New Roman" w:cs="Times New Roman" w:eastAsia="Times New Roman" w:hAnsi="Times New Roman"/>
          <w:sz w:val="17"/>
          <w:szCs w:val="17"/>
          <w:color w:val="auto"/>
        </w:rPr>
        <w:t>See the responses to Item 7 on the attached cover pages.</w:t>
      </w:r>
    </w:p>
    <w:p>
      <w:pPr>
        <w:spacing w:after="0" w:line="23" w:lineRule="exact"/>
        <w:rPr>
          <w:rFonts w:ascii="Times New Roman" w:cs="Times New Roman" w:eastAsia="Times New Roman" w:hAnsi="Times New Roman"/>
          <w:sz w:val="17"/>
          <w:szCs w:val="17"/>
          <w:color w:val="auto"/>
        </w:rPr>
      </w:pPr>
    </w:p>
    <w:p>
      <w:pPr>
        <w:ind w:left="1320" w:right="5000" w:hanging="433"/>
        <w:spacing w:after="0" w:line="317" w:lineRule="auto"/>
        <w:tabs>
          <w:tab w:leader="none" w:pos="13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Shared power to dispose or to direct the disposition of </w:t>
      </w:r>
      <w:r>
        <w:rPr>
          <w:rFonts w:ascii="Times New Roman" w:cs="Times New Roman" w:eastAsia="Times New Roman" w:hAnsi="Times New Roman"/>
          <w:sz w:val="17"/>
          <w:szCs w:val="17"/>
          <w:color w:val="auto"/>
        </w:rPr>
        <w:t>See the responses to Item 8 on the attached cover pages.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Item 2.</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Page 7 of 9 pages</w:t>
      </w:r>
    </w:p>
    <w:p>
      <w:pPr>
        <w:sectPr>
          <w:pgSz w:w="11900" w:h="16838" w:orient="portrait"/>
          <w:cols w:equalWidth="0" w:num="1">
            <w:col w:w="10440"/>
          </w:cols>
          <w:pgMar w:left="440" w:top="266" w:right="1019" w:bottom="1440" w:gutter="0" w:footer="0" w:header="0"/>
        </w:sectPr>
      </w:pPr>
    </w:p>
    <w:bookmarkStart w:id="7" w:name="page8"/>
    <w:bookmarkEnd w:id="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8 of 9 pages</w:t>
      </w:r>
    </w:p>
    <w:p>
      <w:pPr>
        <w:sectPr>
          <w:pgSz w:w="11900" w:h="16838" w:orient="portrait"/>
          <w:cols w:equalWidth="0" w:num="1">
            <w:col w:w="10900"/>
          </w:cols>
          <w:pgMar w:left="440" w:top="266" w:right="5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Giovanni Agnelli B.V.</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N.V.</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Investments Limited</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Capital LLP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Enrico Vellano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Enrico Vellano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Co-CEO</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9 pages</w:t>
      </w:r>
    </w:p>
    <w:p>
      <w:pPr>
        <w:sectPr>
          <w:pgSz w:w="11900" w:h="16838" w:orient="portrait"/>
          <w:cols w:equalWidth="0" w:num="1">
            <w:col w:w="11020"/>
          </w:cols>
          <w:pgMar w:left="440" w:top="266" w:right="439" w:bottom="1440" w:gutter="0" w:footer="0" w:header="0"/>
        </w:sectPr>
      </w:pPr>
    </w:p>
    <w:bookmarkStart w:id="9" w:name="page10"/>
    <w:bookmarkEnd w:id="9"/>
    <w:p>
      <w:pPr>
        <w:jc w:val="right"/>
        <w:ind w:right="36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Joint Filing Agreement</w:t>
      </w:r>
    </w:p>
    <w:p>
      <w:pPr>
        <w:sectPr>
          <w:pgSz w:w="11900" w:h="16838" w:orient="portrait"/>
          <w:cols w:equalWidth="0" w:num="1">
            <w:col w:w="10019"/>
          </w:cols>
          <w:pgMar w:left="440" w:top="266"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ordinary shares of Weatherford International PLC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Giovanni Agnelli B.V.</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N.V.</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Investments Limited</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Guido de Boer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Guido de Boer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Exor Capital LLP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Enrico Vellano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Enrico Vellano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Co-CEO</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3"/>
    </w:lvl>
    <w:lvl w:ilvl="1">
      <w:lvlJc w:val="left"/>
      <w:lvlText w:val="%2."/>
      <w:numFmt w:val="decimal"/>
      <w:start w:val="5"/>
    </w:lvl>
  </w:abstractNum>
  <w:abstractNum w:abstractNumId="5">
    <w:nsid w:val="140E0F76"/>
    <w:multiLevelType w:val="hybridMultilevel"/>
    <w:lvl w:ilvl="0">
      <w:lvlJc w:val="left"/>
      <w:lvlText w:val="*"/>
      <w:numFmt w:val="bullet"/>
      <w:start w:val="1"/>
    </w:lvl>
    <w:lvl w:ilvl="1">
      <w:lvlJc w:val="left"/>
      <w:lvlText w:val="%2."/>
      <w:numFmt w:val="decimal"/>
      <w:start w:val="9"/>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lvl w:ilvl="1">
      <w:lvlJc w:val="left"/>
      <w:lvlText w:val="%2."/>
      <w:numFmt w:val="decimal"/>
      <w:start w:val="5"/>
    </w:lvl>
  </w:abstractNum>
  <w:abstractNum w:abstractNumId="8">
    <w:nsid w:val="DED7263"/>
    <w:multiLevelType w:val="hybridMultilevel"/>
    <w:lvl w:ilvl="0">
      <w:lvlJc w:val="left"/>
      <w:lvlText w:val="*"/>
      <w:numFmt w:val="bullet"/>
      <w:start w:val="1"/>
    </w:lvl>
    <w:lvl w:ilvl="1">
      <w:lvlJc w:val="left"/>
      <w:lvlText w:val="%2."/>
      <w:numFmt w:val="decimal"/>
      <w:start w:val="9"/>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lvl w:ilvl="1">
      <w:lvlJc w:val="left"/>
      <w:lvlText w:val="%2."/>
      <w:numFmt w:val="decimal"/>
      <w:start w:val="5"/>
    </w:lvl>
  </w:abstractNum>
  <w:abstractNum w:abstractNumId="11">
    <w:nsid w:val="41A7C4C9"/>
    <w:multiLevelType w:val="hybridMultilevel"/>
    <w:lvl w:ilvl="0">
      <w:lvlJc w:val="left"/>
      <w:lvlText w:val="*"/>
      <w:numFmt w:val="bullet"/>
      <w:start w:val="1"/>
    </w:lvl>
    <w:lvl w:ilvl="1">
      <w:lvlJc w:val="left"/>
      <w:lvlText w:val="%2."/>
      <w:numFmt w:val="decimal"/>
      <w:start w:val="9"/>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3"/>
    </w:lvl>
    <w:lvl w:ilvl="1">
      <w:lvlJc w:val="left"/>
      <w:lvlText w:val="%2."/>
      <w:numFmt w:val="decimal"/>
      <w:start w:val="5"/>
    </w:lvl>
  </w:abstractNum>
  <w:abstractNum w:abstractNumId="14">
    <w:nsid w:val="25E45D32"/>
    <w:multiLevelType w:val="hybridMultilevel"/>
    <w:lvl w:ilvl="0">
      <w:lvlJc w:val="left"/>
      <w:lvlText w:val="*"/>
      <w:numFmt w:val="bullet"/>
      <w:start w:val="1"/>
    </w:lvl>
    <w:lvl w:ilvl="1">
      <w:lvlJc w:val="left"/>
      <w:lvlText w:val="%2."/>
      <w:numFmt w:val="decimal"/>
      <w:start w:val="9"/>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2023-02-14T10:04:24Z</dcterms:created>
  <dcterms:modified xsi:type="dcterms:W3CDTF">2023-02-14T10:04:24Z</dcterms:modified>
</cp:coreProperties>
</file>