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4,066,700.00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4,066,700.00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4,066,700.00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4,066,700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4,066,700 shares or 5.7% of the 71,730,033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4,066,700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4,066,700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2026-02-12T09:30:35Z</dcterms:created>
  <dcterms:modified xsi:type="dcterms:W3CDTF">2026-02-12T09:30:35Z</dcterms:modified>
</cp:coreProperties>
</file>