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5872488.xml.htm"/>
      <w:bookmarkStart w:id="1" w:name="kswkform4_17458724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NEAL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04/24/2025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0"/>
        <w:gridCol w:w="917"/>
        <w:gridCol w:w="785"/>
        <w:gridCol w:w="609"/>
        <w:gridCol w:w="347"/>
        <w:gridCol w:w="837"/>
        <w:gridCol w:w="444"/>
        <w:gridCol w:w="985"/>
        <w:gridCol w:w="1151"/>
        <w:gridCol w:w="991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04/24/2025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8,565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41.8975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2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04/24/2025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3,435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42.4095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purchased in multiple transactions at prices ranging from $41.30 to $42.28. Details on the number of shares purchased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1,510 shares previously reported as directly owned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purchased in multiple transactions at prices ranging from $42.30 to $42.57. Details on the number of shares purchased at each separate price will be provided to the staff of the Securities and Exchange Commission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Kathy Medford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774" TargetMode="External"/><Relationship Id="rId5" Type="http://schemas.openxmlformats.org/officeDocument/2006/relationships/hyperlink" Target="http://www.sec.gov/cgi-bin/browse-edgar?action=getcompany&amp;CIK=0001603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688</Words>
  <Characters>3705</Characters>
  <CharactersWithSpaces>4324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