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24,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720" w:space="720"/>
            <w:col w:w="3160"/>
          </w:cols>
          <w:pgMar w:left="320" w:top="733" w:right="339" w:bottom="1440" w:gutter="0" w:footer="0" w:header="0"/>
          <w:type w:val="continuous"/>
        </w:sectPr>
      </w:pPr>
    </w:p>
    <w:p>
      <w:pPr>
        <w:ind w:left="134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240"/>
          </w:cols>
          <w:pgMar w:left="320" w:top="733" w:right="339" w:bottom="1440" w:gutter="0" w:footer="0" w:header="0"/>
          <w:type w:val="continuous"/>
        </w:sectPr>
      </w:pPr>
    </w:p>
    <w:p>
      <w:pPr>
        <w:spacing w:after="0" w:line="245" w:lineRule="exact"/>
        <w:rPr>
          <w:sz w:val="24"/>
          <w:szCs w:val="24"/>
          <w:color w:val="auto"/>
        </w:rPr>
      </w:pPr>
    </w:p>
    <w:p>
      <w:pPr>
        <w:ind w:left="1340"/>
        <w:spacing w:after="0"/>
        <w:rPr>
          <w:sz w:val="20"/>
          <w:szCs w:val="20"/>
          <w:color w:val="auto"/>
        </w:rPr>
      </w:pPr>
      <w:r>
        <w:rPr>
          <w:rFonts w:ascii="Arial" w:cs="Arial" w:eastAsia="Arial" w:hAnsi="Arial"/>
          <w:sz w:val="15"/>
          <w:szCs w:val="15"/>
          <w:b w:val="1"/>
          <w:bCs w:val="1"/>
          <w:color w:val="auto"/>
        </w:rPr>
        <w:t>2000 St. James Place, Houston, Texas</w:t>
      </w:r>
    </w:p>
    <w:p>
      <w:pPr>
        <w:spacing w:after="0" w:line="62"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jc w:val="center"/>
        <w:ind w:right="2800"/>
        <w:spacing w:after="0"/>
        <w:rPr>
          <w:sz w:val="20"/>
          <w:szCs w:val="20"/>
          <w:color w:val="auto"/>
        </w:rPr>
      </w:pPr>
      <w:r>
        <w:rPr>
          <w:rFonts w:ascii="Arial" w:cs="Arial" w:eastAsia="Arial" w:hAnsi="Arial"/>
          <w:sz w:val="18"/>
          <w:szCs w:val="18"/>
          <w:b w:val="1"/>
          <w:bCs w:val="1"/>
          <w:color w:val="auto"/>
        </w:rPr>
        <w:t>77056</w:t>
      </w:r>
    </w:p>
    <w:p>
      <w:pPr>
        <w:spacing w:after="0" w:line="27" w:lineRule="exact"/>
        <w:rPr>
          <w:sz w:val="24"/>
          <w:szCs w:val="24"/>
          <w:color w:val="auto"/>
        </w:rPr>
      </w:pPr>
    </w:p>
    <w:p>
      <w:pPr>
        <w:jc w:val="center"/>
        <w:ind w:right="28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940" w:space="720"/>
            <w:col w:w="3580"/>
          </w:cols>
          <w:pgMar w:left="320" w:top="733"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836-4000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par value $0.001 per share</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6"/>
              </w:rPr>
              <w:t>WFRD</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340"/>
        <w:spacing w:after="0" w:line="207" w:lineRule="exact"/>
        <w:tabs>
          <w:tab w:leader="none" w:pos="2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2.03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previously disclosed, Weatherford International Ltd. (“WIL-Bermuda”), Weatherford International, LLC (“WIL-Delaware”), Weatherford Canada Ltd. (“WIL-Canada”, and, together with WIL-Bermuda and WIL-Delaware, the “Borrowers”), as borrowers, and Weatherford International plc (the “Company”), as parent, entered into an amended and restated credit agreement (as amended and supplemented by the Canadian Borrower Joinder, dated as of November 22, 2022, the Additional Lender Supplement, dated as of November 22, 2022, the First Amendment to Amended and Restated Credit Agreement, dated as of November 22, 2022, the Second Amendment to Amended and Restated Credit Agreement, dated as of January 6, 2023, and the Third Amendment (as defined below), the “Amended and Restated Credit Agreement”) with the lenders party thereto and Wells Fargo Bank, National Association, as administrative agent (in such capacity, the “Administrative Agent”), on October 17, 2022. Capitalized terms not defined herein shall have the meanings set forth in the Amended and Restated Credit Agreement.</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March 24, 2023, the Borrowers, the Company and the Administrative Agent entered into the Third Amendment to Amended and Restated Credit Agreement (the “Third Amendment”), which permits unlimited prepayments and other Redemptions of indebtedness (which previously was limited to $500,000,000), subject to (i) the ratio of funded debt (net of unrestricted cash in excess of $400 million) to consolidated adjusted EBITDA not exceeding 2.50 to 1.00, (ii) no Default or Event of Default existing and (iii) Aggregate Liquidity equaling or exceeding $300,000,000 (which previously was $350,000,000). The material terms of the Amended and Restated Credit Agreement are otherwise unchanged by the Third Amendment.</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Third Amendment is only a summary and does not purport to be complete and is qualified in its entirety by reference to the full text of the Third Amendment, a copy of which is attached hereto as Exhibit 10.1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640" w:type="dxa"/>
            <w:vAlign w:val="bottom"/>
          </w:tcPr>
          <w:p>
            <w:pPr>
              <w:spacing w:after="0"/>
              <w:rPr>
                <w:sz w:val="18"/>
                <w:szCs w:val="18"/>
                <w:color w:val="auto"/>
              </w:rPr>
            </w:pPr>
          </w:p>
        </w:tc>
        <w:tc>
          <w:tcPr>
            <w:tcW w:w="7240" w:type="dxa"/>
            <w:vAlign w:val="bottom"/>
          </w:tcPr>
          <w:p>
            <w:pPr>
              <w:spacing w:after="0"/>
              <w:rPr>
                <w:sz w:val="18"/>
                <w:szCs w:val="18"/>
                <w:color w:val="auto"/>
              </w:rPr>
            </w:pPr>
          </w:p>
        </w:tc>
      </w:t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EE"/>
                <w:w w:val="92"/>
              </w:rPr>
              <w:t>Third Amendment to Amended and Restated Credit Agreement, dated as of March 24, 2023, by and among Weatherford International</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8"/>
              </w:rPr>
              <w:t>Ltd., Weatherford International, LLC, Weatherford Canada Ltd., Weatherford International plc and Wells Fargo Bank, National</w:t>
            </w: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
          </w:tcPr>
          <w:p>
            <w:pPr>
              <w:spacing w:after="0" w:line="196" w:lineRule="exact"/>
              <w:rPr>
                <w:sz w:val="20"/>
                <w:szCs w:val="20"/>
                <w:color w:val="auto"/>
              </w:rPr>
            </w:pPr>
            <w:r>
              <w:rPr>
                <w:rFonts w:ascii="Arial" w:cs="Arial" w:eastAsia="Arial" w:hAnsi="Arial"/>
                <w:sz w:val="18"/>
                <w:szCs w:val="18"/>
                <w:color w:val="0000EE"/>
              </w:rPr>
              <w:t>Association, as administrative agent.</w:t>
            </w: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2023</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Arunava Mitra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AMENDED AND RESTATED CREDIT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THIRD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March 24, 2023, is entered into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WEATHERFORD CANADA LTD., an Alberta corporation (“</w:t>
      </w:r>
      <w:r>
        <w:rPr>
          <w:rFonts w:ascii="Arial" w:cs="Arial" w:eastAsia="Arial" w:hAnsi="Arial"/>
          <w:sz w:val="18"/>
          <w:szCs w:val="18"/>
          <w:u w:val="single" w:color="auto"/>
          <w:color w:val="auto"/>
        </w:rPr>
        <w:t>WIL-Canada</w:t>
      </w:r>
      <w:r>
        <w:rPr>
          <w:rFonts w:ascii="Arial" w:cs="Arial" w:eastAsia="Arial" w:hAnsi="Arial"/>
          <w:sz w:val="18"/>
          <w:szCs w:val="18"/>
          <w:color w:val="auto"/>
        </w:rPr>
        <w:t>” and, together with WIL-Bermuda and WIL-Delaware, the “</w:t>
      </w:r>
      <w:r>
        <w:rPr>
          <w:rFonts w:ascii="Arial" w:cs="Arial" w:eastAsia="Arial" w:hAnsi="Arial"/>
          <w:sz w:val="18"/>
          <w:szCs w:val="18"/>
          <w:u w:val="single" w:color="auto"/>
          <w:color w:val="auto"/>
        </w:rPr>
        <w:t>Borrowers</w:t>
      </w:r>
      <w:r>
        <w:rPr>
          <w:rFonts w:ascii="Arial" w:cs="Arial" w:eastAsia="Arial" w:hAnsi="Arial"/>
          <w:sz w:val="18"/>
          <w:szCs w:val="18"/>
          <w:color w:val="auto"/>
        </w:rPr>
        <w:t>”), WEATHERFORD INTERNATIONAL PLC, as Parent (“</w:t>
      </w:r>
      <w:r>
        <w:rPr>
          <w:rFonts w:ascii="Arial" w:cs="Arial" w:eastAsia="Arial" w:hAnsi="Arial"/>
          <w:sz w:val="18"/>
          <w:szCs w:val="18"/>
          <w:u w:val="single" w:color="auto"/>
          <w:color w:val="auto"/>
        </w:rPr>
        <w:t>Parent</w:t>
      </w:r>
      <w:r>
        <w:rPr>
          <w:rFonts w:ascii="Arial" w:cs="Arial" w:eastAsia="Arial" w:hAnsi="Arial"/>
          <w:sz w:val="18"/>
          <w:szCs w:val="18"/>
          <w:color w:val="auto"/>
        </w:rPr>
        <w:t>”), and WELLS FARGO BANK, NATIONAL ASSOCIATION, as administrative agent for the Lenders (“</w:t>
      </w:r>
      <w:r>
        <w:rPr>
          <w:rFonts w:ascii="Arial" w:cs="Arial" w:eastAsia="Arial" w:hAnsi="Arial"/>
          <w:sz w:val="18"/>
          <w:szCs w:val="18"/>
          <w:u w:val="single" w:color="auto"/>
          <w:color w:val="auto"/>
        </w:rPr>
        <w:t>Wells Fargo</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Borrowers, Parent, Wells Fargo, and the Lenders party thereto from time to time are party to that certain Amended and Restated Credit Agreement, dated as of October 17, 2022 (as amended, supplemented or otherwise modified prior to the date hereof, the “</w:t>
      </w:r>
      <w:r>
        <w:rPr>
          <w:rFonts w:ascii="Arial" w:cs="Arial" w:eastAsia="Arial" w:hAnsi="Arial"/>
          <w:sz w:val="18"/>
          <w:szCs w:val="18"/>
          <w:u w:val="single" w:color="auto"/>
          <w:color w:val="auto"/>
        </w:rPr>
        <w:t>Existing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as amended by this Amendment and as may be further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Parent and the Borrowers have requested certain amendments to the Existing Credit Agreement, including to remove the existing $500,000,000 cap on Redemptions of Indebtedness under Section 9.08(l);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subject to the terms and conditions contained herein, Wells Fargo, the Lenders party hereto, Parent and the Borrowers have agreed to amend the Credit Agreement as hereinafter set forth to address the foregoing.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           </w:t>
      </w:r>
      <w:r>
        <w:rPr>
          <w:rFonts w:ascii="Arial" w:cs="Arial" w:eastAsia="Arial" w:hAnsi="Arial"/>
          <w:sz w:val="18"/>
          <w:szCs w:val="18"/>
          <w:u w:val="single" w:color="auto"/>
          <w:color w:val="auto"/>
        </w:rPr>
        <w:t>  Defined Terms; Section References</w:t>
      </w:r>
      <w:r>
        <w:rPr>
          <w:rFonts w:ascii="Arial" w:cs="Arial" w:eastAsia="Arial" w:hAnsi="Arial"/>
          <w:sz w:val="18"/>
          <w:szCs w:val="18"/>
          <w:color w:val="auto"/>
        </w:rPr>
        <w:t>. Capitalized terms used herein but not otherwise defined herein shall have the meanings provided to such terms in the Credit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  Amendments to Existing Credit Agreement</w:t>
      </w:r>
      <w:r>
        <w:rPr>
          <w:rFonts w:ascii="Arial" w:cs="Arial" w:eastAsia="Arial" w:hAnsi="Arial"/>
          <w:sz w:val="18"/>
          <w:szCs w:val="18"/>
          <w:color w:val="auto"/>
        </w:rPr>
        <w:t xml:space="preserve">. Section 9.08(l) of the Existing Credit Agreement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70C0"/>
        </w:rPr>
        <w:t>double-underlined text</w:t>
      </w:r>
      <w:r>
        <w:rPr>
          <w:rFonts w:ascii="Arial" w:cs="Arial" w:eastAsia="Arial" w:hAnsi="Arial"/>
          <w:sz w:val="18"/>
          <w:szCs w:val="18"/>
          <w:color w:val="auto"/>
        </w:rPr>
        <w:t>) as set forth below:</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(l)             Parent and its Restricted Subsidiaries may make other Restricted Payments described in clause (c) of the definition thereof, it being understood that no equity or dividend payments or other distributions in respect of Capital Stock may be made pursuant to this </w:t>
      </w:r>
      <w:r>
        <w:rPr>
          <w:rFonts w:ascii="Arial" w:cs="Arial" w:eastAsia="Arial" w:hAnsi="Arial"/>
          <w:sz w:val="17"/>
          <w:szCs w:val="17"/>
          <w:u w:val="single" w:color="auto"/>
          <w:color w:val="auto"/>
        </w:rPr>
        <w:t>Section 9.08(l)</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thereof and immediately after giving effect thereto, (i) </w:t>
      </w:r>
      <w:r>
        <w:rPr>
          <w:rFonts w:ascii="Arial" w:cs="Arial" w:eastAsia="Arial" w:hAnsi="Arial"/>
          <w:sz w:val="17"/>
          <w:szCs w:val="17"/>
          <w:color w:val="FF0000"/>
          <w:strike w:val="1"/>
        </w:rPr>
        <w:t>the amount of all such Restricted Payments made pursuant to this</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 xml:space="preserve">Section 9.08(l) </w:t>
      </w:r>
      <w:r>
        <w:rPr>
          <w:rFonts w:ascii="Arial" w:cs="Arial" w:eastAsia="Arial" w:hAnsi="Arial"/>
          <w:sz w:val="17"/>
          <w:szCs w:val="17"/>
          <w:color w:val="FF0000"/>
          <w:strike w:val="1"/>
        </w:rPr>
        <w:t>in the aggregate shall not exceed $500,000,000 (together with the amount of accrued and unpaid interest, premiums and reasonable</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expenses paid in connection with such Restricted Payments) </w:t>
      </w:r>
      <w:r>
        <w:rPr>
          <w:rFonts w:ascii="Arial" w:cs="Arial" w:eastAsia="Arial" w:hAnsi="Arial"/>
          <w:sz w:val="17"/>
          <w:szCs w:val="17"/>
          <w:color w:val="0070C0"/>
          <w:strike w:val="1"/>
        </w:rPr>
        <w:t>the Leverage Ratio (calculated both (x) as of the last day of the most recently ended period for</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70C0"/>
          <w:strike w:val="1"/>
        </w:rPr>
        <w:t>which financial statements are available and (y) as of the last day of the most recently ended period for which financial statements are available as if such Restricted Payment had been made on the last day of such period) shall not exceed 2.50 to 1.00</w:t>
      </w:r>
      <w:r>
        <w:rPr>
          <w:rFonts w:ascii="Arial" w:cs="Arial" w:eastAsia="Arial" w:hAnsi="Arial"/>
          <w:sz w:val="17"/>
          <w:szCs w:val="17"/>
          <w:color w:val="000000"/>
          <w:strike w:val="1"/>
        </w:rPr>
        <w:t>, (ii) no Default or Event of Default shall have occurred and</w:t>
      </w:r>
      <w:r>
        <w:rPr>
          <w:rFonts w:ascii="Arial" w:cs="Arial" w:eastAsia="Arial" w:hAnsi="Arial"/>
          <w:sz w:val="17"/>
          <w:szCs w:val="17"/>
          <w:color w:val="0070C0"/>
          <w:strike w:val="1"/>
        </w:rPr>
        <w:t xml:space="preserve"> </w:t>
      </w:r>
      <w:r>
        <w:rPr>
          <w:rFonts w:ascii="Arial" w:cs="Arial" w:eastAsia="Arial" w:hAnsi="Arial"/>
          <w:sz w:val="17"/>
          <w:szCs w:val="17"/>
          <w:color w:val="000000"/>
          <w:strike w:val="1"/>
        </w:rPr>
        <w:t>be continuing and (iii) the Aggregate Liquidity is at least $</w:t>
      </w:r>
      <w:r>
        <w:rPr>
          <w:rFonts w:ascii="Arial" w:cs="Arial" w:eastAsia="Arial" w:hAnsi="Arial"/>
          <w:sz w:val="17"/>
          <w:szCs w:val="17"/>
          <w:color w:val="FF0000"/>
          <w:strike w:val="1"/>
        </w:rPr>
        <w:t>350,000,000</w:t>
      </w:r>
      <w:r>
        <w:rPr>
          <w:rFonts w:ascii="Arial" w:cs="Arial" w:eastAsia="Arial" w:hAnsi="Arial"/>
          <w:sz w:val="17"/>
          <w:szCs w:val="17"/>
          <w:u w:val="single" w:color="auto"/>
          <w:color w:val="0070C0"/>
          <w:strike w:val="1"/>
        </w:rPr>
        <w:t>300,000,000</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-425450</wp:posOffset>
            </wp:positionV>
            <wp:extent cx="43630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-451485</wp:posOffset>
            </wp:positionV>
            <wp:extent cx="4365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65625"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firstLine="648"/>
        <w:spacing w:after="0" w:line="277" w:lineRule="auto"/>
        <w:rPr>
          <w:sz w:val="20"/>
          <w:szCs w:val="20"/>
          <w:color w:val="auto"/>
        </w:rPr>
      </w:pPr>
      <w:r>
        <w:rPr>
          <w:rFonts w:ascii="Arial" w:cs="Arial" w:eastAsia="Arial" w:hAnsi="Arial"/>
          <w:sz w:val="18"/>
          <w:szCs w:val="18"/>
          <w:color w:val="auto"/>
        </w:rPr>
        <w:t>3.           </w:t>
      </w:r>
      <w:r>
        <w:rPr>
          <w:rFonts w:ascii="Arial" w:cs="Arial" w:eastAsia="Arial" w:hAnsi="Arial"/>
          <w:sz w:val="18"/>
          <w:szCs w:val="18"/>
          <w:u w:val="single" w:color="auto"/>
          <w:color w:val="auto"/>
        </w:rPr>
        <w:t>  Conditions Precedent</w:t>
      </w:r>
      <w:r>
        <w:rPr>
          <w:rFonts w:ascii="Arial" w:cs="Arial" w:eastAsia="Arial" w:hAnsi="Arial"/>
          <w:sz w:val="18"/>
          <w:szCs w:val="18"/>
          <w:color w:val="auto"/>
        </w:rPr>
        <w:t>. The effectiveness of this Amendment is subject to the satisfaction of each of the following conditions (the date of the satisfaction of all such conditions,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             Wells Fargo shall have received duly executed counterparts of this Amendment from Parent, each of the Borrowers and Lenders constituting at least the Required Lenders.</w:t>
      </w:r>
    </w:p>
    <w:p>
      <w:pPr>
        <w:spacing w:after="0" w:line="17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(b)             The Borrowers shall have paid to the extent invoiced at or before 1:00 p.m., New York City time, on the Business Day immediately prior to the Third Amendment Effective Date, all reasonable and documented out-of-pocket expenses required to be reimbursed or paid by the Borrowers pursuant to Section 12.03 of the Credit Agreement.</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(c)             Wells Fargo shall have received a certificate of a Responsible Officer of Parent, dated as of the Third Amendment Effective Date, certifying as to the matters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           </w:t>
      </w:r>
      <w:r>
        <w:rPr>
          <w:rFonts w:ascii="Arial" w:cs="Arial" w:eastAsia="Arial" w:hAnsi="Arial"/>
          <w:sz w:val="18"/>
          <w:szCs w:val="18"/>
          <w:u w:val="single" w:color="auto"/>
          <w:color w:val="auto"/>
        </w:rPr>
        <w:t>  Representations and Warranties</w:t>
      </w:r>
      <w:r>
        <w:rPr>
          <w:rFonts w:ascii="Arial" w:cs="Arial" w:eastAsia="Arial" w:hAnsi="Arial"/>
          <w:sz w:val="18"/>
          <w:szCs w:val="18"/>
          <w:color w:val="auto"/>
        </w:rPr>
        <w:t>. Parent and each of the Borrowers represents and warrants to Wells Fargo that, as of the Third Amendment Effective Date:</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(a)             the representations and warranties set forth in Article VII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Third Amendment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no Default or Event of Default has occurred and is continuing as of the Third Amendment Effective Date, and</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this Amendment constitutes the legal, valid and binding obligation of each of the Obligors party hereto, enforceable against each such Obligor in accordance with its terms, except as enforceability may be limited by applicable bankruptcy, insolvency, rescue process or similar laws affecting the enforcement of creditors’ rights generally or by equitable principles of general applicability.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w:t>
      </w:r>
      <w:r>
        <w:rPr>
          <w:rFonts w:ascii="Arial" w:cs="Arial" w:eastAsia="Arial" w:hAnsi="Arial"/>
          <w:sz w:val="18"/>
          <w:szCs w:val="18"/>
          <w:u w:val="single" w:color="auto"/>
          <w:color w:val="auto"/>
        </w:rPr>
        <w:t>  Reaffirmation; Reference to and Effect on the Loan Documents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From and after the Third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             The Loan Documents, and the obligations of the Borrowers and the Obligors under the Loan Documents, are hereby ratified and confirmed and shall remain in full force and effect according to their terms.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             Each of Parent and the Borrowers, on their own behalf and on behalf of each other Obligor that is a Subsidiary thereof,</w:t>
      </w:r>
    </w:p>
    <w:p>
      <w:pPr>
        <w:spacing w:after="0" w:line="35" w:lineRule="exact"/>
        <w:rPr>
          <w:sz w:val="20"/>
          <w:szCs w:val="20"/>
          <w:color w:val="auto"/>
        </w:rPr>
      </w:pPr>
    </w:p>
    <w:p>
      <w:pPr>
        <w:jc w:val="both"/>
        <w:ind w:firstLine="8"/>
        <w:spacing w:after="0" w:line="270" w:lineRule="auto"/>
        <w:tabs>
          <w:tab w:leader="none" w:pos="217" w:val="left"/>
        </w:tabs>
        <w:numPr>
          <w:ilvl w:val="0"/>
          <w:numId w:val="3"/>
        </w:numPr>
        <w:rPr>
          <w:rFonts w:ascii="Arial" w:cs="Arial" w:eastAsia="Arial" w:hAnsi="Arial"/>
          <w:sz w:val="17"/>
          <w:szCs w:val="17"/>
          <w:color w:val="auto"/>
        </w:rPr>
      </w:pPr>
      <w:r>
        <w:rPr>
          <w:rFonts w:ascii="Arial" w:cs="Arial" w:eastAsia="Arial" w:hAnsi="Arial"/>
          <w:sz w:val="17"/>
          <w:szCs w:val="17"/>
          <w:color w:val="auto"/>
        </w:rPr>
        <w:t>acknowledges and consents to all of the terms and conditions of this Amendment, (ii) affirms all of its obligations under the Loan Documents, including the Guaranty Agreements, to which it is a party, (iii) agrees that this Amendment and all documents executed in connection herewith do not operate to reduce or discharge its obligations under the Loan Documents, (iv) agrees that the Collateral Documents to which it is a party continue to be in full force and effect and are not impaired or adversely affected by this Amendment, (v) confirms its grant of security interests pursuant to the Collateral Documents to which it is a party as Collateral for the Secured Obligations and (vi) acknowledges that all Liens granted (or purported to be granted) by it pursuant to the Loan Documents remain and continue in full force and effect in respect of, and to secure, the Secured Obligations.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1296"/>
        <w:spacing w:after="0" w:line="263" w:lineRule="auto"/>
        <w:rPr>
          <w:sz w:val="20"/>
          <w:szCs w:val="20"/>
          <w:color w:val="auto"/>
        </w:rPr>
      </w:pPr>
      <w:r>
        <w:rPr>
          <w:rFonts w:ascii="Arial" w:cs="Arial" w:eastAsia="Arial" w:hAnsi="Arial"/>
          <w:sz w:val="18"/>
          <w:szCs w:val="18"/>
          <w:color w:val="auto"/>
        </w:rPr>
        <w:t>(d)             The execution, delivery and effectiveness of this Amendment shall not, except as expressly provided herein, operate as a waiver of any right, power or remedy of any Lender or Wells Fargo under any of the Loan Documents, nor constitute a waiver of any provision of any of the Loan Documents.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             In the event of any conflict between the terms of this Amendment and the terms of the Credit Agreement or the other Loan Documents, the terms hereof shall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w:t>
      </w:r>
      <w:r>
        <w:rPr>
          <w:rFonts w:ascii="Arial" w:cs="Arial" w:eastAsia="Arial" w:hAnsi="Arial"/>
          <w:sz w:val="18"/>
          <w:szCs w:val="18"/>
          <w:u w:val="single" w:color="auto"/>
          <w:color w:val="auto"/>
        </w:rPr>
        <w:t>  Governing Law; Jurisdiction; Consent to Service of Process; Waiver of Jury Trial, Etc</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             This Amendment shall be construed in accordance with and governed by the law of the State of New York, without regard to conflict of laws principles thereof to the extent such principles would cause the application of the law of another state.</w:t>
      </w:r>
    </w:p>
    <w:p>
      <w:pPr>
        <w:spacing w:after="0" w:line="16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(b)             EACH PARTY HERETO HEREBY AGREES AS SET FORTH IN SECTION 12.16 WAIVER OF JURY TRIAL OF THE CREDIT AGREEMENT AS IF SUCH SECTION WAS SET FORTH IN FULL HEREIN</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7.           </w:t>
      </w:r>
      <w:r>
        <w:rPr>
          <w:rFonts w:ascii="Arial" w:cs="Arial" w:eastAsia="Arial" w:hAnsi="Arial"/>
          <w:sz w:val="18"/>
          <w:szCs w:val="18"/>
          <w:u w:val="single" w:color="auto"/>
          <w:color w:val="auto"/>
        </w:rPr>
        <w:t>  Amendments; Headings; Severability</w:t>
      </w:r>
      <w:r>
        <w:rPr>
          <w:rFonts w:ascii="Arial" w:cs="Arial" w:eastAsia="Arial" w:hAnsi="Arial"/>
          <w:sz w:val="18"/>
          <w:szCs w:val="18"/>
          <w:color w:val="auto"/>
        </w:rPr>
        <w:t>. This Amendment may not be amended nor 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8.           </w:t>
      </w:r>
      <w:r>
        <w:rPr>
          <w:rFonts w:ascii="Arial" w:cs="Arial" w:eastAsia="Arial" w:hAnsi="Arial"/>
          <w:sz w:val="16"/>
          <w:szCs w:val="16"/>
          <w:u w:val="single" w:color="auto"/>
          <w:color w:val="auto"/>
        </w:rPr>
        <w:t>  Execution in Counterparts</w:t>
      </w:r>
      <w:r>
        <w:rPr>
          <w:rFonts w:ascii="Arial" w:cs="Arial" w:eastAsia="Arial" w:hAnsi="Arial"/>
          <w:sz w:val="16"/>
          <w:szCs w:val="16"/>
          <w:color w:val="auto"/>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Wells Fargo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.pdf format) shall be effective for all purposes as delivery of a manually executed counterpart of this Amendment.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9019"/>
          </w:cols>
          <w:pgMar w:left="1440" w:top="908"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7" w:name="page8"/>
    <w:bookmarkEnd w:id="7"/>
    <w:p>
      <w:pPr>
        <w:ind w:left="660"/>
        <w:spacing w:after="0"/>
        <w:rPr>
          <w:sz w:val="20"/>
          <w:szCs w:val="20"/>
          <w:color w:val="auto"/>
        </w:rPr>
      </w:pPr>
      <w:r>
        <w:rPr>
          <w:rFonts w:ascii="Arial" w:cs="Arial" w:eastAsia="Arial" w:hAnsi="Arial"/>
          <w:sz w:val="16"/>
          <w:szCs w:val="16"/>
          <w:color w:val="auto"/>
        </w:rPr>
        <w:t>Each of the parties hereto has caused a counterpart of this Amendment to be duly executed and delivered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WIL-BERMUDA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Bermuda exempted company</w:t>
      </w:r>
    </w:p>
    <w:p>
      <w:pPr>
        <w:spacing w:after="0" w:line="200" w:lineRule="exact"/>
        <w:rPr>
          <w:sz w:val="20"/>
          <w:szCs w:val="20"/>
          <w:color w:val="auto"/>
        </w:rPr>
      </w:pP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and Assistant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WIL-DELAWARE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WIL-CANADA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CANADA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Alberta corporation</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908" w:right="9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PARENT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its lawfully appointed attorney: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 the presence of:</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Pam Davis</w:t>
            </w:r>
          </w:p>
        </w:tc>
        <w:tc>
          <w:tcPr>
            <w:tcW w:w="2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Signature of Witness</w:t>
            </w:r>
          </w:p>
        </w:tc>
        <w:tc>
          <w:tcPr>
            <w:tcW w:w="22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Signature of Attorney</w:t>
            </w:r>
          </w:p>
        </w:tc>
      </w:tr>
      <w:tr>
        <w:trPr>
          <w:trHeight w:val="41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Pam Davis</w:t>
            </w:r>
          </w:p>
        </w:tc>
        <w:tc>
          <w:tcPr>
            <w:tcW w:w="2260" w:type="dxa"/>
            <w:vAlign w:val="bottom"/>
          </w:tcPr>
          <w:p>
            <w:pPr>
              <w:spacing w:after="0"/>
              <w:rPr>
                <w:sz w:val="24"/>
                <w:szCs w:val="24"/>
                <w:color w:val="auto"/>
              </w:rPr>
            </w:pPr>
          </w:p>
        </w:tc>
        <w:tc>
          <w:tcPr>
            <w:tcW w:w="44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Scott C. Weatherholt</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Print Name of Witness</w:t>
            </w:r>
          </w:p>
        </w:tc>
        <w:tc>
          <w:tcPr>
            <w:tcW w:w="22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Print Name of Attorney</w:t>
            </w:r>
          </w:p>
        </w:tc>
      </w:tr>
      <w:tr>
        <w:trPr>
          <w:trHeight w:val="403"/>
        </w:trPr>
        <w:tc>
          <w:tcPr>
            <w:tcW w:w="4500" w:type="dxa"/>
            <w:vAlign w:val="bottom"/>
          </w:tcPr>
          <w:p>
            <w:pPr>
              <w:jc w:val="center"/>
              <w:spacing w:after="0"/>
              <w:rPr>
                <w:sz w:val="20"/>
                <w:szCs w:val="20"/>
                <w:color w:val="auto"/>
              </w:rPr>
            </w:pPr>
            <w:r>
              <w:rPr>
                <w:rFonts w:ascii="Arial" w:cs="Arial" w:eastAsia="Arial" w:hAnsi="Arial"/>
                <w:sz w:val="18"/>
                <w:szCs w:val="18"/>
                <w:color w:val="auto"/>
                <w:w w:val="87"/>
              </w:rPr>
              <w:t>2000 St. James Place, Houston,</w:t>
            </w:r>
          </w:p>
        </w:tc>
        <w:tc>
          <w:tcPr>
            <w:tcW w:w="22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Texas 77056 U.S.A.</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Address of Witness</w:t>
            </w: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1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Paralegal</w:t>
            </w:r>
          </w:p>
        </w:tc>
        <w:tc>
          <w:tcPr>
            <w:tcW w:w="22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Occupation of Witness</w:t>
            </w: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Lender</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right"/>
        <w:ind w:right="1539"/>
        <w:spacing w:after="0"/>
        <w:rPr>
          <w:sz w:val="20"/>
          <w:szCs w:val="20"/>
          <w:color w:val="auto"/>
        </w:rPr>
      </w:pPr>
      <w:r>
        <w:rPr>
          <w:rFonts w:ascii="Arial" w:cs="Arial" w:eastAsia="Arial" w:hAnsi="Arial"/>
          <w:sz w:val="18"/>
          <w:szCs w:val="18"/>
          <w:color w:val="auto"/>
        </w:rPr>
        <w:t>[Signature Page –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 as Lender</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Stephen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 as Lender</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Jacopo Dominissini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Jacopo Dominissini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Gaurav Mathur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Gaurav Mathur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right"/>
        <w:ind w:right="1539"/>
        <w:spacing w:after="0"/>
        <w:rPr>
          <w:sz w:val="20"/>
          <w:szCs w:val="20"/>
          <w:color w:val="auto"/>
        </w:rPr>
      </w:pPr>
      <w:r>
        <w:rPr>
          <w:rFonts w:ascii="Arial" w:cs="Arial" w:eastAsia="Arial" w:hAnsi="Arial"/>
          <w:sz w:val="18"/>
          <w:szCs w:val="18"/>
          <w:color w:val="auto"/>
        </w:rPr>
        <w:t>[Signature Page –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 as Lender</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Adrian Adduci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Adrian Adduci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right"/>
        <w:ind w:right="1539"/>
        <w:spacing w:after="0"/>
        <w:rPr>
          <w:sz w:val="20"/>
          <w:szCs w:val="20"/>
          <w:color w:val="auto"/>
        </w:rPr>
      </w:pPr>
      <w:r>
        <w:rPr>
          <w:rFonts w:ascii="Arial" w:cs="Arial" w:eastAsia="Arial" w:hAnsi="Arial"/>
          <w:sz w:val="18"/>
          <w:szCs w:val="18"/>
          <w:color w:val="auto"/>
        </w:rPr>
        <w:t>[Signature Page –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12" w:name="page13"/>
    <w:bookmarkEnd w:id="12"/>
    <w:p>
      <w:pPr>
        <w:spacing w:after="0"/>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STANDARD CHARTERED BANK, as Lender</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Kristopher Tracy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Kristopher Tracy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Financing Solutions</w:t>
            </w:r>
          </w:p>
        </w:tc>
      </w:tr>
    </w:tbl>
    <w:p>
      <w:pPr>
        <w:spacing w:after="0" w:line="222" w:lineRule="exact"/>
        <w:rPr>
          <w:sz w:val="20"/>
          <w:szCs w:val="20"/>
          <w:color w:val="auto"/>
        </w:rPr>
      </w:pPr>
    </w:p>
    <w:p>
      <w:pPr>
        <w:jc w:val="right"/>
        <w:ind w:right="939"/>
        <w:spacing w:after="0"/>
        <w:rPr>
          <w:sz w:val="20"/>
          <w:szCs w:val="20"/>
          <w:color w:val="auto"/>
        </w:rPr>
      </w:pPr>
      <w:r>
        <w:rPr>
          <w:rFonts w:ascii="Arial" w:cs="Arial" w:eastAsia="Arial" w:hAnsi="Arial"/>
          <w:sz w:val="22"/>
          <w:szCs w:val="22"/>
          <w:color w:val="auto"/>
        </w:rPr>
        <w:t>[Signature Page –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28" w:right="1440" w:bottom="1440" w:gutter="0" w:footer="0" w:header="0"/>
        </w:sectPr>
      </w:pPr>
    </w:p>
    <w:bookmarkStart w:id="13" w:name="page14"/>
    <w:bookmarkEnd w:id="13"/>
    <w:p>
      <w:pPr>
        <w:spacing w:after="0"/>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Senior Funding, Inc., as Lender</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8" w:lineRule="exact"/>
        <w:rPr>
          <w:sz w:val="20"/>
          <w:szCs w:val="20"/>
          <w:color w:val="auto"/>
        </w:rPr>
      </w:pPr>
    </w:p>
    <w:p>
      <w:pPr>
        <w:jc w:val="right"/>
        <w:ind w:right="939"/>
        <w:spacing w:after="0"/>
        <w:rPr>
          <w:sz w:val="20"/>
          <w:szCs w:val="20"/>
          <w:color w:val="auto"/>
        </w:rPr>
      </w:pPr>
      <w:r>
        <w:rPr>
          <w:rFonts w:ascii="Arial" w:cs="Arial" w:eastAsia="Arial" w:hAnsi="Arial"/>
          <w:sz w:val="22"/>
          <w:szCs w:val="22"/>
          <w:color w:val="auto"/>
        </w:rPr>
        <w:t>[Signature Page –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28" w:right="1440" w:bottom="1440" w:gutter="0" w:footer="0" w:header="0"/>
        </w:sectPr>
      </w:pPr>
    </w:p>
    <w:bookmarkStart w:id="14" w:name="page15"/>
    <w:bookmarkEnd w:id="14"/>
    <w:p>
      <w:pPr>
        <w:spacing w:after="0"/>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ATB FINANCIAL, as Lender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660" w:type="dxa"/>
            <w:vAlign w:val="bottom"/>
            <w:gridSpan w:val="2"/>
          </w:tcPr>
          <w:p>
            <w:pPr>
              <w:spacing w:after="0"/>
              <w:rPr>
                <w:sz w:val="20"/>
                <w:szCs w:val="20"/>
                <w:color w:val="auto"/>
              </w:rPr>
            </w:pPr>
            <w:r>
              <w:rPr>
                <w:rFonts w:ascii="Arial" w:cs="Arial" w:eastAsia="Arial" w:hAnsi="Arial"/>
                <w:sz w:val="18"/>
                <w:szCs w:val="18"/>
                <w:color w:val="auto"/>
              </w:rPr>
              <w:t>/s/ Amish Patel</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Amish Patel</w:t>
            </w:r>
          </w:p>
        </w:tc>
        <w:tc>
          <w:tcPr>
            <w:tcW w:w="5620" w:type="dxa"/>
            <w:vAlign w:val="bottom"/>
          </w:tcPr>
          <w:p>
            <w:pPr>
              <w:spacing w:after="0"/>
              <w:rPr>
                <w:sz w:val="18"/>
                <w:szCs w:val="18"/>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Corporate Banking</w:t>
            </w:r>
          </w:p>
        </w:tc>
        <w:tc>
          <w:tcPr>
            <w:tcW w:w="5620" w:type="dxa"/>
            <w:vAlign w:val="bottom"/>
          </w:tcPr>
          <w:p>
            <w:pPr>
              <w:spacing w:after="0"/>
              <w:rPr>
                <w:sz w:val="18"/>
                <w:szCs w:val="18"/>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660" w:type="dxa"/>
            <w:vAlign w:val="bottom"/>
            <w:gridSpan w:val="2"/>
          </w:tcPr>
          <w:p>
            <w:pPr>
              <w:spacing w:after="0"/>
              <w:rPr>
                <w:sz w:val="20"/>
                <w:szCs w:val="20"/>
                <w:color w:val="auto"/>
              </w:rPr>
            </w:pPr>
            <w:r>
              <w:rPr>
                <w:rFonts w:ascii="Arial" w:cs="Arial" w:eastAsia="Arial" w:hAnsi="Arial"/>
                <w:sz w:val="18"/>
                <w:szCs w:val="18"/>
                <w:color w:val="auto"/>
              </w:rPr>
              <w:t>/s/ Davinder Jhutty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Davinder Jhutty</w:t>
            </w:r>
          </w:p>
        </w:tc>
        <w:tc>
          <w:tcPr>
            <w:tcW w:w="5620" w:type="dxa"/>
            <w:vAlign w:val="bottom"/>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Associate Director</w:t>
            </w:r>
          </w:p>
        </w:tc>
        <w:tc>
          <w:tcPr>
            <w:tcW w:w="5620" w:type="dxa"/>
            <w:vAlign w:val="bottom"/>
          </w:tcPr>
          <w:p>
            <w:pPr>
              <w:spacing w:after="0"/>
              <w:rPr>
                <w:sz w:val="18"/>
                <w:szCs w:val="18"/>
                <w:color w:val="auto"/>
              </w:rPr>
            </w:pPr>
          </w:p>
        </w:tc>
      </w:tr>
      <w:tr>
        <w:trPr>
          <w:trHeight w:val="489"/>
        </w:trPr>
        <w:tc>
          <w:tcPr>
            <w:tcW w:w="580" w:type="dxa"/>
            <w:vAlign w:val="bottom"/>
          </w:tcPr>
          <w:p>
            <w:pPr>
              <w:spacing w:after="0"/>
              <w:rPr>
                <w:sz w:val="24"/>
                <w:szCs w:val="24"/>
                <w:color w:val="auto"/>
              </w:rPr>
            </w:pPr>
          </w:p>
        </w:tc>
        <w:tc>
          <w:tcPr>
            <w:tcW w:w="10660" w:type="dxa"/>
            <w:vAlign w:val="bottom"/>
            <w:gridSpan w:val="2"/>
          </w:tcPr>
          <w:p>
            <w:pPr>
              <w:ind w:left="1460"/>
              <w:spacing w:after="0"/>
              <w:rPr>
                <w:sz w:val="20"/>
                <w:szCs w:val="20"/>
                <w:color w:val="auto"/>
              </w:rPr>
            </w:pPr>
            <w:r>
              <w:rPr>
                <w:rFonts w:ascii="Arial" w:cs="Arial" w:eastAsia="Arial" w:hAnsi="Arial"/>
                <w:sz w:val="22"/>
                <w:szCs w:val="22"/>
                <w:color w:val="auto"/>
              </w:rPr>
              <w:t>[Signature Page – Third Amendment to Amended and Restated Credit Agreement]</w:t>
            </w:r>
          </w:p>
        </w:tc>
      </w:tr>
      <w:tr>
        <w:trPr>
          <w:trHeight w:val="449"/>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8"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6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Ivan Davey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Ivan Davey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8" w:lineRule="exact"/>
        <w:rPr>
          <w:sz w:val="20"/>
          <w:szCs w:val="20"/>
          <w:color w:val="auto"/>
        </w:rPr>
      </w:pPr>
    </w:p>
    <w:p>
      <w:pPr>
        <w:jc w:val="right"/>
        <w:ind w:right="939"/>
        <w:spacing w:after="0"/>
        <w:rPr>
          <w:sz w:val="20"/>
          <w:szCs w:val="20"/>
          <w:color w:val="auto"/>
        </w:rPr>
      </w:pPr>
      <w:r>
        <w:rPr>
          <w:rFonts w:ascii="Arial" w:cs="Arial" w:eastAsia="Arial" w:hAnsi="Arial"/>
          <w:sz w:val="22"/>
          <w:szCs w:val="22"/>
          <w:color w:val="auto"/>
        </w:rPr>
        <w:t>[Signature Page –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2023-03-27T05:38:37Z</dcterms:created>
  <dcterms:modified xsi:type="dcterms:W3CDTF">2023-03-27T05:38:37Z</dcterms:modified>
</cp:coreProperties>
</file>