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53275" cy="90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9017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00" w:firstLine="8"/>
        <w:spacing w:after="0" w:line="226" w:lineRule="exact"/>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90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603"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Value Opportunities Fund Holdings,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401,807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0.6% (2)</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the direct owner of 401,807 shares of common stock, par value $0.001 per share of the Issuer (“Common Stock”).</w:t>
      </w:r>
    </w:p>
    <w:p>
      <w:pPr>
        <w:spacing w:after="0" w:line="157"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of percentage ownership herein are based on a total of 70,017,356 shares of Common Stock issued and outstanding as of October 21, 2020, as reported by the Issuer on its Form 10-Q filed with the United States Securities Exchange Commission (the “SEC”) on November 4, 2020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603"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Value Opportunities Fund GP,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401,807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Value Opportunities Fund GP Ltd.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401,807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401,807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603"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Opps Xb Holdco Ltd.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2,710,524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2,710,524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2,710,524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the direct owner of 2,710,524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603"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Cascade Investment Fund I,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925,129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925,129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925,129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the direct owner of 925,129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Opportunities Fund Xb Holdings (Delaware),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1,953,642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1,953,642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1,953,642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the direct owner of 1,953,642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Fund GP,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2,878,771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2,878,771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2,878,771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right="140" w:hanging="572"/>
        <w:spacing w:after="0" w:line="28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general partner of Oaktree Opportunities Fund Xb Holdings (Delaware), L.P. and Oaktree Cascade Investment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-136525</wp:posOffset>
            </wp:positionV>
            <wp:extent cx="14401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640" w:space="720"/>
            <w:col w:w="94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Fund GP I,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right="240" w:hanging="572"/>
        <w:spacing w:after="0" w:line="26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managing member of Oaktree Fund GP, LLC and the sole shareholder of Oaktree Value Opportunities Fund GP Ltd., Oaktree Opps Xb Holdco Ltd. and certain funds and accounts (the “</w:t>
      </w:r>
      <w:r>
        <w:rPr>
          <w:rFonts w:ascii="Times New Roman" w:cs="Times New Roman" w:eastAsia="Times New Roman" w:hAnsi="Times New Roman"/>
          <w:sz w:val="18"/>
          <w:szCs w:val="18"/>
          <w:b w:val="1"/>
          <w:bCs w:val="1"/>
          <w:i w:val="1"/>
          <w:iCs w:val="1"/>
          <w:color w:val="auto"/>
        </w:rPr>
        <w:t>Managed Entities</w:t>
      </w:r>
      <w:r>
        <w:rPr>
          <w:rFonts w:ascii="Times New Roman" w:cs="Times New Roman" w:eastAsia="Times New Roman" w:hAnsi="Times New Roman"/>
          <w:sz w:val="18"/>
          <w:szCs w:val="18"/>
          <w:color w:val="auto"/>
        </w:rPr>
        <w:t>”) that, in the aggregate, are the direct owners of 928,628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Capital I,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OCM Holdings I,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42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5</w:t>
            </w: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616"/>
              <w:spacing w:after="0"/>
              <w:rPr>
                <w:sz w:val="20"/>
                <w:szCs w:val="20"/>
                <w:color w:val="auto"/>
              </w:rPr>
            </w:pPr>
            <w:r>
              <w:rPr>
                <w:rFonts w:ascii="Times New Roman" w:cs="Times New Roman" w:eastAsia="Times New Roman" w:hAnsi="Times New Roman"/>
                <w:sz w:val="17"/>
                <w:szCs w:val="17"/>
                <w:color w:val="auto"/>
                <w:w w:val="70"/>
              </w:rPr>
              <w:t>6</w:t>
            </w:r>
          </w:p>
        </w:tc>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vMerge w:val="continue"/>
          </w:tcPr>
          <w:p>
            <w:pPr>
              <w:spacing w:after="0"/>
              <w:rPr>
                <w:sz w:val="11"/>
                <w:szCs w:val="11"/>
                <w:color w:val="auto"/>
              </w:rPr>
            </w:pPr>
          </w:p>
        </w:tc>
        <w:tc>
          <w:tcPr>
            <w:tcW w:w="642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42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780" w:type="dxa"/>
            <w:vAlign w:val="bottom"/>
            <w:tcBorders>
              <w:bottom w:val="single" w:sz="8" w:color="auto"/>
              <w:right w:val="single" w:sz="8" w:color="auto"/>
            </w:tcBorders>
          </w:tcPr>
          <w:p>
            <w:pPr>
              <w:spacing w:after="0"/>
              <w:rPr>
                <w:sz w:val="10"/>
                <w:szCs w:val="10"/>
                <w:color w:val="auto"/>
              </w:rPr>
            </w:pPr>
          </w:p>
        </w:tc>
        <w:tc>
          <w:tcPr>
            <w:tcW w:w="642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vMerge w:val="restart"/>
          </w:tcPr>
          <w:p>
            <w:pPr>
              <w:jc w:val="right"/>
              <w:ind w:right="616"/>
              <w:spacing w:after="0"/>
              <w:rPr>
                <w:sz w:val="20"/>
                <w:szCs w:val="20"/>
                <w:color w:val="auto"/>
              </w:rPr>
            </w:pPr>
            <w:r>
              <w:rPr>
                <w:rFonts w:ascii="Times New Roman" w:cs="Times New Roman" w:eastAsia="Times New Roman" w:hAnsi="Times New Roman"/>
                <w:sz w:val="17"/>
                <w:szCs w:val="17"/>
                <w:color w:val="auto"/>
                <w:w w:val="70"/>
              </w:rPr>
              <w:t>7</w:t>
            </w:r>
          </w:p>
        </w:tc>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780" w:type="dxa"/>
            <w:vAlign w:val="bottom"/>
            <w:tcBorders>
              <w:right w:val="single" w:sz="8" w:color="auto"/>
            </w:tcBorders>
            <w:vMerge w:val="continue"/>
          </w:tcPr>
          <w:p>
            <w:pPr>
              <w:spacing w:after="0"/>
              <w:rPr>
                <w:sz w:val="18"/>
                <w:szCs w:val="18"/>
                <w:color w:val="auto"/>
              </w:rPr>
            </w:pPr>
          </w:p>
        </w:tc>
        <w:tc>
          <w:tcPr>
            <w:tcW w:w="642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12"/>
                <w:szCs w:val="12"/>
                <w:color w:val="auto"/>
              </w:rPr>
            </w:pPr>
          </w:p>
        </w:tc>
        <w:tc>
          <w:tcPr>
            <w:tcW w:w="642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vMerge w:val="restart"/>
          </w:tcPr>
          <w:p>
            <w:pPr>
              <w:jc w:val="right"/>
              <w:ind w:right="616"/>
              <w:spacing w:after="0"/>
              <w:rPr>
                <w:sz w:val="20"/>
                <w:szCs w:val="20"/>
                <w:color w:val="auto"/>
              </w:rPr>
            </w:pPr>
            <w:r>
              <w:rPr>
                <w:rFonts w:ascii="Times New Roman" w:cs="Times New Roman" w:eastAsia="Times New Roman" w:hAnsi="Times New Roman"/>
                <w:sz w:val="17"/>
                <w:szCs w:val="17"/>
                <w:color w:val="auto"/>
                <w:w w:val="70"/>
              </w:rPr>
              <w:t>8</w:t>
            </w:r>
          </w:p>
        </w:tc>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42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4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Holdings,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Capital Management,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4,040,959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sole director of Oaktree Value Opportunities Fund GP Ltd. and Oaktree Opps Xb Holdco Ltd.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603"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Capital Management GP,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4,040,959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Atlas OCM Holdings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4,040,959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4,040,959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Capital Group,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Oaktree Capital Group Holdings GP,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Brookfield Asset Management Inc.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Ontario, Canada</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Partners Limited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Ontario, Canada</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Borders>
              <w:left w:val="single" w:sz="8" w:color="auto"/>
            </w:tcBorders>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Borders>
              <w:left w:val="single" w:sz="8" w:color="auto"/>
            </w:tcBorders>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6,919,730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6,919,730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G48833118</w:t>
            </w:r>
          </w:p>
        </w:tc>
        <w:tc>
          <w:tcPr>
            <w:tcW w:w="1660" w:type="dxa"/>
            <w:vAlign w:val="bottom"/>
          </w:tcPr>
          <w:p>
            <w:pPr>
              <w:spacing w:after="0"/>
              <w:rPr>
                <w:sz w:val="21"/>
                <w:szCs w:val="21"/>
                <w:color w:val="auto"/>
              </w:rPr>
            </w:pPr>
          </w:p>
        </w:tc>
        <w:tc>
          <w:tcPr>
            <w:tcW w:w="23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    Name of Issuer:</w:t>
            </w:r>
          </w:p>
        </w:tc>
        <w:tc>
          <w:tcPr>
            <w:tcW w:w="2360" w:type="dxa"/>
            <w:vAlign w:val="bottom"/>
          </w:tcPr>
          <w:p>
            <w:pPr>
              <w:spacing w:after="0"/>
              <w:rPr>
                <w:sz w:val="24"/>
                <w:szCs w:val="24"/>
                <w:color w:val="auto"/>
              </w:rPr>
            </w:pPr>
          </w:p>
        </w:tc>
      </w:tr>
    </w:tbl>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75" w:lineRule="exact"/>
        <w:rPr>
          <w:sz w:val="20"/>
          <w:szCs w:val="20"/>
          <w:color w:val="auto"/>
        </w:rPr>
      </w:pPr>
    </w:p>
    <w:p>
      <w:pPr>
        <w:ind w:left="1700" w:hanging="558"/>
        <w:spacing w:after="0"/>
        <w:tabs>
          <w:tab w:leader="none" w:pos="1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(a)-(c) Name of Person Filing; Address of Principal Business Office; and Citizenship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949" w:lineRule="exact"/>
        <w:rPr>
          <w:sz w:val="20"/>
          <w:szCs w:val="20"/>
          <w:color w:val="auto"/>
        </w:rPr>
      </w:pPr>
    </w:p>
    <w:p>
      <w:pPr>
        <w:sectPr>
          <w:pgSz w:w="11900" w:h="16838" w:orient="portrait"/>
          <w:cols w:equalWidth="0" w:num="2">
            <w:col w:w="9500" w:space="720"/>
            <w:col w:w="1020"/>
          </w:cols>
          <w:pgMar w:left="320" w:top="795" w:right="339" w:bottom="1440" w:gutter="0" w:footer="0" w:header="0"/>
        </w:sectPr>
      </w:pPr>
    </w:p>
    <w:p>
      <w:pPr>
        <w:spacing w:after="0" w:line="52" w:lineRule="exact"/>
        <w:rPr>
          <w:sz w:val="20"/>
          <w:szCs w:val="20"/>
          <w:color w:val="auto"/>
        </w:rPr>
      </w:pPr>
    </w:p>
    <w:p>
      <w:pPr>
        <w:ind w:left="1140" w:right="600"/>
        <w:spacing w:after="0" w:line="286" w:lineRule="auto"/>
        <w:rPr>
          <w:sz w:val="20"/>
          <w:szCs w:val="20"/>
          <w:color w:val="auto"/>
        </w:rPr>
      </w:pPr>
      <w:r>
        <w:rPr>
          <w:rFonts w:ascii="Times New Roman" w:cs="Times New Roman" w:eastAsia="Times New Roman" w:hAnsi="Times New Roman"/>
          <w:sz w:val="18"/>
          <w:szCs w:val="18"/>
          <w:color w:val="auto"/>
        </w:rPr>
        <w:t>This Schedule 13G is filed jointly by each of the following persons (collectively, the “</w:t>
      </w:r>
      <w:r>
        <w:rPr>
          <w:rFonts w:ascii="Times New Roman" w:cs="Times New Roman" w:eastAsia="Times New Roman" w:hAnsi="Times New Roman"/>
          <w:sz w:val="18"/>
          <w:szCs w:val="18"/>
          <w:b w:val="1"/>
          <w:bCs w:val="1"/>
          <w:i w:val="1"/>
          <w:iCs w:val="1"/>
          <w:color w:val="auto"/>
        </w:rPr>
        <w:t>Reporting Persons</w:t>
      </w:r>
      <w:r>
        <w:rPr>
          <w:rFonts w:ascii="Times New Roman" w:cs="Times New Roman" w:eastAsia="Times New Roman" w:hAnsi="Times New Roman"/>
          <w:sz w:val="18"/>
          <w:szCs w:val="18"/>
          <w:color w:val="auto"/>
        </w:rPr>
        <w:t>”) pursuant to a joint filing agreement attached hereto as Exhibit 1:</w:t>
      </w:r>
    </w:p>
    <w:p>
      <w:pPr>
        <w:spacing w:after="0" w:line="182" w:lineRule="exact"/>
        <w:rPr>
          <w:sz w:val="20"/>
          <w:szCs w:val="20"/>
          <w:color w:val="auto"/>
        </w:rPr>
      </w:pPr>
    </w:p>
    <w:p>
      <w:pPr>
        <w:ind w:left="1700" w:right="26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Value Opportunities Fund Holdings, L.P., a Delaware limited partnership (“</w:t>
      </w:r>
      <w:r>
        <w:rPr>
          <w:rFonts w:ascii="Times New Roman" w:cs="Times New Roman" w:eastAsia="Times New Roman" w:hAnsi="Times New Roman"/>
          <w:sz w:val="18"/>
          <w:szCs w:val="18"/>
          <w:b w:val="1"/>
          <w:bCs w:val="1"/>
          <w:i w:val="1"/>
          <w:iCs w:val="1"/>
          <w:color w:val="auto"/>
        </w:rPr>
        <w:t>VOF Holdings</w:t>
      </w:r>
      <w:r>
        <w:rPr>
          <w:rFonts w:ascii="Times New Roman" w:cs="Times New Roman" w:eastAsia="Times New Roman" w:hAnsi="Times New Roman"/>
          <w:sz w:val="18"/>
          <w:szCs w:val="18"/>
          <w:color w:val="auto"/>
        </w:rPr>
        <w:t>”), in its capacity as the direct owner of 401,807 shares of Common Stock;</w:t>
      </w:r>
    </w:p>
    <w:p>
      <w:pPr>
        <w:spacing w:after="0" w:line="181" w:lineRule="exact"/>
        <w:rPr>
          <w:rFonts w:ascii="Times New Roman" w:cs="Times New Roman" w:eastAsia="Times New Roman" w:hAnsi="Times New Roman"/>
          <w:sz w:val="18"/>
          <w:szCs w:val="18"/>
          <w:color w:val="auto"/>
        </w:rPr>
      </w:pPr>
    </w:p>
    <w:p>
      <w:pPr>
        <w:ind w:left="1700" w:right="2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Value Opportunities Fund GP, L.P., a Cayman Islands limited partnership (“</w:t>
      </w:r>
      <w:r>
        <w:rPr>
          <w:rFonts w:ascii="Times New Roman" w:cs="Times New Roman" w:eastAsia="Times New Roman" w:hAnsi="Times New Roman"/>
          <w:sz w:val="18"/>
          <w:szCs w:val="18"/>
          <w:b w:val="1"/>
          <w:bCs w:val="1"/>
          <w:i w:val="1"/>
          <w:iCs w:val="1"/>
          <w:color w:val="auto"/>
        </w:rPr>
        <w:t>VOF GP</w:t>
      </w:r>
      <w:r>
        <w:rPr>
          <w:rFonts w:ascii="Times New Roman" w:cs="Times New Roman" w:eastAsia="Times New Roman" w:hAnsi="Times New Roman"/>
          <w:sz w:val="18"/>
          <w:szCs w:val="18"/>
          <w:color w:val="auto"/>
        </w:rPr>
        <w:t>”), in its capacity as the general partner of VOF Holdings;</w:t>
      </w:r>
    </w:p>
    <w:p>
      <w:pPr>
        <w:spacing w:after="0" w:line="181" w:lineRule="exact"/>
        <w:rPr>
          <w:rFonts w:ascii="Times New Roman" w:cs="Times New Roman" w:eastAsia="Times New Roman" w:hAnsi="Times New Roman"/>
          <w:sz w:val="18"/>
          <w:szCs w:val="18"/>
          <w:color w:val="auto"/>
        </w:rPr>
      </w:pPr>
    </w:p>
    <w:p>
      <w:pPr>
        <w:ind w:left="1700" w:right="20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Value Opportunities Fund GP Ltd., a Cayman Islands exempted company (“</w:t>
      </w:r>
      <w:r>
        <w:rPr>
          <w:rFonts w:ascii="Times New Roman" w:cs="Times New Roman" w:eastAsia="Times New Roman" w:hAnsi="Times New Roman"/>
          <w:sz w:val="18"/>
          <w:szCs w:val="18"/>
          <w:b w:val="1"/>
          <w:bCs w:val="1"/>
          <w:i w:val="1"/>
          <w:iCs w:val="1"/>
          <w:color w:val="auto"/>
        </w:rPr>
        <w:t>VOF GP Ltd.</w:t>
      </w:r>
      <w:r>
        <w:rPr>
          <w:rFonts w:ascii="Times New Roman" w:cs="Times New Roman" w:eastAsia="Times New Roman" w:hAnsi="Times New Roman"/>
          <w:sz w:val="18"/>
          <w:szCs w:val="18"/>
          <w:color w:val="auto"/>
        </w:rPr>
        <w:t>”), in its capacity as the general partner of VOF GP;</w:t>
      </w:r>
    </w:p>
    <w:p>
      <w:pPr>
        <w:spacing w:after="0" w:line="181" w:lineRule="exact"/>
        <w:rPr>
          <w:rFonts w:ascii="Times New Roman" w:cs="Times New Roman" w:eastAsia="Times New Roman" w:hAnsi="Times New Roman"/>
          <w:sz w:val="18"/>
          <w:szCs w:val="18"/>
          <w:color w:val="auto"/>
        </w:rPr>
      </w:pPr>
    </w:p>
    <w:p>
      <w:pPr>
        <w:ind w:left="1700" w:right="94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Opps Xb Holdco Ltd.. a Cayman Islands exempted company (“</w:t>
      </w:r>
      <w:r>
        <w:rPr>
          <w:rFonts w:ascii="Times New Roman" w:cs="Times New Roman" w:eastAsia="Times New Roman" w:hAnsi="Times New Roman"/>
          <w:sz w:val="18"/>
          <w:szCs w:val="18"/>
          <w:b w:val="1"/>
          <w:bCs w:val="1"/>
          <w:i w:val="1"/>
          <w:iCs w:val="1"/>
          <w:color w:val="auto"/>
        </w:rPr>
        <w:t>Xb Holdco</w:t>
      </w:r>
      <w:r>
        <w:rPr>
          <w:rFonts w:ascii="Times New Roman" w:cs="Times New Roman" w:eastAsia="Times New Roman" w:hAnsi="Times New Roman"/>
          <w:sz w:val="18"/>
          <w:szCs w:val="18"/>
          <w:color w:val="auto"/>
        </w:rPr>
        <w:t>”), in its capacity as the direct owner of 2,710,524 shares of Common Stock;</w:t>
      </w:r>
    </w:p>
    <w:p>
      <w:pPr>
        <w:spacing w:after="0" w:line="181" w:lineRule="exact"/>
        <w:rPr>
          <w:rFonts w:ascii="Times New Roman" w:cs="Times New Roman" w:eastAsia="Times New Roman" w:hAnsi="Times New Roman"/>
          <w:sz w:val="18"/>
          <w:szCs w:val="18"/>
          <w:color w:val="auto"/>
        </w:rPr>
      </w:pPr>
    </w:p>
    <w:p>
      <w:pPr>
        <w:ind w:left="1700" w:right="2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Cascade Investment Fund I, L.P., a Delaware limited partnership (“</w:t>
      </w:r>
      <w:r>
        <w:rPr>
          <w:rFonts w:ascii="Times New Roman" w:cs="Times New Roman" w:eastAsia="Times New Roman" w:hAnsi="Times New Roman"/>
          <w:sz w:val="18"/>
          <w:szCs w:val="18"/>
          <w:b w:val="1"/>
          <w:bCs w:val="1"/>
          <w:i w:val="1"/>
          <w:iCs w:val="1"/>
          <w:color w:val="auto"/>
        </w:rPr>
        <w:t>Cascade</w:t>
      </w:r>
      <w:r>
        <w:rPr>
          <w:rFonts w:ascii="Times New Roman" w:cs="Times New Roman" w:eastAsia="Times New Roman" w:hAnsi="Times New Roman"/>
          <w:sz w:val="18"/>
          <w:szCs w:val="18"/>
          <w:color w:val="auto"/>
        </w:rPr>
        <w:t>”), in its capacity as the direct owner of 925,129 Shares;</w:t>
      </w:r>
    </w:p>
    <w:p>
      <w:pPr>
        <w:spacing w:after="0" w:line="181" w:lineRule="exact"/>
        <w:rPr>
          <w:rFonts w:ascii="Times New Roman" w:cs="Times New Roman" w:eastAsia="Times New Roman" w:hAnsi="Times New Roman"/>
          <w:sz w:val="18"/>
          <w:szCs w:val="18"/>
          <w:color w:val="auto"/>
        </w:rPr>
      </w:pPr>
    </w:p>
    <w:p>
      <w:pPr>
        <w:ind w:left="1700" w:right="22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Opportunities Fund Xb Holdings (Delaware), L.P., a Delaware limited partnership (“</w:t>
      </w:r>
      <w:r>
        <w:rPr>
          <w:rFonts w:ascii="Times New Roman" w:cs="Times New Roman" w:eastAsia="Times New Roman" w:hAnsi="Times New Roman"/>
          <w:sz w:val="18"/>
          <w:szCs w:val="18"/>
          <w:b w:val="1"/>
          <w:bCs w:val="1"/>
          <w:i w:val="1"/>
          <w:iCs w:val="1"/>
          <w:color w:val="auto"/>
        </w:rPr>
        <w:t>Xb Holdings</w:t>
      </w:r>
      <w:r>
        <w:rPr>
          <w:rFonts w:ascii="Times New Roman" w:cs="Times New Roman" w:eastAsia="Times New Roman" w:hAnsi="Times New Roman"/>
          <w:sz w:val="18"/>
          <w:szCs w:val="18"/>
          <w:color w:val="auto"/>
        </w:rPr>
        <w:t>”), in its capacity as the direct owner of 1,953,642 shares of Common Stock;</w:t>
      </w:r>
    </w:p>
    <w:p>
      <w:pPr>
        <w:spacing w:after="0" w:line="181" w:lineRule="exact"/>
        <w:rPr>
          <w:rFonts w:ascii="Times New Roman" w:cs="Times New Roman" w:eastAsia="Times New Roman" w:hAnsi="Times New Roman"/>
          <w:sz w:val="18"/>
          <w:szCs w:val="18"/>
          <w:color w:val="auto"/>
        </w:rPr>
      </w:pPr>
    </w:p>
    <w:p>
      <w:pPr>
        <w:ind w:left="170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Fund GP, LLC, a Delaware limited liability company (“</w:t>
      </w:r>
      <w:r>
        <w:rPr>
          <w:rFonts w:ascii="Times New Roman" w:cs="Times New Roman" w:eastAsia="Times New Roman" w:hAnsi="Times New Roman"/>
          <w:sz w:val="18"/>
          <w:szCs w:val="18"/>
          <w:b w:val="1"/>
          <w:bCs w:val="1"/>
          <w:i w:val="1"/>
          <w:iCs w:val="1"/>
          <w:color w:val="auto"/>
        </w:rPr>
        <w:t>Fund GP</w:t>
      </w:r>
      <w:r>
        <w:rPr>
          <w:rFonts w:ascii="Times New Roman" w:cs="Times New Roman" w:eastAsia="Times New Roman" w:hAnsi="Times New Roman"/>
          <w:sz w:val="18"/>
          <w:szCs w:val="18"/>
          <w:color w:val="auto"/>
        </w:rPr>
        <w:t>”), in its capacity as the general partner of Cascade and Xb Holdings;</w:t>
      </w:r>
    </w:p>
    <w:p>
      <w:pPr>
        <w:spacing w:after="0" w:line="181" w:lineRule="exact"/>
        <w:rPr>
          <w:rFonts w:ascii="Times New Roman" w:cs="Times New Roman" w:eastAsia="Times New Roman" w:hAnsi="Times New Roman"/>
          <w:sz w:val="18"/>
          <w:szCs w:val="18"/>
          <w:color w:val="auto"/>
        </w:rPr>
      </w:pPr>
    </w:p>
    <w:p>
      <w:pPr>
        <w:ind w:left="1700" w:right="60" w:hanging="558"/>
        <w:spacing w:after="0" w:line="268"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Fund GP I, L.P., a Delaware limited partnership (“</w:t>
      </w:r>
      <w:r>
        <w:rPr>
          <w:rFonts w:ascii="Times New Roman" w:cs="Times New Roman" w:eastAsia="Times New Roman" w:hAnsi="Times New Roman"/>
          <w:sz w:val="18"/>
          <w:szCs w:val="18"/>
          <w:b w:val="1"/>
          <w:bCs w:val="1"/>
          <w:i w:val="1"/>
          <w:iCs w:val="1"/>
          <w:color w:val="auto"/>
        </w:rPr>
        <w:t>GP I</w:t>
      </w:r>
      <w:r>
        <w:rPr>
          <w:rFonts w:ascii="Times New Roman" w:cs="Times New Roman" w:eastAsia="Times New Roman" w:hAnsi="Times New Roman"/>
          <w:sz w:val="18"/>
          <w:szCs w:val="18"/>
          <w:color w:val="auto"/>
        </w:rPr>
        <w:t>”), in its capacity as the managing member of Fund GP, the sole shareholder of VOF GP Ltd., Xb Holdco and the Managed Entities that, in the aggregate, are the direct owners of 928,628 shares of Common Stock;</w:t>
      </w:r>
    </w:p>
    <w:p>
      <w:pPr>
        <w:spacing w:after="0" w:line="197"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I, L.P., a Delaware limited partnership (“</w:t>
      </w:r>
      <w:r>
        <w:rPr>
          <w:rFonts w:ascii="Times New Roman" w:cs="Times New Roman" w:eastAsia="Times New Roman" w:hAnsi="Times New Roman"/>
          <w:sz w:val="18"/>
          <w:szCs w:val="18"/>
          <w:b w:val="1"/>
          <w:bCs w:val="1"/>
          <w:i w:val="1"/>
          <w:iCs w:val="1"/>
          <w:color w:val="auto"/>
        </w:rPr>
        <w:t>Capital I</w:t>
      </w:r>
      <w:r>
        <w:rPr>
          <w:rFonts w:ascii="Times New Roman" w:cs="Times New Roman" w:eastAsia="Times New Roman" w:hAnsi="Times New Roman"/>
          <w:sz w:val="18"/>
          <w:szCs w:val="18"/>
          <w:color w:val="auto"/>
        </w:rPr>
        <w:t>”), in its capacity as the general partner of GP I;</w:t>
      </w:r>
    </w:p>
    <w:p>
      <w:pPr>
        <w:spacing w:after="0" w:line="279"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Holdings I, LLC, a Delaware limited liability company (“</w:t>
      </w:r>
      <w:r>
        <w:rPr>
          <w:rFonts w:ascii="Times New Roman" w:cs="Times New Roman" w:eastAsia="Times New Roman" w:hAnsi="Times New Roman"/>
          <w:sz w:val="18"/>
          <w:szCs w:val="18"/>
          <w:b w:val="1"/>
          <w:bCs w:val="1"/>
          <w:i w:val="1"/>
          <w:iCs w:val="1"/>
          <w:color w:val="auto"/>
        </w:rPr>
        <w:t>Holdings I</w:t>
      </w:r>
      <w:r>
        <w:rPr>
          <w:rFonts w:ascii="Times New Roman" w:cs="Times New Roman" w:eastAsia="Times New Roman" w:hAnsi="Times New Roman"/>
          <w:sz w:val="18"/>
          <w:szCs w:val="18"/>
          <w:color w:val="auto"/>
        </w:rPr>
        <w:t>”), in its capacity as the general partner of Capital I;</w:t>
      </w:r>
    </w:p>
    <w:p>
      <w:pPr>
        <w:spacing w:after="0" w:line="279" w:lineRule="exact"/>
        <w:rPr>
          <w:rFonts w:ascii="Times New Roman" w:cs="Times New Roman" w:eastAsia="Times New Roman" w:hAnsi="Times New Roman"/>
          <w:sz w:val="18"/>
          <w:szCs w:val="18"/>
          <w:color w:val="auto"/>
        </w:rPr>
      </w:pPr>
    </w:p>
    <w:p>
      <w:pPr>
        <w:ind w:left="1700" w:right="12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Holdings, LLC, a Delaware limited liability company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in its capacity as the managing member of Holdings I; and</w:t>
      </w:r>
    </w:p>
    <w:p>
      <w:pPr>
        <w:spacing w:after="0" w:line="181" w:lineRule="exact"/>
        <w:rPr>
          <w:rFonts w:ascii="Times New Roman" w:cs="Times New Roman" w:eastAsia="Times New Roman" w:hAnsi="Times New Roman"/>
          <w:sz w:val="18"/>
          <w:szCs w:val="18"/>
          <w:color w:val="auto"/>
        </w:rPr>
      </w:pPr>
    </w:p>
    <w:p>
      <w:pPr>
        <w:ind w:left="1700" w:right="80" w:hanging="558"/>
        <w:spacing w:after="0" w:line="28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Management, L.P., a Delaware limited partnership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in its capacity as the sole director of VOF GP Ltd. and Xb Holdco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180" w:space="720"/>
            <w:col w:w="4560" w:space="720"/>
            <w:col w:w="1000"/>
          </w:cols>
          <w:pgMar w:left="360" w:top="819" w:right="359" w:bottom="1440" w:gutter="0" w:footer="0" w:header="0"/>
        </w:sectPr>
      </w:pPr>
    </w:p>
    <w:p>
      <w:pPr>
        <w:spacing w:after="0" w:line="255" w:lineRule="exact"/>
        <w:rPr>
          <w:sz w:val="20"/>
          <w:szCs w:val="20"/>
          <w:color w:val="auto"/>
        </w:rPr>
      </w:pPr>
    </w:p>
    <w:p>
      <w:pPr>
        <w:ind w:left="1660" w:right="240" w:hanging="558"/>
        <w:spacing w:after="0" w:line="286" w:lineRule="auto"/>
        <w:tabs>
          <w:tab w:leader="none" w:pos="1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Management GP, LLC, a Delaware limited liability company (“</w:t>
      </w:r>
      <w:r>
        <w:rPr>
          <w:rFonts w:ascii="Times New Roman" w:cs="Times New Roman" w:eastAsia="Times New Roman" w:hAnsi="Times New Roman"/>
          <w:sz w:val="18"/>
          <w:szCs w:val="18"/>
          <w:b w:val="1"/>
          <w:bCs w:val="1"/>
          <w:i w:val="1"/>
          <w:iCs w:val="1"/>
          <w:color w:val="auto"/>
        </w:rPr>
        <w:t>Management GP</w:t>
      </w:r>
      <w:r>
        <w:rPr>
          <w:rFonts w:ascii="Times New Roman" w:cs="Times New Roman" w:eastAsia="Times New Roman" w:hAnsi="Times New Roman"/>
          <w:sz w:val="18"/>
          <w:szCs w:val="18"/>
          <w:color w:val="auto"/>
        </w:rPr>
        <w:t>”), in its capacity as the general partner of Management;</w:t>
      </w:r>
    </w:p>
    <w:p>
      <w:pPr>
        <w:spacing w:after="0" w:line="181" w:lineRule="exact"/>
        <w:rPr>
          <w:rFonts w:ascii="Times New Roman" w:cs="Times New Roman" w:eastAsia="Times New Roman" w:hAnsi="Times New Roman"/>
          <w:sz w:val="18"/>
          <w:szCs w:val="18"/>
          <w:color w:val="auto"/>
        </w:rPr>
      </w:pPr>
    </w:p>
    <w:p>
      <w:pPr>
        <w:ind w:left="1660" w:right="660" w:hanging="558"/>
        <w:spacing w:after="0" w:line="286" w:lineRule="auto"/>
        <w:tabs>
          <w:tab w:leader="none" w:pos="1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OCM Holdings LLC, a Delaware limited liability company (“</w:t>
      </w:r>
      <w:r>
        <w:rPr>
          <w:rFonts w:ascii="Times New Roman" w:cs="Times New Roman" w:eastAsia="Times New Roman" w:hAnsi="Times New Roman"/>
          <w:sz w:val="18"/>
          <w:szCs w:val="18"/>
          <w:b w:val="1"/>
          <w:bCs w:val="1"/>
          <w:i w:val="1"/>
          <w:iCs w:val="1"/>
          <w:color w:val="auto"/>
        </w:rPr>
        <w:t>Atlas</w:t>
      </w:r>
      <w:r>
        <w:rPr>
          <w:rFonts w:ascii="Times New Roman" w:cs="Times New Roman" w:eastAsia="Times New Roman" w:hAnsi="Times New Roman"/>
          <w:sz w:val="18"/>
          <w:szCs w:val="18"/>
          <w:color w:val="auto"/>
        </w:rPr>
        <w:t>”), in its capacity as the sole managing member of Management GP;</w:t>
      </w:r>
    </w:p>
    <w:p>
      <w:pPr>
        <w:spacing w:after="0" w:line="181"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Group, LLC, a Delaware limited liability company (“</w:t>
      </w:r>
      <w:r>
        <w:rPr>
          <w:rFonts w:ascii="Times New Roman" w:cs="Times New Roman" w:eastAsia="Times New Roman" w:hAnsi="Times New Roman"/>
          <w:sz w:val="18"/>
          <w:szCs w:val="18"/>
          <w:b w:val="1"/>
          <w:bCs w:val="1"/>
          <w:i w:val="1"/>
          <w:iCs w:val="1"/>
          <w:color w:val="auto"/>
        </w:rPr>
        <w:t>OCG</w:t>
      </w:r>
      <w:r>
        <w:rPr>
          <w:rFonts w:ascii="Times New Roman" w:cs="Times New Roman" w:eastAsia="Times New Roman" w:hAnsi="Times New Roman"/>
          <w:sz w:val="18"/>
          <w:szCs w:val="18"/>
          <w:color w:val="auto"/>
        </w:rPr>
        <w:t>”), in its capacity as the managing member of Holdings;</w:t>
      </w:r>
    </w:p>
    <w:p>
      <w:pPr>
        <w:spacing w:after="0" w:line="279" w:lineRule="exact"/>
        <w:rPr>
          <w:rFonts w:ascii="Times New Roman" w:cs="Times New Roman" w:eastAsia="Times New Roman" w:hAnsi="Times New Roman"/>
          <w:sz w:val="18"/>
          <w:szCs w:val="18"/>
          <w:color w:val="auto"/>
        </w:rPr>
      </w:pPr>
    </w:p>
    <w:p>
      <w:pPr>
        <w:ind w:left="1660" w:right="460" w:hanging="558"/>
        <w:spacing w:after="0" w:line="286" w:lineRule="auto"/>
        <w:tabs>
          <w:tab w:leader="none" w:pos="1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Group Holdings GP, LLC, a Delaware limited liability company (“</w:t>
      </w:r>
      <w:r>
        <w:rPr>
          <w:rFonts w:ascii="Times New Roman" w:cs="Times New Roman" w:eastAsia="Times New Roman" w:hAnsi="Times New Roman"/>
          <w:sz w:val="18"/>
          <w:szCs w:val="18"/>
          <w:b w:val="1"/>
          <w:bCs w:val="1"/>
          <w:i w:val="1"/>
          <w:iCs w:val="1"/>
          <w:color w:val="auto"/>
        </w:rPr>
        <w:t>OCGH GP</w:t>
      </w:r>
      <w:r>
        <w:rPr>
          <w:rFonts w:ascii="Times New Roman" w:cs="Times New Roman" w:eastAsia="Times New Roman" w:hAnsi="Times New Roman"/>
          <w:sz w:val="18"/>
          <w:szCs w:val="18"/>
          <w:color w:val="auto"/>
        </w:rPr>
        <w:t>”), in its capacity as the indirect owner of the class B units of each of OCG and Atlas;</w:t>
      </w:r>
    </w:p>
    <w:p>
      <w:pPr>
        <w:spacing w:after="0" w:line="181" w:lineRule="exact"/>
        <w:rPr>
          <w:rFonts w:ascii="Times New Roman" w:cs="Times New Roman" w:eastAsia="Times New Roman" w:hAnsi="Times New Roman"/>
          <w:sz w:val="18"/>
          <w:szCs w:val="18"/>
          <w:color w:val="auto"/>
        </w:rPr>
      </w:pPr>
    </w:p>
    <w:p>
      <w:pPr>
        <w:ind w:left="1660" w:right="240" w:hanging="558"/>
        <w:spacing w:after="0" w:line="286" w:lineRule="auto"/>
        <w:tabs>
          <w:tab w:leader="none" w:pos="1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Brookfield Asset Management Inc., a Canadian corporation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in its capacity as the indirect owner of the class A units of each of OCG and Atlas; and</w:t>
      </w:r>
    </w:p>
    <w:p>
      <w:pPr>
        <w:spacing w:after="0" w:line="181" w:lineRule="exact"/>
        <w:rPr>
          <w:rFonts w:ascii="Times New Roman" w:cs="Times New Roman" w:eastAsia="Times New Roman" w:hAnsi="Times New Roman"/>
          <w:sz w:val="18"/>
          <w:szCs w:val="18"/>
          <w:color w:val="auto"/>
        </w:rPr>
      </w:pPr>
    </w:p>
    <w:p>
      <w:pPr>
        <w:ind w:left="1100" w:right="60" w:firstLine="2"/>
        <w:spacing w:after="0" w:line="547" w:lineRule="auto"/>
        <w:tabs>
          <w:tab w:leader="none" w:pos="16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Limited, a Canadian corporation (“</w:t>
      </w:r>
      <w:r>
        <w:rPr>
          <w:rFonts w:ascii="Times New Roman" w:cs="Times New Roman" w:eastAsia="Times New Roman" w:hAnsi="Times New Roman"/>
          <w:sz w:val="18"/>
          <w:szCs w:val="18"/>
          <w:b w:val="1"/>
          <w:bCs w:val="1"/>
          <w:i w:val="1"/>
          <w:iCs w:val="1"/>
          <w:color w:val="auto"/>
        </w:rPr>
        <w:t>Partners</w:t>
      </w:r>
      <w:r>
        <w:rPr>
          <w:rFonts w:ascii="Times New Roman" w:cs="Times New Roman" w:eastAsia="Times New Roman" w:hAnsi="Times New Roman"/>
          <w:sz w:val="18"/>
          <w:szCs w:val="18"/>
          <w:color w:val="auto"/>
        </w:rPr>
        <w:t>”), in its capacity as the sole owner of Class B Limited Voting Shares of BAM. The principal business address of each of the Reporting Persons is 333 S. Grand Avenue, 28th Floor, Los Angeles, CA 90071.</w:t>
      </w:r>
    </w:p>
    <w:p>
      <w:pPr>
        <w:spacing w:after="0" w:line="1" w:lineRule="exact"/>
        <w:rPr>
          <w:sz w:val="20"/>
          <w:szCs w:val="20"/>
          <w:color w:val="auto"/>
        </w:rPr>
      </w:pPr>
    </w:p>
    <w:p>
      <w:pPr>
        <w:ind w:left="1660" w:hanging="558"/>
        <w:spacing w:after="0"/>
        <w:tabs>
          <w:tab w:leader="none" w:pos="1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79" w:lineRule="exact"/>
        <w:rPr>
          <w:rFonts w:ascii="Times New Roman" w:cs="Times New Roman" w:eastAsia="Times New Roman" w:hAnsi="Times New Roman"/>
          <w:sz w:val="18"/>
          <w:szCs w:val="18"/>
          <w:b w:val="1"/>
          <w:bCs w:val="1"/>
          <w:color w:val="auto"/>
        </w:rPr>
      </w:pPr>
    </w:p>
    <w:p>
      <w:pPr>
        <w:ind w:left="1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Shares, $0.001 par value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b w:val="1"/>
          <w:bCs w:val="1"/>
          <w:color w:val="auto"/>
        </w:rPr>
      </w:pPr>
    </w:p>
    <w:p>
      <w:pPr>
        <w:ind w:left="1660" w:hanging="558"/>
        <w:spacing w:after="0"/>
        <w:tabs>
          <w:tab w:leader="none" w:pos="1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G48833118</w:t>
      </w:r>
    </w:p>
    <w:p>
      <w:pPr>
        <w:spacing w:after="0" w:line="252" w:lineRule="exact"/>
        <w:rPr>
          <w:sz w:val="20"/>
          <w:szCs w:val="20"/>
          <w:color w:val="auto"/>
        </w:rPr>
      </w:pPr>
    </w:p>
    <w:p>
      <w:pPr>
        <w:ind w:left="1100" w:right="680" w:hanging="1133"/>
        <w:spacing w:after="0" w:line="286"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SS.240.13D-1(B) OR 240.13D-2(B) OR (C), CHECK WHETHER THE PERSON FILING IS A:</w:t>
      </w:r>
    </w:p>
    <w:p>
      <w:pPr>
        <w:spacing w:after="0" w:line="186" w:lineRule="exact"/>
        <w:rPr>
          <w:sz w:val="20"/>
          <w:szCs w:val="20"/>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Broker or dealer registered under Section 15 of the Act (15 U.S.C. 78o)</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Bank as defined in Section 3(a)(6) of the Act (15 U.S.C. 78c)</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Insurance company as defined in Section 3(a)(19) of the Act (15 U.S.C. 78c)</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Investment company registered under Section 8 of the Investment Company Act of 1940 (15 U.S.C. 80a-8)</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An investment adviser in accordance with ss.240.13d-1(b)(1)(ii)(E)</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An employee benefit plan or endowment fund in accordance with ss.240.13d-1(b)(1)(ii)(F)</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Parent holding company or control person in accordance with ss.240.13d-1(b)(1)(ii)(G)</w:t>
      </w:r>
    </w:p>
    <w:p>
      <w:pPr>
        <w:spacing w:after="0" w:line="36" w:lineRule="exact"/>
        <w:rPr>
          <w:rFonts w:ascii="Times New Roman" w:cs="Times New Roman" w:eastAsia="Times New Roman" w:hAnsi="Times New Roman"/>
          <w:sz w:val="18"/>
          <w:szCs w:val="18"/>
          <w:color w:val="auto"/>
        </w:rPr>
      </w:pP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savings associations as defined in Section 3(b) of the Federal Deposit Insurance Act (12 U.S.C. 1813)</w:t>
      </w:r>
    </w:p>
    <w:p>
      <w:pPr>
        <w:spacing w:after="0" w:line="36" w:lineRule="exact"/>
        <w:rPr>
          <w:rFonts w:ascii="Times New Roman" w:cs="Times New Roman" w:eastAsia="Times New Roman" w:hAnsi="Times New Roman"/>
          <w:sz w:val="18"/>
          <w:szCs w:val="18"/>
          <w:color w:val="auto"/>
        </w:rPr>
      </w:pPr>
    </w:p>
    <w:p>
      <w:pPr>
        <w:ind w:left="1660" w:right="660" w:hanging="558"/>
        <w:spacing w:after="0" w:line="261" w:lineRule="auto"/>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church plan that is excluded from the definition of an investment company under section 3(c)(14) of the Investment Company Act of 1940 (15 U.S.C. 80a-3)</w:t>
      </w:r>
    </w:p>
    <w:p>
      <w:pPr>
        <w:ind w:left="1660" w:hanging="558"/>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ss.240.13d-1(b)(1)(ii)(J).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520065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00"/>
          </w:cols>
          <w:pgMar w:left="320" w:top="819" w:right="359" w:bottom="1440" w:gutter="0" w:footer="0" w:header="0"/>
        </w:sectPr>
      </w:pPr>
    </w:p>
    <w:p>
      <w:pPr>
        <w:spacing w:after="0" w:line="2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6" w:lineRule="exact"/>
        <w:rPr>
          <w:sz w:val="20"/>
          <w:szCs w:val="20"/>
          <w:color w:val="auto"/>
        </w:rPr>
      </w:pPr>
    </w:p>
    <w:p>
      <w:pPr>
        <w:ind w:left="1140" w:right="200"/>
        <w:spacing w:after="0" w:line="282" w:lineRule="auto"/>
        <w:rPr>
          <w:sz w:val="20"/>
          <w:szCs w:val="20"/>
          <w:color w:val="auto"/>
        </w:rPr>
      </w:pPr>
      <w:r>
        <w:rPr>
          <w:rFonts w:ascii="Times New Roman" w:cs="Times New Roman" w:eastAsia="Times New Roman" w:hAnsi="Times New Roman"/>
          <w:sz w:val="18"/>
          <w:szCs w:val="18"/>
          <w:color w:val="auto"/>
        </w:rPr>
        <w:t>The responses of the Reporting Persons to Rows 5-9 and 11 in each of their respective cover pages to this Schedule 13G are incorporated herein by reference.</w:t>
      </w:r>
    </w:p>
    <w:p>
      <w:pPr>
        <w:spacing w:after="0" w:line="162" w:lineRule="exact"/>
        <w:rPr>
          <w:sz w:val="20"/>
          <w:szCs w:val="20"/>
          <w:color w:val="auto"/>
        </w:rPr>
      </w:pPr>
    </w:p>
    <w:p>
      <w:pPr>
        <w:ind w:left="1140" w:right="560"/>
        <w:spacing w:after="0" w:line="282" w:lineRule="auto"/>
        <w:rPr>
          <w:sz w:val="20"/>
          <w:szCs w:val="20"/>
          <w:color w:val="auto"/>
        </w:rPr>
      </w:pPr>
      <w:r>
        <w:rPr>
          <w:rFonts w:ascii="Times New Roman" w:cs="Times New Roman" w:eastAsia="Times New Roman" w:hAnsi="Times New Roman"/>
          <w:sz w:val="18"/>
          <w:szCs w:val="18"/>
          <w:color w:val="auto"/>
        </w:rPr>
        <w:t>VOF Holdings directly holds 401,807 shares of the Issuer’s Common Stock, constituting approximately 0.6% of the total issued and outstanding Shares and has the sole power to vote and dispose of such shares.</w:t>
      </w:r>
    </w:p>
    <w:p>
      <w:pPr>
        <w:spacing w:after="0" w:line="162" w:lineRule="exact"/>
        <w:rPr>
          <w:sz w:val="20"/>
          <w:szCs w:val="20"/>
          <w:color w:val="auto"/>
        </w:rPr>
      </w:pPr>
    </w:p>
    <w:p>
      <w:pPr>
        <w:ind w:left="1140" w:right="260"/>
        <w:spacing w:after="0" w:line="266" w:lineRule="auto"/>
        <w:rPr>
          <w:sz w:val="20"/>
          <w:szCs w:val="20"/>
          <w:color w:val="auto"/>
        </w:rPr>
      </w:pPr>
      <w:r>
        <w:rPr>
          <w:rFonts w:ascii="Times New Roman" w:cs="Times New Roman" w:eastAsia="Times New Roman" w:hAnsi="Times New Roman"/>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held by VOF Holdings.</w:t>
      </w:r>
    </w:p>
    <w:p>
      <w:pPr>
        <w:spacing w:after="0" w:line="176" w:lineRule="exact"/>
        <w:rPr>
          <w:sz w:val="20"/>
          <w:szCs w:val="20"/>
          <w:color w:val="auto"/>
        </w:rPr>
      </w:pPr>
    </w:p>
    <w:p>
      <w:pPr>
        <w:ind w:left="1140" w:right="180"/>
        <w:spacing w:after="0" w:line="266" w:lineRule="auto"/>
        <w:rPr>
          <w:sz w:val="20"/>
          <w:szCs w:val="20"/>
          <w:color w:val="auto"/>
        </w:rPr>
      </w:pPr>
      <w:r>
        <w:rPr>
          <w:rFonts w:ascii="Times New Roman" w:cs="Times New Roman" w:eastAsia="Times New Roman" w:hAnsi="Times New Roman"/>
          <w:sz w:val="18"/>
          <w:szCs w:val="18"/>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held by VOF Holdings.</w:t>
      </w:r>
    </w:p>
    <w:p>
      <w:pPr>
        <w:spacing w:after="0" w:line="176" w:lineRule="exact"/>
        <w:rPr>
          <w:sz w:val="20"/>
          <w:szCs w:val="20"/>
          <w:color w:val="auto"/>
        </w:rPr>
      </w:pPr>
    </w:p>
    <w:p>
      <w:pPr>
        <w:ind w:left="1140" w:right="300"/>
        <w:spacing w:after="0" w:line="282" w:lineRule="auto"/>
        <w:rPr>
          <w:sz w:val="20"/>
          <w:szCs w:val="20"/>
          <w:color w:val="auto"/>
        </w:rPr>
      </w:pPr>
      <w:r>
        <w:rPr>
          <w:rFonts w:ascii="Times New Roman" w:cs="Times New Roman" w:eastAsia="Times New Roman" w:hAnsi="Times New Roman"/>
          <w:sz w:val="18"/>
          <w:szCs w:val="18"/>
          <w:color w:val="auto"/>
        </w:rPr>
        <w:t>Xb Holdco directly holds 2,710,524 Shares, constituting approximately 3.9% of the total issued and outstanding Shares and has the sole power to vote and dispose of such shares.</w:t>
      </w:r>
    </w:p>
    <w:p>
      <w:pPr>
        <w:spacing w:after="0" w:line="162" w:lineRule="exact"/>
        <w:rPr>
          <w:sz w:val="20"/>
          <w:szCs w:val="20"/>
          <w:color w:val="auto"/>
        </w:rPr>
      </w:pPr>
    </w:p>
    <w:p>
      <w:pPr>
        <w:ind w:left="1140" w:right="140"/>
        <w:spacing w:after="0" w:line="282" w:lineRule="auto"/>
        <w:rPr>
          <w:sz w:val="20"/>
          <w:szCs w:val="20"/>
          <w:color w:val="auto"/>
        </w:rPr>
      </w:pPr>
      <w:r>
        <w:rPr>
          <w:rFonts w:ascii="Times New Roman" w:cs="Times New Roman" w:eastAsia="Times New Roman" w:hAnsi="Times New Roman"/>
          <w:sz w:val="18"/>
          <w:szCs w:val="18"/>
          <w:color w:val="auto"/>
        </w:rPr>
        <w:t>Cascade directly holds 925,129 Shares, constituting approximately 1.3% of the total issued and outstanding Shares and has the sole power to vote and dispose of such shares.</w:t>
      </w:r>
    </w:p>
    <w:p>
      <w:pPr>
        <w:spacing w:after="0" w:line="162" w:lineRule="exact"/>
        <w:rPr>
          <w:sz w:val="20"/>
          <w:szCs w:val="20"/>
          <w:color w:val="auto"/>
        </w:rPr>
      </w:pPr>
    </w:p>
    <w:p>
      <w:pPr>
        <w:ind w:left="1140" w:right="160"/>
        <w:spacing w:after="0" w:line="282" w:lineRule="auto"/>
        <w:rPr>
          <w:sz w:val="20"/>
          <w:szCs w:val="20"/>
          <w:color w:val="auto"/>
        </w:rPr>
      </w:pPr>
      <w:r>
        <w:rPr>
          <w:rFonts w:ascii="Times New Roman" w:cs="Times New Roman" w:eastAsia="Times New Roman" w:hAnsi="Times New Roman"/>
          <w:sz w:val="18"/>
          <w:szCs w:val="18"/>
          <w:color w:val="auto"/>
        </w:rPr>
        <w:t>Xb Holdings directly holds 1,953,642 Shares, constituting approximately 2.8% of the total issued and outstanding Shares and has the sole power to vote and dispose of such shares.</w:t>
      </w:r>
    </w:p>
    <w:p>
      <w:pPr>
        <w:spacing w:after="0" w:line="162" w:lineRule="exact"/>
        <w:rPr>
          <w:sz w:val="20"/>
          <w:szCs w:val="20"/>
          <w:color w:val="auto"/>
        </w:rPr>
      </w:pPr>
    </w:p>
    <w:p>
      <w:pPr>
        <w:ind w:left="1140" w:right="160"/>
        <w:spacing w:after="0" w:line="266" w:lineRule="auto"/>
        <w:rPr>
          <w:sz w:val="20"/>
          <w:szCs w:val="20"/>
          <w:color w:val="auto"/>
        </w:rPr>
      </w:pPr>
      <w:r>
        <w:rPr>
          <w:rFonts w:ascii="Times New Roman" w:cs="Times New Roman" w:eastAsia="Times New Roman" w:hAnsi="Times New Roman"/>
          <w:sz w:val="18"/>
          <w:szCs w:val="18"/>
          <w:color w:val="auto"/>
        </w:rPr>
        <w:t>Fund GP, in its capacity as the general partner of Cascade and Xb Holdings, has the ability to direct the management of Cascade’s and Xb Holdings’ business, including the power to vote and dispose of securities held by Cascade and Xb Holdings; therefore Fund GP may be deemed to beneficially own the Shares held by Cascade and Xb Holdings.</w:t>
      </w:r>
    </w:p>
    <w:p>
      <w:pPr>
        <w:spacing w:after="0" w:line="176" w:lineRule="exact"/>
        <w:rPr>
          <w:sz w:val="20"/>
          <w:szCs w:val="20"/>
          <w:color w:val="auto"/>
        </w:rPr>
      </w:pPr>
    </w:p>
    <w:p>
      <w:pPr>
        <w:ind w:left="1140" w:right="60"/>
        <w:spacing w:after="0" w:line="255" w:lineRule="auto"/>
        <w:rPr>
          <w:sz w:val="20"/>
          <w:szCs w:val="20"/>
          <w:color w:val="auto"/>
        </w:rPr>
      </w:pPr>
      <w:r>
        <w:rPr>
          <w:rFonts w:ascii="Times New Roman" w:cs="Times New Roman" w:eastAsia="Times New Roman" w:hAnsi="Times New Roman"/>
          <w:sz w:val="18"/>
          <w:szCs w:val="18"/>
          <w:color w:val="auto"/>
        </w:rPr>
        <w:t>GP I, in its capacity as the sole shareholder of VOF GP Ltd., Xb Holdco and the Managed Funds, has the ability to appoint and remove the directors and direct the management of the business of VOF GP Ltd, Xb Holdco and the Managed Funds, including the power to direct the decisions of VOF GP Ltd., Xb Holdco and the Managed Funds regarding the vote and disposition of securities held by VOF Holdings, Xb Holdco and the Managed Funds. Additionally, GP I, in its capacity as the managing member of Fund GP, has the ability to direct the management of Fund GP’s business, including the power to direct the decisions of Fund GP regarding the vote and disposition of securities held by Cascade and Xb Holdings. Therefore, GP I may be deemed to have indirect beneficial ownership of the Shares held by VOF Holdings, Xb Holdco, the Managed Funds, Cascade and Xb Holdings.</w:t>
      </w:r>
    </w:p>
    <w:p>
      <w:pPr>
        <w:spacing w:after="0" w:line="189" w:lineRule="exact"/>
        <w:rPr>
          <w:sz w:val="20"/>
          <w:szCs w:val="20"/>
          <w:color w:val="auto"/>
        </w:rPr>
      </w:pPr>
    </w:p>
    <w:p>
      <w:pPr>
        <w:ind w:left="1140" w:right="140"/>
        <w:spacing w:after="0" w:line="261" w:lineRule="auto"/>
        <w:rPr>
          <w:sz w:val="20"/>
          <w:szCs w:val="20"/>
          <w:color w:val="auto"/>
        </w:rPr>
      </w:pPr>
      <w:r>
        <w:rPr>
          <w:rFonts w:ascii="Times New Roman" w:cs="Times New Roman" w:eastAsia="Times New Roman" w:hAnsi="Times New Roman"/>
          <w:sz w:val="18"/>
          <w:szCs w:val="18"/>
          <w:color w:val="auto"/>
        </w:rPr>
        <w:t>Capital I, in its capacity as the general partner of GP I, has the ability to direct the management of GP I’s business, including the power to direct the decisions of GP I regarding the vote and disposition of securities held by VOF Holdings, Xb Holdco, the Managed Funds, Cascade and Xb Holdings; therefore, Capital I may be deemed to have indirect beneficial ownership of the Shares held by VOF Holdings, Xb Holdco, the Managed Funds, Cascade and Xb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180" w:space="720"/>
            <w:col w:w="4560" w:space="720"/>
            <w:col w:w="1000"/>
          </w:cols>
          <w:pgMar w:left="360" w:top="819" w:right="359" w:bottom="1440" w:gutter="0" w:footer="0" w:header="0"/>
        </w:sectPr>
      </w:pPr>
    </w:p>
    <w:p>
      <w:pPr>
        <w:spacing w:after="0" w:line="259" w:lineRule="exact"/>
        <w:rPr>
          <w:sz w:val="20"/>
          <w:szCs w:val="20"/>
          <w:color w:val="auto"/>
        </w:rPr>
      </w:pPr>
    </w:p>
    <w:p>
      <w:pPr>
        <w:jc w:val="both"/>
        <w:ind w:left="1100" w:right="120"/>
        <w:spacing w:after="0" w:line="261" w:lineRule="auto"/>
        <w:rPr>
          <w:sz w:val="20"/>
          <w:szCs w:val="20"/>
          <w:color w:val="auto"/>
        </w:rPr>
      </w:pPr>
      <w:r>
        <w:rPr>
          <w:rFonts w:ascii="Times New Roman" w:cs="Times New Roman" w:eastAsia="Times New Roman" w:hAnsi="Times New Roman"/>
          <w:sz w:val="18"/>
          <w:szCs w:val="18"/>
          <w:color w:val="auto"/>
        </w:rPr>
        <w:t>Holdings I, in its capacity as the general partner of Capital I, has the ability to direct the management of Capital I’s business, including the power to direct the decisions of Capital I regarding the vote and disposition of securities held by VOF Holdings, Xb Holdco, the Managed Funds, Cascade and Xb Holdings; therefore, Holdings I may be deemed to have indirect beneficial ownership of the Shares held by VOF Holdings, Xb Holdco, the Managed Funds, Cascade and Xb Holdings.</w:t>
      </w:r>
    </w:p>
    <w:p>
      <w:pPr>
        <w:spacing w:after="0" w:line="180"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Holdings, in its capacity as the managing member of Holdings I, has the ability to direct the management of Holding I’s business, including the power to direct the decisions of Holdings I regarding the vote and disposition of securities held by VOF Holdings, Xb Holdco, the Managed Funds, Cascade and Xb Holdings; therefore, Holdings may be deemed to have indirect beneficial ownership of the Shares held by VOF Holdings, Xb Holdco, the Managed Funds, Cascade and Xb Holdings.</w:t>
      </w:r>
    </w:p>
    <w:p>
      <w:pPr>
        <w:spacing w:after="0" w:line="180"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Management, in its capacity as the sole director of VOF GP Ltd. and Xb Holdco and as the duly appointed investment manager of the Managed Entities, has the ability to direct the management of VOF GP Ltd., Xb Holdco and the Managed Entities, including the power to direct the decisions of VOF GP Ltd., Xb Holdco and the Managed Entities regarding the vote and disposition of securities held by VOF Holdings, Xb Holdco and the Managed Entities; therefore, Management may be deemed to have indirect beneficial ownership of the Shares held by VOF Holdings, Xb Holdco and the Managed Entities.</w:t>
      </w:r>
    </w:p>
    <w:p>
      <w:pPr>
        <w:spacing w:after="0" w:line="183"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Management GP, in its capacity as the general partner of Management, has the ability to direct the management of Management’s business, including the power to direct the decisions of Management regarding the vote and disposition of securities held by VOF Holdings, Xb Holdco and the Managed Entities; therefore, Management GP may be deemed to have indirect beneficial ownership of the Shares held by VOF Holdings, Xb Holdco and the Managed Entities.</w:t>
      </w:r>
    </w:p>
    <w:p>
      <w:pPr>
        <w:spacing w:after="0" w:line="180"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GP Ltd., Xb Holdco and the Managed Entities; therefore, Management GP may be deemed to have indirect beneficial ownership of the Shares held by VOF Holdings, Xb Holdco and the Managed Entities.</w:t>
      </w:r>
    </w:p>
    <w:p>
      <w:pPr>
        <w:spacing w:after="0" w:line="180"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OCG, in its capacity as the managing member of Holdings, has the ability to direct the management of Holdings’ business, including the power to direct the decisions of Holdings regarding the vote and disposition of securities held by VOF Holdings, Xb Holdco, the Managed Entities, Cascade and Xb Holdings; therefore, OCG may be deemed to have indirect beneficial ownership of the Shares held by VOF Holdings, Xb Holdco, the Managed Entities, Cascade and Xb Holdings.</w:t>
      </w:r>
    </w:p>
    <w:p>
      <w:pPr>
        <w:spacing w:after="0" w:line="180"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Xb Holdco, the Managed Entities, Cascade and Xb Holdings; therefore, OCGH GP may be deemed to have indirect beneficial ownership of the Shares held by VOF Holdings, Xb Holdco, the Managed Entities, Cascade and Xb Holdings.</w:t>
      </w:r>
    </w:p>
    <w:p>
      <w:pPr>
        <w:spacing w:after="0" w:line="180" w:lineRule="exact"/>
        <w:rPr>
          <w:sz w:val="20"/>
          <w:szCs w:val="20"/>
          <w:color w:val="auto"/>
        </w:rPr>
      </w:pPr>
    </w:p>
    <w:p>
      <w:pPr>
        <w:ind w:left="1100" w:right="300"/>
        <w:spacing w:after="0" w:line="261" w:lineRule="auto"/>
        <w:rPr>
          <w:sz w:val="20"/>
          <w:szCs w:val="20"/>
          <w:color w:val="auto"/>
        </w:rPr>
      </w:pPr>
      <w:r>
        <w:rPr>
          <w:rFonts w:ascii="Times New Roman" w:cs="Times New Roman" w:eastAsia="Times New Roman" w:hAnsi="Times New Roman"/>
          <w:sz w:val="18"/>
          <w:szCs w:val="18"/>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Xb Holdco, the Managed Entities, Cascade and Xb Holdings; therefore BAM may be deemed to have indirect beneficial ownership of the Shares held by VOF Holdings, Xb Holdco, the Managed Entities, Cascade and Xb Holdings.</w:t>
      </w:r>
    </w:p>
    <w:p>
      <w:pPr>
        <w:spacing w:after="0" w:line="180"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Partners, in its capacity as the sole owner of Class B Limited Voting Shares of BAM, has the ability to appoint and remove certain directors of BAM and, as such, may indirectly control the decisions of BAM regarding the vote and disposition of securities held by VOF Holdings, Xb Holdco, the Managed Entities, Cascade and Xb Holdings; therefore Partners may be deemed to have indirect beneficial ownership of the Shares held by VOF Holdings, Xb Holdco, the Managed Entities, Cascade and Xb Holdings.</w:t>
      </w:r>
    </w:p>
    <w:p>
      <w:pPr>
        <w:spacing w:after="0" w:line="180"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and except to the extent of its pecuniary interest, such beneficial ownership is expressly disclaimed by each Reporting Person.</w:t>
      </w:r>
    </w:p>
    <w:p>
      <w:pPr>
        <w:spacing w:after="0" w:line="180"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All ownership percentages of the securities reported in this Statement are based on 70,017,356 Shares outstanding as of October 21, 2020, as reported by the Issuer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G48833118</w:t>
            </w:r>
          </w:p>
        </w:tc>
        <w:tc>
          <w:tcPr>
            <w:tcW w:w="40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902" w:lineRule="exact"/>
        <w:rPr>
          <w:sz w:val="20"/>
          <w:szCs w:val="20"/>
          <w:color w:val="auto"/>
        </w:rPr>
      </w:pPr>
    </w:p>
    <w:p>
      <w:pPr>
        <w:sectPr>
          <w:pgSz w:w="11900" w:h="16838" w:orient="portrait"/>
          <w:cols w:equalWidth="0" w:num="2">
            <w:col w:w="9500" w:space="720"/>
            <w:col w:w="1000"/>
          </w:cols>
          <w:pgMar w:left="320" w:top="794" w:right="359" w:bottom="1440" w:gutter="0" w:footer="0" w:header="0"/>
        </w:sectPr>
      </w:pPr>
    </w:p>
    <w:p>
      <w:pPr>
        <w:spacing w:after="0" w:line="25" w:lineRule="exact"/>
        <w:rPr>
          <w:sz w:val="20"/>
          <w:szCs w:val="20"/>
          <w:color w:val="auto"/>
        </w:rPr>
      </w:pPr>
    </w:p>
    <w:p>
      <w:pPr>
        <w:ind w:left="1140"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1140" w:right="9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56" w:lineRule="exact"/>
        <w:rPr>
          <w:sz w:val="20"/>
          <w:szCs w:val="20"/>
          <w:color w:val="auto"/>
        </w:rPr>
      </w:pPr>
    </w:p>
    <w:p>
      <w:pPr>
        <w:jc w:val="both"/>
        <w:ind w:left="1140" w:right="1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00"/>
          </w:cols>
          <w:pgMar w:left="320" w:top="819" w:right="359" w:bottom="1440"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VALUE OPPORTUNITIES FUND HOLDINGS,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L.P.</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Value Opportunities Fund GP,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Value Opportunities Fund GP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VALUE OPPORTUNITIES FUND GP, L.P.</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Value Opportunities Fund GP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VALUE OPPORTUNITIES FUND GP LTD.</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Capital Management,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5" w:name="page26"/>
    <w:bookmarkEnd w:id="25"/>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CUSIP No. G48833118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Page 26 of 28</w:t>
            </w:r>
          </w:p>
        </w:tc>
      </w:tr>
      <w:tr>
        <w:trPr>
          <w:trHeight w:val="648"/>
        </w:trPr>
        <w:tc>
          <w:tcPr>
            <w:tcW w:w="4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OAKTREE OPPS XB HOLDCO LTD.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6"/>
        </w:trPr>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Oaktree Capital Management, L.P.</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2"/>
        </w:trPr>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Orren</w:t>
            </w:r>
          </w:p>
        </w:tc>
        <w:tc>
          <w:tcPr>
            <w:tcW w:w="11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12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Henry Orren</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CASCADE INVESTMENT FUND I GP,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LLC</w:t>
      </w:r>
    </w:p>
    <w:p>
      <w:pPr>
        <w:spacing w:after="0" w:line="27"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 L.P.</w:t>
      </w:r>
    </w:p>
    <w:p>
      <w:pPr>
        <w:spacing w:after="0" w:line="27"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OPPORTUNITIES FUND Xb</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HOLDINGS (DELAWARE), L.P.</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LLC</w:t>
      </w:r>
    </w:p>
    <w:p>
      <w:pPr>
        <w:spacing w:after="0" w:line="27"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 L.P.</w:t>
      </w:r>
    </w:p>
    <w:p>
      <w:pPr>
        <w:spacing w:after="0" w:line="27"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jc w:val="center"/>
        <w:ind w:right="330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FUND GP,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Fund GP I, L.P.</w:t>
      </w:r>
    </w:p>
    <w:p>
      <w:pPr>
        <w:spacing w:after="0" w:line="27"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139"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3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FUND GP I,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CAPITAL I,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OCM HOLDINGS I,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OAKTREE HOLDINGS,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485775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80" w:space="720"/>
            <w:col w:w="6300"/>
          </w:cols>
          <w:pgMar w:left="360" w:top="794" w:right="339" w:bottom="739"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0" w:lineRule="exact"/>
        <w:rPr>
          <w:sz w:val="20"/>
          <w:szCs w:val="20"/>
          <w:color w:val="auto"/>
        </w:rPr>
      </w:pPr>
    </w:p>
    <w:p>
      <w:pPr>
        <w:spacing w:after="0" w:line="25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OAKTREE CAPITAL MANAGEMENT,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1716" w:lineRule="exact"/>
        <w:rPr>
          <w:sz w:val="20"/>
          <w:szCs w:val="20"/>
          <w:color w:val="auto"/>
        </w:rPr>
      </w:pPr>
    </w:p>
    <w:p>
      <w:pPr>
        <w:sectPr>
          <w:pgSz w:w="11900" w:h="16838" w:orient="portrait"/>
          <w:cols w:equalWidth="0" w:num="3">
            <w:col w:w="4220" w:space="720"/>
            <w:col w:w="4560" w:space="720"/>
            <w:col w:w="1020"/>
          </w:cols>
          <w:pgMar w:left="320" w:top="819" w:right="339" w:bottom="1440" w:gutter="0" w:footer="0" w:header="0"/>
        </w:sectPr>
      </w:pPr>
    </w:p>
    <w:p>
      <w:pPr>
        <w:spacing w:after="0" w:line="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CAPITAL MANAGEMENT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Atlas OCM Holdings,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Managing Member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New Holdings,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Member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ATLAS OCM HOLDINGS,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Oaktree New Holdings,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Member</w:t>
      </w:r>
    </w:p>
    <w:p>
      <w:pPr>
        <w:spacing w:after="0" w:line="1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Jessica Diab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Jessica Diab</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 Legal &amp; Regulatory</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PARTNERS LIMITED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D. Lawson</w:t>
            </w:r>
          </w:p>
        </w:tc>
        <w:tc>
          <w:tcPr>
            <w:tcW w:w="1120" w:type="dxa"/>
            <w:vAlign w:val="bottom"/>
          </w:tcPr>
          <w:p>
            <w:pPr>
              <w:spacing w:after="0"/>
              <w:rPr>
                <w:sz w:val="20"/>
                <w:szCs w:val="20"/>
                <w:color w:val="auto"/>
              </w:rPr>
            </w:pP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D. Lawson</w:t>
            </w:r>
          </w:p>
        </w:tc>
        <w:tc>
          <w:tcPr>
            <w:tcW w:w="1120" w:type="dxa"/>
            <w:vAlign w:val="bottom"/>
          </w:tcPr>
          <w:p>
            <w:pPr>
              <w:spacing w:after="0"/>
              <w:rPr>
                <w:sz w:val="17"/>
                <w:szCs w:val="17"/>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-136525</wp:posOffset>
            </wp:positionV>
            <wp:extent cx="14401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4220" w:space="720"/>
            <w:col w:w="4560" w:space="720"/>
            <w:col w:w="1000"/>
          </w:cols>
          <w:pgMar w:left="320" w:top="819" w:right="359" w:bottom="1440"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r:id="rId125">
        <w:r>
          <w:rPr>
            <w:rFonts w:ascii="Times New Roman" w:cs="Times New Roman" w:eastAsia="Times New Roman" w:hAnsi="Times New Roman"/>
            <w:sz w:val="18"/>
            <w:szCs w:val="18"/>
            <w:u w:val="single" w:color="auto"/>
            <w:color w:val="0000EE"/>
          </w:rPr>
          <w:t>Joint Filing Agreement as required by Rule 13d-1(k)(1) under the Securities Exchange Act of 1934, as amended (previously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3"/>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5" Type="http://schemas.openxmlformats.org/officeDocument/2006/relationships/hyperlink" Target="https://www.sec.gov/Archives/edgar/data/1407181/000095014220000467/eh2000336_13g-weath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2021-02-16T12:00:02Z</dcterms:created>
  <dcterms:modified xsi:type="dcterms:W3CDTF">2021-02-16T12:00:02Z</dcterms:modified>
</cp:coreProperties>
</file>