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March 1, 2024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63"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7"/>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w w:val="98"/>
              </w:rPr>
              <w:t>(Zip Code)</w:t>
            </w:r>
          </w:p>
        </w:tc>
        <w:tc>
          <w:tcPr>
            <w:tcW w:w="820" w:type="dxa"/>
            <w:vAlign w:val="bottom"/>
          </w:tcPr>
          <w:p>
            <w:pPr>
              <w:spacing w:after="0"/>
              <w:rPr>
                <w:sz w:val="19"/>
                <w:szCs w:val="19"/>
                <w:color w:val="auto"/>
              </w:rPr>
            </w:pPr>
          </w:p>
        </w:tc>
      </w:tr>
    </w:tbl>
    <w:p>
      <w:pPr>
        <w:spacing w:after="0" w:line="6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19050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5"/>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Ordinary shares, $0.001 par value per share</w:t>
            </w:r>
          </w:p>
        </w:tc>
        <w:tc>
          <w:tcPr>
            <w:tcW w:w="216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0" w:lineRule="exact"/>
        <w:rPr>
          <w:sz w:val="24"/>
          <w:szCs w:val="24"/>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855980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ind w:right="80" w:firstLine="644"/>
        <w:spacing w:after="0" w:line="237" w:lineRule="auto"/>
        <w:rPr>
          <w:sz w:val="20"/>
          <w:szCs w:val="20"/>
          <w:color w:val="auto"/>
        </w:rPr>
      </w:pPr>
      <w:r>
        <w:rPr>
          <w:rFonts w:ascii="Times New Roman" w:cs="Times New Roman" w:eastAsia="Times New Roman" w:hAnsi="Times New Roman"/>
          <w:sz w:val="18"/>
          <w:szCs w:val="18"/>
          <w:color w:val="auto"/>
        </w:rPr>
        <w:t>On March 1, 2024, Weatherford International plc (the “Company”) filed a prospectus supplement to its Registration Statement on Form S-3ASR filed with the U.S. Securities and Exchange Commission (the “Commission”) on June 15, 2022 (No. 333-265636) (the “Registration Statement”), under the Securities Act of 1933, as amended, with respect to the resale of up to 844,702 ordinary shares of the Company, nominal value $0.001 per share (“Ordinary Shares”), by the selling shareholders named therein. The Ordinary Shares being offered by the selling shareholders are being issued in connection with the Company’s acquisition of ISI Holding Company, LLC and Probe Technologies Holdings, Inc.</w:t>
      </w:r>
    </w:p>
    <w:p>
      <w:pPr>
        <w:spacing w:after="0" w:line="79" w:lineRule="exact"/>
        <w:rPr>
          <w:sz w:val="20"/>
          <w:szCs w:val="20"/>
          <w:color w:val="auto"/>
        </w:rPr>
      </w:pPr>
    </w:p>
    <w:p>
      <w:pPr>
        <w:ind w:right="100" w:firstLine="644"/>
        <w:spacing w:after="0" w:line="264" w:lineRule="auto"/>
        <w:rPr>
          <w:sz w:val="20"/>
          <w:szCs w:val="20"/>
          <w:color w:val="auto"/>
        </w:rPr>
      </w:pPr>
      <w:r>
        <w:rPr>
          <w:rFonts w:ascii="Times New Roman" w:cs="Times New Roman" w:eastAsia="Times New Roman" w:hAnsi="Times New Roman"/>
          <w:sz w:val="18"/>
          <w:szCs w:val="18"/>
          <w:color w:val="auto"/>
        </w:rPr>
        <w:t>In connection with the filing of the prospectus supplement, the Company is filing a legal opinion as Exhibit 5.1 to this current report on Form 8-K, which is incorporated by reference into the Registration Statement.</w:t>
      </w:r>
    </w:p>
    <w:p>
      <w:pPr>
        <w:spacing w:after="0" w:line="346"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3" w:lineRule="exact"/>
        <w:rPr>
          <w:sz w:val="20"/>
          <w:szCs w:val="20"/>
          <w:color w:val="auto"/>
        </w:rPr>
      </w:pPr>
    </w:p>
    <w:p>
      <w:pPr>
        <w:ind w:left="1080" w:hanging="428"/>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320" w:type="dxa"/>
            <w:vAlign w:val="bottom"/>
            <w:gridSpan w:val="2"/>
          </w:tcPr>
          <w:p>
            <w:pPr>
              <w:spacing w:after="0"/>
              <w:rPr>
                <w:sz w:val="2"/>
                <w:szCs w:val="2"/>
                <w:color w:val="auto"/>
              </w:rPr>
            </w:pPr>
          </w:p>
        </w:tc>
      </w:tr>
      <w:tr>
        <w:trPr>
          <w:trHeight w:val="227"/>
        </w:trPr>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380" w:type="dxa"/>
            <w:vAlign w:val="bottom"/>
          </w:tcPr>
          <w:p>
            <w:pPr>
              <w:spacing w:after="0"/>
              <w:rPr>
                <w:sz w:val="19"/>
                <w:szCs w:val="19"/>
                <w:color w:val="auto"/>
              </w:rPr>
            </w:pPr>
          </w:p>
        </w:tc>
        <w:tc>
          <w:tcPr>
            <w:tcW w:w="8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Opinion of Matheson LLP</w:t>
            </w:r>
          </w:p>
        </w:tc>
        <w:tc>
          <w:tcPr>
            <w:tcW w:w="880" w:type="dxa"/>
            <w:vAlign w:val="bottom"/>
          </w:tcPr>
          <w:p>
            <w:pPr>
              <w:spacing w:after="0"/>
              <w:rPr>
                <w:sz w:val="19"/>
                <w:szCs w:val="19"/>
                <w:color w:val="auto"/>
              </w:rPr>
            </w:pPr>
          </w:p>
        </w:tc>
      </w:tr>
      <w:tr>
        <w:trPr>
          <w:trHeight w:val="250"/>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380" w:type="dxa"/>
            <w:vAlign w:val="bottom"/>
          </w:tcPr>
          <w:p>
            <w:pPr>
              <w:spacing w:after="0"/>
              <w:rPr>
                <w:sz w:val="21"/>
                <w:szCs w:val="21"/>
                <w:color w:val="auto"/>
              </w:rPr>
            </w:pPr>
          </w:p>
        </w:tc>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 of Matheson LLP (included in Exhibit 5.1)</w:t>
            </w:r>
          </w:p>
        </w:tc>
      </w:tr>
      <w:tr>
        <w:trPr>
          <w:trHeight w:val="255"/>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380" w:type="dxa"/>
            <w:vAlign w:val="bottom"/>
          </w:tcPr>
          <w:p>
            <w:pPr>
              <w:spacing w:after="0"/>
              <w:rPr>
                <w:sz w:val="22"/>
                <w:szCs w:val="22"/>
                <w:color w:val="auto"/>
              </w:rPr>
            </w:pPr>
          </w:p>
        </w:tc>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2194"/>
        </w:trPr>
        <w:tc>
          <w:tcPr>
            <w:tcW w:w="1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March 1, 2024</w:t>
      </w:r>
    </w:p>
    <w:p>
      <w:pPr>
        <w:spacing w:after="0" w:line="2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color w:val="auto"/>
        </w:rPr>
        <w:t>Executive Vice President, General Counsel,</w:t>
      </w:r>
    </w:p>
    <w:p>
      <w:pPr>
        <w:jc w:val="center"/>
        <w:ind w:left="5500"/>
        <w:spacing w:after="0"/>
        <w:rPr>
          <w:sz w:val="20"/>
          <w:szCs w:val="20"/>
          <w:color w:val="auto"/>
        </w:rPr>
      </w:pPr>
      <w:r>
        <w:rPr>
          <w:rFonts w:ascii="Times New Roman" w:cs="Times New Roman" w:eastAsia="Times New Roman" w:hAnsi="Times New Roman"/>
          <w:sz w:val="18"/>
          <w:szCs w:val="18"/>
          <w:color w:val="auto"/>
        </w:rPr>
        <w:t>and Chief Compliance Officer</w:t>
      </w:r>
    </w:p>
    <w:p>
      <w:pPr>
        <w:sectPr>
          <w:pgSz w:w="11900" w:h="16838" w:orient="portrait"/>
          <w:cols w:equalWidth="0" w:num="1">
            <w:col w:w="11140"/>
          </w:cols>
          <w:pgMar w:left="320" w:top="882" w:right="4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4869815</wp:posOffset>
            </wp:positionH>
            <wp:positionV relativeFrom="page">
              <wp:posOffset>88900</wp:posOffset>
            </wp:positionV>
            <wp:extent cx="2471420" cy="996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71420" cy="99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Weatherford International plc</w:t>
      </w:r>
    </w:p>
    <w:p>
      <w:pPr>
        <w:ind w:left="20"/>
        <w:spacing w:after="0" w:line="202" w:lineRule="auto"/>
        <w:rPr>
          <w:sz w:val="20"/>
          <w:szCs w:val="20"/>
          <w:color w:val="auto"/>
        </w:rPr>
      </w:pPr>
      <w:r>
        <w:rPr>
          <w:rFonts w:ascii="Arial" w:cs="Arial" w:eastAsia="Arial" w:hAnsi="Arial"/>
          <w:sz w:val="18"/>
          <w:szCs w:val="18"/>
          <w:color w:val="auto"/>
        </w:rPr>
        <w:t>70 Sir John Rogerson's Quay</w:t>
      </w:r>
    </w:p>
    <w:p>
      <w:pPr>
        <w:ind w:left="20"/>
        <w:spacing w:after="0" w:line="202" w:lineRule="auto"/>
        <w:rPr>
          <w:sz w:val="20"/>
          <w:szCs w:val="20"/>
          <w:color w:val="auto"/>
        </w:rPr>
      </w:pPr>
      <w:r>
        <w:rPr>
          <w:rFonts w:ascii="Arial" w:cs="Arial" w:eastAsia="Arial" w:hAnsi="Arial"/>
          <w:sz w:val="18"/>
          <w:szCs w:val="18"/>
          <w:color w:val="auto"/>
        </w:rPr>
        <w:t>Dublin 2</w:t>
      </w:r>
    </w:p>
    <w:p>
      <w:pPr>
        <w:ind w:left="20"/>
        <w:spacing w:after="0" w:line="218" w:lineRule="auto"/>
        <w:rPr>
          <w:sz w:val="20"/>
          <w:szCs w:val="20"/>
          <w:color w:val="auto"/>
        </w:rPr>
      </w:pPr>
      <w:r>
        <w:rPr>
          <w:rFonts w:ascii="Arial" w:cs="Arial" w:eastAsia="Arial" w:hAnsi="Arial"/>
          <w:sz w:val="18"/>
          <w:szCs w:val="18"/>
          <w:color w:val="auto"/>
        </w:rPr>
        <w:t>D02 R296</w:t>
      </w:r>
    </w:p>
    <w:p>
      <w:pPr>
        <w:ind w:left="20"/>
        <w:spacing w:after="0" w:line="202" w:lineRule="auto"/>
        <w:rPr>
          <w:sz w:val="20"/>
          <w:szCs w:val="20"/>
          <w:color w:val="auto"/>
        </w:rPr>
      </w:pPr>
      <w:r>
        <w:rPr>
          <w:rFonts w:ascii="Arial" w:cs="Arial" w:eastAsia="Arial" w:hAnsi="Arial"/>
          <w:sz w:val="18"/>
          <w:szCs w:val="18"/>
          <w:color w:val="auto"/>
        </w:rPr>
        <w:t>Ireland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Private and Confidential</w:t>
      </w:r>
    </w:p>
    <w:p>
      <w:pPr>
        <w:spacing w:after="0" w:line="21" w:lineRule="exact"/>
        <w:rPr>
          <w:sz w:val="20"/>
          <w:szCs w:val="20"/>
          <w:color w:val="auto"/>
        </w:rPr>
      </w:pPr>
    </w:p>
    <w:p>
      <w:pPr>
        <w:jc w:val="both"/>
        <w:ind w:left="20" w:right="20"/>
        <w:spacing w:after="0"/>
        <w:rPr>
          <w:sz w:val="20"/>
          <w:szCs w:val="20"/>
          <w:color w:val="auto"/>
        </w:rPr>
      </w:pPr>
      <w:r>
        <w:rPr>
          <w:rFonts w:ascii="Arial" w:cs="Arial" w:eastAsia="Arial" w:hAnsi="Arial"/>
          <w:sz w:val="18"/>
          <w:szCs w:val="18"/>
          <w:color w:val="auto"/>
        </w:rPr>
        <w:t>Our ref 1 March 2024 FBO/AOC 661725-56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S-3 and Prospectus Supplement</w:t>
      </w:r>
    </w:p>
    <w:p>
      <w:pPr>
        <w:spacing w:after="0" w:line="24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We have acted as Irish counsel to Weatherford International plc, a public limited company incorporated under the laws of Ireland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 in connection with the re-sale, from time to time, by the selling shareholders of up to 844,702 ordinary shares of $0.001 each (nominal value) in the capital of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 pursuant to the shelf-registration statement on Form S-3 filed by the Company on 15 June 2022 (Registration No. 333-265636)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 U.S. Securities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the prospectus included therein and a prospectus supplement dated 1 March 2024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Ordinary Shares have been issued pursuant to (i) a merger agreement dated 1 February 2024, by and among the Company, ISI Holding Company, LLC, Weatherford Wireline One, LLC and Turnbridge Capital Management, LLC, as sellers’ representative (the "</w:t>
      </w:r>
      <w:r>
        <w:rPr>
          <w:rFonts w:ascii="Arial" w:cs="Arial" w:eastAsia="Arial" w:hAnsi="Arial"/>
          <w:sz w:val="18"/>
          <w:szCs w:val="18"/>
          <w:b w:val="1"/>
          <w:bCs w:val="1"/>
          <w:color w:val="auto"/>
        </w:rPr>
        <w:t>ISI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(ii) a merger agreement dated 1 February 2024, by and among the Company, Probe Technologies Holdings, Inc. ("</w:t>
      </w:r>
      <w:r>
        <w:rPr>
          <w:rFonts w:ascii="Arial" w:cs="Arial" w:eastAsia="Arial" w:hAnsi="Arial"/>
          <w:sz w:val="18"/>
          <w:szCs w:val="18"/>
          <w:b w:val="1"/>
          <w:bCs w:val="1"/>
          <w:color w:val="auto"/>
        </w:rPr>
        <w:t>Probe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Weatherford Wireline Two, LLC and Turnbridge Capital Management, LLC, as sellers’ representative (the "</w:t>
      </w:r>
      <w:r>
        <w:rPr>
          <w:rFonts w:ascii="Arial" w:cs="Arial" w:eastAsia="Arial" w:hAnsi="Arial"/>
          <w:sz w:val="18"/>
          <w:szCs w:val="18"/>
          <w:b w:val="1"/>
          <w:bCs w:val="1"/>
          <w:color w:val="auto"/>
        </w:rPr>
        <w:t>Probe Merger Agreement</w:t>
      </w:r>
      <w:r>
        <w:rPr>
          <w:rFonts w:ascii="Arial" w:cs="Arial" w:eastAsia="Arial" w:hAnsi="Arial"/>
          <w:sz w:val="18"/>
          <w:szCs w:val="18"/>
          <w:color w:val="auto"/>
        </w:rPr>
        <w:t>") and</w:t>
      </w:r>
    </w:p>
    <w:p>
      <w:pPr>
        <w:spacing w:after="0" w:line="3" w:lineRule="exact"/>
        <w:rPr>
          <w:sz w:val="20"/>
          <w:szCs w:val="20"/>
          <w:color w:val="auto"/>
        </w:rPr>
      </w:pPr>
    </w:p>
    <w:p>
      <w:pPr>
        <w:ind w:right="20" w:firstLine="7"/>
        <w:spacing w:after="0" w:line="325" w:lineRule="auto"/>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those letter agreements listed in Schedule 1 to this Opinion (the "</w:t>
      </w:r>
      <w:r>
        <w:rPr>
          <w:rFonts w:ascii="Arial" w:cs="Arial" w:eastAsia="Arial" w:hAnsi="Arial"/>
          <w:sz w:val="18"/>
          <w:szCs w:val="18"/>
          <w:b w:val="1"/>
          <w:bCs w:val="1"/>
          <w:color w:val="auto"/>
        </w:rPr>
        <w:t>Transaction Bonus Agreements</w:t>
      </w:r>
      <w:r>
        <w:rPr>
          <w:rFonts w:ascii="Arial" w:cs="Arial" w:eastAsia="Arial" w:hAnsi="Arial"/>
          <w:sz w:val="18"/>
          <w:szCs w:val="18"/>
          <w:color w:val="auto"/>
        </w:rPr>
        <w:t>", and together with the ISI Merger Agreement and the Probe Merger Agreement, the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pacing w:after="0" w:line="151" w:lineRule="exact"/>
        <w:rPr>
          <w:sz w:val="20"/>
          <w:szCs w:val="20"/>
          <w:color w:val="auto"/>
        </w:rPr>
      </w:pPr>
    </w:p>
    <w:p>
      <w:pPr>
        <w:jc w:val="both"/>
        <w:ind w:right="20"/>
        <w:spacing w:after="0" w:line="325" w:lineRule="auto"/>
        <w:rPr>
          <w:sz w:val="20"/>
          <w:szCs w:val="20"/>
          <w:color w:val="auto"/>
        </w:rPr>
      </w:pPr>
      <w:r>
        <w:rPr>
          <w:rFonts w:ascii="Arial" w:cs="Arial" w:eastAsia="Arial" w:hAnsi="Arial"/>
          <w:sz w:val="18"/>
          <w:szCs w:val="18"/>
          <w:color w:val="auto"/>
        </w:rPr>
        <w:t>In connection with this Opinion, we have reviewed the corporate resolutions, records and other documents (including the corporate certificate) and searches listed in Schedule 2 to this Opinion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Based solely on our review of the Documents and subject to the further assumptions, qualifications and limitations set out in this Opinion, we are of the opinion that the Ordinary Shares are validly issued, fully paid and non-assessable (“</w:t>
      </w:r>
      <w:r>
        <w:rPr>
          <w:rFonts w:ascii="Arial" w:cs="Arial" w:eastAsia="Arial" w:hAnsi="Arial"/>
          <w:sz w:val="18"/>
          <w:szCs w:val="18"/>
          <w:b w:val="1"/>
          <w:bCs w:val="1"/>
          <w:color w:val="auto"/>
        </w:rPr>
        <w:t>non-assessable</w:t>
      </w:r>
      <w:r>
        <w:rPr>
          <w:rFonts w:ascii="Arial" w:cs="Arial" w:eastAsia="Arial" w:hAnsi="Arial"/>
          <w:sz w:val="18"/>
          <w:szCs w:val="18"/>
          <w:color w:val="auto"/>
        </w:rPr>
        <w:t>” is a phrase which has no defined meaning under Irish law, but, for the purposes of this Opinion, shall mean the registered holders of the Ordinary Shares are not subject to calls for additional payments of capital on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215900</wp:posOffset>
            </wp:positionV>
            <wp:extent cx="5156200" cy="1176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56200" cy="11760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5739130</wp:posOffset>
            </wp:positionH>
            <wp:positionV relativeFrom="page">
              <wp:posOffset>88900</wp:posOffset>
            </wp:positionV>
            <wp:extent cx="1602105" cy="187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02105"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For the purposes of this Opinion, we have assumed: (i) the Registration Statement is, and will remain, effective at all relevant times, (ii) the truth and accuracy of the contents of the Documents as to factual matters, but we have made no independent investigation regarding such factual matters, (iii) all signatures (including, for the avoidance of doubt, electronic signatures), initials, seals and stamps contained in, or on, the Documents submitted to us are genuine, (iv) all Documents submitted to us as originals are authentic and complete and that all Documents submitted to us as copies (including, without limitation, any Document submitted to us as a .pdf (or any other format) attachment to an email) are complete and conform to the originals of such Documents, and the originals of such Documents are authentic and complete,</w:t>
      </w:r>
    </w:p>
    <w:p>
      <w:pPr>
        <w:spacing w:after="0" w:line="3" w:lineRule="exact"/>
        <w:rPr>
          <w:sz w:val="20"/>
          <w:szCs w:val="20"/>
          <w:color w:val="auto"/>
        </w:rPr>
      </w:pPr>
    </w:p>
    <w:p>
      <w:pPr>
        <w:jc w:val="both"/>
        <w:ind w:firstLine="7"/>
        <w:spacing w:after="0" w:line="287" w:lineRule="auto"/>
        <w:tabs>
          <w:tab w:leader="none" w:pos="2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transactions provided for in the Agreements will be consummated on the terms provided for therein, (vi) the obligations expressed to be assumed by each party to the Agreements are legal, valid, binding and enforceable obligations under all applicable laws and in all</w:t>
      </w:r>
    </w:p>
    <w:p>
      <w:pPr>
        <w:spacing w:after="0" w:line="1" w:lineRule="exact"/>
        <w:rPr>
          <w:rFonts w:ascii="Arial" w:cs="Arial" w:eastAsia="Arial" w:hAnsi="Arial"/>
          <w:sz w:val="18"/>
          <w:szCs w:val="18"/>
          <w:color w:val="auto"/>
        </w:rPr>
      </w:pPr>
    </w:p>
    <w:p>
      <w:pPr>
        <w:spacing w:after="0" w:line="313" w:lineRule="auto"/>
        <w:rPr>
          <w:rFonts w:ascii="Arial" w:cs="Arial" w:eastAsia="Arial" w:hAnsi="Arial"/>
          <w:sz w:val="18"/>
          <w:szCs w:val="18"/>
          <w:color w:val="auto"/>
        </w:rPr>
      </w:pPr>
      <w:r>
        <w:rPr>
          <w:rFonts w:ascii="Arial" w:cs="Arial" w:eastAsia="Arial" w:hAnsi="Arial"/>
          <w:sz w:val="18"/>
          <w:szCs w:val="18"/>
          <w:color w:val="auto"/>
        </w:rPr>
        <w:t>applicable jurisdictions, other than, in the case of the Company, the laws of Ireland and the jurisdiction of Ireland and (vii) the Company has received the full consideration payable for the Ordinary Shares, as provided for in the Agreements.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This Opinion is based upon, and limited to, the laws of Ireland in effect on the date hereof and is based on legislation published and cases fully reported before that date and our knowledge of the facts relevant to the opinions contained herein. We have assumed, without enquiry, that there is nothing in the laws of any jurisdiction other than Ireland which would, or might, affect our opinions as stated herein. We have made no investigations of, and we express no opinion on, the laws of any jurisdiction other than Ireland, or the effect thereof. This Opinion is expressed as of the date hereof and we assume no obligation to update this Opinion.</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This Opinion is furnished to you and the persons entitled to rely upon it pursuant to the applicable provisions of the Securities Act strictly for use in connection with the Registration Statement and the Prospectus Supplement and may not be relied upon by any other person without our prior written consent. This Opinion is confined strictly to the matters expressly stated herein and is not to be read as extending, by implication or otherwise, to any other matter.</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We hereby consent to the filing of this Opinion as an exhibit to the current report on Form 8-K filed on 1 March 2024 2024 and to the reference to Matheson LLP under the caption "Legal Matters" in the Prospectus Supplement. In giving such consent, we do not admit that we are included 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Opinion and the opinions given in it are governed by, and shall be construed in accordance with, the laws of Ireland.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Matheson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MATHESON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60792328.3</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5739130</wp:posOffset>
            </wp:positionH>
            <wp:positionV relativeFrom="page">
              <wp:posOffset>88900</wp:posOffset>
            </wp:positionV>
            <wp:extent cx="1602105" cy="187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02105"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59"/>
        <w:spacing w:after="0"/>
        <w:rPr>
          <w:sz w:val="20"/>
          <w:szCs w:val="20"/>
          <w:color w:val="auto"/>
        </w:rPr>
      </w:pPr>
      <w:r>
        <w:rPr>
          <w:rFonts w:ascii="Arial" w:cs="Arial" w:eastAsia="Arial" w:hAnsi="Arial"/>
          <w:sz w:val="20"/>
          <w:szCs w:val="20"/>
          <w:b w:val="1"/>
          <w:bCs w:val="1"/>
          <w:color w:val="auto"/>
        </w:rPr>
        <w:t>Schedule 1</w:t>
      </w:r>
    </w:p>
    <w:p>
      <w:pPr>
        <w:spacing w:after="0" w:line="2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The Transaction Bonus Agreements</w:t>
      </w:r>
    </w:p>
    <w:p>
      <w:pPr>
        <w:spacing w:after="0" w:line="249" w:lineRule="exact"/>
        <w:rPr>
          <w:sz w:val="20"/>
          <w:szCs w:val="20"/>
          <w:color w:val="auto"/>
        </w:rPr>
      </w:pPr>
    </w:p>
    <w:p>
      <w:pPr>
        <w:ind w:left="640" w:hanging="63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Letter agreement dated 1 February 2024 by and among the Company, Probe and Victor "Trey" Clark.</w:t>
      </w:r>
    </w:p>
    <w:p>
      <w:pPr>
        <w:spacing w:after="0" w:line="262" w:lineRule="exact"/>
        <w:rPr>
          <w:rFonts w:ascii="Arial" w:cs="Arial" w:eastAsia="Arial" w:hAnsi="Arial"/>
          <w:sz w:val="18"/>
          <w:szCs w:val="18"/>
          <w:color w:val="auto"/>
        </w:rPr>
      </w:pPr>
    </w:p>
    <w:p>
      <w:pPr>
        <w:ind w:left="640" w:hanging="63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Letter agreement dated 1 February 2024 by and among the Company, Probe and Bulent Finci.</w:t>
      </w:r>
    </w:p>
    <w:p>
      <w:pPr>
        <w:spacing w:after="0" w:line="249" w:lineRule="exact"/>
        <w:rPr>
          <w:rFonts w:ascii="Arial" w:cs="Arial" w:eastAsia="Arial" w:hAnsi="Arial"/>
          <w:sz w:val="18"/>
          <w:szCs w:val="18"/>
          <w:color w:val="auto"/>
        </w:rPr>
      </w:pPr>
    </w:p>
    <w:p>
      <w:pPr>
        <w:ind w:left="640" w:hanging="63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Letter agreement dated 1 February 2024 by and among the Company, Probe and Kevin Gerland.</w:t>
      </w:r>
    </w:p>
    <w:p>
      <w:pPr>
        <w:spacing w:after="0" w:line="262" w:lineRule="exact"/>
        <w:rPr>
          <w:rFonts w:ascii="Arial" w:cs="Arial" w:eastAsia="Arial" w:hAnsi="Arial"/>
          <w:sz w:val="18"/>
          <w:szCs w:val="18"/>
          <w:color w:val="auto"/>
        </w:rPr>
      </w:pPr>
    </w:p>
    <w:p>
      <w:pPr>
        <w:ind w:left="640" w:hanging="63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Letter agreement dated 1 February 2024 by and among the Company, Probe and Dallas "Dax" Middlebrooks.</w:t>
      </w:r>
    </w:p>
    <w:p>
      <w:pPr>
        <w:spacing w:after="0" w:line="262" w:lineRule="exact"/>
        <w:rPr>
          <w:rFonts w:ascii="Arial" w:cs="Arial" w:eastAsia="Arial" w:hAnsi="Arial"/>
          <w:sz w:val="18"/>
          <w:szCs w:val="18"/>
          <w:color w:val="auto"/>
        </w:rPr>
      </w:pPr>
    </w:p>
    <w:p>
      <w:pPr>
        <w:ind w:left="640" w:hanging="63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Letter agreement dated 1 February 2024 by and among the Company, Probe and August Scherer.</w:t>
      </w:r>
    </w:p>
    <w:p>
      <w:pPr>
        <w:spacing w:after="0" w:line="249" w:lineRule="exact"/>
        <w:rPr>
          <w:rFonts w:ascii="Arial" w:cs="Arial" w:eastAsia="Arial" w:hAnsi="Arial"/>
          <w:sz w:val="18"/>
          <w:szCs w:val="18"/>
          <w:color w:val="auto"/>
        </w:rPr>
      </w:pPr>
    </w:p>
    <w:p>
      <w:pPr>
        <w:ind w:left="640" w:hanging="63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Letter agreement dated 1 February 2024 by and among the Company, Probe and Martin Barratt.</w:t>
      </w:r>
    </w:p>
    <w:p>
      <w:pPr>
        <w:spacing w:after="0" w:line="262" w:lineRule="exact"/>
        <w:rPr>
          <w:rFonts w:ascii="Arial" w:cs="Arial" w:eastAsia="Arial" w:hAnsi="Arial"/>
          <w:sz w:val="18"/>
          <w:szCs w:val="18"/>
          <w:color w:val="auto"/>
        </w:rPr>
      </w:pPr>
    </w:p>
    <w:p>
      <w:pPr>
        <w:ind w:left="640" w:hanging="633"/>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Letter agreement dated 1 February 2024 by and among the Company, Probe, Gary Cresswell and Cresswell Investments, LLC.</w:t>
      </w:r>
    </w:p>
    <w:p>
      <w:pPr>
        <w:spacing w:after="0" w:line="260" w:lineRule="exact"/>
        <w:rPr>
          <w:rFonts w:ascii="Arial" w:cs="Arial" w:eastAsia="Arial" w:hAnsi="Arial"/>
          <w:sz w:val="17"/>
          <w:szCs w:val="17"/>
          <w:color w:val="auto"/>
        </w:rPr>
      </w:pPr>
    </w:p>
    <w:p>
      <w:pPr>
        <w:ind w:left="640" w:hanging="63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Letter agreement dated 1 February 2024 by and among the Company, Probe and Federico Casavantes.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pacing w:after="0"/>
        <w:rPr>
          <w:sz w:val="20"/>
          <w:szCs w:val="20"/>
          <w:color w:val="auto"/>
        </w:rPr>
      </w:pPr>
      <w:r>
        <w:rPr>
          <w:rFonts w:ascii="Arial" w:cs="Arial" w:eastAsia="Arial" w:hAnsi="Arial"/>
          <w:sz w:val="14"/>
          <w:szCs w:val="14"/>
          <w:color w:val="auto"/>
        </w:rPr>
        <w:t>60792328.3</w:t>
      </w:r>
    </w:p>
    <w:p>
      <w:pPr>
        <w:sectPr>
          <w:pgSz w:w="11900" w:h="16838" w:orient="portrait"/>
          <w:cols w:equalWidth="0" w:num="1">
            <w:col w:w="10700"/>
          </w:cols>
          <w:pgMar w:left="320" w:top="1440" w:right="8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5739130</wp:posOffset>
            </wp:positionH>
            <wp:positionV relativeFrom="page">
              <wp:posOffset>88900</wp:posOffset>
            </wp:positionV>
            <wp:extent cx="1602105" cy="187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02105" cy="18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2</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Documents</w:t>
      </w:r>
    </w:p>
    <w:p>
      <w:pPr>
        <w:spacing w:after="0" w:line="249" w:lineRule="exact"/>
        <w:rPr>
          <w:sz w:val="20"/>
          <w:szCs w:val="20"/>
          <w:color w:val="auto"/>
        </w:rPr>
      </w:pPr>
    </w:p>
    <w:p>
      <w:pPr>
        <w:ind w:left="640" w:hanging="63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certificate issued by the secretary of the Company dated 1 March 2024:</w:t>
      </w:r>
    </w:p>
    <w:p>
      <w:pPr>
        <w:spacing w:after="0" w:line="262" w:lineRule="exact"/>
        <w:rPr>
          <w:rFonts w:ascii="Arial" w:cs="Arial" w:eastAsia="Arial" w:hAnsi="Arial"/>
          <w:sz w:val="18"/>
          <w:szCs w:val="18"/>
          <w:color w:val="auto"/>
        </w:rPr>
      </w:pPr>
    </w:p>
    <w:p>
      <w:pPr>
        <w:ind w:left="1260" w:hanging="618"/>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attaching a copy of each of the following, certified as being true, complete and correct:</w:t>
      </w:r>
    </w:p>
    <w:p>
      <w:pPr>
        <w:spacing w:after="0" w:line="249" w:lineRule="exact"/>
        <w:rPr>
          <w:rFonts w:ascii="Arial" w:cs="Arial" w:eastAsia="Arial" w:hAnsi="Arial"/>
          <w:sz w:val="18"/>
          <w:szCs w:val="18"/>
          <w:color w:val="auto"/>
        </w:rPr>
      </w:pPr>
    </w:p>
    <w:p>
      <w:pPr>
        <w:jc w:val="both"/>
        <w:ind w:left="1920" w:hanging="644"/>
        <w:spacing w:after="0" w:line="312" w:lineRule="auto"/>
        <w:tabs>
          <w:tab w:leader="none" w:pos="1914"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certificate of incorporation, certificate of incorporation on change of name and certificate of incorporation on re-registration as a public limited company of the Company, dated 3 March 2014, 20 March 2014 and 29 May 2014, respectively;</w:t>
      </w:r>
    </w:p>
    <w:p>
      <w:pPr>
        <w:spacing w:after="0" w:line="159" w:lineRule="exact"/>
        <w:rPr>
          <w:rFonts w:ascii="Arial" w:cs="Arial" w:eastAsia="Arial" w:hAnsi="Arial"/>
          <w:sz w:val="18"/>
          <w:szCs w:val="18"/>
          <w:color w:val="auto"/>
        </w:rPr>
      </w:pPr>
    </w:p>
    <w:p>
      <w:pPr>
        <w:ind w:left="1920" w:hanging="644"/>
        <w:spacing w:after="0" w:line="329" w:lineRule="auto"/>
        <w:tabs>
          <w:tab w:leader="none" w:pos="1914"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current constitution of the Company, comprised of its memorandum and articles of association, adopted on 10 December 2019; and</w:t>
      </w:r>
    </w:p>
    <w:p>
      <w:pPr>
        <w:spacing w:after="0" w:line="143" w:lineRule="exact"/>
        <w:rPr>
          <w:rFonts w:ascii="Arial" w:cs="Arial" w:eastAsia="Arial" w:hAnsi="Arial"/>
          <w:sz w:val="18"/>
          <w:szCs w:val="18"/>
          <w:color w:val="auto"/>
        </w:rPr>
      </w:pPr>
    </w:p>
    <w:p>
      <w:pPr>
        <w:ind w:left="1900" w:hanging="624"/>
        <w:spacing w:after="0"/>
        <w:tabs>
          <w:tab w:leader="none" w:pos="1900" w:val="left"/>
        </w:tabs>
        <w:numPr>
          <w:ilvl w:val="2"/>
          <w:numId w:val="6"/>
        </w:numPr>
        <w:rPr>
          <w:rFonts w:ascii="Arial" w:cs="Arial" w:eastAsia="Arial" w:hAnsi="Arial"/>
          <w:sz w:val="18"/>
          <w:szCs w:val="18"/>
          <w:color w:val="auto"/>
        </w:rPr>
      </w:pPr>
      <w:r>
        <w:rPr>
          <w:rFonts w:ascii="Arial" w:cs="Arial" w:eastAsia="Arial" w:hAnsi="Arial"/>
          <w:sz w:val="18"/>
          <w:szCs w:val="18"/>
          <w:color w:val="auto"/>
        </w:rPr>
        <w:t>written resolutions of the board of directors of the Company passed on 29 January 2024;</w:t>
      </w:r>
    </w:p>
    <w:p>
      <w:pPr>
        <w:spacing w:after="0" w:line="262" w:lineRule="exact"/>
        <w:rPr>
          <w:rFonts w:ascii="Arial" w:cs="Arial" w:eastAsia="Arial" w:hAnsi="Arial"/>
          <w:sz w:val="18"/>
          <w:szCs w:val="18"/>
          <w:color w:val="auto"/>
        </w:rPr>
      </w:pPr>
    </w:p>
    <w:p>
      <w:pPr>
        <w:ind w:left="1280" w:right="20" w:hanging="638"/>
        <w:spacing w:after="0" w:line="313" w:lineRule="auto"/>
        <w:tabs>
          <w:tab w:leader="none" w:pos="1267" w:val="left"/>
        </w:tabs>
        <w:numPr>
          <w:ilvl w:val="1"/>
          <w:numId w:val="6"/>
        </w:numPr>
        <w:rPr>
          <w:rFonts w:ascii="Arial" w:cs="Arial" w:eastAsia="Arial" w:hAnsi="Arial"/>
          <w:sz w:val="18"/>
          <w:szCs w:val="18"/>
          <w:color w:val="auto"/>
        </w:rPr>
      </w:pPr>
      <w:r>
        <w:rPr>
          <w:rFonts w:ascii="Arial" w:cs="Arial" w:eastAsia="Arial" w:hAnsi="Arial"/>
          <w:sz w:val="18"/>
          <w:szCs w:val="18"/>
          <w:color w:val="auto"/>
        </w:rPr>
        <w:t>certifying that the names of the relevant persons to whom Ordinary Shares were to be issued in accordance with the terms of the Agreements, have been entered in the register of members of the Company as the holders thereof; and</w:t>
      </w:r>
    </w:p>
    <w:p>
      <w:pPr>
        <w:spacing w:after="0" w:line="171" w:lineRule="exact"/>
        <w:rPr>
          <w:rFonts w:ascii="Arial" w:cs="Arial" w:eastAsia="Arial" w:hAnsi="Arial"/>
          <w:sz w:val="18"/>
          <w:szCs w:val="18"/>
          <w:color w:val="auto"/>
        </w:rPr>
      </w:pPr>
    </w:p>
    <w:p>
      <w:pPr>
        <w:ind w:left="1260" w:hanging="618"/>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certifying certain other matters, as set out therein, on which we have relied for the purposes of this Opinion.</w:t>
      </w:r>
    </w:p>
    <w:p>
      <w:pPr>
        <w:spacing w:after="0" w:line="249" w:lineRule="exact"/>
        <w:rPr>
          <w:rFonts w:ascii="Arial" w:cs="Arial" w:eastAsia="Arial" w:hAnsi="Arial"/>
          <w:sz w:val="18"/>
          <w:szCs w:val="18"/>
          <w:color w:val="auto"/>
        </w:rPr>
      </w:pPr>
    </w:p>
    <w:p>
      <w:pPr>
        <w:ind w:left="640" w:hanging="63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Registration Statement, including the prospectus contained therein.</w:t>
      </w:r>
    </w:p>
    <w:p>
      <w:pPr>
        <w:spacing w:after="0" w:line="262" w:lineRule="exact"/>
        <w:rPr>
          <w:rFonts w:ascii="Arial" w:cs="Arial" w:eastAsia="Arial" w:hAnsi="Arial"/>
          <w:sz w:val="18"/>
          <w:szCs w:val="18"/>
          <w:color w:val="auto"/>
        </w:rPr>
      </w:pPr>
    </w:p>
    <w:p>
      <w:pPr>
        <w:ind w:left="640" w:hanging="63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Prospectus Supplement.</w:t>
      </w:r>
    </w:p>
    <w:p>
      <w:pPr>
        <w:spacing w:after="0" w:line="249" w:lineRule="exact"/>
        <w:rPr>
          <w:rFonts w:ascii="Arial" w:cs="Arial" w:eastAsia="Arial" w:hAnsi="Arial"/>
          <w:sz w:val="18"/>
          <w:szCs w:val="18"/>
          <w:color w:val="auto"/>
        </w:rPr>
      </w:pPr>
    </w:p>
    <w:p>
      <w:pPr>
        <w:ind w:left="640" w:hanging="63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Copies of the Agreements, as executed.</w:t>
      </w:r>
    </w:p>
    <w:p>
      <w:pPr>
        <w:spacing w:after="0" w:line="262" w:lineRule="exact"/>
        <w:rPr>
          <w:rFonts w:ascii="Arial" w:cs="Arial" w:eastAsia="Arial" w:hAnsi="Arial"/>
          <w:sz w:val="18"/>
          <w:szCs w:val="18"/>
          <w:color w:val="auto"/>
        </w:rPr>
      </w:pPr>
    </w:p>
    <w:p>
      <w:pPr>
        <w:jc w:val="both"/>
        <w:ind w:left="640" w:hanging="633"/>
        <w:spacing w:after="0" w:line="304"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Searches carried out by independent law researchers on our behalf against the Company on 29 February 2024 in (a) the Index of Petitions and Winding-up Notices maintained at the Central Office of the High Court of Ireland, (b) the Judgments’ Office of the Central Office of the High Court of Ireland and (c) the Companies Registration Office in Dublin.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60792328.3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lowerRoman"/>
      <w:start w:val="5"/>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2024-03-01T05:53:45Z</dcterms:created>
  <dcterms:modified xsi:type="dcterms:W3CDTF">2024-03-01T05:53:45Z</dcterms:modified>
</cp:coreProperties>
</file>