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28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285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Ruzicka Kristin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EVP Chief HR &amp; Sustainability</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57"/>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6"/>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2"/>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02/06/2025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8,050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20,970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02/06/2025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3,168</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65.36</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5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40" w:type="dxa"/>
            <w:vAlign w:val="bottom"/>
            <w:gridSpan w:val="10"/>
          </w:tcPr>
          <w:p>
            <w:pPr>
              <w:jc w:val="center"/>
              <w:ind w:left="43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8,050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02/06/2025</w:t>
            </w:r>
          </w:p>
        </w:tc>
        <w:tc>
          <w:tcPr>
            <w:tcW w:w="128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8,050</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2019 EIP and the relevant award agreements.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3554"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2025-02-10T16:27:49Z</dcterms:created>
  <dcterms:modified xsi:type="dcterms:W3CDTF">2025-02-10T16:27:49Z</dcterms:modified>
</cp:coreProperties>
</file>