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6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-235585</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6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6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-615315</wp:posOffset>
            </wp:positionV>
            <wp:extent cx="57785" cy="628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8650"/>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-615315</wp:posOffset>
            </wp:positionV>
            <wp:extent cx="57785" cy="6286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6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20955</wp:posOffset>
            </wp:positionV>
            <wp:extent cx="6995795" cy="6071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795" cy="6071235"/>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Weatherholt Scott C</w:t>
        </w:r>
      </w:hyperlink>
    </w:p>
    <w:p>
      <w:pPr>
        <w:spacing w:after="0" w:line="292"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40" w:type="dxa"/>
            <w:vAlign w:val="bottom"/>
          </w:tcPr>
          <w:p>
            <w:pPr>
              <w:ind w:left="40"/>
              <w:spacing w:after="0"/>
              <w:rPr>
                <w:sz w:val="20"/>
                <w:szCs w:val="20"/>
                <w:color w:val="auto"/>
              </w:rPr>
            </w:pPr>
            <w:r>
              <w:rPr>
                <w:rFonts w:ascii="Arial" w:cs="Arial" w:eastAsia="Arial" w:hAnsi="Arial"/>
                <w:sz w:val="13"/>
                <w:szCs w:val="13"/>
                <w:color w:val="auto"/>
              </w:rPr>
              <w:t>(Last)</w:t>
            </w:r>
          </w:p>
        </w:tc>
        <w:tc>
          <w:tcPr>
            <w:tcW w:w="1080" w:type="dxa"/>
            <w:vAlign w:val="bottom"/>
          </w:tcPr>
          <w:p>
            <w:pPr>
              <w:ind w:left="220"/>
              <w:spacing w:after="0"/>
              <w:rPr>
                <w:sz w:val="20"/>
                <w:szCs w:val="20"/>
                <w:color w:val="auto"/>
              </w:rPr>
            </w:pPr>
            <w:r>
              <w:rPr>
                <w:rFonts w:ascii="Arial" w:cs="Arial" w:eastAsia="Arial" w:hAnsi="Arial"/>
                <w:sz w:val="13"/>
                <w:szCs w:val="13"/>
                <w:color w:val="auto"/>
              </w:rPr>
              <w:t>(First)</w:t>
            </w:r>
          </w:p>
        </w:tc>
        <w:tc>
          <w:tcPr>
            <w:tcW w:w="820" w:type="dxa"/>
            <w:vAlign w:val="bottom"/>
          </w:tcPr>
          <w:p>
            <w:pPr>
              <w:ind w:left="360"/>
              <w:spacing w:after="0"/>
              <w:rPr>
                <w:sz w:val="20"/>
                <w:szCs w:val="20"/>
                <w:color w:val="auto"/>
              </w:rPr>
            </w:pPr>
            <w:r>
              <w:rPr>
                <w:rFonts w:ascii="Arial" w:cs="Arial" w:eastAsia="Arial" w:hAnsi="Arial"/>
                <w:sz w:val="13"/>
                <w:szCs w:val="13"/>
                <w:color w:val="auto"/>
                <w:w w:val="93"/>
              </w:rPr>
              <w:t>(Middle)</w:t>
            </w:r>
          </w:p>
        </w:tc>
      </w:tr>
      <w:tr>
        <w:trPr>
          <w:trHeight w:val="263"/>
        </w:trPr>
        <w:tc>
          <w:tcPr>
            <w:tcW w:w="2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2000 ST. JAMES PLACE</w:t>
            </w:r>
          </w:p>
        </w:tc>
        <w:tc>
          <w:tcPr>
            <w:tcW w:w="820" w:type="dxa"/>
            <w:vAlign w:val="bottom"/>
          </w:tcPr>
          <w:p>
            <w:pPr>
              <w:spacing w:after="0"/>
              <w:rPr>
                <w:sz w:val="22"/>
                <w:szCs w:val="22"/>
                <w:color w:val="auto"/>
              </w:rPr>
            </w:pPr>
          </w:p>
        </w:tc>
      </w:tr>
      <w:tr>
        <w:trPr>
          <w:trHeight w:val="471"/>
        </w:trPr>
        <w:tc>
          <w:tcPr>
            <w:tcW w:w="1040" w:type="dxa"/>
            <w:vAlign w:val="bottom"/>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25"/>
        </w:trPr>
        <w:tc>
          <w:tcPr>
            <w:tcW w:w="10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HOUSTON</w:t>
            </w:r>
          </w:p>
        </w:tc>
        <w:tc>
          <w:tcPr>
            <w:tcW w:w="10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TX</w:t>
            </w:r>
          </w:p>
        </w:tc>
        <w:tc>
          <w:tcPr>
            <w:tcW w:w="82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77056</w:t>
            </w:r>
          </w:p>
        </w:tc>
      </w:tr>
      <w:tr>
        <w:trPr>
          <w:trHeight w:val="458"/>
        </w:trPr>
        <w:tc>
          <w:tcPr>
            <w:tcW w:w="1040" w:type="dxa"/>
            <w:vAlign w:val="bottom"/>
          </w:tcPr>
          <w:p>
            <w:pPr>
              <w:ind w:left="40"/>
              <w:spacing w:after="0"/>
              <w:rPr>
                <w:sz w:val="20"/>
                <w:szCs w:val="20"/>
                <w:color w:val="auto"/>
              </w:rPr>
            </w:pPr>
            <w:r>
              <w:rPr>
                <w:rFonts w:ascii="Arial" w:cs="Arial" w:eastAsia="Arial" w:hAnsi="Arial"/>
                <w:sz w:val="13"/>
                <w:szCs w:val="13"/>
                <w:color w:val="auto"/>
              </w:rPr>
              <w:t>(City)</w:t>
            </w:r>
          </w:p>
        </w:tc>
        <w:tc>
          <w:tcPr>
            <w:tcW w:w="1080" w:type="dxa"/>
            <w:vAlign w:val="bottom"/>
          </w:tcPr>
          <w:p>
            <w:pPr>
              <w:ind w:left="220"/>
              <w:spacing w:after="0"/>
              <w:rPr>
                <w:sz w:val="20"/>
                <w:szCs w:val="20"/>
                <w:color w:val="auto"/>
              </w:rPr>
            </w:pPr>
            <w:r>
              <w:rPr>
                <w:rFonts w:ascii="Arial" w:cs="Arial" w:eastAsia="Arial" w:hAnsi="Arial"/>
                <w:sz w:val="13"/>
                <w:szCs w:val="13"/>
                <w:color w:val="auto"/>
              </w:rPr>
              <w:t>(State)</w:t>
            </w:r>
          </w:p>
        </w:tc>
        <w:tc>
          <w:tcPr>
            <w:tcW w:w="82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760" w:type="dxa"/>
            <w:vAlign w:val="bottom"/>
            <w:gridSpan w:val="3"/>
          </w:tcPr>
          <w:p>
            <w:pPr>
              <w:spacing w:after="0" w:line="139"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Weatherford International plc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WFRD</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80" w:type="dxa"/>
            <w:vAlign w:val="bottom"/>
            <w:tcBorders>
              <w:bottom w:val="single" w:sz="8" w:color="0000EE"/>
            </w:tcBorders>
          </w:tcPr>
          <w:p>
            <w:pPr>
              <w:spacing w:after="0"/>
              <w:rPr>
                <w:sz w:val="3"/>
                <w:szCs w:val="3"/>
                <w:color w:val="auto"/>
              </w:rPr>
            </w:pPr>
          </w:p>
        </w:tc>
        <w:tc>
          <w:tcPr>
            <w:tcW w:w="1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28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1340" w:type="dxa"/>
            <w:vAlign w:val="bottom"/>
          </w:tcPr>
          <w:p>
            <w:pPr>
              <w:ind w:left="100"/>
              <w:spacing w:after="0" w:line="11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1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4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01/18/2024</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6"/>
                <w:szCs w:val="16"/>
                <w:color w:val="0000FF"/>
              </w:rPr>
              <w:t>EVP, GC &amp; CCO</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7" w:lineRule="auto"/>
        <w:tabs>
          <w:tab w:leader="none" w:pos="440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29"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5" w:lineRule="exact"/>
        <w:rPr>
          <w:sz w:val="24"/>
          <w:szCs w:val="24"/>
          <w:color w:val="auto"/>
        </w:rPr>
      </w:pPr>
    </w:p>
    <w:p>
      <w:pPr>
        <w:ind w:left="320" w:right="420"/>
        <w:spacing w:after="0" w:line="28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1"/>
                <w:szCs w:val="11"/>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880" w:type="dxa"/>
            <w:vAlign w:val="bottom"/>
            <w:gridSpan w:val="4"/>
          </w:tcPr>
          <w:p>
            <w:pPr>
              <w:jc w:val="center"/>
              <w:spacing w:after="0"/>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42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6"/>
                <w:szCs w:val="16"/>
                <w:color w:val="0000FF"/>
              </w:rPr>
              <w:t>01/18/2024</w:t>
            </w:r>
          </w:p>
        </w:tc>
        <w:tc>
          <w:tcPr>
            <w:tcW w:w="6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5"/>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7,230</w:t>
            </w:r>
          </w:p>
        </w:tc>
        <w:tc>
          <w:tcPr>
            <w:tcW w:w="6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21"/>
              <w:spacing w:after="0"/>
              <w:rPr>
                <w:sz w:val="20"/>
                <w:szCs w:val="20"/>
                <w:color w:val="auto"/>
              </w:rPr>
            </w:pPr>
            <w:r>
              <w:rPr>
                <w:rFonts w:ascii="Times New Roman" w:cs="Times New Roman" w:eastAsia="Times New Roman" w:hAnsi="Times New Roman"/>
                <w:sz w:val="16"/>
                <w:szCs w:val="16"/>
                <w:color w:val="0000FF"/>
              </w:rPr>
              <w:t>166,259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6"/>
                <w:szCs w:val="16"/>
                <w:color w:val="0000FF"/>
              </w:rPr>
              <w:t>01/18/2024</w:t>
            </w:r>
          </w:p>
        </w:tc>
        <w:tc>
          <w:tcPr>
            <w:tcW w:w="6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5"/>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(2)</w:t>
            </w:r>
          </w:p>
        </w:tc>
        <w:tc>
          <w:tcPr>
            <w:tcW w:w="6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3,542</w:t>
            </w:r>
          </w:p>
        </w:tc>
        <w:tc>
          <w:tcPr>
            <w:tcW w:w="6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21"/>
              <w:spacing w:after="0"/>
              <w:rPr>
                <w:sz w:val="20"/>
                <w:szCs w:val="20"/>
                <w:color w:val="auto"/>
              </w:rPr>
            </w:pPr>
            <w:r>
              <w:rPr>
                <w:rFonts w:ascii="Times New Roman" w:cs="Times New Roman" w:eastAsia="Times New Roman" w:hAnsi="Times New Roman"/>
                <w:sz w:val="16"/>
                <w:szCs w:val="16"/>
                <w:color w:val="0000FF"/>
              </w:rPr>
              <w:t>169,801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6"/>
                <w:szCs w:val="16"/>
                <w:color w:val="0000FF"/>
              </w:rPr>
              <w:t>01/18/2024</w:t>
            </w:r>
          </w:p>
        </w:tc>
        <w:tc>
          <w:tcPr>
            <w:tcW w:w="6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5"/>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(3)</w:t>
            </w:r>
          </w:p>
        </w:tc>
        <w:tc>
          <w:tcPr>
            <w:tcW w:w="6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4,327</w:t>
            </w:r>
          </w:p>
        </w:tc>
        <w:tc>
          <w:tcPr>
            <w:tcW w:w="6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94.5</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21"/>
              <w:spacing w:after="0"/>
              <w:rPr>
                <w:sz w:val="20"/>
                <w:szCs w:val="20"/>
                <w:color w:val="auto"/>
              </w:rPr>
            </w:pPr>
            <w:r>
              <w:rPr>
                <w:rFonts w:ascii="Times New Roman" w:cs="Times New Roman" w:eastAsia="Times New Roman" w:hAnsi="Times New Roman"/>
                <w:sz w:val="16"/>
                <w:szCs w:val="16"/>
                <w:color w:val="0000FF"/>
              </w:rPr>
              <w:t>165,474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1"/>
          </w:tcPr>
          <w:p>
            <w:pPr>
              <w:ind w:lef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00" w:type="dxa"/>
            <w:vAlign w:val="bottom"/>
            <w:gridSpan w:val="9"/>
          </w:tcPr>
          <w:p>
            <w:pPr>
              <w:ind w:left="7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7"/>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2"/>
          </w:tcPr>
          <w:p>
            <w:pPr>
              <w:jc w:val="center"/>
              <w:ind w:right="3"/>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140"/>
              <w:spacing w:after="0"/>
              <w:rPr>
                <w:sz w:val="20"/>
                <w:szCs w:val="20"/>
                <w:color w:val="auto"/>
              </w:rPr>
            </w:pPr>
            <w:r>
              <w:rPr>
                <w:rFonts w:ascii="Arial" w:cs="Arial" w:eastAsia="Arial" w:hAnsi="Arial"/>
                <w:sz w:val="11"/>
                <w:szCs w:val="11"/>
                <w:b w:val="1"/>
                <w:bCs w:val="1"/>
                <w:color w:val="auto"/>
              </w:rPr>
              <w:t>Derivative</w:t>
            </w:r>
          </w:p>
        </w:tc>
        <w:tc>
          <w:tcPr>
            <w:tcW w:w="142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3"/>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40"/>
              <w:spacing w:after="0"/>
              <w:rPr>
                <w:sz w:val="20"/>
                <w:szCs w:val="20"/>
                <w:color w:val="auto"/>
              </w:rPr>
            </w:pPr>
            <w:r>
              <w:rPr>
                <w:rFonts w:ascii="Arial" w:cs="Arial" w:eastAsia="Arial" w:hAnsi="Arial"/>
                <w:sz w:val="11"/>
                <w:szCs w:val="11"/>
                <w:b w:val="1"/>
                <w:bCs w:val="1"/>
                <w:color w:val="auto"/>
              </w:rPr>
              <w:t>Securities</w:t>
            </w:r>
          </w:p>
        </w:tc>
        <w:tc>
          <w:tcPr>
            <w:tcW w:w="142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1"/>
                <w:szCs w:val="11"/>
                <w:color w:val="auto"/>
              </w:rPr>
            </w:pP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7"/>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gridSpan w:val="2"/>
          </w:tcPr>
          <w:p>
            <w:pPr>
              <w:ind w:left="14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ind w:left="140"/>
              <w:spacing w:after="0"/>
              <w:rPr>
                <w:sz w:val="20"/>
                <w:szCs w:val="20"/>
                <w:color w:val="auto"/>
              </w:rPr>
            </w:pPr>
            <w:r>
              <w:rPr>
                <w:rFonts w:ascii="Arial" w:cs="Arial" w:eastAsia="Arial" w:hAnsi="Arial"/>
                <w:sz w:val="11"/>
                <w:szCs w:val="11"/>
                <w:b w:val="1"/>
                <w:bCs w:val="1"/>
                <w:color w:val="auto"/>
              </w:rPr>
              <w:t>4 and 5)</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jc w:val="right"/>
              <w:ind w:right="318"/>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01/18/2024</w:t>
            </w:r>
          </w:p>
        </w:tc>
        <w:tc>
          <w:tcPr>
            <w:tcW w:w="1120" w:type="dxa"/>
            <w:vAlign w:val="bottom"/>
          </w:tcPr>
          <w:p>
            <w:pPr>
              <w:spacing w:after="0"/>
              <w:rPr>
                <w:sz w:val="15"/>
                <w:szCs w:val="15"/>
                <w:color w:val="auto"/>
              </w:rPr>
            </w:pP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15"/>
                <w:szCs w:val="15"/>
                <w:color w:val="auto"/>
              </w:rPr>
            </w:pPr>
          </w:p>
        </w:tc>
        <w:tc>
          <w:tcPr>
            <w:tcW w:w="4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7,230</w:t>
            </w: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7,230</w:t>
            </w:r>
          </w:p>
        </w:tc>
        <w:tc>
          <w:tcPr>
            <w:tcW w:w="40" w:type="dxa"/>
            <w:vAlign w:val="bottom"/>
          </w:tcPr>
          <w:p>
            <w:pPr>
              <w:spacing w:after="0"/>
              <w:rPr>
                <w:sz w:val="15"/>
                <w:szCs w:val="15"/>
                <w:color w:val="auto"/>
              </w:rPr>
            </w:pPr>
          </w:p>
        </w:tc>
        <w:tc>
          <w:tcPr>
            <w:tcW w:w="680" w:type="dxa"/>
            <w:vAlign w:val="bottom"/>
            <w:gridSpan w:val="2"/>
            <w:vMerge w:val="restart"/>
          </w:tcPr>
          <w:p>
            <w:pPr>
              <w:jc w:val="center"/>
              <w:ind w:right="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center"/>
              <w:ind w:left="221"/>
              <w:spacing w:after="0"/>
              <w:rPr>
                <w:sz w:val="20"/>
                <w:szCs w:val="20"/>
                <w:color w:val="auto"/>
              </w:rPr>
            </w:pPr>
            <w:r>
              <w:rPr>
                <w:rFonts w:ascii="Times New Roman" w:cs="Times New Roman" w:eastAsia="Times New Roman" w:hAnsi="Times New Roman"/>
                <w:sz w:val="13"/>
                <w:szCs w:val="13"/>
                <w:color w:val="0000FF"/>
              </w:rPr>
              <w:t>7,230</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76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01/18/2024</w:t>
            </w:r>
          </w:p>
        </w:tc>
        <w:tc>
          <w:tcPr>
            <w:tcW w:w="1120" w:type="dxa"/>
            <w:vAlign w:val="bottom"/>
          </w:tcPr>
          <w:p>
            <w:pPr>
              <w:spacing w:after="0"/>
              <w:rPr>
                <w:sz w:val="15"/>
                <w:szCs w:val="15"/>
                <w:color w:val="auto"/>
              </w:rPr>
            </w:pP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15"/>
                <w:szCs w:val="15"/>
                <w:color w:val="auto"/>
              </w:rPr>
            </w:pPr>
          </w:p>
        </w:tc>
        <w:tc>
          <w:tcPr>
            <w:tcW w:w="4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3,542</w:t>
            </w: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3,542</w:t>
            </w:r>
          </w:p>
        </w:tc>
        <w:tc>
          <w:tcPr>
            <w:tcW w:w="40" w:type="dxa"/>
            <w:vAlign w:val="bottom"/>
          </w:tcPr>
          <w:p>
            <w:pPr>
              <w:spacing w:after="0"/>
              <w:rPr>
                <w:sz w:val="15"/>
                <w:szCs w:val="15"/>
                <w:color w:val="auto"/>
              </w:rPr>
            </w:pPr>
          </w:p>
        </w:tc>
        <w:tc>
          <w:tcPr>
            <w:tcW w:w="680" w:type="dxa"/>
            <w:vAlign w:val="bottom"/>
            <w:gridSpan w:val="2"/>
            <w:vMerge w:val="restart"/>
          </w:tcPr>
          <w:p>
            <w:pPr>
              <w:jc w:val="center"/>
              <w:ind w:right="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center"/>
              <w:ind w:left="221"/>
              <w:spacing w:after="0"/>
              <w:rPr>
                <w:sz w:val="20"/>
                <w:szCs w:val="20"/>
                <w:color w:val="auto"/>
              </w:rPr>
            </w:pPr>
            <w:r>
              <w:rPr>
                <w:rFonts w:ascii="Times New Roman" w:cs="Times New Roman" w:eastAsia="Times New Roman" w:hAnsi="Times New Roman"/>
                <w:sz w:val="13"/>
                <w:szCs w:val="13"/>
                <w:color w:val="0000FF"/>
              </w:rPr>
              <w:t>7,083</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76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2024 Annual</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10,133</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ind w:left="60"/>
              <w:spacing w:after="0" w:line="127" w:lineRule="exact"/>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continue"/>
          </w:tcPr>
          <w:p>
            <w:pPr>
              <w:spacing w:after="0"/>
              <w:rPr>
                <w:sz w:val="11"/>
                <w:szCs w:val="11"/>
                <w:color w:val="auto"/>
              </w:rPr>
            </w:pPr>
          </w:p>
        </w:tc>
        <w:tc>
          <w:tcPr>
            <w:tcW w:w="1000" w:type="dxa"/>
            <w:vAlign w:val="bottom"/>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7"/>
              </w:rPr>
              <w:t>01/18/2024</w:t>
            </w:r>
          </w:p>
        </w:tc>
        <w:tc>
          <w:tcPr>
            <w:tcW w:w="1120" w:type="dxa"/>
            <w:vAlign w:val="bottom"/>
          </w:tcPr>
          <w:p>
            <w:pPr>
              <w:spacing w:after="0"/>
              <w:rPr>
                <w:sz w:val="11"/>
                <w:szCs w:val="11"/>
                <w:color w:val="auto"/>
              </w:rPr>
            </w:pPr>
          </w:p>
        </w:tc>
        <w:tc>
          <w:tcPr>
            <w:tcW w:w="720" w:type="dxa"/>
            <w:vAlign w:val="bottom"/>
          </w:tcPr>
          <w:p>
            <w:pPr>
              <w:ind w:left="160"/>
              <w:spacing w:after="0" w:line="127"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jc w:val="right"/>
              <w:ind w:right="42"/>
              <w:spacing w:after="0" w:line="127" w:lineRule="exact"/>
              <w:rPr>
                <w:sz w:val="20"/>
                <w:szCs w:val="20"/>
                <w:color w:val="auto"/>
              </w:rPr>
            </w:pPr>
            <w:r>
              <w:rPr>
                <w:rFonts w:ascii="Times New Roman" w:cs="Times New Roman" w:eastAsia="Times New Roman" w:hAnsi="Times New Roman"/>
                <w:sz w:val="13"/>
                <w:szCs w:val="13"/>
                <w:color w:val="0000FF"/>
              </w:rPr>
              <w:t>10,133</w:t>
            </w:r>
          </w:p>
        </w:tc>
        <w:tc>
          <w:tcPr>
            <w:tcW w:w="4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3"/>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4"/>
              </w:rPr>
              <w:t>10,133</w:t>
            </w:r>
          </w:p>
        </w:tc>
        <w:tc>
          <w:tcPr>
            <w:tcW w:w="640" w:type="dxa"/>
            <w:vAlign w:val="bottom"/>
          </w:tcPr>
          <w:p>
            <w:pPr>
              <w:ind w:left="320"/>
              <w:spacing w:after="0" w:line="127"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01/18/2024</w:t>
            </w:r>
          </w:p>
        </w:tc>
        <w:tc>
          <w:tcPr>
            <w:tcW w:w="1120" w:type="dxa"/>
            <w:vAlign w:val="bottom"/>
          </w:tcPr>
          <w:p>
            <w:pPr>
              <w:spacing w:after="0"/>
              <w:rPr>
                <w:sz w:val="15"/>
                <w:szCs w:val="15"/>
                <w:color w:val="auto"/>
              </w:rPr>
            </w:pP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vMerge w:val="restart"/>
          </w:tcPr>
          <w:p>
            <w:pPr>
              <w:jc w:val="right"/>
              <w:ind w:right="82"/>
              <w:spacing w:after="0"/>
              <w:rPr>
                <w:sz w:val="20"/>
                <w:szCs w:val="20"/>
                <w:color w:val="auto"/>
              </w:rPr>
            </w:pPr>
            <w:r>
              <w:rPr>
                <w:rFonts w:ascii="Times New Roman" w:cs="Times New Roman" w:eastAsia="Times New Roman" w:hAnsi="Times New Roman"/>
                <w:sz w:val="13"/>
                <w:szCs w:val="13"/>
                <w:color w:val="0000FF"/>
              </w:rPr>
              <w:t>6,755</w:t>
            </w:r>
          </w:p>
        </w:tc>
        <w:tc>
          <w:tcPr>
            <w:tcW w:w="420" w:type="dxa"/>
            <w:vAlign w:val="bottom"/>
          </w:tcPr>
          <w:p>
            <w:pPr>
              <w:spacing w:after="0"/>
              <w:rPr>
                <w:sz w:val="15"/>
                <w:szCs w:val="15"/>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6,755</w:t>
            </w:r>
          </w:p>
        </w:tc>
        <w:tc>
          <w:tcPr>
            <w:tcW w:w="40" w:type="dxa"/>
            <w:vAlign w:val="bottom"/>
          </w:tcPr>
          <w:p>
            <w:pPr>
              <w:spacing w:after="0"/>
              <w:rPr>
                <w:sz w:val="15"/>
                <w:szCs w:val="15"/>
                <w:color w:val="auto"/>
              </w:rPr>
            </w:pPr>
          </w:p>
        </w:tc>
        <w:tc>
          <w:tcPr>
            <w:tcW w:w="680" w:type="dxa"/>
            <w:vAlign w:val="bottom"/>
            <w:gridSpan w:val="2"/>
            <w:vMerge w:val="restart"/>
          </w:tcPr>
          <w:p>
            <w:pPr>
              <w:jc w:val="center"/>
              <w:ind w:right="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center"/>
              <w:ind w:left="221"/>
              <w:spacing w:after="0"/>
              <w:rPr>
                <w:sz w:val="20"/>
                <w:szCs w:val="20"/>
                <w:color w:val="auto"/>
              </w:rPr>
            </w:pPr>
            <w:r>
              <w:rPr>
                <w:rFonts w:ascii="Times New Roman" w:cs="Times New Roman" w:eastAsia="Times New Roman" w:hAnsi="Times New Roman"/>
                <w:sz w:val="13"/>
                <w:szCs w:val="13"/>
                <w:color w:val="0000FF"/>
              </w:rPr>
              <w:t>6,755</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76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-2585085</wp:posOffset>
            </wp:positionV>
            <wp:extent cx="28575" cy="25901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59016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440" w:hanging="1"/>
        <w:spacing w:after="0" w:line="24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restricted share units ("RSUs") granted on January 18, 2022 pursuant to Issuer's 2019 Equity Incentive Plan, as amended and restated (the "2019 EIP"). The RSUs vest in three equal installments annually over the three-year period from the date of grant.</w:t>
      </w:r>
    </w:p>
    <w:p>
      <w:pPr>
        <w:spacing w:after="0" w:line="2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RSU granted on January 18, 2023 pursuant to the 2019 EIP. The RSUs vest in three equal installments annually over the three-year period from the date of grant.</w:t>
      </w:r>
    </w:p>
    <w:p>
      <w:pPr>
        <w:spacing w:after="0" w:line="40" w:lineRule="exact"/>
        <w:rPr>
          <w:rFonts w:ascii="Times New Roman" w:cs="Times New Roman" w:eastAsia="Times New Roman" w:hAnsi="Times New Roman"/>
          <w:sz w:val="13"/>
          <w:szCs w:val="13"/>
          <w:color w:val="008000"/>
        </w:rPr>
      </w:pPr>
    </w:p>
    <w:p>
      <w:pPr>
        <w:ind w:left="40" w:right="300" w:hanging="1"/>
        <w:spacing w:after="0" w:line="24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a withholding of a portion of vested RSUs to satisfy the reporting person's tax withholding obligations upon vesting, pursuant to the award agreement and associated equity incentive plan under which the award was granted.</w:t>
      </w:r>
    </w:p>
    <w:p>
      <w:pPr>
        <w:spacing w:after="0" w:line="20" w:lineRule="exact"/>
        <w:rPr>
          <w:rFonts w:ascii="Times New Roman" w:cs="Times New Roman" w:eastAsia="Times New Roman" w:hAnsi="Times New Roman"/>
          <w:sz w:val="13"/>
          <w:szCs w:val="13"/>
          <w:color w:val="008000"/>
        </w:rPr>
      </w:pPr>
    </w:p>
    <w:p>
      <w:pPr>
        <w:ind w:left="40" w:right="180" w:hanging="1"/>
        <w:spacing w:after="0" w:line="237"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 share units ("PSUs") granted on January 18, 2024 under the 2019 EIP. The number of PSUs reported is the target award and may be subject to a payout ranging from 0% to 200% of target award depending on the actual achievement of the performance goals at the end of the performance period. The PSUs vest based on actual performance at the end of the performance period, which is the Issuer's three fiscal years beginning on January 1, 2024 and ending December 31, 2026.</w:t>
      </w:r>
    </w:p>
    <w:p>
      <w:pPr>
        <w:spacing w:after="0" w:line="25"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RSUs granted on January 18, 2024 pursuant to the 2019 EIP. The RSUs vest in three equal installments annually over the three-year period from the date of grant.</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6"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Christine M. Morrison by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01/22/2024</w:t>
            </w:r>
          </w:p>
        </w:tc>
        <w:tc>
          <w:tcPr>
            <w:tcW w:w="0" w:type="dxa"/>
            <w:vAlign w:val="bottom"/>
          </w:tcPr>
          <w:p>
            <w:pPr>
              <w:spacing w:after="0"/>
              <w:rPr>
                <w:sz w:val="1"/>
                <w:szCs w:val="1"/>
                <w:color w:val="auto"/>
              </w:rPr>
            </w:pPr>
          </w:p>
        </w:tc>
      </w:tr>
      <w:tr>
        <w:trPr>
          <w:trHeight w:val="86"/>
        </w:trPr>
        <w:tc>
          <w:tcPr>
            <w:tcW w:w="1680" w:type="dxa"/>
            <w:vAlign w:val="bottom"/>
            <w:tcBorders>
              <w:top w:val="single" w:sz="8" w:color="auto"/>
              <w:bottom w:val="single" w:sz="8" w:color="auto"/>
            </w:tcBorders>
            <w:gridSpan w:val="2"/>
            <w:vMerge w:val="restart"/>
          </w:tcPr>
          <w:p>
            <w:pPr>
              <w:spacing w:after="0" w:line="183" w:lineRule="exact"/>
              <w:rPr>
                <w:sz w:val="20"/>
                <w:szCs w:val="20"/>
                <w:color w:val="auto"/>
              </w:rPr>
            </w:pPr>
            <w:r>
              <w:rPr>
                <w:rFonts w:ascii="Times New Roman" w:cs="Times New Roman" w:eastAsia="Times New Roman" w:hAnsi="Times New Roman"/>
                <w:sz w:val="16"/>
                <w:szCs w:val="16"/>
                <w:color w:val="0000FF"/>
              </w:rPr>
              <w:t>Power of Attorney</w:t>
            </w:r>
          </w:p>
        </w:tc>
        <w:tc>
          <w:tcPr>
            <w:tcW w:w="5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680" w:type="dxa"/>
            <w:vAlign w:val="bottom"/>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30"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59429"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2024-01-22T15:44:24Z</dcterms:created>
  <dcterms:modified xsi:type="dcterms:W3CDTF">2024-01-22T15:44:24Z</dcterms:modified>
</cp:coreProperties>
</file>