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Weatherford International PLC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Ordinary Shares, par value $0.001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G48833118</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40" w:hanging="204"/>
        <w:spacing w:after="0"/>
        <w:tabs>
          <w:tab w:leader="none" w:pos="6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G48833118</w:t>
      </w:r>
    </w:p>
    <w:p>
      <w:pPr>
        <w:spacing w:after="0" w:line="266" w:lineRule="exact"/>
        <w:rPr>
          <w:sz w:val="20"/>
          <w:szCs w:val="20"/>
          <w:color w:val="auto"/>
        </w:rPr>
      </w:pPr>
    </w:p>
    <w:p>
      <w:pPr>
        <w:ind w:left="780" w:right="7720" w:hanging="537"/>
        <w:spacing w:after="0" w:line="406"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 Exor N.V.</w:t>
      </w:r>
    </w:p>
    <w:p>
      <w:pPr>
        <w:spacing w:after="0" w:line="1" w:lineRule="exact"/>
        <w:rPr>
          <w:rFonts w:ascii="Arial" w:cs="Arial" w:eastAsia="Arial" w:hAnsi="Arial"/>
          <w:sz w:val="18"/>
          <w:szCs w:val="18"/>
          <w:color w:val="auto"/>
        </w:rPr>
      </w:pPr>
    </w:p>
    <w:p>
      <w:pPr>
        <w:ind w:left="780" w:hanging="537"/>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-561340</wp:posOffset>
            </wp:positionV>
            <wp:extent cx="7003415"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21" w:lineRule="exact"/>
        <w:rPr>
          <w:sz w:val="20"/>
          <w:szCs w:val="20"/>
          <w:color w:val="auto"/>
        </w:rPr>
      </w:pPr>
    </w:p>
    <w:p>
      <w:pPr>
        <w:ind w:left="780"/>
        <w:spacing w:after="0" w:line="207" w:lineRule="exact"/>
        <w:tabs>
          <w:tab w:leader="none" w:pos="15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80" w:hanging="537"/>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80" w:right="7200" w:hanging="537"/>
        <w:spacing w:after="0" w:line="406" w:lineRule="auto"/>
        <w:tabs>
          <w:tab w:leader="none" w:pos="783"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The Netherlands</w:t>
      </w:r>
    </w:p>
    <w:p>
      <w:pPr>
        <w:sectPr>
          <w:pgSz w:w="11900" w:h="16838" w:orient="portrait"/>
          <w:cols w:equalWidth="0" w:num="1">
            <w:col w:w="10620"/>
          </w:cols>
          <w:pgMar w:left="440" w:top="274" w:right="8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4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ind w:left="428" w:right="7360" w:hanging="428"/>
        <w:spacing w:after="0" w:line="430" w:lineRule="auto"/>
        <w:tabs>
          <w:tab w:leader="none" w:pos="42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4,832,164</w:t>
      </w:r>
    </w:p>
    <w:p>
      <w:pPr>
        <w:spacing w:after="0" w:line="1" w:lineRule="exact"/>
        <w:rPr>
          <w:rFonts w:ascii="Arial" w:cs="Arial" w:eastAsia="Arial" w:hAnsi="Arial"/>
          <w:sz w:val="17"/>
          <w:szCs w:val="17"/>
          <w:color w:val="auto"/>
        </w:rPr>
      </w:pPr>
    </w:p>
    <w:p>
      <w:pPr>
        <w:ind w:left="428" w:right="7180" w:hanging="428"/>
        <w:spacing w:after="0" w:line="406" w:lineRule="auto"/>
        <w:tabs>
          <w:tab w:leader="none" w:pos="428"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1" w:lineRule="exact"/>
        <w:rPr>
          <w:rFonts w:ascii="Arial" w:cs="Arial" w:eastAsia="Arial" w:hAnsi="Arial"/>
          <w:sz w:val="18"/>
          <w:szCs w:val="18"/>
          <w:color w:val="auto"/>
        </w:rPr>
      </w:pPr>
    </w:p>
    <w:p>
      <w:pPr>
        <w:ind w:left="428" w:right="7020" w:hanging="428"/>
        <w:spacing w:after="0" w:line="406" w:lineRule="auto"/>
        <w:tabs>
          <w:tab w:leader="none" w:pos="428"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Dispositive Power: 4,832,164</w:t>
      </w:r>
    </w:p>
    <w:p>
      <w:pPr>
        <w:spacing w:after="0" w:line="1" w:lineRule="exact"/>
        <w:rPr>
          <w:rFonts w:ascii="Arial" w:cs="Arial" w:eastAsia="Arial" w:hAnsi="Arial"/>
          <w:sz w:val="18"/>
          <w:szCs w:val="18"/>
          <w:color w:val="auto"/>
        </w:rPr>
      </w:pPr>
    </w:p>
    <w:p>
      <w:pPr>
        <w:ind w:left="428" w:right="6840" w:hanging="428"/>
        <w:spacing w:after="0" w:line="406" w:lineRule="auto"/>
        <w:tabs>
          <w:tab w:leader="none" w:pos="428"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 w:lineRule="exact"/>
        <w:rPr>
          <w:sz w:val="20"/>
          <w:szCs w:val="20"/>
          <w:color w:val="auto"/>
        </w:rPr>
      </w:pPr>
    </w:p>
    <w:p>
      <w:pPr>
        <w:sectPr>
          <w:pgSz w:w="11900" w:h="16838" w:orient="portrait"/>
          <w:cols w:equalWidth="0" w:num="2">
            <w:col w:w="1120" w:space="312"/>
            <w:col w:w="9188"/>
          </w:cols>
          <w:pgMar w:left="440" w:top="274" w:right="839" w:bottom="1440" w:gutter="0" w:footer="0" w:header="0"/>
          <w:type w:val="continuous"/>
        </w:sectPr>
      </w:pPr>
    </w:p>
    <w:p>
      <w:pPr>
        <w:ind w:left="740" w:hanging="497"/>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4,832,164</w:t>
      </w:r>
    </w:p>
    <w:p>
      <w:pPr>
        <w:spacing w:after="0" w:line="36" w:lineRule="exact"/>
        <w:rPr>
          <w:sz w:val="20"/>
          <w:szCs w:val="20"/>
          <w:color w:val="auto"/>
        </w:rPr>
      </w:pPr>
    </w:p>
    <w:p>
      <w:pPr>
        <w:ind w:left="740" w:hanging="587"/>
        <w:spacing w:after="0"/>
        <w:tabs>
          <w:tab w:leader="none" w:pos="74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0" w:hanging="587"/>
        <w:spacing w:after="0"/>
        <w:tabs>
          <w:tab w:leader="none" w:pos="74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6.90%*</w:t>
      </w:r>
    </w:p>
    <w:p>
      <w:pPr>
        <w:spacing w:after="0" w:line="36" w:lineRule="exact"/>
        <w:rPr>
          <w:rFonts w:ascii="Arial" w:cs="Arial" w:eastAsia="Arial" w:hAnsi="Arial"/>
          <w:sz w:val="18"/>
          <w:szCs w:val="18"/>
          <w:color w:val="auto"/>
        </w:rPr>
      </w:pPr>
    </w:p>
    <w:p>
      <w:pPr>
        <w:ind w:left="740" w:right="6700" w:hanging="587"/>
        <w:spacing w:after="0" w:line="547" w:lineRule="auto"/>
        <w:tabs>
          <w:tab w:leader="none" w:pos="737"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 HC, CO</w:t>
      </w:r>
    </w:p>
    <w:p>
      <w:pPr>
        <w:spacing w:after="0" w:line="1" w:lineRule="exact"/>
        <w:rPr>
          <w:rFonts w:ascii="Arial" w:cs="Arial" w:eastAsia="Arial" w:hAnsi="Arial"/>
          <w:sz w:val="18"/>
          <w:szCs w:val="18"/>
          <w:color w:val="auto"/>
        </w:rPr>
      </w:pPr>
    </w:p>
    <w:p>
      <w:pPr>
        <w:ind w:left="420" w:hanging="432"/>
        <w:spacing w:after="0" w:line="277" w:lineRule="auto"/>
        <w:rPr>
          <w:rFonts w:ascii="Arial" w:cs="Arial" w:eastAsia="Arial" w:hAnsi="Arial"/>
          <w:sz w:val="18"/>
          <w:szCs w:val="18"/>
          <w:color w:val="auto"/>
        </w:rPr>
      </w:pPr>
      <w:r>
        <w:rPr>
          <w:rFonts w:ascii="Arial" w:cs="Arial" w:eastAsia="Arial" w:hAnsi="Arial"/>
          <w:sz w:val="18"/>
          <w:szCs w:val="18"/>
          <w:color w:val="auto"/>
        </w:rPr>
        <w:t>*Based on 70,017,356 ordinary shares outstanding at October 21, 2020 as reported in the Issuer’s quarterly report on Form 10-Q for the period ended September 30, 2020, filed with the Securities and Exchange Commission (“SEC”) on November 4, 2020.</w:t>
      </w:r>
    </w:p>
    <w:p>
      <w:pPr>
        <w:sectPr>
          <w:pgSz w:w="11900" w:h="16838" w:orient="portrait"/>
          <w:cols w:equalWidth="0" w:num="1">
            <w:col w:w="10620"/>
          </w:cols>
          <w:pgMar w:left="440" w:top="274" w:right="8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G48833118</w:t>
      </w:r>
    </w:p>
    <w:p>
      <w:pPr>
        <w:spacing w:after="0" w:line="266" w:lineRule="exact"/>
        <w:rPr>
          <w:sz w:val="20"/>
          <w:szCs w:val="20"/>
          <w:color w:val="auto"/>
        </w:rPr>
      </w:pPr>
    </w:p>
    <w:p>
      <w:pPr>
        <w:jc w:val="both"/>
        <w:ind w:left="780" w:right="7720" w:hanging="537"/>
        <w:spacing w:after="0" w:line="457"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Names of Reporting Persons. Exor Investments (UK) LLP</w:t>
      </w:r>
    </w:p>
    <w:p>
      <w:pPr>
        <w:spacing w:after="0" w:line="1" w:lineRule="exact"/>
        <w:rPr>
          <w:rFonts w:ascii="Arial" w:cs="Arial" w:eastAsia="Arial" w:hAnsi="Arial"/>
          <w:sz w:val="16"/>
          <w:szCs w:val="16"/>
          <w:color w:val="auto"/>
        </w:rPr>
      </w:pPr>
    </w:p>
    <w:p>
      <w:pPr>
        <w:ind w:left="780" w:hanging="537"/>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-561340</wp:posOffset>
            </wp:positionV>
            <wp:extent cx="7003415"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21" w:lineRule="exact"/>
        <w:rPr>
          <w:sz w:val="20"/>
          <w:szCs w:val="20"/>
          <w:color w:val="auto"/>
        </w:rPr>
      </w:pPr>
    </w:p>
    <w:p>
      <w:pPr>
        <w:ind w:left="780"/>
        <w:spacing w:after="0" w:line="207" w:lineRule="exact"/>
        <w:tabs>
          <w:tab w:leader="none" w:pos="15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80" w:hanging="537"/>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80" w:right="7200" w:hanging="537"/>
        <w:spacing w:after="0" w:line="406"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 United Kingdom</w:t>
      </w:r>
    </w:p>
    <w:p>
      <w:pPr>
        <w:sectPr>
          <w:pgSz w:w="11900" w:h="16838" w:orient="portrait"/>
          <w:cols w:equalWidth="0" w:num="1">
            <w:col w:w="10620"/>
          </w:cols>
          <w:pgMar w:left="440" w:top="274" w:right="8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4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ind w:left="428" w:right="7360" w:hanging="428"/>
        <w:spacing w:after="0" w:line="430" w:lineRule="auto"/>
        <w:tabs>
          <w:tab w:leader="none" w:pos="428" w:val="left"/>
        </w:tabs>
        <w:numPr>
          <w:ilvl w:val="0"/>
          <w:numId w:val="10"/>
        </w:numPr>
        <w:rPr>
          <w:rFonts w:ascii="Arial" w:cs="Arial" w:eastAsia="Arial" w:hAnsi="Arial"/>
          <w:sz w:val="17"/>
          <w:szCs w:val="17"/>
          <w:color w:val="auto"/>
        </w:rPr>
      </w:pPr>
      <w:r>
        <w:rPr>
          <w:rFonts w:ascii="Arial" w:cs="Arial" w:eastAsia="Arial" w:hAnsi="Arial"/>
          <w:sz w:val="17"/>
          <w:szCs w:val="17"/>
          <w:color w:val="auto"/>
        </w:rPr>
        <w:t>Sole Voting Power: 4,832,164</w:t>
      </w:r>
    </w:p>
    <w:p>
      <w:pPr>
        <w:spacing w:after="0" w:line="1" w:lineRule="exact"/>
        <w:rPr>
          <w:rFonts w:ascii="Arial" w:cs="Arial" w:eastAsia="Arial" w:hAnsi="Arial"/>
          <w:sz w:val="17"/>
          <w:szCs w:val="17"/>
          <w:color w:val="auto"/>
        </w:rPr>
      </w:pPr>
    </w:p>
    <w:p>
      <w:pPr>
        <w:ind w:left="428" w:right="7180" w:hanging="428"/>
        <w:spacing w:after="0" w:line="406" w:lineRule="auto"/>
        <w:tabs>
          <w:tab w:leader="none" w:pos="4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1" w:lineRule="exact"/>
        <w:rPr>
          <w:rFonts w:ascii="Arial" w:cs="Arial" w:eastAsia="Arial" w:hAnsi="Arial"/>
          <w:sz w:val="18"/>
          <w:szCs w:val="18"/>
          <w:color w:val="auto"/>
        </w:rPr>
      </w:pPr>
    </w:p>
    <w:p>
      <w:pPr>
        <w:ind w:left="428" w:right="7020" w:hanging="428"/>
        <w:spacing w:after="0" w:line="406" w:lineRule="auto"/>
        <w:tabs>
          <w:tab w:leader="none" w:pos="4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Dispositive Power: 4,832,164</w:t>
      </w:r>
    </w:p>
    <w:p>
      <w:pPr>
        <w:spacing w:after="0" w:line="1" w:lineRule="exact"/>
        <w:rPr>
          <w:rFonts w:ascii="Arial" w:cs="Arial" w:eastAsia="Arial" w:hAnsi="Arial"/>
          <w:sz w:val="18"/>
          <w:szCs w:val="18"/>
          <w:color w:val="auto"/>
        </w:rPr>
      </w:pPr>
    </w:p>
    <w:p>
      <w:pPr>
        <w:ind w:left="428" w:right="6840" w:hanging="428"/>
        <w:spacing w:after="0" w:line="406" w:lineRule="auto"/>
        <w:tabs>
          <w:tab w:leader="none" w:pos="4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 w:lineRule="exact"/>
        <w:rPr>
          <w:sz w:val="20"/>
          <w:szCs w:val="20"/>
          <w:color w:val="auto"/>
        </w:rPr>
      </w:pPr>
    </w:p>
    <w:p>
      <w:pPr>
        <w:sectPr>
          <w:pgSz w:w="11900" w:h="16838" w:orient="portrait"/>
          <w:cols w:equalWidth="0" w:num="2">
            <w:col w:w="1120" w:space="312"/>
            <w:col w:w="9188"/>
          </w:cols>
          <w:pgMar w:left="440" w:top="274" w:right="839" w:bottom="1440" w:gutter="0" w:footer="0" w:header="0"/>
          <w:type w:val="continuous"/>
        </w:sectPr>
      </w:pPr>
    </w:p>
    <w:p>
      <w:pPr>
        <w:ind w:left="740" w:hanging="49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4,832,164</w:t>
      </w:r>
    </w:p>
    <w:p>
      <w:pPr>
        <w:spacing w:after="0" w:line="36" w:lineRule="exact"/>
        <w:rPr>
          <w:sz w:val="20"/>
          <w:szCs w:val="20"/>
          <w:color w:val="auto"/>
        </w:rPr>
      </w:pPr>
    </w:p>
    <w:p>
      <w:pPr>
        <w:ind w:left="740" w:hanging="587"/>
        <w:spacing w:after="0"/>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0" w:hanging="587"/>
        <w:spacing w:after="0"/>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6.90%*</w:t>
      </w:r>
    </w:p>
    <w:p>
      <w:pPr>
        <w:spacing w:after="0" w:line="36" w:lineRule="exact"/>
        <w:rPr>
          <w:rFonts w:ascii="Arial" w:cs="Arial" w:eastAsia="Arial" w:hAnsi="Arial"/>
          <w:sz w:val="18"/>
          <w:szCs w:val="18"/>
          <w:color w:val="auto"/>
        </w:rPr>
      </w:pPr>
    </w:p>
    <w:p>
      <w:pPr>
        <w:ind w:left="740" w:hanging="587"/>
        <w:spacing w:after="0"/>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0" w:hanging="432"/>
        <w:spacing w:after="0" w:line="277" w:lineRule="auto"/>
        <w:rPr>
          <w:rFonts w:ascii="Arial" w:cs="Arial" w:eastAsia="Arial" w:hAnsi="Arial"/>
          <w:sz w:val="18"/>
          <w:szCs w:val="18"/>
          <w:color w:val="auto"/>
        </w:rPr>
      </w:pPr>
      <w:r>
        <w:rPr>
          <w:rFonts w:ascii="Arial" w:cs="Arial" w:eastAsia="Arial" w:hAnsi="Arial"/>
          <w:sz w:val="18"/>
          <w:szCs w:val="18"/>
          <w:color w:val="auto"/>
        </w:rPr>
        <w:t>*Based on 70,017,356 ordinary shares outstanding at October 21, 2020 as reported in the Issuer’s quarterly report on Form 10-Q for the period ended September 30, 2020, filed with the Securities and Exchange Commission (“SEC”) on November 4, 2020.</w:t>
      </w:r>
    </w:p>
    <w:p>
      <w:pPr>
        <w:sectPr>
          <w:pgSz w:w="11900" w:h="16838" w:orient="portrait"/>
          <w:cols w:equalWidth="0" w:num="1">
            <w:col w:w="10620"/>
          </w:cols>
          <w:pgMar w:left="440" w:top="274" w:right="8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Item1.</w:t>
      </w:r>
    </w:p>
    <w:p>
      <w:pPr>
        <w:spacing w:after="0" w:line="127" w:lineRule="exact"/>
        <w:rPr>
          <w:sz w:val="20"/>
          <w:szCs w:val="20"/>
          <w:color w:val="auto"/>
        </w:rPr>
      </w:pPr>
    </w:p>
    <w:p>
      <w:pPr>
        <w:ind w:left="960" w:hanging="5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Name of Issuer:</w:t>
      </w:r>
    </w:p>
    <w:p>
      <w:pPr>
        <w:spacing w:after="0" w:line="12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Weatherford International PLC</w:t>
      </w:r>
    </w:p>
    <w:p>
      <w:pPr>
        <w:spacing w:after="0" w:line="126" w:lineRule="exact"/>
        <w:rPr>
          <w:rFonts w:ascii="Arial" w:cs="Arial" w:eastAsia="Arial" w:hAnsi="Arial"/>
          <w:sz w:val="18"/>
          <w:szCs w:val="18"/>
          <w:color w:val="auto"/>
        </w:rPr>
      </w:pPr>
    </w:p>
    <w:p>
      <w:pPr>
        <w:ind w:left="960" w:hanging="5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Address of Issuer’s Principal Executive Offices</w:t>
      </w:r>
    </w:p>
    <w:p>
      <w:pPr>
        <w:spacing w:after="0" w:line="121" w:lineRule="exact"/>
        <w:rPr>
          <w:rFonts w:ascii="Arial" w:cs="Arial" w:eastAsia="Arial" w:hAnsi="Arial"/>
          <w:sz w:val="18"/>
          <w:szCs w:val="18"/>
          <w:color w:val="auto"/>
        </w:rPr>
      </w:pPr>
    </w:p>
    <w:p>
      <w:pPr>
        <w:ind w:left="980" w:right="8080"/>
        <w:spacing w:after="0" w:line="342" w:lineRule="auto"/>
        <w:rPr>
          <w:rFonts w:ascii="Arial" w:cs="Arial" w:eastAsia="Arial" w:hAnsi="Arial"/>
          <w:sz w:val="18"/>
          <w:szCs w:val="18"/>
          <w:color w:val="auto"/>
        </w:rPr>
      </w:pPr>
      <w:r>
        <w:rPr>
          <w:rFonts w:ascii="Arial" w:cs="Arial" w:eastAsia="Arial" w:hAnsi="Arial"/>
          <w:sz w:val="16"/>
          <w:szCs w:val="16"/>
          <w:color w:val="auto"/>
        </w:rPr>
        <w:t>2000 St. James Place Houston, Texas 77056</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Name of Person Filing</w:t>
      </w:r>
    </w:p>
    <w:p>
      <w:pPr>
        <w:spacing w:after="0" w:line="12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Exor N.V.</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Exor Investments (UK) LLP</w:t>
      </w:r>
    </w:p>
    <w:p>
      <w:pPr>
        <w:spacing w:after="0" w:line="112" w:lineRule="exact"/>
        <w:rPr>
          <w:rFonts w:ascii="Arial" w:cs="Arial" w:eastAsia="Arial" w:hAnsi="Arial"/>
          <w:sz w:val="18"/>
          <w:szCs w:val="18"/>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Address of Principal Business Office or, if none, Residence</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b w:val="1"/>
          <w:bCs w:val="1"/>
          <w:color w:val="auto"/>
        </w:rPr>
        <w:t>Exor N.V.</w:t>
      </w:r>
    </w:p>
    <w:p>
      <w:pPr>
        <w:spacing w:after="0" w:line="27" w:lineRule="exact"/>
        <w:rPr>
          <w:rFonts w:ascii="Arial" w:cs="Arial" w:eastAsia="Arial" w:hAnsi="Arial"/>
          <w:sz w:val="18"/>
          <w:szCs w:val="18"/>
          <w:color w:val="auto"/>
        </w:rPr>
      </w:pPr>
    </w:p>
    <w:p>
      <w:pPr>
        <w:ind w:left="980" w:right="8040"/>
        <w:spacing w:after="0" w:line="277" w:lineRule="auto"/>
        <w:rPr>
          <w:rFonts w:ascii="Arial" w:cs="Arial" w:eastAsia="Arial" w:hAnsi="Arial"/>
          <w:sz w:val="18"/>
          <w:szCs w:val="18"/>
          <w:color w:val="auto"/>
        </w:rPr>
      </w:pPr>
      <w:r>
        <w:rPr>
          <w:rFonts w:ascii="Arial" w:cs="Arial" w:eastAsia="Arial" w:hAnsi="Arial"/>
          <w:sz w:val="17"/>
          <w:szCs w:val="17"/>
          <w:color w:val="auto"/>
        </w:rPr>
        <w:t>Gustav Mahlerplein 25 Amsterdam, 1082 MS The Netherlands</w:t>
      </w:r>
    </w:p>
    <w:p>
      <w:pPr>
        <w:spacing w:after="0" w:line="6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b w:val="1"/>
          <w:bCs w:val="1"/>
          <w:color w:val="auto"/>
        </w:rPr>
        <w:t>Exor Investments (UK) LLP</w:t>
      </w:r>
    </w:p>
    <w:p>
      <w:pPr>
        <w:spacing w:after="0" w:line="121" w:lineRule="exact"/>
        <w:rPr>
          <w:rFonts w:ascii="Arial" w:cs="Arial" w:eastAsia="Arial" w:hAnsi="Arial"/>
          <w:sz w:val="18"/>
          <w:szCs w:val="18"/>
          <w:color w:val="auto"/>
        </w:rPr>
      </w:pPr>
    </w:p>
    <w:p>
      <w:pPr>
        <w:ind w:left="980" w:right="8160"/>
        <w:spacing w:after="0" w:line="286" w:lineRule="auto"/>
        <w:rPr>
          <w:rFonts w:ascii="Arial" w:cs="Arial" w:eastAsia="Arial" w:hAnsi="Arial"/>
          <w:sz w:val="18"/>
          <w:szCs w:val="18"/>
          <w:color w:val="auto"/>
        </w:rPr>
      </w:pPr>
      <w:r>
        <w:rPr>
          <w:rFonts w:ascii="Arial" w:cs="Arial" w:eastAsia="Arial" w:hAnsi="Arial"/>
          <w:sz w:val="17"/>
          <w:szCs w:val="17"/>
          <w:color w:val="auto"/>
        </w:rPr>
        <w:t>28 Headfort Place London, SW1X 7DH United Kingdom</w:t>
      </w:r>
    </w:p>
    <w:p>
      <w:pPr>
        <w:spacing w:after="0" w:line="66" w:lineRule="exact"/>
        <w:rPr>
          <w:rFonts w:ascii="Arial" w:cs="Arial" w:eastAsia="Arial" w:hAnsi="Arial"/>
          <w:sz w:val="18"/>
          <w:szCs w:val="18"/>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Citizenship</w:t>
      </w:r>
    </w:p>
    <w:p>
      <w:pPr>
        <w:spacing w:after="0" w:line="12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Exor N.V. – the Netherlands</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Exor Investments (UK) LLP – United Kingdom</w:t>
      </w:r>
    </w:p>
    <w:p>
      <w:pPr>
        <w:spacing w:after="0" w:line="112" w:lineRule="exact"/>
        <w:rPr>
          <w:rFonts w:ascii="Arial" w:cs="Arial" w:eastAsia="Arial" w:hAnsi="Arial"/>
          <w:sz w:val="18"/>
          <w:szCs w:val="18"/>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Title of Class of Securities</w:t>
      </w:r>
    </w:p>
    <w:p>
      <w:pPr>
        <w:spacing w:after="0" w:line="12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Ordinary Shares, par value $0.001 per share</w:t>
      </w:r>
    </w:p>
    <w:p>
      <w:pPr>
        <w:spacing w:after="0" w:line="126" w:lineRule="exact"/>
        <w:rPr>
          <w:rFonts w:ascii="Arial" w:cs="Arial" w:eastAsia="Arial" w:hAnsi="Arial"/>
          <w:sz w:val="18"/>
          <w:szCs w:val="18"/>
          <w:color w:val="auto"/>
        </w:rPr>
      </w:pPr>
    </w:p>
    <w:p>
      <w:pPr>
        <w:ind w:left="980" w:right="8480" w:hanging="552"/>
        <w:spacing w:after="0" w:line="445" w:lineRule="auto"/>
        <w:tabs>
          <w:tab w:leader="none" w:pos="961"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G48833118</w:t>
      </w:r>
    </w:p>
    <w:p>
      <w:pPr>
        <w:spacing w:after="0" w:line="18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Exor N.V.:</w:t>
      </w:r>
    </w:p>
    <w:p>
      <w:pPr>
        <w:spacing w:after="0" w:line="131" w:lineRule="exact"/>
        <w:rPr>
          <w:sz w:val="20"/>
          <w:szCs w:val="20"/>
          <w:color w:val="auto"/>
        </w:rPr>
      </w:pPr>
    </w:p>
    <w:p>
      <w:pPr>
        <w:ind w:left="440" w:right="2900" w:firstLine="541"/>
        <w:spacing w:after="0" w:line="383" w:lineRule="auto"/>
        <w:tabs>
          <w:tab w:leader="none" w:pos="141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parent holding company or control person in accordance with §240.13d-1(b)(1)(ii)(G) Exor Investments (UK) LLP:</w:t>
      </w:r>
    </w:p>
    <w:p>
      <w:pPr>
        <w:spacing w:after="0" w:line="1" w:lineRule="exact"/>
        <w:rPr>
          <w:sz w:val="20"/>
          <w:szCs w:val="20"/>
          <w:color w:val="auto"/>
        </w:rPr>
      </w:pPr>
    </w:p>
    <w:p>
      <w:pPr>
        <w:ind w:left="1420" w:hanging="43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non-U.S. institution in accordance with Rule 13d-1(b)(1)(ii)(J)</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If filing as a non-U.S. institution in accordance with Rule 13d-1(b)(1)(ii)(J), please specify the type of institution: Investment Manager</w:t>
      </w:r>
    </w:p>
    <w:p>
      <w:pPr>
        <w:sectPr>
          <w:pgSz w:w="11900" w:h="16838" w:orient="portrait"/>
          <w:cols w:equalWidth="0" w:num="1">
            <w:col w:w="10680"/>
          </w:cols>
          <w:pgMar w:left="440" w:top="274" w:right="779" w:bottom="1440" w:gutter="0" w:footer="0" w:header="0"/>
        </w:sectPr>
      </w:pPr>
    </w:p>
    <w:bookmarkStart w:id="4" w:name="page5"/>
    <w:bookmarkEnd w:id="4"/>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31" w:lineRule="exact"/>
        <w:rPr>
          <w:sz w:val="20"/>
          <w:szCs w:val="20"/>
          <w:color w:val="auto"/>
        </w:rPr>
      </w:pPr>
    </w:p>
    <w:p>
      <w:pPr>
        <w:ind w:left="960" w:hanging="532"/>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Amount beneficially owned:</w:t>
      </w:r>
    </w:p>
    <w:p>
      <w:pPr>
        <w:spacing w:after="0" w:line="2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112" w:lineRule="exact"/>
        <w:rPr>
          <w:rFonts w:ascii="Arial" w:cs="Arial" w:eastAsia="Arial" w:hAnsi="Arial"/>
          <w:sz w:val="18"/>
          <w:szCs w:val="18"/>
          <w:color w:val="auto"/>
        </w:rPr>
      </w:pPr>
    </w:p>
    <w:p>
      <w:pPr>
        <w:ind w:left="960" w:hanging="532"/>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Percent of class:</w:t>
      </w:r>
    </w:p>
    <w:p>
      <w:pPr>
        <w:spacing w:after="0" w:line="2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See the responses to Item 11 on the attached cover pages.</w:t>
      </w:r>
    </w:p>
    <w:p>
      <w:pPr>
        <w:spacing w:after="0" w:line="116" w:lineRule="exact"/>
        <w:rPr>
          <w:rFonts w:ascii="Arial" w:cs="Arial" w:eastAsia="Arial" w:hAnsi="Arial"/>
          <w:sz w:val="18"/>
          <w:szCs w:val="18"/>
          <w:color w:val="auto"/>
        </w:rPr>
      </w:pPr>
    </w:p>
    <w:p>
      <w:pPr>
        <w:ind w:left="960" w:hanging="532"/>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26" w:lineRule="exact"/>
        <w:rPr>
          <w:rFonts w:ascii="Arial" w:cs="Arial" w:eastAsia="Arial" w:hAnsi="Arial"/>
          <w:sz w:val="18"/>
          <w:szCs w:val="18"/>
          <w:color w:val="auto"/>
        </w:rPr>
      </w:pPr>
    </w:p>
    <w:p>
      <w:pPr>
        <w:ind w:left="1420" w:hanging="439"/>
        <w:spacing w:after="0"/>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b w:val="1"/>
          <w:bCs w:val="1"/>
          <w:color w:val="auto"/>
        </w:rPr>
        <w:t>Sole power to vote or to direct the vote</w:t>
      </w:r>
    </w:p>
    <w:p>
      <w:pPr>
        <w:spacing w:after="0" w:line="2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112" w:lineRule="exact"/>
        <w:rPr>
          <w:rFonts w:ascii="Arial" w:cs="Arial" w:eastAsia="Arial" w:hAnsi="Arial"/>
          <w:sz w:val="18"/>
          <w:szCs w:val="18"/>
          <w:color w:val="auto"/>
        </w:rPr>
      </w:pPr>
    </w:p>
    <w:p>
      <w:pPr>
        <w:ind w:left="1420" w:hanging="439"/>
        <w:spacing w:after="0"/>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b w:val="1"/>
          <w:bCs w:val="1"/>
          <w:color w:val="auto"/>
        </w:rPr>
        <w:t>Shared power to vote or to direct the vote</w:t>
      </w:r>
    </w:p>
    <w:p>
      <w:pPr>
        <w:spacing w:after="0" w:line="2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112" w:lineRule="exact"/>
        <w:rPr>
          <w:rFonts w:ascii="Arial" w:cs="Arial" w:eastAsia="Arial" w:hAnsi="Arial"/>
          <w:sz w:val="18"/>
          <w:szCs w:val="18"/>
          <w:color w:val="auto"/>
        </w:rPr>
      </w:pPr>
    </w:p>
    <w:p>
      <w:pPr>
        <w:ind w:left="1420" w:right="5420" w:hanging="439"/>
        <w:spacing w:after="0" w:line="385" w:lineRule="auto"/>
        <w:tabs>
          <w:tab w:leader="none" w:pos="1405" w:val="left"/>
        </w:tabs>
        <w:numPr>
          <w:ilvl w:val="1"/>
          <w:numId w:val="17"/>
        </w:numPr>
        <w:rPr>
          <w:rFonts w:ascii="Arial" w:cs="Arial" w:eastAsia="Arial" w:hAnsi="Arial"/>
          <w:sz w:val="15"/>
          <w:szCs w:val="15"/>
          <w:color w:val="auto"/>
        </w:rPr>
      </w:pPr>
      <w:r>
        <w:rPr>
          <w:rFonts w:ascii="Arial" w:cs="Arial" w:eastAsia="Arial" w:hAnsi="Arial"/>
          <w:sz w:val="15"/>
          <w:szCs w:val="15"/>
          <w:b w:val="1"/>
          <w:bCs w:val="1"/>
          <w:color w:val="auto"/>
        </w:rPr>
        <w:t xml:space="preserve">Sole power to dispose or to direct the disposition of </w:t>
      </w:r>
      <w:r>
        <w:rPr>
          <w:rFonts w:ascii="Arial" w:cs="Arial" w:eastAsia="Arial" w:hAnsi="Arial"/>
          <w:sz w:val="15"/>
          <w:szCs w:val="15"/>
          <w:color w:val="auto"/>
        </w:rPr>
        <w:t>See the responses to Item 7 on the attached cover pages.</w:t>
      </w:r>
    </w:p>
    <w:p>
      <w:pPr>
        <w:ind w:left="1420" w:right="5360" w:hanging="439"/>
        <w:spacing w:after="0" w:line="386" w:lineRule="auto"/>
        <w:tabs>
          <w:tab w:leader="none" w:pos="1405" w:val="left"/>
        </w:tabs>
        <w:numPr>
          <w:ilvl w:val="1"/>
          <w:numId w:val="17"/>
        </w:numPr>
        <w:rPr>
          <w:rFonts w:ascii="Arial" w:cs="Arial" w:eastAsia="Arial" w:hAnsi="Arial"/>
          <w:sz w:val="15"/>
          <w:szCs w:val="15"/>
          <w:color w:val="auto"/>
        </w:rPr>
      </w:pPr>
      <w:r>
        <w:rPr>
          <w:rFonts w:ascii="Arial" w:cs="Arial" w:eastAsia="Arial" w:hAnsi="Arial"/>
          <w:sz w:val="15"/>
          <w:szCs w:val="15"/>
          <w:b w:val="1"/>
          <w:bCs w:val="1"/>
          <w:color w:val="auto"/>
        </w:rPr>
        <w:t xml:space="preserve">Shared power to dispose or to direct the disposition of </w:t>
      </w:r>
      <w:r>
        <w:rPr>
          <w:rFonts w:ascii="Arial" w:cs="Arial" w:eastAsia="Arial" w:hAnsi="Arial"/>
          <w:sz w:val="15"/>
          <w:szCs w:val="15"/>
          <w:color w:val="auto"/>
        </w:rPr>
        <w:t>See the responses to Item 8 on the attached cover pages.</w:t>
      </w:r>
    </w:p>
    <w:p>
      <w:pPr>
        <w:spacing w:after="0" w:line="24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right="46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Exor Investments (UK) LLP:</w:t>
      </w:r>
    </w:p>
    <w:p>
      <w:pPr>
        <w:spacing w:after="0" w:line="131" w:lineRule="exact"/>
        <w:rPr>
          <w:sz w:val="20"/>
          <w:szCs w:val="20"/>
          <w:color w:val="auto"/>
        </w:rPr>
      </w:pPr>
    </w:p>
    <w:p>
      <w:pPr>
        <w:ind w:left="960" w:hanging="53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non-U.S. institution in accordance with Rule 13d-1(b)(1)(ii)(J)</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filing as a non-U.S. institution in accordance with Rule 13d-1(b)(1)(ii)(J), please specify the type of institution: Investment Manager</w:t>
      </w:r>
    </w:p>
    <w:p>
      <w:pPr>
        <w:spacing w:after="0" w:line="38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900"/>
          </w:cols>
          <w:pgMar w:left="440" w:top="270" w:right="5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Exor N.V.</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Enrico Vellano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Enrico Vellano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color w:val="auto"/>
              </w:rPr>
              <w:t>Exor Investments (UK) LLP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Dariusz Kieszkowski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Dariusz Kieszkowski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Partner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lvl w:ilvl="1">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3"/>
    </w:lvl>
  </w:abstractNum>
  <w:abstractNum w:abstractNumId="4">
    <w:nsid w:val="1190CDE7"/>
    <w:multiLevelType w:val="hybridMultilevel"/>
    <w:lvl w:ilvl="0">
      <w:lvlJc w:val="left"/>
      <w:lvlText w:val="%1."/>
      <w:numFmt w:val="decimal"/>
      <w:start w:val="5"/>
    </w:lvl>
  </w:abstractNum>
  <w:abstractNum w:abstractNumId="5">
    <w:nsid w:val="66EF438D"/>
    <w:multiLevelType w:val="hybridMultilevel"/>
    <w:lvl w:ilvl="0">
      <w:lvlJc w:val="left"/>
      <w:lvlText w:val="%1."/>
      <w:numFmt w:val="decimal"/>
      <w:start w:val="9"/>
    </w:lvl>
  </w:abstractNum>
  <w:abstractNum w:abstractNumId="6">
    <w:nsid w:val="140E0F76"/>
    <w:multiLevelType w:val="hybridMultilevel"/>
    <w:lvl w:ilvl="0">
      <w:lvlJc w:val="left"/>
      <w:lvlText w:val="*"/>
      <w:numFmt w:val="bullet"/>
      <w:start w:val="1"/>
    </w:lvl>
    <w:lvl w:ilvl="1">
      <w:lvlJc w:val="left"/>
      <w:lvlText w:val="%2."/>
      <w:numFmt w:val="decimal"/>
      <w:start w:val="10"/>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3"/>
    </w:lvl>
  </w:abstractNum>
  <w:abstractNum w:abstractNumId="9">
    <w:nsid w:val="DED7263"/>
    <w:multiLevelType w:val="hybridMultilevel"/>
    <w:lvl w:ilvl="0">
      <w:lvlJc w:val="left"/>
      <w:lvlText w:val="%1."/>
      <w:numFmt w:val="decimal"/>
      <w:start w:val="5"/>
    </w:lvl>
  </w:abstractNum>
  <w:abstractNum w:abstractNumId="10">
    <w:nsid w:val="7FDCC233"/>
    <w:multiLevelType w:val="hybridMultilevel"/>
    <w:lvl w:ilvl="0">
      <w:lvlJc w:val="left"/>
      <w:lvlText w:val="%1."/>
      <w:numFmt w:val="decimal"/>
      <w:start w:val="9"/>
    </w:lvl>
  </w:abstractNum>
  <w:abstractNum w:abstractNumId="11">
    <w:nsid w:val="1BEFD79F"/>
    <w:multiLevelType w:val="hybridMultilevel"/>
    <w:lvl w:ilvl="0">
      <w:lvlJc w:val="left"/>
      <w:lvlText w:val="*"/>
      <w:numFmt w:val="bullet"/>
      <w:start w:val="1"/>
    </w:lvl>
    <w:lvl w:ilvl="1">
      <w:lvlJc w:val="left"/>
      <w:lvlText w:val="%2."/>
      <w:numFmt w:val="decimal"/>
      <w:start w:val="10"/>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7"/>
    </w:lvl>
  </w:abstractNum>
  <w:abstractNum w:abstractNumId="15">
    <w:nsid w:val="25E45D32"/>
    <w:multiLevelType w:val="hybridMultilevel"/>
    <w:lvl w:ilvl="0">
      <w:lvlJc w:val="left"/>
      <w:lvlText w:val="(%1)"/>
      <w:numFmt w:val="lowerLetter"/>
      <w:start w:val="10"/>
    </w:lvl>
  </w:abstractNum>
  <w:abstractNum w:abstractNumId="16">
    <w:nsid w:val="519B500D"/>
    <w:multiLevelType w:val="hybridMultilevel"/>
    <w:lvl w:ilvl="0">
      <w:lvlJc w:val="left"/>
      <w:lvlText w:val="(%1)"/>
      <w:numFmt w:val="lowerLetter"/>
      <w:start w:val="1"/>
    </w:lvl>
    <w:lvl w:ilvl="1">
      <w:lvlJc w:val="left"/>
      <w:lvlText w:val="(%2)"/>
      <w:numFmt w:val="lowerRoman"/>
      <w:start w:val="1"/>
    </w:lvl>
  </w:abstractNum>
  <w:abstractNum w:abstractNumId="17">
    <w:nsid w:val="431BD7B7"/>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2021-02-04T13:17:49Z</dcterms:created>
  <dcterms:modified xsi:type="dcterms:W3CDTF">2021-02-04T13:17:49Z</dcterms:modified>
</cp:coreProperties>
</file>